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379A5" w14:textId="77777777" w:rsidR="007215E9" w:rsidRPr="007215E9" w:rsidRDefault="007215E9" w:rsidP="007215E9">
      <w:pPr>
        <w:pBdr>
          <w:bottom w:val="single" w:sz="4" w:space="1" w:color="auto"/>
        </w:pBdr>
        <w:jc w:val="center"/>
        <w:rPr>
          <w:b/>
          <w:bCs/>
        </w:rPr>
      </w:pPr>
      <w:bookmarkStart w:id="0" w:name="_GoBack"/>
      <w:bookmarkEnd w:id="0"/>
      <w:r w:rsidRPr="007215E9">
        <w:rPr>
          <w:b/>
          <w:bCs/>
        </w:rPr>
        <w:t>SUPPORTING STATEMENT</w:t>
      </w:r>
    </w:p>
    <w:p w14:paraId="005EA136" w14:textId="77777777" w:rsidR="007215E9" w:rsidRPr="007215E9" w:rsidRDefault="007215E9" w:rsidP="007215E9">
      <w:pPr>
        <w:pBdr>
          <w:bottom w:val="single" w:sz="4" w:space="1" w:color="auto"/>
        </w:pBdr>
        <w:jc w:val="center"/>
        <w:rPr>
          <w:b/>
          <w:bCs/>
        </w:rPr>
      </w:pPr>
      <w:r w:rsidRPr="007215E9">
        <w:rPr>
          <w:rFonts w:cs="Arial"/>
          <w:b/>
        </w:rPr>
        <w:t xml:space="preserve">ATTESTATION FOR EMPLOYERS SEEKING TO EMPLOY H-2B NONIMMIGRANT WORKERS UNDER SECTION </w:t>
      </w:r>
      <w:r w:rsidR="008F55E7">
        <w:rPr>
          <w:rFonts w:cs="Arial"/>
          <w:b/>
        </w:rPr>
        <w:t>1</w:t>
      </w:r>
      <w:r w:rsidR="008F55E7" w:rsidRPr="007215E9">
        <w:rPr>
          <w:rFonts w:cs="Arial"/>
          <w:b/>
        </w:rPr>
        <w:t xml:space="preserve">05 </w:t>
      </w:r>
      <w:r w:rsidRPr="007215E9">
        <w:rPr>
          <w:rFonts w:cs="Arial"/>
          <w:b/>
        </w:rPr>
        <w:t xml:space="preserve">OF DIVISION </w:t>
      </w:r>
      <w:r w:rsidR="008F55E7">
        <w:rPr>
          <w:rFonts w:cs="Arial"/>
          <w:b/>
        </w:rPr>
        <w:t>H</w:t>
      </w:r>
      <w:r w:rsidR="008F55E7" w:rsidRPr="007215E9">
        <w:rPr>
          <w:rFonts w:cs="Arial"/>
          <w:b/>
        </w:rPr>
        <w:t xml:space="preserve"> </w:t>
      </w:r>
      <w:r w:rsidRPr="007215E9">
        <w:rPr>
          <w:rFonts w:cs="Arial"/>
          <w:b/>
        </w:rPr>
        <w:t xml:space="preserve">OF THE CONSOLIDATED APPROPRIATIONS ACT, </w:t>
      </w:r>
      <w:r w:rsidR="008F55E7" w:rsidRPr="007215E9">
        <w:rPr>
          <w:rFonts w:cs="Arial"/>
          <w:b/>
        </w:rPr>
        <w:t>201</w:t>
      </w:r>
      <w:r w:rsidR="008F55E7">
        <w:rPr>
          <w:rFonts w:cs="Arial"/>
          <w:b/>
        </w:rPr>
        <w:t>9</w:t>
      </w:r>
      <w:r w:rsidRPr="007215E9">
        <w:rPr>
          <w:rFonts w:cs="Arial"/>
          <w:b/>
        </w:rPr>
        <w:t xml:space="preserve">, PUBLIC LAW </w:t>
      </w:r>
      <w:r w:rsidR="008F55E7">
        <w:rPr>
          <w:rFonts w:cs="Arial"/>
          <w:b/>
        </w:rPr>
        <w:t>116-6</w:t>
      </w:r>
      <w:r w:rsidR="0030102D">
        <w:rPr>
          <w:rFonts w:cs="Arial"/>
          <w:b/>
        </w:rPr>
        <w:t xml:space="preserve"> </w:t>
      </w:r>
      <w:r w:rsidRPr="007215E9">
        <w:rPr>
          <w:rFonts w:cs="Arial"/>
          <w:b/>
        </w:rPr>
        <w:t>(</w:t>
      </w:r>
      <w:r w:rsidR="008F55E7">
        <w:rPr>
          <w:rFonts w:cs="Arial"/>
          <w:b/>
        </w:rPr>
        <w:t>FEBRUARY 15, 2019</w:t>
      </w:r>
      <w:r w:rsidRPr="007215E9">
        <w:rPr>
          <w:rFonts w:cs="Arial"/>
          <w:b/>
        </w:rPr>
        <w:t>)</w:t>
      </w:r>
    </w:p>
    <w:p w14:paraId="495B482B" w14:textId="05937439" w:rsidR="007215E9" w:rsidRPr="007215E9" w:rsidRDefault="007D7863" w:rsidP="007215E9">
      <w:pPr>
        <w:pBdr>
          <w:bottom w:val="single" w:sz="4" w:space="1" w:color="auto"/>
        </w:pBdr>
        <w:jc w:val="center"/>
        <w:rPr>
          <w:b/>
          <w:bCs/>
        </w:rPr>
      </w:pPr>
      <w:r>
        <w:rPr>
          <w:b/>
          <w:bCs/>
        </w:rPr>
        <w:t>OMB Control Number: 1205-0535</w:t>
      </w:r>
    </w:p>
    <w:p w14:paraId="4DEC7243" w14:textId="77777777" w:rsidR="00135F26" w:rsidRPr="007215E9" w:rsidRDefault="00135F26" w:rsidP="00135F26">
      <w:pPr>
        <w:autoSpaceDE w:val="0"/>
        <w:autoSpaceDN w:val="0"/>
        <w:adjustRightInd w:val="0"/>
      </w:pPr>
    </w:p>
    <w:p w14:paraId="02E85800" w14:textId="77777777" w:rsidR="00135F26" w:rsidRPr="007215E9" w:rsidRDefault="00135F26" w:rsidP="00135F26">
      <w:pPr>
        <w:tabs>
          <w:tab w:val="left" w:pos="540"/>
        </w:tabs>
        <w:autoSpaceDE w:val="0"/>
        <w:autoSpaceDN w:val="0"/>
        <w:adjustRightInd w:val="0"/>
        <w:rPr>
          <w:b/>
        </w:rPr>
      </w:pPr>
      <w:r w:rsidRPr="007215E9">
        <w:rPr>
          <w:b/>
        </w:rPr>
        <w:t xml:space="preserve">A. </w:t>
      </w:r>
      <w:r w:rsidRPr="007215E9">
        <w:rPr>
          <w:b/>
        </w:rPr>
        <w:tab/>
      </w:r>
      <w:r w:rsidRPr="00135F26">
        <w:rPr>
          <w:b/>
          <w:u w:val="single"/>
        </w:rPr>
        <w:t>Justification</w:t>
      </w:r>
      <w:r>
        <w:rPr>
          <w:b/>
          <w:u w:val="single"/>
        </w:rPr>
        <w:t>.</w:t>
      </w:r>
    </w:p>
    <w:p w14:paraId="26849B71" w14:textId="77777777" w:rsidR="00BA6848" w:rsidRPr="00BA6848" w:rsidRDefault="00BA6848" w:rsidP="00135F26">
      <w:pPr>
        <w:autoSpaceDE w:val="0"/>
        <w:autoSpaceDN w:val="0"/>
        <w:adjustRightInd w:val="0"/>
        <w:rPr>
          <w:b/>
          <w:i/>
        </w:rPr>
      </w:pPr>
    </w:p>
    <w:p w14:paraId="484C14AC" w14:textId="7F1C32F8" w:rsidR="0029478C" w:rsidRPr="00046FF1" w:rsidRDefault="002B5D8B" w:rsidP="00EA78D2">
      <w:pPr>
        <w:autoSpaceDE w:val="0"/>
        <w:autoSpaceDN w:val="0"/>
        <w:adjustRightInd w:val="0"/>
        <w:rPr>
          <w:b/>
        </w:rPr>
      </w:pPr>
      <w:r w:rsidRPr="002B5D8B">
        <w:t xml:space="preserve">This information collection request </w:t>
      </w:r>
      <w:r w:rsidR="0080031A">
        <w:t xml:space="preserve">(ICR) </w:t>
      </w:r>
      <w:r w:rsidRPr="002B5D8B">
        <w:t xml:space="preserve">supports the </w:t>
      </w:r>
      <w:r w:rsidRPr="000546FA">
        <w:rPr>
          <w:i/>
        </w:rPr>
        <w:t>Exercise of Time-Limited Authority to Increase the Fiscal Year 2019 Numerical Limitation for the H-2B Temporary Nonagricultural Worker Program</w:t>
      </w:r>
      <w:r w:rsidRPr="002B5D8B">
        <w:t xml:space="preserve"> final rule being promulgated by the Department of Labor (DOL or Department) and the Department of Homeland Security (DHS)</w:t>
      </w:r>
      <w:r w:rsidR="0053654D">
        <w:t xml:space="preserve"> (collectively, the Departments)</w:t>
      </w:r>
      <w:r w:rsidRPr="002B5D8B">
        <w:t>.  The regulatory requirement</w:t>
      </w:r>
      <w:r w:rsidR="008B0E0F">
        <w:t>s</w:t>
      </w:r>
      <w:r w:rsidRPr="002B5D8B">
        <w:t xml:space="preserve"> </w:t>
      </w:r>
      <w:r w:rsidR="0053654D">
        <w:t>are</w:t>
      </w:r>
      <w:r w:rsidR="0053654D" w:rsidRPr="002B5D8B">
        <w:t xml:space="preserve"> </w:t>
      </w:r>
      <w:r w:rsidRPr="002B5D8B">
        <w:t xml:space="preserve">codified at 8 CFR part 214 and 20 CFR part 655.  The ICR </w:t>
      </w:r>
      <w:r w:rsidR="00A31935">
        <w:t>covers</w:t>
      </w:r>
      <w:r w:rsidRPr="002B5D8B">
        <w:t xml:space="preserve"> </w:t>
      </w:r>
      <w:r w:rsidR="008B0E0F">
        <w:t>Form ETA-9142-B-CAA-3,</w:t>
      </w:r>
      <w:r w:rsidRPr="002B5D8B">
        <w:t xml:space="preserve"> Attestation for Employers Seeking to Employ H-2B Nonimmigrant Workers </w:t>
      </w:r>
      <w:r w:rsidR="00334282">
        <w:t>u</w:t>
      </w:r>
      <w:r w:rsidRPr="002B5D8B">
        <w:t xml:space="preserve">nder Section 105 of Division H of the Consolidated Appropriations Act, </w:t>
      </w:r>
      <w:r w:rsidR="00944319">
        <w:t>2019</w:t>
      </w:r>
      <w:r w:rsidRPr="002B5D8B">
        <w:t>.</w:t>
      </w:r>
    </w:p>
    <w:p w14:paraId="29C1D411" w14:textId="77777777" w:rsidR="00682F58" w:rsidRDefault="00682F58" w:rsidP="00EA78D2">
      <w:pPr>
        <w:autoSpaceDE w:val="0"/>
        <w:autoSpaceDN w:val="0"/>
        <w:adjustRightInd w:val="0"/>
        <w:rPr>
          <w:b/>
        </w:rPr>
      </w:pPr>
    </w:p>
    <w:p w14:paraId="0BF151E4" w14:textId="77777777" w:rsidR="00EA78D2" w:rsidRPr="00046FF1" w:rsidRDefault="005C1E35" w:rsidP="00EA78D2">
      <w:pPr>
        <w:autoSpaceDE w:val="0"/>
        <w:autoSpaceDN w:val="0"/>
        <w:adjustRightInd w:val="0"/>
        <w:rPr>
          <w:b/>
        </w:rPr>
      </w:pPr>
      <w:r w:rsidRPr="00046FF1">
        <w:rPr>
          <w:b/>
        </w:rPr>
        <w:t>Background Information and General Instructions</w:t>
      </w:r>
      <w:r w:rsidR="0036017E" w:rsidRPr="00046FF1">
        <w:rPr>
          <w:b/>
        </w:rPr>
        <w:t>:</w:t>
      </w:r>
    </w:p>
    <w:p w14:paraId="43DF56C5" w14:textId="77777777" w:rsidR="0036017E" w:rsidRPr="00046FF1" w:rsidRDefault="0036017E" w:rsidP="0036017E">
      <w:r w:rsidRPr="00046FF1">
        <w:t xml:space="preserve">   </w:t>
      </w:r>
    </w:p>
    <w:p w14:paraId="6A108D38" w14:textId="77DC4828" w:rsidR="007020C1" w:rsidRDefault="60AF347C" w:rsidP="0036017E">
      <w:pPr>
        <w:autoSpaceDE w:val="0"/>
        <w:autoSpaceDN w:val="0"/>
        <w:adjustRightInd w:val="0"/>
      </w:pPr>
      <w:r>
        <w:t>Clearance for Form ETA 9142-B-CAA-3 was sought using</w:t>
      </w:r>
      <w:r w:rsidR="0080031A">
        <w:t xml:space="preserve"> Paperwork Reduction Act (</w:t>
      </w:r>
      <w:r>
        <w:t>PRA</w:t>
      </w:r>
      <w:r w:rsidR="0080031A">
        <w:t>)</w:t>
      </w:r>
      <w:r>
        <w:t xml:space="preserve"> emergency procedures outlined in the regulations at 5 CFR 1320.13.  Section 105 of Division H of the Consolidated Appropriations Act, </w:t>
      </w:r>
      <w:r w:rsidR="00944319">
        <w:t xml:space="preserve">2019, </w:t>
      </w:r>
      <w:r>
        <w:t>Public Law 116-6 (Feb</w:t>
      </w:r>
      <w:r w:rsidR="008B0E0F">
        <w:t>.</w:t>
      </w:r>
      <w:r>
        <w:t xml:space="preserve"> 15, 2019) (F</w:t>
      </w:r>
      <w:r w:rsidR="006827E6">
        <w:t xml:space="preserve">iscal </w:t>
      </w:r>
      <w:r>
        <w:t>Y</w:t>
      </w:r>
      <w:r w:rsidR="006827E6">
        <w:t>ear</w:t>
      </w:r>
      <w:r>
        <w:t xml:space="preserve"> 2019 Omnibus), authorized the Secretary of the Homeland Security, in consultation with the Secretary of Labor, to increase the number of H-2B visas available to U.S. employers in Fiscal Year (FY) 2019, notwithstanding the otherwise established statutory numerical limitation (H-2B cap).</w:t>
      </w:r>
      <w:r w:rsidR="00151A91">
        <w:rPr>
          <w:rStyle w:val="FootnoteReference"/>
        </w:rPr>
        <w:footnoteReference w:id="2"/>
      </w:r>
      <w:r>
        <w:t xml:space="preserve">  In consultation with the Secretary of Labor, the Secretary of Homeland Security increased the H-2B cap for FY 2019 by no more than an additional </w:t>
      </w:r>
      <w:r w:rsidR="0047128A">
        <w:t>30</w:t>
      </w:r>
      <w:r>
        <w:t xml:space="preserve">,000 visas for employers </w:t>
      </w:r>
      <w:r w:rsidR="0053654D">
        <w:t xml:space="preserve">that </w:t>
      </w:r>
      <w:r>
        <w:t>attest that they are likely to suffer irreparable harm (i.e.</w:t>
      </w:r>
      <w:r w:rsidR="0053654D">
        <w:t>,</w:t>
      </w:r>
      <w:r>
        <w:t xml:space="preserve"> permanent and severe financial loss) without the ability to</w:t>
      </w:r>
      <w:r w:rsidR="0047128A">
        <w:t xml:space="preserve"> hire the H-2B workers for which they received a temporary labor certification </w:t>
      </w:r>
      <w:r w:rsidR="005D6605">
        <w:t xml:space="preserve">for FY </w:t>
      </w:r>
      <w:r w:rsidR="007561B7">
        <w:t>20</w:t>
      </w:r>
      <w:r w:rsidR="005D6605">
        <w:t xml:space="preserve">19 </w:t>
      </w:r>
      <w:r w:rsidR="0047128A">
        <w:t xml:space="preserve">and </w:t>
      </w:r>
      <w:r w:rsidR="00BF60A0">
        <w:t xml:space="preserve">that </w:t>
      </w:r>
      <w:r w:rsidR="0047128A">
        <w:t xml:space="preserve">the workers who received the additional visas </w:t>
      </w:r>
      <w:r w:rsidR="00944319">
        <w:t>were</w:t>
      </w:r>
      <w:r>
        <w:t xml:space="preserve"> granted H-2B status in FY 2016, 2017, or 2018.  This increase is based on a time-limited statutory authority and does not affect the H-2B program in future fiscal years.  The Departments promulgated regulations to implement this determination. </w:t>
      </w:r>
      <w:r w:rsidR="00944319">
        <w:t>Due to the</w:t>
      </w:r>
      <w:r>
        <w:t xml:space="preserve"> exigency created by the FY 2019 Omnibus to meet the high demand by American businesses for H-2B workers</w:t>
      </w:r>
      <w:r w:rsidR="005D6605">
        <w:t>,</w:t>
      </w:r>
      <w:r>
        <w:t xml:space="preserve"> and the short period of time remaining in the fiscal year for U.S. employers to avoid the economic harms this legislation was intended to prevent</w:t>
      </w:r>
      <w:r w:rsidR="005D6605">
        <w:t>,</w:t>
      </w:r>
      <w:r>
        <w:t xml:space="preserve"> </w:t>
      </w:r>
      <w:r w:rsidR="00944319">
        <w:t xml:space="preserve">the Department </w:t>
      </w:r>
      <w:r>
        <w:t xml:space="preserve">required initial clearance using expedited processes.  </w:t>
      </w:r>
    </w:p>
    <w:p w14:paraId="18068C64" w14:textId="77777777" w:rsidR="00682F58" w:rsidRDefault="00682F58" w:rsidP="00E139DA">
      <w:pPr>
        <w:autoSpaceDE w:val="0"/>
        <w:autoSpaceDN w:val="0"/>
        <w:adjustRightInd w:val="0"/>
      </w:pPr>
    </w:p>
    <w:p w14:paraId="4E449325" w14:textId="1975B847" w:rsidR="003134D8" w:rsidRPr="00D56365" w:rsidRDefault="0036017E" w:rsidP="00E139DA">
      <w:pPr>
        <w:autoSpaceDE w:val="0"/>
        <w:autoSpaceDN w:val="0"/>
        <w:adjustRightInd w:val="0"/>
        <w:rPr>
          <w:rFonts w:eastAsia="Calibri"/>
        </w:rPr>
      </w:pPr>
      <w:r w:rsidRPr="0036017E">
        <w:t xml:space="preserve">As set forth in the </w:t>
      </w:r>
      <w:r w:rsidR="00944319">
        <w:t>May 2019</w:t>
      </w:r>
      <w:r w:rsidR="003F016E">
        <w:t xml:space="preserve"> </w:t>
      </w:r>
      <w:r w:rsidR="005D6605">
        <w:t>Final</w:t>
      </w:r>
      <w:r w:rsidR="005D6605" w:rsidRPr="0036017E">
        <w:t xml:space="preserve"> </w:t>
      </w:r>
      <w:r w:rsidRPr="00046FF1">
        <w:t xml:space="preserve">Rule: </w:t>
      </w:r>
      <w:r w:rsidRPr="00774C84">
        <w:rPr>
          <w:bCs/>
          <w:i/>
        </w:rPr>
        <w:t xml:space="preserve">Exercise of Time-Limited Authority to Increase the Fiscal Year </w:t>
      </w:r>
      <w:r w:rsidR="00A406A3" w:rsidRPr="00774C84">
        <w:rPr>
          <w:bCs/>
          <w:i/>
        </w:rPr>
        <w:t>201</w:t>
      </w:r>
      <w:r w:rsidR="00A406A3">
        <w:rPr>
          <w:bCs/>
          <w:i/>
        </w:rPr>
        <w:t>9</w:t>
      </w:r>
      <w:r w:rsidR="00A406A3" w:rsidRPr="00774C84">
        <w:rPr>
          <w:bCs/>
          <w:i/>
        </w:rPr>
        <w:t xml:space="preserve"> </w:t>
      </w:r>
      <w:r w:rsidRPr="00774C84">
        <w:rPr>
          <w:bCs/>
          <w:i/>
        </w:rPr>
        <w:t>Numerical Limitation for the H–2B Temporary Nonagricultural Worker Program</w:t>
      </w:r>
      <w:r w:rsidR="00F03BCB">
        <w:rPr>
          <w:bCs/>
        </w:rPr>
        <w:t xml:space="preserve"> (final rule)</w:t>
      </w:r>
      <w:r w:rsidR="00944319">
        <w:rPr>
          <w:bCs/>
        </w:rPr>
        <w:t xml:space="preserve">, </w:t>
      </w:r>
      <w:r w:rsidR="00AF30EC" w:rsidRPr="007561B7">
        <w:rPr>
          <w:bCs/>
        </w:rPr>
        <w:t>84 FR 20005</w:t>
      </w:r>
      <w:r w:rsidRPr="00046FF1">
        <w:rPr>
          <w:bCs/>
        </w:rPr>
        <w:t xml:space="preserve">, employers seeking authorization to employ </w:t>
      </w:r>
      <w:r w:rsidR="00F94C9C" w:rsidRPr="00046FF1">
        <w:rPr>
          <w:bCs/>
        </w:rPr>
        <w:t>H-2B</w:t>
      </w:r>
      <w:r w:rsidR="00652D75" w:rsidRPr="00046FF1">
        <w:rPr>
          <w:bCs/>
        </w:rPr>
        <w:t xml:space="preserve"> </w:t>
      </w:r>
      <w:r w:rsidRPr="0066515C">
        <w:rPr>
          <w:bCs/>
        </w:rPr>
        <w:t xml:space="preserve">workers </w:t>
      </w:r>
      <w:r w:rsidRPr="0066515C">
        <w:rPr>
          <w:bCs/>
        </w:rPr>
        <w:lastRenderedPageBreak/>
        <w:t xml:space="preserve">under this time-limited authority </w:t>
      </w:r>
      <w:r w:rsidR="00684676">
        <w:rPr>
          <w:bCs/>
        </w:rPr>
        <w:t>were</w:t>
      </w:r>
      <w:r w:rsidR="00684676" w:rsidRPr="00DC75F7">
        <w:rPr>
          <w:bCs/>
        </w:rPr>
        <w:t xml:space="preserve"> </w:t>
      </w:r>
      <w:r w:rsidRPr="00DC75F7">
        <w:rPr>
          <w:bCs/>
        </w:rPr>
        <w:t xml:space="preserve">required to complete and submit </w:t>
      </w:r>
      <w:r w:rsidRPr="00DC75F7">
        <w:t>Form ETA-9142-B-CAA-</w:t>
      </w:r>
      <w:r w:rsidR="00A406A3">
        <w:t>3</w:t>
      </w:r>
      <w:r w:rsidR="00A406A3" w:rsidRPr="00DC75F7">
        <w:t xml:space="preserve"> </w:t>
      </w:r>
      <w:r w:rsidR="00650DFD" w:rsidRPr="00DC75F7">
        <w:t xml:space="preserve">to </w:t>
      </w:r>
      <w:r w:rsidR="00E139DA" w:rsidRPr="00DC75F7">
        <w:t xml:space="preserve">the </w:t>
      </w:r>
      <w:r w:rsidR="00E139DA" w:rsidRPr="00D56365">
        <w:rPr>
          <w:rFonts w:eastAsia="Calibri"/>
        </w:rPr>
        <w:t>U.S. Citizenship and Immigration Services (USCIS) in</w:t>
      </w:r>
      <w:r w:rsidR="00CB5357">
        <w:rPr>
          <w:rFonts w:eastAsia="Calibri"/>
        </w:rPr>
        <w:t xml:space="preserve"> </w:t>
      </w:r>
      <w:r w:rsidR="00650DFD" w:rsidRPr="00DC75F7">
        <w:t>DHS</w:t>
      </w:r>
      <w:r w:rsidRPr="00DC75F7">
        <w:t xml:space="preserve">. </w:t>
      </w:r>
      <w:r w:rsidR="0030102D" w:rsidRPr="00DC75F7">
        <w:t xml:space="preserve"> </w:t>
      </w:r>
      <w:r w:rsidR="00650DFD" w:rsidRPr="00DC75F7">
        <w:t>The regulation</w:t>
      </w:r>
      <w:r w:rsidR="005867B2">
        <w:t>s</w:t>
      </w:r>
      <w:r w:rsidR="00E139DA" w:rsidRPr="00DC75F7">
        <w:t xml:space="preserve"> at </w:t>
      </w:r>
      <w:r w:rsidR="00E139DA" w:rsidRPr="00D56365">
        <w:rPr>
          <w:rFonts w:eastAsia="Calibri"/>
        </w:rPr>
        <w:t>8 CFR 214</w:t>
      </w:r>
      <w:r w:rsidR="00E139DA" w:rsidRPr="00E74803">
        <w:rPr>
          <w:rFonts w:eastAsia="Calibri"/>
        </w:rPr>
        <w:t>.2(h)(6)(x)(C)</w:t>
      </w:r>
      <w:r w:rsidR="00650DFD" w:rsidRPr="00E74803">
        <w:t xml:space="preserve"> implementing the </w:t>
      </w:r>
      <w:r w:rsidR="00A406A3" w:rsidRPr="00BC5A9A">
        <w:t>FY 2019 Omnibus</w:t>
      </w:r>
      <w:r w:rsidR="00A406A3" w:rsidRPr="00BC5A9A" w:rsidDel="00A406A3">
        <w:t xml:space="preserve"> </w:t>
      </w:r>
      <w:r w:rsidR="00650DFD" w:rsidRPr="00BC5A9A">
        <w:t>provide</w:t>
      </w:r>
      <w:r w:rsidR="00E139DA" w:rsidRPr="00BC5A9A">
        <w:t>s</w:t>
      </w:r>
      <w:r w:rsidR="00650DFD" w:rsidRPr="00F03BCB">
        <w:t>: “</w:t>
      </w:r>
      <w:r w:rsidR="00650DFD" w:rsidRPr="00F03BCB">
        <w:rPr>
          <w:rFonts w:eastAsia="Calibri"/>
        </w:rPr>
        <w:t xml:space="preserve">USCIS will reject petitions </w:t>
      </w:r>
      <w:r w:rsidR="00944319">
        <w:rPr>
          <w:rFonts w:eastAsia="Calibri"/>
        </w:rPr>
        <w:t xml:space="preserve">filed pursuant to </w:t>
      </w:r>
      <w:r w:rsidR="00650DFD" w:rsidRPr="00F03BCB">
        <w:rPr>
          <w:rFonts w:eastAsia="Calibri"/>
        </w:rPr>
        <w:t xml:space="preserve">[the </w:t>
      </w:r>
      <w:r w:rsidR="00E74803" w:rsidRPr="00F03BCB">
        <w:rPr>
          <w:rFonts w:eastAsia="Calibri"/>
        </w:rPr>
        <w:t>FY 2019 Omnibus</w:t>
      </w:r>
      <w:r w:rsidR="00650DFD" w:rsidRPr="00F03BCB">
        <w:rPr>
          <w:rFonts w:eastAsia="Calibri"/>
        </w:rPr>
        <w:t xml:space="preserve">] that are received after the numerical limitation has been reached or after September </w:t>
      </w:r>
      <w:r w:rsidR="00E74803" w:rsidRPr="00682F58">
        <w:rPr>
          <w:rFonts w:eastAsia="Calibri"/>
        </w:rPr>
        <w:t>1</w:t>
      </w:r>
      <w:r w:rsidR="00E74803" w:rsidRPr="001C1EE9">
        <w:rPr>
          <w:rFonts w:eastAsia="Calibri"/>
        </w:rPr>
        <w:t>6</w:t>
      </w:r>
      <w:r w:rsidR="00650DFD" w:rsidRPr="00E74803">
        <w:rPr>
          <w:rFonts w:eastAsia="Calibri"/>
        </w:rPr>
        <w:t xml:space="preserve">, </w:t>
      </w:r>
      <w:r w:rsidR="00E74803" w:rsidRPr="00E74803">
        <w:rPr>
          <w:rFonts w:eastAsia="Calibri"/>
        </w:rPr>
        <w:t>201</w:t>
      </w:r>
      <w:r w:rsidR="00E74803" w:rsidRPr="001C1EE9">
        <w:rPr>
          <w:rFonts w:eastAsia="Calibri"/>
        </w:rPr>
        <w:t>9</w:t>
      </w:r>
      <w:r w:rsidR="00650DFD" w:rsidRPr="00E74803">
        <w:rPr>
          <w:rFonts w:eastAsia="Calibri"/>
        </w:rPr>
        <w:t>, whichever is sooner.”</w:t>
      </w:r>
      <w:r w:rsidR="00650DFD" w:rsidRPr="00D56365">
        <w:rPr>
          <w:rFonts w:eastAsia="Calibri"/>
        </w:rPr>
        <w:t xml:space="preserve">  </w:t>
      </w:r>
    </w:p>
    <w:p w14:paraId="37CDE2D6" w14:textId="77777777" w:rsidR="00E74803" w:rsidRDefault="00E74803" w:rsidP="00E139DA">
      <w:pPr>
        <w:autoSpaceDE w:val="0"/>
        <w:autoSpaceDN w:val="0"/>
        <w:adjustRightInd w:val="0"/>
      </w:pPr>
    </w:p>
    <w:p w14:paraId="7083F0E6" w14:textId="3436B634" w:rsidR="00F03BCB" w:rsidRPr="00F03BCB" w:rsidRDefault="00684676" w:rsidP="00F03BCB">
      <w:pPr>
        <w:autoSpaceDE w:val="0"/>
        <w:autoSpaceDN w:val="0"/>
        <w:adjustRightInd w:val="0"/>
      </w:pPr>
      <w:r>
        <w:t>On June 7, 2019</w:t>
      </w:r>
      <w:r w:rsidR="008B0E0F">
        <w:t>,</w:t>
      </w:r>
      <w:r>
        <w:t xml:space="preserve"> USCIS announced that </w:t>
      </w:r>
      <w:r w:rsidR="00AF30EC">
        <w:t xml:space="preserve">on June 5, 2019, </w:t>
      </w:r>
      <w:r>
        <w:t>it had received “</w:t>
      </w:r>
      <w:r w:rsidRPr="00684676">
        <w:t>enough petitions to reach the additional maximum 30,000 visas made available for returning workers under the H-2B numerical limit (also called a cap) for fiscal year (FY) 2019.</w:t>
      </w:r>
      <w:r>
        <w:t>”</w:t>
      </w:r>
      <w:r w:rsidR="008B0E0F">
        <w:rPr>
          <w:rStyle w:val="FootnoteReference"/>
        </w:rPr>
        <w:footnoteReference w:id="3"/>
      </w:r>
      <w:r>
        <w:t xml:space="preserve"> </w:t>
      </w:r>
      <w:r w:rsidR="007561B7">
        <w:t xml:space="preserve"> </w:t>
      </w:r>
      <w:r>
        <w:t xml:space="preserve">As a result, USCIS stopped accepting H-2B petitions </w:t>
      </w:r>
      <w:r w:rsidR="00944319">
        <w:t>subject to</w:t>
      </w:r>
      <w:r>
        <w:t xml:space="preserve"> the congressionally</w:t>
      </w:r>
      <w:r w:rsidR="00206A8A">
        <w:t>-</w:t>
      </w:r>
      <w:r>
        <w:t>mandated cap and beg</w:t>
      </w:r>
      <w:r w:rsidR="005D6605">
        <w:t>a</w:t>
      </w:r>
      <w:r>
        <w:t>n to reject and return any cap-subjected petitions received after June 5, 2019.</w:t>
      </w:r>
    </w:p>
    <w:p w14:paraId="10BD9A7F" w14:textId="77777777" w:rsidR="00F03BCB" w:rsidRDefault="00F03BCB" w:rsidP="00E139DA">
      <w:pPr>
        <w:autoSpaceDE w:val="0"/>
        <w:autoSpaceDN w:val="0"/>
        <w:adjustRightInd w:val="0"/>
      </w:pPr>
    </w:p>
    <w:p w14:paraId="2BB9DE15" w14:textId="1FFD90F5" w:rsidR="009368B9" w:rsidRPr="00AF30EC" w:rsidRDefault="00B267F1" w:rsidP="003134D8">
      <w:r w:rsidRPr="00765394">
        <w:rPr>
          <w:rFonts w:ascii="source_sans_pro_regular" w:hAnsi="source_sans_pro_regular"/>
          <w:lang w:val="en"/>
        </w:rPr>
        <w:t xml:space="preserve">As required by the regulations, </w:t>
      </w:r>
      <w:r w:rsidR="0036017E" w:rsidRPr="0036017E">
        <w:t xml:space="preserve">employers </w:t>
      </w:r>
      <w:r w:rsidR="00007B45">
        <w:t xml:space="preserve">must </w:t>
      </w:r>
      <w:r w:rsidR="00684676">
        <w:t xml:space="preserve">continue to </w:t>
      </w:r>
      <w:r w:rsidR="0036017E" w:rsidRPr="0036017E">
        <w:t>maintain the records associated with the filing of Form ETA-9142-B-CAA-</w:t>
      </w:r>
      <w:r w:rsidR="00F03BCB">
        <w:t>3</w:t>
      </w:r>
      <w:r w:rsidR="00F03BCB" w:rsidRPr="0036017E">
        <w:t xml:space="preserve"> </w:t>
      </w:r>
      <w:r w:rsidR="0036017E" w:rsidRPr="0036017E">
        <w:t xml:space="preserve">for three years from the </w:t>
      </w:r>
      <w:r w:rsidR="00D95C5F">
        <w:t xml:space="preserve">date </w:t>
      </w:r>
      <w:r>
        <w:t xml:space="preserve">DOL certified </w:t>
      </w:r>
      <w:r w:rsidR="00D95C5F">
        <w:t xml:space="preserve">the </w:t>
      </w:r>
      <w:r w:rsidR="00CB38EE">
        <w:t xml:space="preserve">H-2B </w:t>
      </w:r>
      <w:r w:rsidR="0047128A">
        <w:t xml:space="preserve">temporary </w:t>
      </w:r>
      <w:r w:rsidR="00CB38EE">
        <w:t xml:space="preserve">labor certification </w:t>
      </w:r>
      <w:r w:rsidR="00D95C5F">
        <w:t>application.</w:t>
      </w:r>
      <w:r w:rsidR="0036017E" w:rsidRPr="0036017E">
        <w:t xml:space="preserve"> </w:t>
      </w:r>
      <w:r w:rsidR="00B12197">
        <w:t xml:space="preserve"> </w:t>
      </w:r>
      <w:r w:rsidR="0093388E">
        <w:t>DOL</w:t>
      </w:r>
      <w:r w:rsidR="0036017E" w:rsidRPr="0036017E">
        <w:t xml:space="preserve"> </w:t>
      </w:r>
      <w:r w:rsidR="009368B9">
        <w:t>sough</w:t>
      </w:r>
      <w:r w:rsidR="005D6605">
        <w:t>t</w:t>
      </w:r>
      <w:r w:rsidR="00586168" w:rsidRPr="0036017E">
        <w:t xml:space="preserve"> </w:t>
      </w:r>
      <w:r w:rsidR="0036017E" w:rsidRPr="0036017E">
        <w:t>public comment</w:t>
      </w:r>
      <w:r w:rsidR="00057D18">
        <w:t>s</w:t>
      </w:r>
      <w:r w:rsidR="00F03BCB">
        <w:t xml:space="preserve"> </w:t>
      </w:r>
      <w:r w:rsidR="00057D18">
        <w:t>in connection with</w:t>
      </w:r>
      <w:r w:rsidR="0036017E" w:rsidRPr="0036017E">
        <w:t xml:space="preserve"> </w:t>
      </w:r>
      <w:r w:rsidR="00CC7B29">
        <w:t>Form ETA 9142-B-CAA-</w:t>
      </w:r>
      <w:r w:rsidR="00F03BCB">
        <w:t xml:space="preserve">3’s </w:t>
      </w:r>
      <w:r w:rsidR="00431234">
        <w:t>a</w:t>
      </w:r>
      <w:r w:rsidR="0036017E" w:rsidRPr="0036017E">
        <w:t>ssociated requirement</w:t>
      </w:r>
      <w:r w:rsidR="00F03BCB">
        <w:t>s</w:t>
      </w:r>
      <w:r w:rsidR="00682F58">
        <w:t xml:space="preserve">, in order </w:t>
      </w:r>
      <w:r w:rsidR="00682F58" w:rsidRPr="00682F58">
        <w:t>to revise and extend the information collection, as appropriate, using traditional processes.</w:t>
      </w:r>
      <w:r w:rsidR="00682F58">
        <w:t xml:space="preserve"> </w:t>
      </w:r>
      <w:r w:rsidR="00F30C6B">
        <w:t xml:space="preserve">Specifically, </w:t>
      </w:r>
      <w:r w:rsidR="0093388E">
        <w:t>DOL</w:t>
      </w:r>
      <w:r w:rsidR="00057D18">
        <w:t xml:space="preserve"> </w:t>
      </w:r>
      <w:r w:rsidR="00F30C6B">
        <w:t>requested</w:t>
      </w:r>
      <w:r w:rsidR="0036017E" w:rsidRPr="0036017E">
        <w:t xml:space="preserve"> comments on the burden associated with </w:t>
      </w:r>
      <w:r w:rsidR="00682F58">
        <w:t xml:space="preserve">reviewing instructions, </w:t>
      </w:r>
      <w:r w:rsidR="00F03BCB">
        <w:t>completing and filing the attestation, performing any required steps,</w:t>
      </w:r>
      <w:r w:rsidR="006919FC">
        <w:t xml:space="preserve"> and</w:t>
      </w:r>
      <w:r w:rsidR="00F03BCB">
        <w:t xml:space="preserve"> </w:t>
      </w:r>
      <w:r w:rsidR="0036017E" w:rsidRPr="0036017E">
        <w:t xml:space="preserve">retaining </w:t>
      </w:r>
      <w:r w:rsidR="00765394">
        <w:t xml:space="preserve">all </w:t>
      </w:r>
      <w:r w:rsidR="00057D18">
        <w:t>required</w:t>
      </w:r>
      <w:r w:rsidR="0036017E" w:rsidRPr="0036017E">
        <w:t xml:space="preserve"> documentation supporting </w:t>
      </w:r>
      <w:r w:rsidR="00AA6ACF">
        <w:t>Form ETA-9142-B-CAA-</w:t>
      </w:r>
      <w:r w:rsidR="00F03BCB">
        <w:t>3</w:t>
      </w:r>
      <w:r w:rsidR="00F30C6B">
        <w:t xml:space="preserve">, via a </w:t>
      </w:r>
      <w:r w:rsidR="007F155F">
        <w:t>an</w:t>
      </w:r>
      <w:r w:rsidR="00F30C6B">
        <w:t xml:space="preserve">-day notice </w:t>
      </w:r>
      <w:r w:rsidR="00135490">
        <w:t>published with</w:t>
      </w:r>
      <w:r w:rsidR="00F03BCB">
        <w:t xml:space="preserve"> the final </w:t>
      </w:r>
      <w:r w:rsidR="00F03BCB" w:rsidRPr="007D7863">
        <w:t>rule</w:t>
      </w:r>
      <w:r w:rsidR="0036017E" w:rsidRPr="003B03B9">
        <w:t>.</w:t>
      </w:r>
      <w:r w:rsidR="0036017E" w:rsidRPr="0036017E">
        <w:t xml:space="preserve">  </w:t>
      </w:r>
      <w:r w:rsidR="009368B9">
        <w:t>DOL received four submissions from commenters in response to the request.  The comments did not provide specific feedback on Form ETA 9142-B-CAA-3</w:t>
      </w:r>
      <w:r w:rsidR="00BD6ED5">
        <w:t xml:space="preserve"> but rather generally discussed the rulemaking.</w:t>
      </w:r>
    </w:p>
    <w:p w14:paraId="144D0A2D" w14:textId="77777777" w:rsidR="00EA78D2" w:rsidRPr="007215E9" w:rsidRDefault="00EA78D2" w:rsidP="00EA78D2">
      <w:pPr>
        <w:autoSpaceDE w:val="0"/>
        <w:autoSpaceDN w:val="0"/>
        <w:adjustRightInd w:val="0"/>
      </w:pPr>
    </w:p>
    <w:p w14:paraId="6A8C27E7" w14:textId="77777777" w:rsidR="00EA78D2" w:rsidRPr="007215E9" w:rsidRDefault="009D2A30" w:rsidP="0052176B">
      <w:pPr>
        <w:tabs>
          <w:tab w:val="right" w:pos="360"/>
        </w:tabs>
        <w:autoSpaceDE w:val="0"/>
        <w:autoSpaceDN w:val="0"/>
        <w:adjustRightInd w:val="0"/>
        <w:ind w:left="540" w:hanging="540"/>
        <w:rPr>
          <w:i/>
        </w:rPr>
      </w:pPr>
      <w:r w:rsidRPr="007215E9">
        <w:rPr>
          <w:i/>
        </w:rPr>
        <w:tab/>
        <w:t>1.</w:t>
      </w:r>
      <w:r w:rsidRPr="007215E9">
        <w:rPr>
          <w:i/>
        </w:rPr>
        <w:tab/>
      </w:r>
      <w:r w:rsidR="00EA78D2" w:rsidRPr="007215E9">
        <w:rPr>
          <w:i/>
        </w:rPr>
        <w:t>Explain the circumstances that make the collection of information necessary</w:t>
      </w:r>
      <w:r w:rsidR="00F25EFF" w:rsidRPr="007215E9">
        <w:rPr>
          <w:i/>
        </w:rPr>
        <w:t xml:space="preserve">.  </w:t>
      </w:r>
      <w:r w:rsidR="00EA78D2" w:rsidRPr="007215E9">
        <w:rPr>
          <w:i/>
        </w:rPr>
        <w:t xml:space="preserve">Identify any legal or administrative requirements that necessitate the collection. </w:t>
      </w:r>
      <w:r w:rsidR="001C050B" w:rsidRPr="007215E9">
        <w:rPr>
          <w:i/>
        </w:rPr>
        <w:t xml:space="preserve"> </w:t>
      </w:r>
      <w:r w:rsidR="00EA78D2" w:rsidRPr="007215E9">
        <w:rPr>
          <w:i/>
        </w:rPr>
        <w:t>Attach a copy of the appropriate section of each statute and regulation mandating or authorizing the collection of information.</w:t>
      </w:r>
    </w:p>
    <w:p w14:paraId="1DE3B4AB" w14:textId="77777777" w:rsidR="00EA78D2" w:rsidRPr="007215E9" w:rsidRDefault="00EA78D2" w:rsidP="00EA78D2">
      <w:pPr>
        <w:autoSpaceDE w:val="0"/>
        <w:autoSpaceDN w:val="0"/>
        <w:adjustRightInd w:val="0"/>
      </w:pPr>
    </w:p>
    <w:p w14:paraId="4396BF3D" w14:textId="1D9FB5A5" w:rsidR="00D21F2A" w:rsidRPr="00D21F2A" w:rsidRDefault="00D21F2A" w:rsidP="00D21F2A">
      <w:pPr>
        <w:widowControl w:val="0"/>
        <w:autoSpaceDE w:val="0"/>
        <w:autoSpaceDN w:val="0"/>
        <w:adjustRightInd w:val="0"/>
      </w:pPr>
      <w:r w:rsidRPr="00D21F2A">
        <w:t>The information collection is required by regulations exercising authority delegated to the Secretar</w:t>
      </w:r>
      <w:r w:rsidR="00135490">
        <w:t>ies</w:t>
      </w:r>
      <w:r w:rsidRPr="00D21F2A">
        <w:t xml:space="preserve"> of Homeland Security </w:t>
      </w:r>
      <w:r w:rsidR="00135490">
        <w:t>and Labor</w:t>
      </w:r>
      <w:r w:rsidRPr="00D21F2A">
        <w:t xml:space="preserve"> under section </w:t>
      </w:r>
      <w:r>
        <w:t>105</w:t>
      </w:r>
      <w:r w:rsidRPr="00D21F2A">
        <w:t xml:space="preserve"> of </w:t>
      </w:r>
      <w:r w:rsidR="00135490">
        <w:t>Division H of the FY 2019 Omnibus</w:t>
      </w:r>
      <w:r w:rsidRPr="00D21F2A">
        <w:t xml:space="preserve">.  The H-2B </w:t>
      </w:r>
      <w:r w:rsidR="006919FC">
        <w:t>p</w:t>
      </w:r>
      <w:r w:rsidRPr="00D21F2A">
        <w:t>rogram generally is governed by a range of statutory authorities, including sections 101(a)(15)(H)(ii)(b) and 214(c) of the Immigration and Nat</w:t>
      </w:r>
      <w:r w:rsidR="00AF7F80">
        <w:t xml:space="preserve">ionality Act (INA) (8 U.S.C. </w:t>
      </w:r>
      <w:r w:rsidRPr="00D21F2A">
        <w:t>1011(a)(15)(H)(ii)(b) and 1184(c))</w:t>
      </w:r>
      <w:r w:rsidR="008B0E0F">
        <w:t>,</w:t>
      </w:r>
      <w:r w:rsidRPr="00D21F2A">
        <w:t xml:space="preserve"> as well as regulatory authorities appearing at 8 CFR parts 103 and 214, 20 CFR part 655, and 29 CFR part 503.  In general, before an employer may petition for temporary </w:t>
      </w:r>
      <w:r w:rsidR="00135490">
        <w:t xml:space="preserve">nonagricultural </w:t>
      </w:r>
      <w:r w:rsidRPr="00D21F2A">
        <w:t xml:space="preserve">foreign workers, it must submit a request for certification to the Secretary of Labor containing the elements prescribed by the INA and implementing regulations. </w:t>
      </w:r>
    </w:p>
    <w:p w14:paraId="09336D11" w14:textId="77777777" w:rsidR="003B384D" w:rsidRDefault="003B384D" w:rsidP="00D21F2A">
      <w:pPr>
        <w:widowControl w:val="0"/>
        <w:autoSpaceDE w:val="0"/>
        <w:autoSpaceDN w:val="0"/>
        <w:adjustRightInd w:val="0"/>
      </w:pPr>
    </w:p>
    <w:p w14:paraId="14EBD9DA" w14:textId="7828DA04" w:rsidR="00D21F2A" w:rsidRPr="00D21F2A" w:rsidRDefault="00D21F2A" w:rsidP="00D21F2A">
      <w:pPr>
        <w:widowControl w:val="0"/>
        <w:autoSpaceDE w:val="0"/>
        <w:autoSpaceDN w:val="0"/>
        <w:adjustRightInd w:val="0"/>
      </w:pPr>
      <w:r w:rsidRPr="00D21F2A">
        <w:t>The information contained in Form ETA-9142-B-CAA</w:t>
      </w:r>
      <w:r w:rsidR="003B384D">
        <w:t>-3</w:t>
      </w:r>
      <w:r w:rsidRPr="00D21F2A">
        <w:t xml:space="preserve">, </w:t>
      </w:r>
      <w:r w:rsidRPr="00D21F2A">
        <w:rPr>
          <w:i/>
        </w:rPr>
        <w:t xml:space="preserve">Attestation for Employers Seeking to Employ H-2B Nonimmigrant Workers Under </w:t>
      </w:r>
      <w:r w:rsidR="00491D0A">
        <w:rPr>
          <w:i/>
        </w:rPr>
        <w:t>Section 105 of Division H of the Consolidated Appropriations Act, 2019,</w:t>
      </w:r>
      <w:r w:rsidR="003B384D">
        <w:rPr>
          <w:i/>
        </w:rPr>
        <w:t xml:space="preserve"> </w:t>
      </w:r>
      <w:r w:rsidR="00491D0A">
        <w:rPr>
          <w:i/>
        </w:rPr>
        <w:t>Public Law 116-6 (Feb. 15, 2019)</w:t>
      </w:r>
      <w:r w:rsidRPr="00D21F2A">
        <w:t>, implements the determination that visas granted under the cap increase authorized by Public Law 11</w:t>
      </w:r>
      <w:r w:rsidR="003B384D">
        <w:t xml:space="preserve">6-6 </w:t>
      </w:r>
      <w:r w:rsidRPr="00D21F2A">
        <w:t xml:space="preserve">should be made available </w:t>
      </w:r>
      <w:r w:rsidR="006919FC" w:rsidRPr="00D21F2A">
        <w:t xml:space="preserve">only </w:t>
      </w:r>
      <w:r w:rsidRPr="00D21F2A">
        <w:t>to</w:t>
      </w:r>
      <w:r w:rsidR="00491D0A">
        <w:t xml:space="preserve"> </w:t>
      </w:r>
      <w:r w:rsidRPr="00D21F2A">
        <w:t>businesses with the most significant business needs</w:t>
      </w:r>
      <w:r w:rsidR="00491D0A">
        <w:t xml:space="preserve"> and should be limited to </w:t>
      </w:r>
      <w:r w:rsidR="006919FC">
        <w:t xml:space="preserve">only </w:t>
      </w:r>
      <w:r w:rsidR="0047128A">
        <w:t>workers who have been granted H-2B status in FY 2016, 2017, or 2018</w:t>
      </w:r>
      <w:r w:rsidRPr="00D21F2A">
        <w:t>.  Form ETA-9142-B-CAA</w:t>
      </w:r>
      <w:r w:rsidR="003B384D">
        <w:t>-3</w:t>
      </w:r>
      <w:r w:rsidRPr="00D21F2A">
        <w:t xml:space="preserve"> is used to implement this determination. </w:t>
      </w:r>
    </w:p>
    <w:p w14:paraId="37114E45" w14:textId="77777777" w:rsidR="00D21F2A" w:rsidRPr="00D21F2A" w:rsidRDefault="00D21F2A" w:rsidP="00D21F2A">
      <w:pPr>
        <w:widowControl w:val="0"/>
        <w:autoSpaceDE w:val="0"/>
        <w:autoSpaceDN w:val="0"/>
        <w:adjustRightInd w:val="0"/>
      </w:pPr>
    </w:p>
    <w:p w14:paraId="2DF4913F" w14:textId="306A2510" w:rsidR="00D21F2A" w:rsidRPr="00D21F2A" w:rsidRDefault="00D21F2A" w:rsidP="00D21F2A">
      <w:pPr>
        <w:widowControl w:val="0"/>
        <w:autoSpaceDE w:val="0"/>
        <w:autoSpaceDN w:val="0"/>
        <w:adjustRightInd w:val="0"/>
      </w:pPr>
      <w:r w:rsidRPr="00D21F2A">
        <w:t xml:space="preserve">The update to regulations at </w:t>
      </w:r>
      <w:r w:rsidR="003D09D5" w:rsidRPr="003D09D5">
        <w:t>8 CFR part</w:t>
      </w:r>
      <w:r w:rsidRPr="003D09D5">
        <w:t xml:space="preserve"> 214 and</w:t>
      </w:r>
      <w:r w:rsidRPr="00D21F2A">
        <w:t xml:space="preserve"> 20 CFR part 655 require</w:t>
      </w:r>
      <w:r w:rsidR="00684676">
        <w:t>d</w:t>
      </w:r>
      <w:r w:rsidRPr="00D21F2A">
        <w:t xml:space="preserve"> a new form (</w:t>
      </w:r>
      <w:r w:rsidRPr="00D21F2A">
        <w:rPr>
          <w:i/>
        </w:rPr>
        <w:t xml:space="preserve">Attestation for Employers Seeking to Employ H-2B Nonimmigrant Workers Under </w:t>
      </w:r>
      <w:r w:rsidR="003B384D" w:rsidRPr="003B384D">
        <w:rPr>
          <w:i/>
        </w:rPr>
        <w:t>Section 105 of Division H of the Consolidated Appropriations Act</w:t>
      </w:r>
      <w:r w:rsidR="00491D0A">
        <w:rPr>
          <w:i/>
        </w:rPr>
        <w:t>,</w:t>
      </w:r>
      <w:r w:rsidR="003B384D">
        <w:rPr>
          <w:i/>
        </w:rPr>
        <w:t xml:space="preserve"> 2019</w:t>
      </w:r>
      <w:r w:rsidRPr="00D21F2A">
        <w:t>, Form ETA-</w:t>
      </w:r>
      <w:r w:rsidR="007561B7" w:rsidRPr="00D21F2A">
        <w:t>9</w:t>
      </w:r>
      <w:r w:rsidR="007561B7">
        <w:t>1</w:t>
      </w:r>
      <w:r w:rsidR="007561B7" w:rsidRPr="00D21F2A">
        <w:t>42</w:t>
      </w:r>
      <w:r w:rsidRPr="00D21F2A">
        <w:t>-B-CAA</w:t>
      </w:r>
      <w:r w:rsidR="003B384D">
        <w:t>-3</w:t>
      </w:r>
      <w:r w:rsidRPr="00D21F2A">
        <w:t>) for employers to submit to DHS</w:t>
      </w:r>
      <w:r w:rsidR="00491D0A">
        <w:t xml:space="preserve">.  </w:t>
      </w:r>
      <w:r w:rsidRPr="00D21F2A">
        <w:t xml:space="preserve">The employer </w:t>
      </w:r>
      <w:r w:rsidR="00DC129B">
        <w:t>was required to</w:t>
      </w:r>
      <w:r w:rsidR="00DC129B" w:rsidRPr="00D21F2A">
        <w:t xml:space="preserve"> </w:t>
      </w:r>
      <w:r w:rsidRPr="00D21F2A">
        <w:t xml:space="preserve">file the attestation with DHS, as part of </w:t>
      </w:r>
      <w:r w:rsidR="006919FC">
        <w:t>its</w:t>
      </w:r>
      <w:r w:rsidR="006919FC" w:rsidRPr="00D21F2A">
        <w:t xml:space="preserve"> </w:t>
      </w:r>
      <w:r w:rsidRPr="00D21F2A">
        <w:t xml:space="preserve">Form I-129 petition.  </w:t>
      </w:r>
      <w:r w:rsidR="005D6605">
        <w:t>Additionally</w:t>
      </w:r>
      <w:r w:rsidRPr="00D21F2A">
        <w:t xml:space="preserve">, an employer </w:t>
      </w:r>
      <w:r w:rsidR="00DC129B">
        <w:t>had</w:t>
      </w:r>
      <w:r w:rsidRPr="00D21F2A">
        <w:t xml:space="preserve"> to</w:t>
      </w:r>
      <w:r w:rsidR="003B384D">
        <w:t xml:space="preserve"> attest</w:t>
      </w:r>
      <w:r w:rsidR="00EC0B7F">
        <w:t xml:space="preserve"> </w:t>
      </w:r>
      <w:r w:rsidR="00EC0B7F" w:rsidRPr="00EC0B7F">
        <w:t xml:space="preserve">that the H-2B worker(s) </w:t>
      </w:r>
      <w:r w:rsidR="00491D0A">
        <w:t xml:space="preserve">requested </w:t>
      </w:r>
      <w:r w:rsidR="00EC0B7F" w:rsidRPr="00EC0B7F">
        <w:t>had been issued an H-2B visa(s) or changed to H-2B status during one of the last three fiscal years</w:t>
      </w:r>
      <w:r w:rsidRPr="00D21F2A">
        <w:t xml:space="preserve">.  Finally, the employer </w:t>
      </w:r>
      <w:r w:rsidR="008B0E0F">
        <w:t xml:space="preserve">was, and is, required </w:t>
      </w:r>
      <w:r w:rsidR="00DC129B">
        <w:t xml:space="preserve">to </w:t>
      </w:r>
      <w:r w:rsidRPr="00D21F2A">
        <w:t xml:space="preserve">retain documents and records proving compliance with </w:t>
      </w:r>
      <w:r w:rsidR="00491D0A">
        <w:t>the final</w:t>
      </w:r>
      <w:r w:rsidRPr="00D21F2A">
        <w:t xml:space="preserve"> rule and must provide the documents and records to DHS and DOL upon request.  </w:t>
      </w:r>
      <w:r w:rsidRPr="00D21F2A">
        <w:rPr>
          <w:i/>
        </w:rPr>
        <w:t>See</w:t>
      </w:r>
      <w:r w:rsidRPr="00D21F2A">
        <w:t xml:space="preserve"> </w:t>
      </w:r>
      <w:r w:rsidR="007561B7">
        <w:t>20 CFR</w:t>
      </w:r>
      <w:r w:rsidR="007561B7" w:rsidRPr="00D21F2A">
        <w:t> </w:t>
      </w:r>
      <w:r w:rsidRPr="00D21F2A">
        <w:t>655.6</w:t>
      </w:r>
      <w:r w:rsidR="00EC0B7F">
        <w:t>7</w:t>
      </w:r>
      <w:r w:rsidRPr="00D21F2A">
        <w:t xml:space="preserve">. </w:t>
      </w:r>
    </w:p>
    <w:p w14:paraId="1A74F21C" w14:textId="77777777" w:rsidR="00D21F2A" w:rsidRDefault="00D21F2A" w:rsidP="00F94C9C">
      <w:pPr>
        <w:widowControl w:val="0"/>
        <w:autoSpaceDE w:val="0"/>
        <w:autoSpaceDN w:val="0"/>
        <w:adjustRightInd w:val="0"/>
      </w:pPr>
    </w:p>
    <w:p w14:paraId="1378D5F2" w14:textId="731CA017" w:rsidR="00F94C9C" w:rsidRPr="00F94C9C" w:rsidRDefault="00E659DC" w:rsidP="00F94C9C">
      <w:pPr>
        <w:widowControl w:val="0"/>
        <w:autoSpaceDE w:val="0"/>
        <w:autoSpaceDN w:val="0"/>
        <w:adjustRightInd w:val="0"/>
      </w:pPr>
      <w:r>
        <w:t>The</w:t>
      </w:r>
      <w:r w:rsidR="00F94C9C" w:rsidRPr="00F94C9C">
        <w:t xml:space="preserve"> retention of Form ETA-9142-B-CAA-</w:t>
      </w:r>
      <w:r w:rsidR="002A5370">
        <w:t>3</w:t>
      </w:r>
      <w:r w:rsidR="002A5370" w:rsidRPr="00F94C9C">
        <w:t xml:space="preserve"> </w:t>
      </w:r>
      <w:r w:rsidR="00F94C9C" w:rsidRPr="00F94C9C">
        <w:t xml:space="preserve">and supporting documentation </w:t>
      </w:r>
      <w:r w:rsidR="00BE0EBB">
        <w:t>is</w:t>
      </w:r>
      <w:r w:rsidR="00BE0EBB" w:rsidRPr="00F94C9C">
        <w:t xml:space="preserve"> </w:t>
      </w:r>
      <w:r w:rsidR="00F94C9C" w:rsidRPr="00F94C9C">
        <w:t xml:space="preserve">required by regulations at 8 CFR </w:t>
      </w:r>
      <w:r w:rsidR="0030102D">
        <w:t>P</w:t>
      </w:r>
      <w:r w:rsidR="0030102D" w:rsidRPr="00F94C9C">
        <w:t xml:space="preserve">art </w:t>
      </w:r>
      <w:r w:rsidR="00F94C9C" w:rsidRPr="00F94C9C">
        <w:t xml:space="preserve">214 and 20 CFR </w:t>
      </w:r>
      <w:r w:rsidR="0030102D">
        <w:t>P</w:t>
      </w:r>
      <w:r w:rsidR="0030102D" w:rsidRPr="00F94C9C">
        <w:t xml:space="preserve">art </w:t>
      </w:r>
      <w:r w:rsidR="00F94C9C" w:rsidRPr="00F94C9C">
        <w:t>655</w:t>
      </w:r>
      <w:r w:rsidR="0030102D">
        <w:t>,</w:t>
      </w:r>
      <w:r w:rsidR="00F94C9C" w:rsidRPr="00F94C9C">
        <w:t xml:space="preserve"> exercising authority delegated to the Secretary of Homeland Security </w:t>
      </w:r>
      <w:r w:rsidR="00F16BD2">
        <w:t xml:space="preserve">and DOL’s role pursuant to that authority </w:t>
      </w:r>
      <w:r w:rsidR="00F94C9C" w:rsidRPr="00F94C9C">
        <w:t>under</w:t>
      </w:r>
      <w:r w:rsidR="002A5370" w:rsidRPr="002A5370">
        <w:rPr>
          <w:i/>
        </w:rPr>
        <w:t xml:space="preserve"> Section 105 of Division H of the Consolidated Appropriations Act of 2019</w:t>
      </w:r>
      <w:r w:rsidR="00F94C9C" w:rsidRPr="00F94C9C">
        <w:t>.  Employers use</w:t>
      </w:r>
      <w:r w:rsidR="00DC129B">
        <w:t>d</w:t>
      </w:r>
      <w:r w:rsidR="00F94C9C" w:rsidRPr="00F94C9C">
        <w:t xml:space="preserve"> the form to attest that their businesses </w:t>
      </w:r>
      <w:r w:rsidR="00C02868">
        <w:rPr>
          <w:color w:val="000000"/>
        </w:rPr>
        <w:t>were</w:t>
      </w:r>
      <w:r w:rsidR="00C02868" w:rsidRPr="00F94C9C">
        <w:rPr>
          <w:color w:val="000000"/>
        </w:rPr>
        <w:t xml:space="preserve"> </w:t>
      </w:r>
      <w:r w:rsidR="00F94C9C" w:rsidRPr="00F94C9C">
        <w:rPr>
          <w:color w:val="000000"/>
        </w:rPr>
        <w:t xml:space="preserve">likely to </w:t>
      </w:r>
      <w:r w:rsidR="00F94C9C" w:rsidRPr="00F94C9C">
        <w:t xml:space="preserve">suffer irreparable harm </w:t>
      </w:r>
      <w:r w:rsidR="00F94C9C" w:rsidRPr="00F94C9C">
        <w:rPr>
          <w:color w:val="000000"/>
        </w:rPr>
        <w:t xml:space="preserve">without the ability to employ all H-2B workers requested and that they </w:t>
      </w:r>
      <w:r w:rsidR="00C02868">
        <w:rPr>
          <w:color w:val="000000"/>
        </w:rPr>
        <w:t>agreed to meet</w:t>
      </w:r>
      <w:r w:rsidR="00F94C9C" w:rsidRPr="00F94C9C">
        <w:rPr>
          <w:color w:val="000000"/>
        </w:rPr>
        <w:t xml:space="preserve"> other program requirements.</w:t>
      </w:r>
      <w:r w:rsidR="00F94C9C" w:rsidRPr="00F94C9C">
        <w:t xml:space="preserve">  Employers </w:t>
      </w:r>
      <w:r w:rsidR="00DC129B">
        <w:t>were</w:t>
      </w:r>
      <w:r w:rsidR="00DC129B" w:rsidRPr="00F94C9C">
        <w:t xml:space="preserve"> </w:t>
      </w:r>
      <w:r w:rsidR="00F94C9C" w:rsidRPr="00F94C9C">
        <w:t xml:space="preserve">permitted to submit the form </w:t>
      </w:r>
      <w:r w:rsidR="002A5370">
        <w:t xml:space="preserve">until </w:t>
      </w:r>
      <w:r w:rsidR="00DC129B">
        <w:t>June 5, 2019</w:t>
      </w:r>
      <w:r w:rsidR="00C02868" w:rsidRPr="00D56365">
        <w:rPr>
          <w:rFonts w:eastAsia="Calibri"/>
        </w:rPr>
        <w:t xml:space="preserve">.  </w:t>
      </w:r>
      <w:r w:rsidR="00971F44">
        <w:t xml:space="preserve">The attestation and relevant documentation proving business harm must </w:t>
      </w:r>
      <w:r w:rsidR="00A91BD5">
        <w:t xml:space="preserve">have been </w:t>
      </w:r>
      <w:r w:rsidR="00971F44">
        <w:t xml:space="preserve">filed with DHS along with the petition for a nonimmigrant worker under the H-2B program. </w:t>
      </w:r>
      <w:r w:rsidR="007561B7">
        <w:t xml:space="preserve"> </w:t>
      </w:r>
      <w:r w:rsidR="00007B45">
        <w:t>Attestation</w:t>
      </w:r>
      <w:r w:rsidR="00007B45" w:rsidRPr="00F94C9C">
        <w:t xml:space="preserve"> </w:t>
      </w:r>
      <w:r>
        <w:t>G</w:t>
      </w:r>
      <w:r w:rsidRPr="00F94C9C">
        <w:t xml:space="preserve"> </w:t>
      </w:r>
      <w:r w:rsidR="00F94C9C" w:rsidRPr="00F94C9C">
        <w:t>on the form</w:t>
      </w:r>
      <w:r w:rsidR="00A251BC">
        <w:t xml:space="preserve"> and</w:t>
      </w:r>
      <w:r w:rsidR="00F94C9C" w:rsidRPr="00F94C9C">
        <w:t xml:space="preserve"> the instructions to the form inform employers about this requirement and specify the documentation that must be retained for three years from the date of the </w:t>
      </w:r>
      <w:r w:rsidR="00F76C0C">
        <w:t xml:space="preserve">labor </w:t>
      </w:r>
      <w:r w:rsidR="00F94C9C" w:rsidRPr="00F94C9C">
        <w:t xml:space="preserve">certification.  </w:t>
      </w:r>
    </w:p>
    <w:p w14:paraId="1DB45A1E" w14:textId="77777777" w:rsidR="00F94C9C" w:rsidRPr="00F94C9C" w:rsidRDefault="00F94C9C" w:rsidP="00F94C9C">
      <w:pPr>
        <w:tabs>
          <w:tab w:val="left" w:pos="-1440"/>
        </w:tabs>
      </w:pPr>
    </w:p>
    <w:p w14:paraId="2AF1E307" w14:textId="3A3E8CAA" w:rsidR="00EA78D2" w:rsidRPr="00F94C9C" w:rsidRDefault="00F94C9C" w:rsidP="00EA78D2">
      <w:pPr>
        <w:autoSpaceDE w:val="0"/>
        <w:autoSpaceDN w:val="0"/>
        <w:adjustRightInd w:val="0"/>
      </w:pPr>
      <w:r w:rsidRPr="00FA3A2D">
        <w:rPr>
          <w:b/>
        </w:rPr>
        <w:t xml:space="preserve">Authority: </w:t>
      </w:r>
      <w:r>
        <w:t xml:space="preserve">8 CFR </w:t>
      </w:r>
      <w:r w:rsidR="0030102D">
        <w:t>P</w:t>
      </w:r>
      <w:r w:rsidR="00CD3B9F">
        <w:t>art</w:t>
      </w:r>
      <w:r w:rsidR="00491D0A">
        <w:t>s</w:t>
      </w:r>
      <w:r w:rsidR="0030102D">
        <w:t xml:space="preserve"> </w:t>
      </w:r>
      <w:r w:rsidR="00CD3B9F">
        <w:t xml:space="preserve">103 and </w:t>
      </w:r>
      <w:r>
        <w:t>214</w:t>
      </w:r>
      <w:r w:rsidR="004C4378">
        <w:t xml:space="preserve">; </w:t>
      </w:r>
      <w:r w:rsidR="00946FB2">
        <w:t>20 CFR</w:t>
      </w:r>
      <w:r w:rsidR="00CD3B9F">
        <w:t xml:space="preserve"> </w:t>
      </w:r>
      <w:r w:rsidR="0030102D">
        <w:t xml:space="preserve">Part </w:t>
      </w:r>
      <w:r w:rsidR="00946FB2">
        <w:t>655</w:t>
      </w:r>
      <w:r w:rsidR="00DC75F7">
        <w:t>, subpart A</w:t>
      </w:r>
      <w:r w:rsidR="00FF2050">
        <w:t>;</w:t>
      </w:r>
      <w:r w:rsidR="00946FB2">
        <w:t xml:space="preserve"> </w:t>
      </w:r>
      <w:r w:rsidR="00CD3B9F">
        <w:t xml:space="preserve">29 CFR </w:t>
      </w:r>
      <w:r w:rsidR="0030102D">
        <w:t xml:space="preserve">Part 503; </w:t>
      </w:r>
      <w:r w:rsidR="00CD3B9F">
        <w:t xml:space="preserve">Sections </w:t>
      </w:r>
      <w:r w:rsidR="00E06D72" w:rsidRPr="00417BE8">
        <w:t>101(a)(15)(H)(ii)(b)</w:t>
      </w:r>
      <w:r w:rsidR="00007B45">
        <w:t>, 103(a)(6),</w:t>
      </w:r>
      <w:r w:rsidR="00E06D72" w:rsidRPr="00417BE8">
        <w:t xml:space="preserve"> and 214</w:t>
      </w:r>
      <w:r w:rsidR="00CD3B9F">
        <w:t xml:space="preserve"> of the INA;</w:t>
      </w:r>
      <w:r w:rsidR="00E06D72" w:rsidRPr="00417BE8">
        <w:t xml:space="preserve"> </w:t>
      </w:r>
      <w:r w:rsidR="004C4378">
        <w:t>8 U</w:t>
      </w:r>
      <w:r w:rsidR="0030102D">
        <w:t>.</w:t>
      </w:r>
      <w:r w:rsidR="004C4378">
        <w:t>S</w:t>
      </w:r>
      <w:r w:rsidR="0030102D">
        <w:t>.</w:t>
      </w:r>
      <w:r w:rsidR="004C4378">
        <w:t>C</w:t>
      </w:r>
      <w:r w:rsidR="0030102D">
        <w:t>.</w:t>
      </w:r>
      <w:r w:rsidR="00946FB2">
        <w:t xml:space="preserve"> </w:t>
      </w:r>
      <w:r w:rsidR="00CD3B9F">
        <w:t>1</w:t>
      </w:r>
      <w:r w:rsidR="00F65DFD">
        <w:t>1</w:t>
      </w:r>
      <w:r w:rsidR="00CD3B9F">
        <w:t>01,</w:t>
      </w:r>
      <w:r w:rsidR="00946FB2">
        <w:t xml:space="preserve"> </w:t>
      </w:r>
      <w:r w:rsidR="00B30EE4">
        <w:t>1</w:t>
      </w:r>
      <w:r w:rsidR="00007B45">
        <w:t xml:space="preserve">103(a)(6), </w:t>
      </w:r>
      <w:r w:rsidR="00946FB2">
        <w:t>11</w:t>
      </w:r>
      <w:r w:rsidR="00E06D72">
        <w:t>84</w:t>
      </w:r>
      <w:r w:rsidR="004C4378">
        <w:t xml:space="preserve">; </w:t>
      </w:r>
      <w:r w:rsidR="00946FB2">
        <w:t xml:space="preserve">Pub. L. </w:t>
      </w:r>
      <w:r w:rsidR="002A5370">
        <w:t>116-6.</w:t>
      </w:r>
    </w:p>
    <w:p w14:paraId="1C9F4AE1" w14:textId="77777777" w:rsidR="00EA78D2" w:rsidRPr="007215E9" w:rsidRDefault="00EA78D2" w:rsidP="00EA78D2">
      <w:pPr>
        <w:autoSpaceDE w:val="0"/>
        <w:autoSpaceDN w:val="0"/>
        <w:adjustRightInd w:val="0"/>
      </w:pPr>
    </w:p>
    <w:p w14:paraId="26084A38" w14:textId="77777777" w:rsidR="00EA78D2" w:rsidRPr="007215E9" w:rsidRDefault="009D2A30" w:rsidP="006C133A">
      <w:pPr>
        <w:tabs>
          <w:tab w:val="right" w:pos="360"/>
        </w:tabs>
        <w:autoSpaceDE w:val="0"/>
        <w:autoSpaceDN w:val="0"/>
        <w:adjustRightInd w:val="0"/>
        <w:ind w:left="540" w:hanging="540"/>
        <w:rPr>
          <w:i/>
        </w:rPr>
      </w:pPr>
      <w:r w:rsidRPr="007215E9">
        <w:rPr>
          <w:i/>
        </w:rPr>
        <w:tab/>
      </w:r>
      <w:r w:rsidR="00EA78D2" w:rsidRPr="007215E9">
        <w:rPr>
          <w:i/>
        </w:rPr>
        <w:t xml:space="preserve">2. </w:t>
      </w:r>
      <w:r w:rsidRPr="007215E9">
        <w:rPr>
          <w:i/>
        </w:rPr>
        <w:tab/>
      </w:r>
      <w:r w:rsidR="00EA78D2" w:rsidRPr="007215E9">
        <w:rPr>
          <w:i/>
        </w:rPr>
        <w:t xml:space="preserve">Indicate how, by whom, and for what purpose the information is to be used. </w:t>
      </w:r>
      <w:r w:rsidR="00B10FD7" w:rsidRPr="007215E9">
        <w:rPr>
          <w:i/>
        </w:rPr>
        <w:t xml:space="preserve"> </w:t>
      </w:r>
      <w:r w:rsidR="00EA78D2" w:rsidRPr="007215E9">
        <w:rPr>
          <w:i/>
        </w:rPr>
        <w:t>Except for a new collection, indicate the actual use the agency has made of the information received from the current collection.</w:t>
      </w:r>
    </w:p>
    <w:p w14:paraId="27140DD4" w14:textId="77777777" w:rsidR="00EA78D2" w:rsidRPr="007215E9" w:rsidRDefault="00EA78D2" w:rsidP="00EA78D2">
      <w:pPr>
        <w:autoSpaceDE w:val="0"/>
        <w:autoSpaceDN w:val="0"/>
        <w:adjustRightInd w:val="0"/>
      </w:pPr>
    </w:p>
    <w:p w14:paraId="47633C6E" w14:textId="1485C9ED" w:rsidR="00F94C9C" w:rsidRDefault="00F94C9C" w:rsidP="00F94C9C">
      <w:r>
        <w:t xml:space="preserve">The information collection is necessary to implement the temporary cap increase authorized by </w:t>
      </w:r>
      <w:r w:rsidR="00491D0A">
        <w:t>the FY 2019 Omnibus</w:t>
      </w:r>
      <w:r>
        <w:t>.  Employers that obtain</w:t>
      </w:r>
      <w:r w:rsidR="007C66EB">
        <w:t>ed</w:t>
      </w:r>
      <w:r>
        <w:t xml:space="preserve"> a temporary labor certification (TLC) </w:t>
      </w:r>
      <w:r w:rsidR="007C66EB">
        <w:t xml:space="preserve">had to </w:t>
      </w:r>
      <w:r>
        <w:t xml:space="preserve">complete and </w:t>
      </w:r>
      <w:r w:rsidR="00FA3A2D">
        <w:t xml:space="preserve">submit </w:t>
      </w:r>
      <w:r w:rsidR="007C66EB">
        <w:t xml:space="preserve">a </w:t>
      </w:r>
      <w:r w:rsidR="00FA3A2D">
        <w:t xml:space="preserve">signed attestation form to </w:t>
      </w:r>
      <w:r w:rsidR="00B649E9">
        <w:t xml:space="preserve">DHS </w:t>
      </w:r>
      <w:r w:rsidR="00FA3A2D">
        <w:t xml:space="preserve">and </w:t>
      </w:r>
      <w:r w:rsidR="00B649E9">
        <w:t>must</w:t>
      </w:r>
      <w:r w:rsidR="007C66EB">
        <w:t xml:space="preserve"> retain </w:t>
      </w:r>
      <w:r w:rsidR="00FA3A2D">
        <w:t xml:space="preserve">the </w:t>
      </w:r>
      <w:r w:rsidR="00491D0A">
        <w:t xml:space="preserve">form and the </w:t>
      </w:r>
      <w:r w:rsidR="00FA3A2D">
        <w:t xml:space="preserve">required </w:t>
      </w:r>
      <w:r>
        <w:t xml:space="preserve">supporting documentation for three years from the date the TLC was issued.  Retaining these records for the specified period of time allows </w:t>
      </w:r>
      <w:r w:rsidR="0093388E">
        <w:t xml:space="preserve">federal </w:t>
      </w:r>
      <w:r>
        <w:t xml:space="preserve">agencies </w:t>
      </w:r>
      <w:r w:rsidR="00912C45">
        <w:t xml:space="preserve">to assess compliance </w:t>
      </w:r>
      <w:r>
        <w:t>with applicable regulatory standards.</w:t>
      </w:r>
    </w:p>
    <w:p w14:paraId="45122D90" w14:textId="77777777" w:rsidR="00EA78D2" w:rsidRPr="007215E9" w:rsidRDefault="00EA78D2" w:rsidP="00EA78D2">
      <w:pPr>
        <w:autoSpaceDE w:val="0"/>
        <w:autoSpaceDN w:val="0"/>
        <w:adjustRightInd w:val="0"/>
      </w:pPr>
    </w:p>
    <w:p w14:paraId="656AD2D7" w14:textId="77777777" w:rsidR="00EA78D2" w:rsidRPr="007215E9" w:rsidRDefault="00F44D0F" w:rsidP="006C133A">
      <w:pPr>
        <w:tabs>
          <w:tab w:val="right" w:pos="360"/>
        </w:tabs>
        <w:autoSpaceDE w:val="0"/>
        <w:autoSpaceDN w:val="0"/>
        <w:adjustRightInd w:val="0"/>
        <w:ind w:left="540" w:hanging="540"/>
        <w:rPr>
          <w:i/>
        </w:rPr>
      </w:pPr>
      <w:r w:rsidRPr="007215E9">
        <w:rPr>
          <w:i/>
        </w:rPr>
        <w:tab/>
      </w:r>
      <w:r w:rsidR="00EA78D2" w:rsidRPr="007215E9">
        <w:rPr>
          <w:i/>
        </w:rPr>
        <w:t>3.</w:t>
      </w:r>
      <w:r w:rsidRPr="007215E9">
        <w:rPr>
          <w:i/>
        </w:rPr>
        <w:tab/>
      </w:r>
      <w:r w:rsidR="00EA78D2" w:rsidRPr="007215E9">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00910252" w:rsidRPr="007215E9">
        <w:rPr>
          <w:i/>
        </w:rPr>
        <w:t xml:space="preserve"> </w:t>
      </w:r>
      <w:r w:rsidR="00EA78D2" w:rsidRPr="007215E9">
        <w:rPr>
          <w:i/>
        </w:rPr>
        <w:t>Also</w:t>
      </w:r>
      <w:r w:rsidR="00910252" w:rsidRPr="007215E9">
        <w:rPr>
          <w:i/>
        </w:rPr>
        <w:t>,</w:t>
      </w:r>
      <w:r w:rsidR="00EA78D2" w:rsidRPr="007215E9">
        <w:rPr>
          <w:i/>
        </w:rPr>
        <w:t xml:space="preserve"> describe any consideration of using information technology to reduce burden.</w:t>
      </w:r>
    </w:p>
    <w:p w14:paraId="4E2760AA" w14:textId="77777777" w:rsidR="00EA78D2" w:rsidRPr="007215E9" w:rsidRDefault="00EA78D2" w:rsidP="00EA78D2">
      <w:pPr>
        <w:autoSpaceDE w:val="0"/>
        <w:autoSpaceDN w:val="0"/>
        <w:adjustRightInd w:val="0"/>
      </w:pPr>
    </w:p>
    <w:p w14:paraId="57B43C70" w14:textId="59A1EDF0" w:rsidR="009C0439" w:rsidRPr="00417BE8" w:rsidRDefault="009C0439" w:rsidP="009C0439">
      <w:r>
        <w:t>T</w:t>
      </w:r>
      <w:r w:rsidRPr="00417BE8">
        <w:t>his form</w:t>
      </w:r>
      <w:r w:rsidR="00775E99">
        <w:t>’</w:t>
      </w:r>
      <w:r w:rsidR="007C66EB">
        <w:t>s</w:t>
      </w:r>
      <w:r w:rsidR="00775E99">
        <w:t xml:space="preserve"> </w:t>
      </w:r>
      <w:r>
        <w:t xml:space="preserve">instructions </w:t>
      </w:r>
      <w:r w:rsidR="00146907">
        <w:t xml:space="preserve">are </w:t>
      </w:r>
      <w:r w:rsidR="00BF2A59">
        <w:t xml:space="preserve">available </w:t>
      </w:r>
      <w:r w:rsidRPr="00417BE8">
        <w:t xml:space="preserve">via the </w:t>
      </w:r>
      <w:r>
        <w:t>i</w:t>
      </w:r>
      <w:r w:rsidRPr="00417BE8">
        <w:t>nternet</w:t>
      </w:r>
      <w:r w:rsidR="00146907">
        <w:t xml:space="preserve"> (</w:t>
      </w:r>
      <w:r w:rsidR="00146907" w:rsidRPr="00146907">
        <w:t>https://www.foreignlaborcert.doleta.gov/pdf/Form-ETA-9142-B-CAA-3-General-Instructions.pdf</w:t>
      </w:r>
      <w:r w:rsidR="00146907">
        <w:t>)</w:t>
      </w:r>
      <w:r w:rsidR="001C1EE9">
        <w:t xml:space="preserve">. </w:t>
      </w:r>
      <w:r w:rsidR="00146907">
        <w:t xml:space="preserve"> </w:t>
      </w:r>
      <w:r w:rsidR="005C59BA">
        <w:t xml:space="preserve">A copy of the </w:t>
      </w:r>
      <w:r w:rsidR="00B649E9">
        <w:t>form</w:t>
      </w:r>
      <w:r w:rsidR="002A5370">
        <w:t xml:space="preserve">, </w:t>
      </w:r>
      <w:r w:rsidR="005C59BA">
        <w:t xml:space="preserve">that was </w:t>
      </w:r>
      <w:r w:rsidR="002A5370">
        <w:t xml:space="preserve">fully completed and signed, </w:t>
      </w:r>
      <w:r w:rsidR="005C59BA">
        <w:t>and</w:t>
      </w:r>
      <w:r w:rsidR="00B649E9">
        <w:t xml:space="preserve"> submitted</w:t>
      </w:r>
      <w:r w:rsidR="00E6267F">
        <w:t xml:space="preserve"> to DHS</w:t>
      </w:r>
      <w:r w:rsidR="005C59BA">
        <w:t>, along with supporting documentation, must be retained for three years from the date the TLC was issued</w:t>
      </w:r>
      <w:r w:rsidR="00B649E9">
        <w:t>.</w:t>
      </w:r>
    </w:p>
    <w:p w14:paraId="387F76FF" w14:textId="77777777" w:rsidR="00EA78D2" w:rsidRPr="007215E9" w:rsidRDefault="00EA78D2" w:rsidP="00EA78D2">
      <w:pPr>
        <w:autoSpaceDE w:val="0"/>
        <w:autoSpaceDN w:val="0"/>
        <w:adjustRightInd w:val="0"/>
      </w:pPr>
    </w:p>
    <w:p w14:paraId="0D04D41B" w14:textId="77777777" w:rsidR="00EA78D2" w:rsidRPr="007215E9" w:rsidRDefault="008A07F2" w:rsidP="006C133A">
      <w:pPr>
        <w:tabs>
          <w:tab w:val="right" w:pos="360"/>
          <w:tab w:val="left" w:pos="540"/>
        </w:tabs>
        <w:autoSpaceDE w:val="0"/>
        <w:autoSpaceDN w:val="0"/>
        <w:adjustRightInd w:val="0"/>
        <w:ind w:left="540" w:hanging="540"/>
        <w:rPr>
          <w:i/>
        </w:rPr>
      </w:pPr>
      <w:r w:rsidRPr="007215E9">
        <w:rPr>
          <w:i/>
        </w:rPr>
        <w:tab/>
      </w:r>
      <w:r w:rsidR="00EA78D2" w:rsidRPr="007215E9">
        <w:rPr>
          <w:i/>
        </w:rPr>
        <w:t>4.</w:t>
      </w:r>
      <w:r w:rsidRPr="007215E9">
        <w:rPr>
          <w:i/>
        </w:rPr>
        <w:tab/>
      </w:r>
      <w:r w:rsidR="00EA78D2" w:rsidRPr="007215E9">
        <w:rPr>
          <w:i/>
        </w:rPr>
        <w:t xml:space="preserve">Describe efforts to identify duplication. </w:t>
      </w:r>
      <w:r w:rsidR="00910252" w:rsidRPr="007215E9">
        <w:rPr>
          <w:i/>
        </w:rPr>
        <w:t xml:space="preserve"> </w:t>
      </w:r>
      <w:r w:rsidR="00EA78D2" w:rsidRPr="007215E9">
        <w:rPr>
          <w:i/>
        </w:rPr>
        <w:t>Show specifically why any similar information already available cannot be used or modified for use for the purposes described in Item 2 above.</w:t>
      </w:r>
    </w:p>
    <w:p w14:paraId="0D49BD85" w14:textId="77777777" w:rsidR="00EA78D2" w:rsidRPr="007215E9" w:rsidRDefault="00EA78D2" w:rsidP="00EA78D2">
      <w:pPr>
        <w:autoSpaceDE w:val="0"/>
        <w:autoSpaceDN w:val="0"/>
        <w:adjustRightInd w:val="0"/>
      </w:pPr>
    </w:p>
    <w:p w14:paraId="60F84326" w14:textId="056014EB" w:rsidR="009C0439" w:rsidRPr="00417BE8" w:rsidRDefault="009C0439" w:rsidP="009C0439">
      <w:r w:rsidRPr="00417BE8">
        <w:t xml:space="preserve">The procedures and documentation requirements are sufficiently specific to avoid duplication of </w:t>
      </w:r>
      <w:r w:rsidR="00946FB2">
        <w:t xml:space="preserve">collection </w:t>
      </w:r>
      <w:r w:rsidRPr="00417BE8">
        <w:t>activities.  The information collection</w:t>
      </w:r>
      <w:r>
        <w:t xml:space="preserve">s covered by this request apply only to employers who </w:t>
      </w:r>
      <w:r w:rsidR="002A5370">
        <w:t xml:space="preserve">seek </w:t>
      </w:r>
      <w:r>
        <w:t xml:space="preserve">H-2B workers as authorized by </w:t>
      </w:r>
      <w:r w:rsidR="00912C45">
        <w:t>FY 2019 Omnibus</w:t>
      </w:r>
      <w:r>
        <w:t>; consequently, there is no duplication of the information collection requirements.</w:t>
      </w:r>
    </w:p>
    <w:p w14:paraId="2F34EC9C" w14:textId="77777777" w:rsidR="00135F26" w:rsidRPr="007215E9" w:rsidRDefault="00135F26" w:rsidP="00EA78D2">
      <w:pPr>
        <w:autoSpaceDE w:val="0"/>
        <w:autoSpaceDN w:val="0"/>
        <w:adjustRightInd w:val="0"/>
      </w:pPr>
    </w:p>
    <w:p w14:paraId="1C65F46A" w14:textId="77777777" w:rsidR="00EA78D2" w:rsidRPr="007215E9" w:rsidRDefault="008A07F2" w:rsidP="006C133A">
      <w:pPr>
        <w:tabs>
          <w:tab w:val="right" w:pos="360"/>
          <w:tab w:val="left" w:pos="540"/>
        </w:tabs>
        <w:autoSpaceDE w:val="0"/>
        <w:autoSpaceDN w:val="0"/>
        <w:adjustRightInd w:val="0"/>
        <w:ind w:left="540" w:hanging="540"/>
        <w:rPr>
          <w:i/>
        </w:rPr>
      </w:pPr>
      <w:r w:rsidRPr="007215E9">
        <w:rPr>
          <w:i/>
        </w:rPr>
        <w:tab/>
      </w:r>
      <w:r w:rsidR="00EA78D2" w:rsidRPr="007215E9">
        <w:rPr>
          <w:i/>
        </w:rPr>
        <w:t>5.</w:t>
      </w:r>
      <w:r w:rsidRPr="007215E9">
        <w:rPr>
          <w:i/>
        </w:rPr>
        <w:tab/>
      </w:r>
      <w:r w:rsidR="00EA78D2" w:rsidRPr="007215E9">
        <w:rPr>
          <w:i/>
        </w:rPr>
        <w:t>If the collection of information impacts small businesses or other small entities, describe any methods used to minimize burden.</w:t>
      </w:r>
    </w:p>
    <w:p w14:paraId="0E5E54E3" w14:textId="77777777" w:rsidR="00EA78D2" w:rsidRPr="007215E9" w:rsidRDefault="00EA78D2" w:rsidP="00EA78D2">
      <w:pPr>
        <w:autoSpaceDE w:val="0"/>
        <w:autoSpaceDN w:val="0"/>
        <w:adjustRightInd w:val="0"/>
      </w:pPr>
    </w:p>
    <w:p w14:paraId="53EB3BCA" w14:textId="77777777" w:rsidR="009C0439" w:rsidRPr="00417BE8" w:rsidRDefault="009C0439" w:rsidP="009C0439">
      <w:r w:rsidRPr="00417BE8">
        <w:t xml:space="preserve">The </w:t>
      </w:r>
      <w:r>
        <w:t xml:space="preserve">retention requirements apply to some </w:t>
      </w:r>
      <w:r w:rsidRPr="00417BE8">
        <w:t xml:space="preserve">small businesses </w:t>
      </w:r>
      <w:r w:rsidR="00241E77">
        <w:t>that</w:t>
      </w:r>
      <w:r w:rsidR="00241E77" w:rsidRPr="00417BE8">
        <w:t xml:space="preserve"> </w:t>
      </w:r>
      <w:r w:rsidR="00431F3D">
        <w:t>submit</w:t>
      </w:r>
      <w:r w:rsidR="00B649E9">
        <w:t>ted</w:t>
      </w:r>
      <w:r w:rsidR="00431F3D">
        <w:t xml:space="preserve"> applications</w:t>
      </w:r>
      <w:r>
        <w:t xml:space="preserve"> </w:t>
      </w:r>
      <w:r w:rsidRPr="00417BE8">
        <w:t xml:space="preserve">to </w:t>
      </w:r>
      <w:r>
        <w:t>hire</w:t>
      </w:r>
      <w:r w:rsidRPr="00417BE8">
        <w:t xml:space="preserve"> </w:t>
      </w:r>
      <w:r>
        <w:t>H-2B workers under the cap increase</w:t>
      </w:r>
      <w:r w:rsidRPr="00417BE8">
        <w:t xml:space="preserve">.  </w:t>
      </w:r>
      <w:r>
        <w:t>R</w:t>
      </w:r>
      <w:r w:rsidRPr="00417BE8">
        <w:t xml:space="preserve">ecordkeeping requirements </w:t>
      </w:r>
      <w:r>
        <w:t>may be satisfied in part by using</w:t>
      </w:r>
      <w:r w:rsidRPr="00417BE8">
        <w:t xml:space="preserve"> information that already exists in payroll and other records kept by most employers for other </w:t>
      </w:r>
      <w:r>
        <w:t xml:space="preserve">general employment </w:t>
      </w:r>
      <w:r w:rsidR="00007B45">
        <w:t xml:space="preserve">or business </w:t>
      </w:r>
      <w:r w:rsidRPr="00417BE8">
        <w:t xml:space="preserve">purposes.  </w:t>
      </w:r>
    </w:p>
    <w:p w14:paraId="02619E7C" w14:textId="77777777" w:rsidR="009C0439" w:rsidRPr="00417BE8" w:rsidRDefault="009C0439" w:rsidP="009C0439"/>
    <w:p w14:paraId="7609B650" w14:textId="77777777" w:rsidR="009C0439" w:rsidRPr="00417BE8" w:rsidRDefault="0093388E" w:rsidP="009C0439">
      <w:pPr>
        <w:autoSpaceDE w:val="0"/>
        <w:autoSpaceDN w:val="0"/>
        <w:adjustRightInd w:val="0"/>
        <w:rPr>
          <w:color w:val="000000"/>
        </w:rPr>
      </w:pPr>
      <w:r>
        <w:rPr>
          <w:color w:val="000000"/>
        </w:rPr>
        <w:t>DOL</w:t>
      </w:r>
      <w:r w:rsidR="009C0439">
        <w:rPr>
          <w:color w:val="000000"/>
        </w:rPr>
        <w:t xml:space="preserve"> considered</w:t>
      </w:r>
      <w:r w:rsidR="009C0439" w:rsidRPr="00417BE8">
        <w:rPr>
          <w:color w:val="000000"/>
        </w:rPr>
        <w:t xml:space="preserve"> the memorandum issued to all heads of departments and agencies by </w:t>
      </w:r>
      <w:r>
        <w:rPr>
          <w:color w:val="000000"/>
        </w:rPr>
        <w:t>OMB</w:t>
      </w:r>
      <w:r w:rsidR="009C0439" w:rsidRPr="00417BE8">
        <w:rPr>
          <w:color w:val="000000"/>
        </w:rPr>
        <w:t xml:space="preserve"> on June 22, 2012</w:t>
      </w:r>
      <w:r w:rsidR="00AF5C63">
        <w:rPr>
          <w:color w:val="000000"/>
        </w:rPr>
        <w:t>,</w:t>
      </w:r>
      <w:r w:rsidR="00781979">
        <w:rPr>
          <w:rStyle w:val="FootnoteReference"/>
          <w:color w:val="000000"/>
        </w:rPr>
        <w:footnoteReference w:id="4"/>
      </w:r>
      <w:r w:rsidR="009C0439" w:rsidRPr="00417BE8">
        <w:rPr>
          <w:color w:val="000000"/>
        </w:rPr>
        <w:t xml:space="preserve"> about Reducing Reporting and Paperwork Burdens.  </w:t>
      </w:r>
      <w:r w:rsidR="009C0439">
        <w:rPr>
          <w:color w:val="000000"/>
        </w:rPr>
        <w:t>It would not be appropriate to include</w:t>
      </w:r>
      <w:r w:rsidR="009C0439" w:rsidRPr="00417BE8">
        <w:rPr>
          <w:color w:val="000000"/>
        </w:rPr>
        <w:t xml:space="preserve"> exemptions for small entities (including small businesses) </w:t>
      </w:r>
      <w:r w:rsidR="009C0439">
        <w:rPr>
          <w:color w:val="000000"/>
        </w:rPr>
        <w:t>from the recordkeeping requirements</w:t>
      </w:r>
      <w:r w:rsidR="009C0439" w:rsidRPr="00417BE8">
        <w:rPr>
          <w:color w:val="000000"/>
        </w:rPr>
        <w:t xml:space="preserve">.  The </w:t>
      </w:r>
      <w:r w:rsidR="009C0439">
        <w:rPr>
          <w:color w:val="000000"/>
        </w:rPr>
        <w:t>recordkeeping requirements are</w:t>
      </w:r>
      <w:r w:rsidR="009C0439" w:rsidRPr="00417BE8">
        <w:rPr>
          <w:color w:val="000000"/>
        </w:rPr>
        <w:t xml:space="preserve"> not disproportionately more burdensome for small entities than large ones</w:t>
      </w:r>
      <w:r w:rsidR="009C0439">
        <w:rPr>
          <w:color w:val="000000"/>
        </w:rPr>
        <w:t>.</w:t>
      </w:r>
      <w:r w:rsidR="009C0439" w:rsidRPr="00417BE8">
        <w:rPr>
          <w:color w:val="000000"/>
        </w:rPr>
        <w:t xml:space="preserve"> </w:t>
      </w:r>
    </w:p>
    <w:p w14:paraId="6DA40EE7" w14:textId="77777777" w:rsidR="00EA78D2" w:rsidRPr="007215E9" w:rsidRDefault="00EA78D2" w:rsidP="00EA78D2">
      <w:pPr>
        <w:autoSpaceDE w:val="0"/>
        <w:autoSpaceDN w:val="0"/>
        <w:adjustRightInd w:val="0"/>
      </w:pPr>
    </w:p>
    <w:p w14:paraId="49DC9DCB" w14:textId="77777777" w:rsidR="00EA78D2" w:rsidRPr="007215E9" w:rsidRDefault="008A07F2" w:rsidP="006C133A">
      <w:pPr>
        <w:tabs>
          <w:tab w:val="right" w:pos="360"/>
          <w:tab w:val="left" w:pos="540"/>
        </w:tabs>
        <w:autoSpaceDE w:val="0"/>
        <w:autoSpaceDN w:val="0"/>
        <w:adjustRightInd w:val="0"/>
        <w:ind w:left="540" w:hanging="540"/>
        <w:rPr>
          <w:i/>
        </w:rPr>
      </w:pPr>
      <w:r w:rsidRPr="007215E9">
        <w:rPr>
          <w:i/>
        </w:rPr>
        <w:tab/>
      </w:r>
      <w:r w:rsidR="00EA78D2" w:rsidRPr="007215E9">
        <w:rPr>
          <w:i/>
        </w:rPr>
        <w:t>6.</w:t>
      </w:r>
      <w:r w:rsidRPr="007215E9">
        <w:rPr>
          <w:i/>
        </w:rPr>
        <w:tab/>
      </w:r>
      <w:r w:rsidR="00EA78D2" w:rsidRPr="007215E9">
        <w:rPr>
          <w:i/>
        </w:rPr>
        <w:t>Describe the consequence to Federal program or policy activities if the collection is not conducted or is conducted less frequently, as well as any technical or legal obstacles to reducing burden.</w:t>
      </w:r>
    </w:p>
    <w:p w14:paraId="2F9E418D" w14:textId="77777777" w:rsidR="00EA78D2" w:rsidRPr="007215E9" w:rsidRDefault="00EA78D2" w:rsidP="00EA78D2">
      <w:pPr>
        <w:autoSpaceDE w:val="0"/>
        <w:autoSpaceDN w:val="0"/>
        <w:adjustRightInd w:val="0"/>
      </w:pPr>
    </w:p>
    <w:p w14:paraId="654578AA" w14:textId="480698CA" w:rsidR="009C0439" w:rsidRPr="00417BE8" w:rsidRDefault="009C0439" w:rsidP="009C0439">
      <w:r>
        <w:t xml:space="preserve">In the absence of this information collection, </w:t>
      </w:r>
      <w:r w:rsidR="006B2F31">
        <w:t>the</w:t>
      </w:r>
      <w:r w:rsidR="006B2F31" w:rsidRPr="006B2F31">
        <w:t xml:space="preserve"> Department will be unable to meet its statutory and regulatory mandates.  Employers must record and maintain files to ensure they have complied with the Departments</w:t>
      </w:r>
      <w:r w:rsidR="00912C45">
        <w:t>’</w:t>
      </w:r>
      <w:r w:rsidR="006B2F31" w:rsidRPr="006B2F31">
        <w:t xml:space="preserve"> regulations and fulfilled their obligations as an H-</w:t>
      </w:r>
      <w:r w:rsidR="005C59BA" w:rsidRPr="006B2F31">
        <w:t>2</w:t>
      </w:r>
      <w:r w:rsidR="005C59BA">
        <w:t>B</w:t>
      </w:r>
      <w:r w:rsidR="005C59BA" w:rsidRPr="006B2F31">
        <w:t xml:space="preserve"> </w:t>
      </w:r>
      <w:r w:rsidR="006B2F31" w:rsidRPr="006B2F31">
        <w:t xml:space="preserve">employer.  Should the </w:t>
      </w:r>
      <w:r w:rsidR="00912C45">
        <w:t>Department’s</w:t>
      </w:r>
      <w:r w:rsidR="006B2F31" w:rsidRPr="006B2F31">
        <w:t xml:space="preserve"> Wage and Hour Division (WHD) investigate an employer, these files would be essential to assess compliance.</w:t>
      </w:r>
    </w:p>
    <w:p w14:paraId="353305AC" w14:textId="77777777" w:rsidR="00EA78D2" w:rsidRPr="007215E9" w:rsidRDefault="00EA78D2" w:rsidP="00EA78D2">
      <w:pPr>
        <w:autoSpaceDE w:val="0"/>
        <w:autoSpaceDN w:val="0"/>
        <w:adjustRightInd w:val="0"/>
      </w:pPr>
    </w:p>
    <w:p w14:paraId="016D7141" w14:textId="77777777" w:rsidR="00EA78D2" w:rsidRPr="007215E9" w:rsidRDefault="001A7B43" w:rsidP="006C133A">
      <w:pPr>
        <w:tabs>
          <w:tab w:val="right" w:pos="360"/>
          <w:tab w:val="left" w:pos="540"/>
        </w:tabs>
        <w:autoSpaceDE w:val="0"/>
        <w:autoSpaceDN w:val="0"/>
        <w:adjustRightInd w:val="0"/>
        <w:ind w:left="540" w:hanging="540"/>
        <w:rPr>
          <w:i/>
        </w:rPr>
      </w:pPr>
      <w:r w:rsidRPr="007215E9">
        <w:rPr>
          <w:i/>
        </w:rPr>
        <w:tab/>
      </w:r>
      <w:r w:rsidR="00EA78D2" w:rsidRPr="007215E9">
        <w:rPr>
          <w:i/>
        </w:rPr>
        <w:t>7.</w:t>
      </w:r>
      <w:r w:rsidRPr="007215E9">
        <w:rPr>
          <w:i/>
        </w:rPr>
        <w:tab/>
      </w:r>
      <w:r w:rsidR="00EA78D2" w:rsidRPr="007215E9">
        <w:rPr>
          <w:i/>
        </w:rPr>
        <w:t>Explain any special circumstances that would cause an information collecti</w:t>
      </w:r>
      <w:r w:rsidR="00135F26">
        <w:rPr>
          <w:i/>
        </w:rPr>
        <w:t xml:space="preserve">on to be conducted in a manner </w:t>
      </w:r>
      <w:r w:rsidR="00135F26" w:rsidRPr="00135F26">
        <w:rPr>
          <w:i/>
        </w:rPr>
        <w:t>that requires further explanation pursuant to regulations 5 CFR 1320.5.</w:t>
      </w:r>
    </w:p>
    <w:p w14:paraId="5E9E6EF4" w14:textId="77777777" w:rsidR="00EA78D2" w:rsidRPr="00135F26" w:rsidRDefault="00EA78D2" w:rsidP="00135F26">
      <w:pPr>
        <w:autoSpaceDE w:val="0"/>
        <w:autoSpaceDN w:val="0"/>
        <w:adjustRightInd w:val="0"/>
        <w:ind w:left="720" w:hanging="180"/>
        <w:rPr>
          <w:i/>
        </w:rPr>
      </w:pPr>
    </w:p>
    <w:p w14:paraId="7F136426" w14:textId="77777777" w:rsidR="009C0439" w:rsidRPr="00417BE8" w:rsidRDefault="009C0439" w:rsidP="009C0439">
      <w:pPr>
        <w:pStyle w:val="BodyText"/>
        <w:jc w:val="left"/>
        <w:rPr>
          <w:rFonts w:ascii="Times New Roman" w:hAnsi="Times New Roman"/>
          <w:sz w:val="24"/>
          <w:szCs w:val="24"/>
        </w:rPr>
      </w:pPr>
      <w:r w:rsidRPr="00417BE8">
        <w:rPr>
          <w:rFonts w:ascii="Times New Roman" w:hAnsi="Times New Roman"/>
          <w:sz w:val="24"/>
          <w:szCs w:val="24"/>
        </w:rPr>
        <w:t>These data collection efforts do not involve any special circumstances.</w:t>
      </w:r>
    </w:p>
    <w:p w14:paraId="25F6057C" w14:textId="77777777" w:rsidR="00EA78D2" w:rsidRPr="007215E9" w:rsidRDefault="00EA78D2" w:rsidP="00EA78D2">
      <w:pPr>
        <w:autoSpaceDE w:val="0"/>
        <w:autoSpaceDN w:val="0"/>
        <w:adjustRightInd w:val="0"/>
      </w:pPr>
    </w:p>
    <w:p w14:paraId="6A3D2D4D" w14:textId="77777777" w:rsidR="00EA78D2" w:rsidRDefault="00DC5B18" w:rsidP="00973CD5">
      <w:pPr>
        <w:tabs>
          <w:tab w:val="right" w:pos="360"/>
          <w:tab w:val="left" w:pos="540"/>
        </w:tabs>
        <w:autoSpaceDE w:val="0"/>
        <w:autoSpaceDN w:val="0"/>
        <w:adjustRightInd w:val="0"/>
        <w:ind w:left="540" w:hanging="540"/>
        <w:rPr>
          <w:i/>
        </w:rPr>
      </w:pPr>
      <w:r w:rsidRPr="007215E9">
        <w:rPr>
          <w:i/>
        </w:rPr>
        <w:tab/>
      </w:r>
      <w:r w:rsidR="00EA78D2" w:rsidRPr="007215E9">
        <w:rPr>
          <w:i/>
        </w:rPr>
        <w:t>8.</w:t>
      </w:r>
      <w:r w:rsidRPr="007215E9">
        <w:rPr>
          <w:i/>
        </w:rPr>
        <w:tab/>
      </w:r>
      <w:r w:rsidR="00EA78D2" w:rsidRPr="007215E9">
        <w:rPr>
          <w:i/>
        </w:rPr>
        <w:t xml:space="preserve">If applicable, provide a copy and identify the date and page number of publication in the Federal Register of the agency's notice, required by 5 CFR 1320.8(d), soliciting comments on the information collection prior to submission to OMB. </w:t>
      </w:r>
      <w:r w:rsidR="001C050B" w:rsidRPr="007215E9">
        <w:rPr>
          <w:i/>
        </w:rPr>
        <w:t xml:space="preserve"> </w:t>
      </w:r>
      <w:r w:rsidR="00EA78D2" w:rsidRPr="007215E9">
        <w:rPr>
          <w:i/>
        </w:rPr>
        <w:t>Summarize public comments received in response to that notice and describe actions taken by the agency in response to these comments</w:t>
      </w:r>
      <w:r w:rsidR="00F25EFF" w:rsidRPr="007215E9">
        <w:rPr>
          <w:i/>
        </w:rPr>
        <w:t xml:space="preserve">.  </w:t>
      </w:r>
      <w:r w:rsidR="00EA78D2" w:rsidRPr="007215E9">
        <w:rPr>
          <w:i/>
        </w:rPr>
        <w:t xml:space="preserve">Specifically address comments received on cost and hour burden. </w:t>
      </w:r>
    </w:p>
    <w:p w14:paraId="47FFD936" w14:textId="77777777" w:rsidR="00135F26" w:rsidRPr="007215E9" w:rsidRDefault="00135F26" w:rsidP="00973CD5">
      <w:pPr>
        <w:tabs>
          <w:tab w:val="right" w:pos="360"/>
          <w:tab w:val="left" w:pos="540"/>
        </w:tabs>
        <w:autoSpaceDE w:val="0"/>
        <w:autoSpaceDN w:val="0"/>
        <w:adjustRightInd w:val="0"/>
        <w:ind w:left="540" w:hanging="540"/>
        <w:rPr>
          <w:i/>
        </w:rPr>
      </w:pPr>
    </w:p>
    <w:p w14:paraId="3D3CB838" w14:textId="77777777" w:rsidR="00EA78D2" w:rsidRPr="007215E9" w:rsidRDefault="00EA78D2" w:rsidP="00973CD5">
      <w:pPr>
        <w:autoSpaceDE w:val="0"/>
        <w:autoSpaceDN w:val="0"/>
        <w:adjustRightInd w:val="0"/>
        <w:ind w:left="540"/>
        <w:rPr>
          <w:i/>
        </w:rPr>
      </w:pPr>
      <w:r w:rsidRPr="007215E9">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sidRPr="007215E9">
        <w:rPr>
          <w:i/>
        </w:rPr>
        <w:t>corded, disclosed, or reported.</w:t>
      </w:r>
    </w:p>
    <w:p w14:paraId="5D7420BF" w14:textId="77777777" w:rsidR="00904938" w:rsidRPr="007215E9" w:rsidRDefault="00904938" w:rsidP="00973CD5">
      <w:pPr>
        <w:autoSpaceDE w:val="0"/>
        <w:autoSpaceDN w:val="0"/>
        <w:adjustRightInd w:val="0"/>
        <w:ind w:left="540"/>
        <w:rPr>
          <w:i/>
        </w:rPr>
      </w:pPr>
    </w:p>
    <w:p w14:paraId="4B192883" w14:textId="77777777" w:rsidR="00EA78D2" w:rsidRPr="007215E9" w:rsidRDefault="00EA78D2" w:rsidP="00973CD5">
      <w:pPr>
        <w:autoSpaceDE w:val="0"/>
        <w:autoSpaceDN w:val="0"/>
        <w:adjustRightInd w:val="0"/>
        <w:ind w:left="540"/>
        <w:rPr>
          <w:i/>
        </w:rPr>
      </w:pPr>
      <w:r w:rsidRPr="007215E9">
        <w:rPr>
          <w:i/>
        </w:rPr>
        <w:t>Consultation with representatives of those from whom information is to be obtained or those who must compile records should occur at least once every 3 years</w:t>
      </w:r>
      <w:r w:rsidR="002221A7" w:rsidRPr="007215E9">
        <w:rPr>
          <w:i/>
        </w:rPr>
        <w:t>—</w:t>
      </w:r>
      <w:r w:rsidRPr="007215E9">
        <w:rPr>
          <w:i/>
        </w:rPr>
        <w:t xml:space="preserve">even if the collection of information activity is the same as in prior periods. </w:t>
      </w:r>
      <w:r w:rsidR="00DC5B18" w:rsidRPr="007215E9">
        <w:rPr>
          <w:i/>
        </w:rPr>
        <w:t xml:space="preserve"> </w:t>
      </w:r>
      <w:r w:rsidRPr="007215E9">
        <w:rPr>
          <w:i/>
        </w:rPr>
        <w:t xml:space="preserve">There may be circumstances that may preclude consultation in a specific situation. </w:t>
      </w:r>
      <w:r w:rsidR="00DC5B18" w:rsidRPr="007215E9">
        <w:rPr>
          <w:i/>
        </w:rPr>
        <w:t xml:space="preserve"> </w:t>
      </w:r>
      <w:r w:rsidRPr="007215E9">
        <w:rPr>
          <w:i/>
        </w:rPr>
        <w:t>These circumstances should be explained.</w:t>
      </w:r>
    </w:p>
    <w:p w14:paraId="1F33FD5D" w14:textId="77777777" w:rsidR="009C0439" w:rsidRDefault="009C0439" w:rsidP="009C0439">
      <w:pPr>
        <w:outlineLvl w:val="1"/>
      </w:pPr>
      <w:bookmarkStart w:id="1" w:name="_Toc486874655"/>
    </w:p>
    <w:p w14:paraId="288B8F1C" w14:textId="2E667A20" w:rsidR="002E445D" w:rsidRDefault="009C0439" w:rsidP="009C0439">
      <w:pPr>
        <w:outlineLvl w:val="1"/>
      </w:pPr>
      <w:r>
        <w:t>The use of PRA emergency processing authorities precluded subjecting this information collection to public comment</w:t>
      </w:r>
      <w:r w:rsidR="002E445D">
        <w:t>s</w:t>
      </w:r>
      <w:r>
        <w:t xml:space="preserve"> at the time of </w:t>
      </w:r>
      <w:r w:rsidR="00781979">
        <w:t xml:space="preserve">its </w:t>
      </w:r>
      <w:r>
        <w:t xml:space="preserve">initial adoption.  </w:t>
      </w:r>
      <w:r w:rsidR="002B7C06">
        <w:t xml:space="preserve">The </w:t>
      </w:r>
      <w:r w:rsidR="00035B75">
        <w:t xml:space="preserve">Final </w:t>
      </w:r>
      <w:r w:rsidR="002B7C06">
        <w:t>Rule invite</w:t>
      </w:r>
      <w:r w:rsidR="005C59BA">
        <w:t>d</w:t>
      </w:r>
      <w:r w:rsidR="002B7C06">
        <w:t xml:space="preserve"> public comments on the information collections for a period lasting 60</w:t>
      </w:r>
      <w:r w:rsidR="00912C45">
        <w:t xml:space="preserve"> </w:t>
      </w:r>
      <w:r w:rsidR="002B7C06">
        <w:t>days.</w:t>
      </w:r>
      <w:r w:rsidR="005C59BA">
        <w:t xml:space="preserve">  DOL received four (4) public submissions in response to the request for </w:t>
      </w:r>
      <w:r w:rsidR="00912C45">
        <w:t xml:space="preserve">comments </w:t>
      </w:r>
      <w:r w:rsidR="005C59BA">
        <w:t xml:space="preserve">in connection with this information collection.  The comments received were not responsive to the </w:t>
      </w:r>
      <w:bookmarkEnd w:id="1"/>
      <w:r w:rsidR="00912C45">
        <w:t>information collection</w:t>
      </w:r>
      <w:r w:rsidR="00E6267F">
        <w:t xml:space="preserve">. </w:t>
      </w:r>
      <w:r w:rsidR="0093388E">
        <w:t xml:space="preserve"> </w:t>
      </w:r>
      <w:r w:rsidR="005C59BA">
        <w:t>In summary, the comments were out of scope</w:t>
      </w:r>
      <w:r w:rsidR="005750CA">
        <w:t>.</w:t>
      </w:r>
      <w:r w:rsidR="005C59BA">
        <w:t xml:space="preserve"> </w:t>
      </w:r>
      <w:r w:rsidR="005750CA">
        <w:t xml:space="preserve">One </w:t>
      </w:r>
      <w:r w:rsidR="006F484C">
        <w:t>commenter mistakenly submitted documents with personal information with the intention</w:t>
      </w:r>
      <w:r w:rsidR="00035B75">
        <w:t>, perhaps,</w:t>
      </w:r>
      <w:r w:rsidR="006F484C">
        <w:t xml:space="preserve"> to request a visa under the H-2B program</w:t>
      </w:r>
      <w:r w:rsidR="005750CA">
        <w:t xml:space="preserve">. Another </w:t>
      </w:r>
      <w:r w:rsidR="006F484C">
        <w:t>commenter expressed disagreement with the H-2B program as a whole and Congress’ decision to allow DHS, in consultation with DOL, to increase the H-2B cap</w:t>
      </w:r>
      <w:r w:rsidR="005750CA">
        <w:t>. T</w:t>
      </w:r>
      <w:r w:rsidR="00035B75">
        <w:t xml:space="preserve">he other </w:t>
      </w:r>
      <w:r w:rsidR="006F484C">
        <w:t xml:space="preserve">two commenters praised the decision to raise the cap by an additional 30,000 visas, but expressed that the supplemental cap is not reflective of the actual demand by U.S. employers for this type of visa. </w:t>
      </w:r>
    </w:p>
    <w:p w14:paraId="0CFDF31A" w14:textId="77777777" w:rsidR="002E445D" w:rsidRDefault="002E445D" w:rsidP="009C0439">
      <w:pPr>
        <w:outlineLvl w:val="1"/>
      </w:pPr>
    </w:p>
    <w:p w14:paraId="0563DC54" w14:textId="77777777" w:rsidR="00EA78D2" w:rsidRPr="007215E9" w:rsidRDefault="00F52F68" w:rsidP="00973CD5">
      <w:pPr>
        <w:tabs>
          <w:tab w:val="right" w:pos="360"/>
          <w:tab w:val="left" w:pos="540"/>
        </w:tabs>
        <w:autoSpaceDE w:val="0"/>
        <w:autoSpaceDN w:val="0"/>
        <w:adjustRightInd w:val="0"/>
        <w:ind w:left="540" w:hanging="540"/>
        <w:rPr>
          <w:i/>
        </w:rPr>
      </w:pPr>
      <w:r w:rsidRPr="007215E9">
        <w:rPr>
          <w:i/>
        </w:rPr>
        <w:tab/>
      </w:r>
      <w:r w:rsidR="00EA78D2" w:rsidRPr="007215E9">
        <w:rPr>
          <w:i/>
        </w:rPr>
        <w:t>9.</w:t>
      </w:r>
      <w:r w:rsidRPr="007215E9">
        <w:rPr>
          <w:i/>
        </w:rPr>
        <w:tab/>
      </w:r>
      <w:r w:rsidR="00EA78D2" w:rsidRPr="007215E9">
        <w:rPr>
          <w:i/>
        </w:rPr>
        <w:t>Explain any decision to provide any payment or gift to respondents, other than remuneration of contractors or grantees.</w:t>
      </w:r>
    </w:p>
    <w:p w14:paraId="6308389D" w14:textId="77777777" w:rsidR="00EA78D2" w:rsidRPr="007215E9" w:rsidRDefault="00EA78D2" w:rsidP="00EA78D2">
      <w:pPr>
        <w:autoSpaceDE w:val="0"/>
        <w:autoSpaceDN w:val="0"/>
        <w:adjustRightInd w:val="0"/>
      </w:pPr>
    </w:p>
    <w:p w14:paraId="4D70BE6B" w14:textId="77777777" w:rsidR="009C0439" w:rsidRPr="00417BE8" w:rsidRDefault="009C0439" w:rsidP="009C043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17BE8">
        <w:t>There is no payment or gift to respondents involved with this information collection.</w:t>
      </w:r>
    </w:p>
    <w:p w14:paraId="7945F179" w14:textId="77777777" w:rsidR="00F52F68" w:rsidRPr="007215E9" w:rsidRDefault="00F52F68" w:rsidP="00EA78D2">
      <w:pPr>
        <w:autoSpaceDE w:val="0"/>
        <w:autoSpaceDN w:val="0"/>
        <w:adjustRightInd w:val="0"/>
      </w:pPr>
    </w:p>
    <w:p w14:paraId="0B4DB0A9" w14:textId="77777777" w:rsidR="00EA78D2" w:rsidRPr="007215E9" w:rsidRDefault="00F52F68" w:rsidP="00973CD5">
      <w:pPr>
        <w:tabs>
          <w:tab w:val="right" w:pos="360"/>
          <w:tab w:val="left" w:pos="540"/>
        </w:tabs>
        <w:autoSpaceDE w:val="0"/>
        <w:autoSpaceDN w:val="0"/>
        <w:adjustRightInd w:val="0"/>
        <w:ind w:left="540" w:hanging="540"/>
        <w:rPr>
          <w:i/>
        </w:rPr>
      </w:pPr>
      <w:r w:rsidRPr="007215E9">
        <w:rPr>
          <w:i/>
        </w:rPr>
        <w:tab/>
      </w:r>
      <w:r w:rsidR="00EA78D2" w:rsidRPr="007215E9">
        <w:rPr>
          <w:i/>
        </w:rPr>
        <w:t>10.</w:t>
      </w:r>
      <w:r w:rsidRPr="007215E9">
        <w:rPr>
          <w:i/>
        </w:rPr>
        <w:tab/>
      </w:r>
      <w:r w:rsidR="00EA78D2" w:rsidRPr="007215E9">
        <w:rPr>
          <w:i/>
        </w:rPr>
        <w:t>Describe any assurance of confidentiality provided to respondents and the basis for the assurance in statute, regulation, or agency policy.</w:t>
      </w:r>
    </w:p>
    <w:p w14:paraId="3E7F070E" w14:textId="77777777" w:rsidR="00EA78D2" w:rsidRPr="007215E9" w:rsidRDefault="00EA78D2" w:rsidP="00EA78D2">
      <w:pPr>
        <w:autoSpaceDE w:val="0"/>
        <w:autoSpaceDN w:val="0"/>
        <w:adjustRightInd w:val="0"/>
      </w:pPr>
    </w:p>
    <w:p w14:paraId="2A3E7EC0" w14:textId="7B724B53" w:rsidR="009C0439" w:rsidRDefault="009C0439" w:rsidP="009C0439">
      <w:r w:rsidRPr="003F5518">
        <w:t xml:space="preserve">No assurances of confidentiality </w:t>
      </w:r>
      <w:r w:rsidRPr="00FF65D4">
        <w:t>or privacy</w:t>
      </w:r>
      <w:r>
        <w:t xml:space="preserve"> </w:t>
      </w:r>
      <w:r w:rsidRPr="003F5518">
        <w:t>are provided</w:t>
      </w:r>
      <w:r w:rsidRPr="00DC7E0C">
        <w:t xml:space="preserve">.  </w:t>
      </w:r>
      <w:r w:rsidR="006B2F31" w:rsidRPr="006B2F31">
        <w:t xml:space="preserve">The information collected is not submitted to the Department unless requested as part of a </w:t>
      </w:r>
      <w:r w:rsidR="007204ED">
        <w:t>WHD</w:t>
      </w:r>
      <w:r w:rsidR="006B2F31" w:rsidRPr="006B2F31">
        <w:t xml:space="preserve"> investigation</w:t>
      </w:r>
      <w:r w:rsidR="00035B75">
        <w:t xml:space="preserve"> or an audit by the Office of Foreign Labor Certification</w:t>
      </w:r>
      <w:r w:rsidR="006B2F31" w:rsidRPr="006B2F31">
        <w:t xml:space="preserve">.  As a practical matter, information from an investigation file would be disclosed </w:t>
      </w:r>
      <w:r w:rsidR="00AF688D" w:rsidRPr="006B2F31">
        <w:t xml:space="preserve">only </w:t>
      </w:r>
      <w:r w:rsidR="006B2F31" w:rsidRPr="006B2F31">
        <w:t>in accordance with the Freedom of Information Act.</w:t>
      </w:r>
    </w:p>
    <w:p w14:paraId="3A915D59" w14:textId="77777777" w:rsidR="00EA78D2" w:rsidRPr="007215E9" w:rsidRDefault="00EA78D2" w:rsidP="00EA78D2">
      <w:pPr>
        <w:autoSpaceDE w:val="0"/>
        <w:autoSpaceDN w:val="0"/>
        <w:adjustRightInd w:val="0"/>
      </w:pPr>
    </w:p>
    <w:p w14:paraId="75B6F1C0" w14:textId="77777777" w:rsidR="00EA78D2" w:rsidRPr="007215E9" w:rsidRDefault="00973CD5" w:rsidP="00973CD5">
      <w:pPr>
        <w:tabs>
          <w:tab w:val="right" w:pos="360"/>
          <w:tab w:val="left" w:pos="540"/>
        </w:tabs>
        <w:autoSpaceDE w:val="0"/>
        <w:autoSpaceDN w:val="0"/>
        <w:adjustRightInd w:val="0"/>
        <w:ind w:left="540" w:hanging="540"/>
        <w:rPr>
          <w:i/>
        </w:rPr>
      </w:pPr>
      <w:r w:rsidRPr="007215E9">
        <w:rPr>
          <w:i/>
        </w:rPr>
        <w:tab/>
      </w:r>
      <w:r w:rsidR="00EA78D2" w:rsidRPr="007215E9">
        <w:rPr>
          <w:i/>
        </w:rPr>
        <w:t>11.</w:t>
      </w:r>
      <w:r w:rsidRPr="007215E9">
        <w:rPr>
          <w:i/>
        </w:rPr>
        <w:tab/>
      </w:r>
      <w:r w:rsidR="00EA78D2" w:rsidRPr="007215E9">
        <w:rPr>
          <w:i/>
        </w:rPr>
        <w:t xml:space="preserve">Provide additional justification for any questions of a sensitive nature, such as sexual behavior and attitudes, religious beliefs, and other matters that are commonly considered private. </w:t>
      </w:r>
      <w:r w:rsidR="00904938" w:rsidRPr="007215E9">
        <w:rPr>
          <w:i/>
        </w:rPr>
        <w:t xml:space="preserve"> </w:t>
      </w:r>
      <w:r w:rsidR="00EA78D2" w:rsidRPr="007215E9">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06654B77" w14:textId="77777777" w:rsidR="00EA78D2" w:rsidRPr="007215E9" w:rsidRDefault="00EA78D2" w:rsidP="00EA78D2">
      <w:pPr>
        <w:autoSpaceDE w:val="0"/>
        <w:autoSpaceDN w:val="0"/>
        <w:adjustRightInd w:val="0"/>
      </w:pPr>
    </w:p>
    <w:p w14:paraId="770CB951" w14:textId="77777777" w:rsidR="00EA78D2" w:rsidRPr="007215E9" w:rsidRDefault="009C0439" w:rsidP="00EA78D2">
      <w:pPr>
        <w:autoSpaceDE w:val="0"/>
        <w:autoSpaceDN w:val="0"/>
        <w:adjustRightInd w:val="0"/>
      </w:pPr>
      <w:r w:rsidRPr="00425082">
        <w:t>Th</w:t>
      </w:r>
      <w:r w:rsidRPr="00856870">
        <w:t>is information collection does not involve sensitive matters</w:t>
      </w:r>
      <w:r>
        <w:t>.</w:t>
      </w:r>
    </w:p>
    <w:p w14:paraId="3E2E5542" w14:textId="77777777" w:rsidR="00EA78D2" w:rsidRPr="007215E9" w:rsidRDefault="00EA78D2" w:rsidP="00EA78D2">
      <w:pPr>
        <w:autoSpaceDE w:val="0"/>
        <w:autoSpaceDN w:val="0"/>
        <w:adjustRightInd w:val="0"/>
      </w:pPr>
    </w:p>
    <w:p w14:paraId="12899022" w14:textId="77777777" w:rsidR="00EA78D2" w:rsidRDefault="00996590" w:rsidP="002E445D">
      <w:pPr>
        <w:tabs>
          <w:tab w:val="right" w:pos="360"/>
        </w:tabs>
        <w:autoSpaceDE w:val="0"/>
        <w:autoSpaceDN w:val="0"/>
        <w:adjustRightInd w:val="0"/>
        <w:ind w:left="540" w:hanging="540"/>
        <w:rPr>
          <w:i/>
        </w:rPr>
      </w:pPr>
      <w:r w:rsidRPr="007215E9">
        <w:rPr>
          <w:i/>
        </w:rPr>
        <w:tab/>
      </w:r>
      <w:r w:rsidR="00EA78D2" w:rsidRPr="007215E9">
        <w:rPr>
          <w:i/>
        </w:rPr>
        <w:t>12.</w:t>
      </w:r>
      <w:r w:rsidRPr="007215E9">
        <w:rPr>
          <w:i/>
        </w:rPr>
        <w:tab/>
      </w:r>
      <w:r w:rsidR="00EA78D2" w:rsidRPr="007215E9">
        <w:rPr>
          <w:i/>
        </w:rPr>
        <w:t xml:space="preserve">Provide estimates of the hour burden of the collection of information. </w:t>
      </w:r>
    </w:p>
    <w:p w14:paraId="426B22F2" w14:textId="77777777" w:rsidR="002E445D" w:rsidRPr="002E445D" w:rsidRDefault="002E445D" w:rsidP="002E445D">
      <w:pPr>
        <w:tabs>
          <w:tab w:val="right" w:pos="360"/>
        </w:tabs>
        <w:autoSpaceDE w:val="0"/>
        <w:autoSpaceDN w:val="0"/>
        <w:adjustRightInd w:val="0"/>
        <w:ind w:left="540" w:hanging="540"/>
        <w:rPr>
          <w:i/>
        </w:rPr>
      </w:pPr>
    </w:p>
    <w:p w14:paraId="23287967" w14:textId="08E7FB4E" w:rsidR="002B2C9A" w:rsidRPr="002B2C9A" w:rsidRDefault="00BA0D7C" w:rsidP="002B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t xml:space="preserve">When the </w:t>
      </w:r>
      <w:r w:rsidR="002B2C9A" w:rsidRPr="002B2C9A">
        <w:t xml:space="preserve">attestation form </w:t>
      </w:r>
      <w:r>
        <w:t xml:space="preserve">was originally approved for use, it </w:t>
      </w:r>
      <w:r w:rsidR="006F484C" w:rsidRPr="002B2C9A">
        <w:t>include</w:t>
      </w:r>
      <w:r w:rsidR="006F484C">
        <w:t>d</w:t>
      </w:r>
      <w:r w:rsidR="006F484C" w:rsidRPr="002B2C9A">
        <w:t xml:space="preserve"> </w:t>
      </w:r>
      <w:r w:rsidR="002B2C9A" w:rsidRPr="002B2C9A">
        <w:t>recruiting requirements, the irreparable harm standard, and document retention obligations</w:t>
      </w:r>
      <w:r w:rsidR="00793C8C">
        <w:t xml:space="preserve"> spelled out in the final rule referenced above in this supporting statement</w:t>
      </w:r>
      <w:r w:rsidR="002B2C9A" w:rsidRPr="002B2C9A">
        <w:t xml:space="preserve">.  </w:t>
      </w:r>
      <w:r>
        <w:t xml:space="preserve">Initially, </w:t>
      </w:r>
      <w:r w:rsidR="002B2C9A" w:rsidRPr="002B2C9A">
        <w:t xml:space="preserve">DOL </w:t>
      </w:r>
      <w:r w:rsidR="006F484C" w:rsidRPr="002B2C9A">
        <w:t>estimate</w:t>
      </w:r>
      <w:r w:rsidR="006F484C">
        <w:t>d</w:t>
      </w:r>
      <w:r w:rsidR="006F484C" w:rsidRPr="002B2C9A">
        <w:t xml:space="preserve"> </w:t>
      </w:r>
      <w:r w:rsidR="002B2C9A" w:rsidRPr="002B2C9A">
        <w:t xml:space="preserve">the time burden for completing and signing the form </w:t>
      </w:r>
      <w:r w:rsidR="006F484C">
        <w:t>to be</w:t>
      </w:r>
      <w:r w:rsidR="006F484C" w:rsidRPr="002B2C9A">
        <w:t xml:space="preserve"> </w:t>
      </w:r>
      <w:r w:rsidR="002B2C9A" w:rsidRPr="002B2C9A">
        <w:t>0.25 hour</w:t>
      </w:r>
      <w:r w:rsidR="005750CA">
        <w:t>s</w:t>
      </w:r>
      <w:r w:rsidR="002B2C9A" w:rsidRPr="002B2C9A">
        <w:t xml:space="preserve"> and 0.5 hour</w:t>
      </w:r>
      <w:r w:rsidR="005750CA">
        <w:t>s</w:t>
      </w:r>
      <w:r w:rsidR="002B2C9A" w:rsidRPr="002B2C9A">
        <w:t xml:space="preserve"> for notifying third parties and retaining records relating to the returning worker requirements.  Using the total </w:t>
      </w:r>
      <w:r w:rsidR="005750CA">
        <w:t>hourly</w:t>
      </w:r>
      <w:r w:rsidR="002B2C9A" w:rsidRPr="002B2C9A">
        <w:t xml:space="preserve"> wage for an HR specialist ($46.49), the </w:t>
      </w:r>
      <w:r>
        <w:t xml:space="preserve">estimated </w:t>
      </w:r>
      <w:r w:rsidR="002B2C9A" w:rsidRPr="002B2C9A">
        <w:t>opportunity cost of time for an HR specialist to complete the attestation form</w:t>
      </w:r>
      <w:r w:rsidR="00E61233">
        <w:t>,</w:t>
      </w:r>
      <w:r w:rsidR="002B2C9A" w:rsidRPr="002B2C9A">
        <w:t xml:space="preserve"> notify third parties</w:t>
      </w:r>
      <w:r w:rsidR="00035B75">
        <w:t>,</w:t>
      </w:r>
      <w:r w:rsidR="002B2C9A" w:rsidRPr="002B2C9A">
        <w:t xml:space="preserve"> and retain records relating to the returning worker requirements, is $34.87</w:t>
      </w:r>
      <w:r w:rsidR="00165724">
        <w:t xml:space="preserve"> per response</w:t>
      </w:r>
      <w:r w:rsidR="002B2C9A" w:rsidRPr="002B2C9A">
        <w:t>.</w:t>
      </w:r>
      <w:r w:rsidR="002B2C9A" w:rsidRPr="002B2C9A">
        <w:rPr>
          <w:vertAlign w:val="superscript"/>
        </w:rPr>
        <w:footnoteReference w:id="5"/>
      </w:r>
      <w:r w:rsidR="002B2C9A" w:rsidRPr="002B2C9A">
        <w:t xml:space="preserve">  </w:t>
      </w:r>
      <w:r w:rsidR="000546FA">
        <w:t xml:space="preserve">Moving forward, this burden and cost will no longer be incurred by the public as the employers will not </w:t>
      </w:r>
      <w:r w:rsidR="00912C45">
        <w:t>be permitted to file</w:t>
      </w:r>
      <w:r w:rsidR="000546FA">
        <w:t xml:space="preserve"> </w:t>
      </w:r>
      <w:r w:rsidR="00912C45">
        <w:t>the</w:t>
      </w:r>
      <w:r w:rsidR="000546FA">
        <w:t xml:space="preserve"> form nor prepare a business harm analysis.</w:t>
      </w:r>
    </w:p>
    <w:p w14:paraId="62C635F0" w14:textId="77777777" w:rsidR="002B2C9A" w:rsidRDefault="002B2C9A" w:rsidP="002B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14:paraId="69102A00" w14:textId="08B9E466" w:rsidR="002B2C9A" w:rsidRDefault="002B2C9A" w:rsidP="002B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2B2C9A">
        <w:t xml:space="preserve">Additionally, </w:t>
      </w:r>
      <w:r w:rsidR="00912C45">
        <w:t xml:space="preserve">employers </w:t>
      </w:r>
      <w:r w:rsidR="006F484C">
        <w:t>were required to</w:t>
      </w:r>
      <w:r w:rsidRPr="002B2C9A">
        <w:t xml:space="preserve"> assess and document supporting evidence for meeting the irreparable harm standard, and </w:t>
      </w:r>
      <w:r w:rsidR="006F484C">
        <w:t xml:space="preserve">continue to be required to </w:t>
      </w:r>
      <w:r w:rsidRPr="002B2C9A">
        <w:t>retain those documents and records</w:t>
      </w:r>
      <w:r w:rsidR="00793C8C">
        <w:t>.</w:t>
      </w:r>
      <w:r w:rsidRPr="002B2C9A">
        <w:t xml:space="preserve"> </w:t>
      </w:r>
      <w:r w:rsidR="00793C8C">
        <w:t xml:space="preserve"> </w:t>
      </w:r>
      <w:r w:rsidRPr="002B2C9A">
        <w:t xml:space="preserve">DOL </w:t>
      </w:r>
      <w:r w:rsidR="00BA0D7C">
        <w:t xml:space="preserve">continues to </w:t>
      </w:r>
      <w:r w:rsidRPr="002B2C9A">
        <w:t xml:space="preserve">estimate the time burden </w:t>
      </w:r>
      <w:r w:rsidR="000A34E0">
        <w:t>for complying with the recordkeeping requirement is approximately 0.50 hour (30 minutes)</w:t>
      </w:r>
      <w:r w:rsidR="00AF688D">
        <w:t>.</w:t>
      </w:r>
    </w:p>
    <w:p w14:paraId="2C283ED5" w14:textId="77777777" w:rsidR="002B2C9A" w:rsidRPr="002B2C9A" w:rsidRDefault="002B2C9A" w:rsidP="002B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14:paraId="1EFF3C62" w14:textId="6C8A3ECB" w:rsidR="002B2C9A" w:rsidRPr="002B2C9A" w:rsidRDefault="002B2C9A" w:rsidP="002B2C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 w:rsidRPr="002B2C9A">
        <w:t xml:space="preserve">As discussed previously, we believe that the estimated 3,776 remaining unfilled certifications for the latter half of FY 2019 would include all potential employers </w:t>
      </w:r>
      <w:r w:rsidR="00AF688D">
        <w:t>that</w:t>
      </w:r>
      <w:r w:rsidR="00AF688D" w:rsidRPr="002B2C9A">
        <w:t xml:space="preserve"> </w:t>
      </w:r>
      <w:r w:rsidRPr="002B2C9A">
        <w:t>might request to employ H-2B workers under th</w:t>
      </w:r>
      <w:r w:rsidR="00004579">
        <w:t>e</w:t>
      </w:r>
      <w:r w:rsidRPr="002B2C9A">
        <w:t xml:space="preserve"> </w:t>
      </w:r>
      <w:r w:rsidR="00004579">
        <w:t xml:space="preserve">final </w:t>
      </w:r>
      <w:r w:rsidRPr="002B2C9A">
        <w:t xml:space="preserve">rule.  This number of </w:t>
      </w:r>
      <w:r w:rsidRPr="00E22CD7">
        <w:t xml:space="preserve">certifications is a reasonable proxy for the number of employers </w:t>
      </w:r>
      <w:r w:rsidR="00AF688D">
        <w:t>that</w:t>
      </w:r>
      <w:r w:rsidR="00AF688D" w:rsidRPr="00E22CD7">
        <w:t xml:space="preserve"> </w:t>
      </w:r>
      <w:r w:rsidR="001D1679">
        <w:t>needed</w:t>
      </w:r>
      <w:r w:rsidRPr="00E22CD7">
        <w:t xml:space="preserve"> to review and sign the attestation.  Using this estimate for the total number of certifications, DOL estimates that the cost for HR specialists</w:t>
      </w:r>
      <w:r w:rsidR="001D1679">
        <w:t xml:space="preserve"> conducting the recordkeeping activities</w:t>
      </w:r>
      <w:r w:rsidRPr="00E22CD7">
        <w:t xml:space="preserve"> is $</w:t>
      </w:r>
      <w:r w:rsidR="004A302F">
        <w:t>87,773</w:t>
      </w:r>
      <w:r w:rsidRPr="00E22CD7">
        <w:t xml:space="preserve">.  </w:t>
      </w:r>
    </w:p>
    <w:p w14:paraId="40BC4E9F" w14:textId="77777777" w:rsidR="002B2C9A" w:rsidRDefault="002B2C9A" w:rsidP="003A5B1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p>
    <w:p w14:paraId="00C4DE1B" w14:textId="29467A63" w:rsidR="003B03B9" w:rsidRDefault="003A5B19" w:rsidP="003B03B9">
      <w:r w:rsidRPr="003A5B19">
        <w:t>The burden for this ICR is summarized in the following table</w:t>
      </w:r>
      <w:r w:rsidR="003B03B9">
        <w:t>:</w:t>
      </w:r>
    </w:p>
    <w:p w14:paraId="597D3ABD" w14:textId="77777777" w:rsidR="003B03B9" w:rsidRDefault="003B03B9" w:rsidP="003B03B9"/>
    <w:p w14:paraId="489DAC5B" w14:textId="77777777" w:rsidR="003A5B19" w:rsidRPr="003A5B19" w:rsidRDefault="003B03B9" w:rsidP="001C1EE9">
      <w:pPr>
        <w:jc w:val="center"/>
        <w:rPr>
          <w:i/>
          <w:sz w:val="18"/>
        </w:rPr>
      </w:pPr>
      <w:r w:rsidRPr="003A5B19">
        <w:rPr>
          <w:rFonts w:eastAsia="Calibri"/>
          <w:b/>
        </w:rPr>
        <w:t>E</w:t>
      </w:r>
      <w:r w:rsidR="003A5B19" w:rsidRPr="003A5B19">
        <w:rPr>
          <w:rFonts w:eastAsia="Calibri"/>
          <w:b/>
          <w:bCs/>
        </w:rPr>
        <w:t xml:space="preserve">stimated Annualized Respondent Hour and Cost Burdens </w:t>
      </w:r>
    </w:p>
    <w:p w14:paraId="63E9F872" w14:textId="77777777" w:rsidR="003A5B19" w:rsidRPr="003A5B19" w:rsidRDefault="003A5B19" w:rsidP="003A5B19">
      <w:pPr>
        <w:rPr>
          <w:i/>
          <w:sz w:val="18"/>
        </w:rPr>
      </w:pPr>
    </w:p>
    <w:p w14:paraId="21ED2201" w14:textId="77777777" w:rsidR="003A5B19" w:rsidRPr="003A5B19" w:rsidRDefault="003A5B19" w:rsidP="003A5B19">
      <w:pPr>
        <w:rPr>
          <w:i/>
          <w:sz w:val="18"/>
        </w:rPr>
      </w:pPr>
    </w:p>
    <w:tbl>
      <w:tblPr>
        <w:tblW w:w="10728" w:type="dxa"/>
        <w:tblCellMar>
          <w:left w:w="0" w:type="dxa"/>
          <w:right w:w="0" w:type="dxa"/>
        </w:tblCellMar>
        <w:tblLook w:val="04A0" w:firstRow="1" w:lastRow="0" w:firstColumn="1" w:lastColumn="0" w:noHBand="0" w:noVBand="1"/>
      </w:tblPr>
      <w:tblGrid>
        <w:gridCol w:w="1623"/>
        <w:gridCol w:w="1312"/>
        <w:gridCol w:w="1127"/>
        <w:gridCol w:w="2172"/>
        <w:gridCol w:w="1071"/>
        <w:gridCol w:w="1417"/>
        <w:gridCol w:w="890"/>
        <w:gridCol w:w="1116"/>
      </w:tblGrid>
      <w:tr w:rsidR="009B2DAF" w:rsidRPr="003A5B19" w14:paraId="6CC93231" w14:textId="77777777" w:rsidTr="00EA793D">
        <w:trPr>
          <w:trHeight w:val="944"/>
        </w:trPr>
        <w:tc>
          <w:tcPr>
            <w:tcW w:w="1623"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14:paraId="213E4C1E" w14:textId="77777777" w:rsidR="003A5B19" w:rsidRPr="003A5B19" w:rsidRDefault="003A5B19" w:rsidP="003A5B19">
            <w:pPr>
              <w:spacing w:line="276" w:lineRule="auto"/>
              <w:jc w:val="center"/>
              <w:rPr>
                <w:rFonts w:eastAsia="Calibri" w:cs="Arial"/>
                <w:b/>
                <w:bCs/>
                <w:sz w:val="20"/>
                <w:szCs w:val="20"/>
              </w:rPr>
            </w:pPr>
            <w:r w:rsidRPr="003A5B19">
              <w:rPr>
                <w:rFonts w:cs="Arial"/>
                <w:b/>
                <w:bCs/>
                <w:sz w:val="20"/>
                <w:szCs w:val="20"/>
              </w:rPr>
              <w:t>Forms</w:t>
            </w:r>
          </w:p>
        </w:tc>
        <w:tc>
          <w:tcPr>
            <w:tcW w:w="1312"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14:paraId="6DFAE6E0" w14:textId="77777777" w:rsidR="003A5B19" w:rsidRPr="003A5B19" w:rsidRDefault="003A5B19" w:rsidP="003A5B19">
            <w:pPr>
              <w:spacing w:line="276" w:lineRule="auto"/>
              <w:jc w:val="center"/>
              <w:rPr>
                <w:rFonts w:eastAsia="Calibri" w:cs="Arial"/>
                <w:b/>
                <w:bCs/>
                <w:sz w:val="20"/>
                <w:szCs w:val="20"/>
              </w:rPr>
            </w:pPr>
            <w:r w:rsidRPr="003A5B19">
              <w:rPr>
                <w:rFonts w:cs="Arial"/>
                <w:b/>
                <w:bCs/>
                <w:sz w:val="20"/>
                <w:szCs w:val="20"/>
              </w:rPr>
              <w:t>Number</w:t>
            </w:r>
          </w:p>
          <w:p w14:paraId="4D780042" w14:textId="77777777" w:rsidR="003A5B19" w:rsidRPr="003A5B19" w:rsidRDefault="003A5B19" w:rsidP="003A5B19">
            <w:pPr>
              <w:spacing w:line="276" w:lineRule="auto"/>
              <w:jc w:val="center"/>
              <w:rPr>
                <w:rFonts w:eastAsia="Calibri" w:cs="Arial"/>
                <w:b/>
                <w:bCs/>
                <w:sz w:val="20"/>
                <w:szCs w:val="20"/>
              </w:rPr>
            </w:pPr>
            <w:r w:rsidRPr="003A5B19">
              <w:rPr>
                <w:rFonts w:cs="Arial"/>
                <w:b/>
                <w:bCs/>
                <w:sz w:val="20"/>
                <w:szCs w:val="20"/>
              </w:rPr>
              <w:t>of Respondents</w:t>
            </w:r>
          </w:p>
        </w:tc>
        <w:tc>
          <w:tcPr>
            <w:tcW w:w="1127"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14:paraId="0FAEB893" w14:textId="77777777" w:rsidR="003A5B19" w:rsidRPr="003A5B19" w:rsidRDefault="003A5B19" w:rsidP="003A5B19">
            <w:pPr>
              <w:spacing w:line="276" w:lineRule="auto"/>
              <w:jc w:val="center"/>
              <w:rPr>
                <w:rFonts w:eastAsia="Calibri" w:cs="Arial"/>
                <w:b/>
                <w:bCs/>
                <w:sz w:val="20"/>
                <w:szCs w:val="20"/>
              </w:rPr>
            </w:pPr>
            <w:r w:rsidRPr="003A5B19">
              <w:rPr>
                <w:rFonts w:cs="Arial"/>
                <w:b/>
                <w:bCs/>
                <w:sz w:val="20"/>
                <w:szCs w:val="20"/>
              </w:rPr>
              <w:t>Frequency</w:t>
            </w:r>
          </w:p>
        </w:tc>
        <w:tc>
          <w:tcPr>
            <w:tcW w:w="2172"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14:paraId="3CEB95A7" w14:textId="77777777" w:rsidR="003A5B19" w:rsidRPr="003A5B19" w:rsidRDefault="003A5B19" w:rsidP="003A5B19">
            <w:pPr>
              <w:spacing w:line="276" w:lineRule="auto"/>
              <w:jc w:val="center"/>
              <w:rPr>
                <w:rFonts w:eastAsia="Calibri" w:cs="Arial"/>
                <w:b/>
                <w:bCs/>
                <w:sz w:val="20"/>
                <w:szCs w:val="20"/>
              </w:rPr>
            </w:pPr>
            <w:r w:rsidRPr="003A5B19">
              <w:rPr>
                <w:rFonts w:cs="Arial"/>
                <w:b/>
                <w:bCs/>
                <w:sz w:val="20"/>
                <w:szCs w:val="20"/>
              </w:rPr>
              <w:t>Total Number  of  Responses</w:t>
            </w:r>
          </w:p>
        </w:tc>
        <w:tc>
          <w:tcPr>
            <w:tcW w:w="1071"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14:paraId="34D8EEA0" w14:textId="77777777" w:rsidR="003A5B19" w:rsidRPr="003A5B19" w:rsidRDefault="003A5B19" w:rsidP="003A5B19">
            <w:pPr>
              <w:spacing w:line="276" w:lineRule="auto"/>
              <w:jc w:val="center"/>
              <w:rPr>
                <w:rFonts w:eastAsia="Calibri" w:cs="Arial"/>
                <w:b/>
                <w:bCs/>
                <w:sz w:val="20"/>
                <w:szCs w:val="20"/>
              </w:rPr>
            </w:pPr>
            <w:r w:rsidRPr="003A5B19">
              <w:rPr>
                <w:rFonts w:cs="Arial"/>
                <w:b/>
                <w:bCs/>
                <w:sz w:val="20"/>
                <w:szCs w:val="20"/>
              </w:rPr>
              <w:t xml:space="preserve">Time Per Response </w:t>
            </w:r>
          </w:p>
          <w:p w14:paraId="01474A7E" w14:textId="77777777" w:rsidR="003A5B19" w:rsidRPr="003A5B19" w:rsidRDefault="003A5B19" w:rsidP="003A5B19">
            <w:pPr>
              <w:spacing w:line="276" w:lineRule="auto"/>
              <w:jc w:val="center"/>
              <w:rPr>
                <w:rFonts w:eastAsia="Calibri" w:cs="Arial"/>
                <w:b/>
                <w:bCs/>
                <w:sz w:val="20"/>
                <w:szCs w:val="20"/>
              </w:rPr>
            </w:pPr>
            <w:r w:rsidRPr="003A5B19">
              <w:rPr>
                <w:rFonts w:cs="Arial"/>
                <w:b/>
                <w:bCs/>
                <w:sz w:val="20"/>
                <w:szCs w:val="20"/>
              </w:rPr>
              <w:t>(In Hours)</w:t>
            </w:r>
          </w:p>
        </w:tc>
        <w:tc>
          <w:tcPr>
            <w:tcW w:w="1417"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14:paraId="27017980" w14:textId="77777777" w:rsidR="003A5B19" w:rsidRPr="003A5B19" w:rsidRDefault="003A5B19" w:rsidP="003A5B19">
            <w:pPr>
              <w:spacing w:line="276" w:lineRule="auto"/>
              <w:jc w:val="center"/>
              <w:rPr>
                <w:rFonts w:eastAsia="Calibri" w:cs="Arial"/>
                <w:b/>
                <w:bCs/>
                <w:sz w:val="20"/>
                <w:szCs w:val="20"/>
              </w:rPr>
            </w:pPr>
            <w:r w:rsidRPr="003A5B19">
              <w:rPr>
                <w:rFonts w:cs="Arial"/>
                <w:b/>
                <w:bCs/>
                <w:sz w:val="20"/>
                <w:szCs w:val="20"/>
              </w:rPr>
              <w:t>Total  Burden Hours</w:t>
            </w:r>
          </w:p>
        </w:tc>
        <w:tc>
          <w:tcPr>
            <w:tcW w:w="890"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14:paraId="7E9EE00A" w14:textId="77777777" w:rsidR="003A5B19" w:rsidRPr="003A5B19" w:rsidRDefault="003A5B19" w:rsidP="003A5B19">
            <w:pPr>
              <w:spacing w:line="276" w:lineRule="auto"/>
              <w:jc w:val="center"/>
              <w:rPr>
                <w:rFonts w:eastAsia="Calibri" w:cs="Arial"/>
                <w:b/>
                <w:bCs/>
                <w:sz w:val="20"/>
                <w:szCs w:val="20"/>
              </w:rPr>
            </w:pPr>
            <w:r w:rsidRPr="003A5B19">
              <w:rPr>
                <w:rFonts w:cs="Arial"/>
                <w:b/>
                <w:bCs/>
                <w:sz w:val="20"/>
                <w:szCs w:val="20"/>
              </w:rPr>
              <w:t>Hourly Wage Rate*</w:t>
            </w:r>
          </w:p>
        </w:tc>
        <w:tc>
          <w:tcPr>
            <w:tcW w:w="1116" w:type="dxa"/>
            <w:tcBorders>
              <w:top w:val="single" w:sz="8" w:space="0" w:color="auto"/>
              <w:left w:val="single" w:sz="8" w:space="0" w:color="auto"/>
              <w:bottom w:val="single" w:sz="8" w:space="0" w:color="auto"/>
              <w:right w:val="single" w:sz="8" w:space="0" w:color="auto"/>
            </w:tcBorders>
            <w:shd w:val="clear" w:color="auto" w:fill="8DB3E2"/>
            <w:tcMar>
              <w:top w:w="0" w:type="dxa"/>
              <w:left w:w="108" w:type="dxa"/>
              <w:bottom w:w="0" w:type="dxa"/>
              <w:right w:w="108" w:type="dxa"/>
            </w:tcMar>
            <w:hideMark/>
          </w:tcPr>
          <w:p w14:paraId="3005E259" w14:textId="77777777" w:rsidR="003A5B19" w:rsidRPr="003A5B19" w:rsidRDefault="003A5B19" w:rsidP="003A5B19">
            <w:pPr>
              <w:spacing w:line="276" w:lineRule="auto"/>
              <w:jc w:val="center"/>
              <w:rPr>
                <w:rFonts w:eastAsia="Calibri" w:cs="Arial"/>
                <w:b/>
                <w:bCs/>
                <w:sz w:val="20"/>
                <w:szCs w:val="20"/>
              </w:rPr>
            </w:pPr>
            <w:r w:rsidRPr="003A5B19">
              <w:rPr>
                <w:rFonts w:cs="Arial"/>
                <w:b/>
                <w:bCs/>
                <w:sz w:val="20"/>
                <w:szCs w:val="20"/>
              </w:rPr>
              <w:t xml:space="preserve">Total Burden Costs </w:t>
            </w:r>
          </w:p>
        </w:tc>
      </w:tr>
      <w:tr w:rsidR="00DC7253" w:rsidRPr="003A5B19" w14:paraId="390A7FC1" w14:textId="77777777" w:rsidTr="00EA793D">
        <w:trPr>
          <w:trHeight w:val="656"/>
        </w:trPr>
        <w:tc>
          <w:tcPr>
            <w:tcW w:w="162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41D903" w14:textId="77777777" w:rsidR="00EE742E" w:rsidRPr="003A5B19" w:rsidRDefault="00EE742E" w:rsidP="003A5B19">
            <w:pPr>
              <w:spacing w:line="276" w:lineRule="auto"/>
              <w:rPr>
                <w:rFonts w:cs="Arial"/>
                <w:sz w:val="20"/>
                <w:szCs w:val="20"/>
              </w:rPr>
            </w:pPr>
            <w:r>
              <w:rPr>
                <w:rFonts w:cs="Arial"/>
                <w:sz w:val="20"/>
                <w:szCs w:val="20"/>
              </w:rPr>
              <w:t>Returning Workers’ attestation and record keeping</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bottom"/>
          </w:tcPr>
          <w:p w14:paraId="492F0335" w14:textId="77777777" w:rsidR="00EE742E" w:rsidRPr="003A5B19" w:rsidRDefault="00EE742E" w:rsidP="003A5B19">
            <w:pPr>
              <w:spacing w:line="276" w:lineRule="auto"/>
              <w:jc w:val="center"/>
              <w:rPr>
                <w:rFonts w:cs="Arial"/>
                <w:sz w:val="20"/>
                <w:szCs w:val="20"/>
              </w:rPr>
            </w:pPr>
            <w:r w:rsidRPr="00EE742E">
              <w:rPr>
                <w:rFonts w:cs="Arial"/>
                <w:sz w:val="20"/>
                <w:szCs w:val="20"/>
              </w:rPr>
              <w:t>3,776</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bottom"/>
          </w:tcPr>
          <w:p w14:paraId="2B9AEE28" w14:textId="77777777" w:rsidR="00EE742E" w:rsidRPr="003A5B19" w:rsidRDefault="00EE742E" w:rsidP="003A5B19">
            <w:pPr>
              <w:spacing w:line="276" w:lineRule="auto"/>
              <w:jc w:val="center"/>
              <w:rPr>
                <w:rFonts w:cs="Arial"/>
                <w:sz w:val="20"/>
                <w:szCs w:val="20"/>
              </w:rPr>
            </w:pPr>
            <w:r>
              <w:rPr>
                <w:rFonts w:cs="Arial"/>
                <w:sz w:val="20"/>
                <w:szCs w:val="20"/>
              </w:rPr>
              <w:t>1</w:t>
            </w:r>
          </w:p>
        </w:tc>
        <w:tc>
          <w:tcPr>
            <w:tcW w:w="2172" w:type="dxa"/>
            <w:tcBorders>
              <w:top w:val="nil"/>
              <w:left w:val="nil"/>
              <w:bottom w:val="single" w:sz="8" w:space="0" w:color="auto"/>
              <w:right w:val="single" w:sz="8" w:space="0" w:color="auto"/>
            </w:tcBorders>
            <w:tcMar>
              <w:top w:w="0" w:type="dxa"/>
              <w:left w:w="108" w:type="dxa"/>
              <w:bottom w:w="0" w:type="dxa"/>
              <w:right w:w="108" w:type="dxa"/>
            </w:tcMar>
            <w:vAlign w:val="bottom"/>
          </w:tcPr>
          <w:p w14:paraId="71AF4F91" w14:textId="77777777" w:rsidR="00EE742E" w:rsidRPr="003A5B19" w:rsidRDefault="00EE742E" w:rsidP="003A5B19">
            <w:pPr>
              <w:spacing w:line="276" w:lineRule="auto"/>
              <w:jc w:val="center"/>
              <w:rPr>
                <w:rFonts w:cs="Arial"/>
                <w:sz w:val="20"/>
                <w:szCs w:val="20"/>
              </w:rPr>
            </w:pPr>
            <w:r>
              <w:rPr>
                <w:rFonts w:cs="Arial"/>
                <w:sz w:val="20"/>
                <w:szCs w:val="20"/>
              </w:rPr>
              <w:t>3,776</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bottom"/>
          </w:tcPr>
          <w:p w14:paraId="6D8C621D" w14:textId="77777777" w:rsidR="00EE742E" w:rsidRPr="003A5B19" w:rsidRDefault="00EE742E" w:rsidP="003A5B19">
            <w:pPr>
              <w:spacing w:line="276" w:lineRule="auto"/>
              <w:jc w:val="center"/>
              <w:rPr>
                <w:rFonts w:cs="Arial"/>
                <w:sz w:val="20"/>
                <w:szCs w:val="20"/>
              </w:rPr>
            </w:pPr>
            <w:r>
              <w:rPr>
                <w:rFonts w:cs="Arial"/>
                <w:sz w:val="20"/>
                <w:szCs w:val="20"/>
              </w:rPr>
              <w:t>0.50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tcPr>
          <w:p w14:paraId="3D9CD6DD" w14:textId="77777777" w:rsidR="00EE742E" w:rsidRPr="003A5B19" w:rsidRDefault="00997039" w:rsidP="003A5B19">
            <w:pPr>
              <w:spacing w:line="276" w:lineRule="auto"/>
              <w:jc w:val="center"/>
              <w:rPr>
                <w:rFonts w:cs="Arial"/>
                <w:sz w:val="20"/>
                <w:szCs w:val="20"/>
              </w:rPr>
            </w:pPr>
            <w:r>
              <w:rPr>
                <w:rFonts w:cs="Arial"/>
                <w:sz w:val="20"/>
                <w:szCs w:val="20"/>
              </w:rPr>
              <w:t>1,888</w:t>
            </w:r>
          </w:p>
        </w:tc>
        <w:tc>
          <w:tcPr>
            <w:tcW w:w="890" w:type="dxa"/>
            <w:tcBorders>
              <w:top w:val="nil"/>
              <w:left w:val="nil"/>
              <w:bottom w:val="single" w:sz="8" w:space="0" w:color="auto"/>
              <w:right w:val="single" w:sz="8" w:space="0" w:color="auto"/>
            </w:tcBorders>
            <w:tcMar>
              <w:top w:w="0" w:type="dxa"/>
              <w:left w:w="108" w:type="dxa"/>
              <w:bottom w:w="0" w:type="dxa"/>
              <w:right w:w="108" w:type="dxa"/>
            </w:tcMar>
            <w:vAlign w:val="bottom"/>
          </w:tcPr>
          <w:p w14:paraId="44EBBE84" w14:textId="319476C8" w:rsidR="00EE742E" w:rsidRPr="003A5B19" w:rsidRDefault="00997039" w:rsidP="00165724">
            <w:pPr>
              <w:spacing w:line="276" w:lineRule="auto"/>
              <w:jc w:val="center"/>
              <w:rPr>
                <w:rFonts w:cs="Arial"/>
                <w:sz w:val="20"/>
                <w:szCs w:val="20"/>
              </w:rPr>
            </w:pPr>
            <w:r>
              <w:rPr>
                <w:rFonts w:cs="Arial"/>
                <w:sz w:val="20"/>
                <w:szCs w:val="20"/>
              </w:rPr>
              <w:t>$</w:t>
            </w:r>
            <w:r w:rsidR="00165724">
              <w:rPr>
                <w:rFonts w:cs="Arial"/>
                <w:sz w:val="20"/>
                <w:szCs w:val="20"/>
              </w:rPr>
              <w:t>46.49</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tcPr>
          <w:p w14:paraId="22F8ACD0" w14:textId="279DA7F5" w:rsidR="00EE742E" w:rsidRPr="003A5B19" w:rsidRDefault="00997039" w:rsidP="00DC7253">
            <w:pPr>
              <w:spacing w:line="276" w:lineRule="auto"/>
              <w:jc w:val="center"/>
              <w:rPr>
                <w:rFonts w:cs="Arial"/>
                <w:sz w:val="20"/>
                <w:szCs w:val="20"/>
              </w:rPr>
            </w:pPr>
            <w:r>
              <w:rPr>
                <w:rFonts w:cs="Arial"/>
                <w:sz w:val="20"/>
                <w:szCs w:val="20"/>
              </w:rPr>
              <w:t>$</w:t>
            </w:r>
            <w:r w:rsidR="00165724">
              <w:rPr>
                <w:rFonts w:cs="Arial"/>
                <w:sz w:val="20"/>
                <w:szCs w:val="20"/>
              </w:rPr>
              <w:t>87,773</w:t>
            </w:r>
          </w:p>
        </w:tc>
      </w:tr>
      <w:tr w:rsidR="00DC7253" w:rsidRPr="003A5B19" w14:paraId="7030A1EF" w14:textId="77777777" w:rsidTr="00EA793D">
        <w:trPr>
          <w:trHeight w:val="656"/>
        </w:trPr>
        <w:tc>
          <w:tcPr>
            <w:tcW w:w="16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8AEFD42" w14:textId="6A57BC0D" w:rsidR="003A5B19" w:rsidRPr="003A5B19" w:rsidRDefault="002B7C06" w:rsidP="002B7C06">
            <w:pPr>
              <w:spacing w:line="276" w:lineRule="auto"/>
              <w:rPr>
                <w:rFonts w:eastAsia="Calibri" w:cs="Arial"/>
                <w:b/>
                <w:bCs/>
                <w:i/>
                <w:iCs/>
                <w:sz w:val="20"/>
                <w:szCs w:val="20"/>
              </w:rPr>
            </w:pPr>
            <w:r>
              <w:rPr>
                <w:rFonts w:cs="Arial"/>
                <w:b/>
                <w:bCs/>
                <w:i/>
                <w:iCs/>
                <w:sz w:val="20"/>
                <w:szCs w:val="20"/>
              </w:rPr>
              <w:t>Und</w:t>
            </w:r>
            <w:r w:rsidR="003A5B19" w:rsidRPr="003A5B19">
              <w:rPr>
                <w:rFonts w:cs="Arial"/>
                <w:b/>
                <w:bCs/>
                <w:i/>
                <w:iCs/>
                <w:sz w:val="20"/>
                <w:szCs w:val="20"/>
              </w:rPr>
              <w:t>uplicated Totals</w:t>
            </w:r>
          </w:p>
        </w:tc>
        <w:tc>
          <w:tcPr>
            <w:tcW w:w="131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C36991A" w14:textId="77777777" w:rsidR="003A5B19" w:rsidRPr="003A5B19" w:rsidRDefault="00690098" w:rsidP="003A5B19">
            <w:pPr>
              <w:spacing w:line="276" w:lineRule="auto"/>
              <w:jc w:val="center"/>
              <w:rPr>
                <w:rFonts w:eastAsia="Calibri" w:cs="Arial"/>
                <w:b/>
                <w:bCs/>
                <w:i/>
                <w:iCs/>
                <w:sz w:val="20"/>
                <w:szCs w:val="20"/>
              </w:rPr>
            </w:pPr>
            <w:r>
              <w:rPr>
                <w:rFonts w:cs="Arial"/>
                <w:b/>
                <w:bCs/>
                <w:i/>
                <w:iCs/>
                <w:sz w:val="20"/>
                <w:szCs w:val="20"/>
              </w:rPr>
              <w:t>3,776</w:t>
            </w:r>
          </w:p>
        </w:tc>
        <w:tc>
          <w:tcPr>
            <w:tcW w:w="112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59C6943" w14:textId="42D62EF7" w:rsidR="003A5B19" w:rsidRPr="003A5B19" w:rsidRDefault="002B7C06" w:rsidP="003A5B19">
            <w:pPr>
              <w:spacing w:line="276" w:lineRule="auto"/>
              <w:jc w:val="center"/>
              <w:rPr>
                <w:rFonts w:eastAsia="Calibri" w:cs="Arial"/>
                <w:b/>
                <w:bCs/>
                <w:i/>
                <w:iCs/>
                <w:sz w:val="20"/>
                <w:szCs w:val="20"/>
              </w:rPr>
            </w:pPr>
            <w:r>
              <w:rPr>
                <w:rFonts w:cs="Arial"/>
                <w:b/>
                <w:bCs/>
                <w:i/>
                <w:iCs/>
                <w:sz w:val="20"/>
                <w:szCs w:val="20"/>
              </w:rPr>
              <w:t>1</w:t>
            </w:r>
          </w:p>
        </w:tc>
        <w:tc>
          <w:tcPr>
            <w:tcW w:w="217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C7F220D" w14:textId="77777777" w:rsidR="003A5B19" w:rsidRPr="003A5B19" w:rsidRDefault="00690098" w:rsidP="003A5B19">
            <w:pPr>
              <w:spacing w:line="276" w:lineRule="auto"/>
              <w:jc w:val="center"/>
              <w:rPr>
                <w:rFonts w:eastAsia="Calibri" w:cs="Arial"/>
                <w:b/>
                <w:bCs/>
                <w:i/>
                <w:iCs/>
                <w:sz w:val="20"/>
                <w:szCs w:val="20"/>
              </w:rPr>
            </w:pPr>
            <w:r>
              <w:rPr>
                <w:rFonts w:eastAsia="Calibri" w:cs="Arial"/>
                <w:b/>
                <w:bCs/>
                <w:i/>
                <w:iCs/>
                <w:sz w:val="20"/>
                <w:szCs w:val="20"/>
              </w:rPr>
              <w:t>3,776</w:t>
            </w:r>
          </w:p>
        </w:tc>
        <w:tc>
          <w:tcPr>
            <w:tcW w:w="107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44A5072" w14:textId="2459A743" w:rsidR="003A5B19" w:rsidRPr="003A5B19" w:rsidRDefault="00793C8C" w:rsidP="003A5B19">
            <w:pPr>
              <w:spacing w:line="276" w:lineRule="auto"/>
              <w:jc w:val="center"/>
              <w:rPr>
                <w:rFonts w:eastAsia="Calibri" w:cs="Arial"/>
                <w:b/>
                <w:bCs/>
                <w:i/>
                <w:iCs/>
                <w:sz w:val="20"/>
                <w:szCs w:val="20"/>
              </w:rPr>
            </w:pPr>
            <w:r>
              <w:rPr>
                <w:rFonts w:cs="Arial"/>
                <w:b/>
                <w:bCs/>
                <w:i/>
                <w:iCs/>
                <w:sz w:val="20"/>
                <w:szCs w:val="20"/>
              </w:rPr>
              <w:t>0.50</w:t>
            </w:r>
          </w:p>
        </w:tc>
        <w:tc>
          <w:tcPr>
            <w:tcW w:w="14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1FD0BD8" w14:textId="1E72733C" w:rsidR="003A5B19" w:rsidRPr="003A5B19" w:rsidRDefault="00793C8C" w:rsidP="003A5B19">
            <w:pPr>
              <w:spacing w:line="276" w:lineRule="auto"/>
              <w:jc w:val="center"/>
              <w:rPr>
                <w:rFonts w:eastAsia="Calibri" w:cs="Arial"/>
                <w:b/>
                <w:bCs/>
                <w:i/>
                <w:iCs/>
                <w:sz w:val="20"/>
                <w:szCs w:val="20"/>
              </w:rPr>
            </w:pPr>
            <w:r>
              <w:rPr>
                <w:rFonts w:cs="Arial"/>
                <w:b/>
                <w:bCs/>
                <w:i/>
                <w:iCs/>
                <w:sz w:val="20"/>
                <w:szCs w:val="20"/>
              </w:rPr>
              <w:t>1,888</w:t>
            </w:r>
          </w:p>
        </w:tc>
        <w:tc>
          <w:tcPr>
            <w:tcW w:w="8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3BC1C8F" w14:textId="5FEEE0EC" w:rsidR="003A5B19" w:rsidRPr="003A5B19" w:rsidRDefault="00793C8C" w:rsidP="003A5B19">
            <w:pPr>
              <w:spacing w:line="276" w:lineRule="auto"/>
              <w:jc w:val="center"/>
              <w:rPr>
                <w:rFonts w:eastAsia="Calibri" w:cs="Arial"/>
                <w:b/>
                <w:bCs/>
                <w:i/>
                <w:iCs/>
                <w:sz w:val="20"/>
                <w:szCs w:val="20"/>
              </w:rPr>
            </w:pPr>
            <w:r w:rsidRPr="00793C8C">
              <w:rPr>
                <w:rFonts w:cs="Arial"/>
                <w:b/>
                <w:bCs/>
                <w:i/>
                <w:iCs/>
                <w:sz w:val="20"/>
                <w:szCs w:val="20"/>
              </w:rPr>
              <w:t>$46.49</w:t>
            </w:r>
          </w:p>
        </w:tc>
        <w:tc>
          <w:tcPr>
            <w:tcW w:w="111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2A0718A" w14:textId="2A476191" w:rsidR="003A5B19" w:rsidRPr="003A5B19" w:rsidRDefault="00793C8C" w:rsidP="00DC7253">
            <w:pPr>
              <w:spacing w:line="276" w:lineRule="auto"/>
              <w:jc w:val="center"/>
              <w:rPr>
                <w:rFonts w:eastAsia="Calibri" w:cs="Arial"/>
                <w:b/>
                <w:bCs/>
                <w:i/>
                <w:iCs/>
                <w:sz w:val="20"/>
                <w:szCs w:val="20"/>
              </w:rPr>
            </w:pPr>
            <w:r w:rsidRPr="00793C8C">
              <w:rPr>
                <w:rFonts w:cs="Arial"/>
                <w:b/>
                <w:bCs/>
                <w:i/>
                <w:iCs/>
                <w:sz w:val="20"/>
                <w:szCs w:val="20"/>
              </w:rPr>
              <w:t>$87,773</w:t>
            </w:r>
          </w:p>
        </w:tc>
      </w:tr>
    </w:tbl>
    <w:p w14:paraId="5251E889" w14:textId="71C8BB75" w:rsidR="00CF2831" w:rsidRPr="00EE06FC" w:rsidRDefault="003A5B19" w:rsidP="001C1EE9">
      <w:pPr>
        <w:rPr>
          <w:rFonts w:eastAsia="Calibri"/>
          <w:sz w:val="18"/>
          <w:szCs w:val="18"/>
        </w:rPr>
      </w:pPr>
      <w:r w:rsidRPr="003A5B19">
        <w:rPr>
          <w:rFonts w:eastAsia="Calibri"/>
          <w:i/>
          <w:iCs/>
          <w:sz w:val="18"/>
          <w:szCs w:val="18"/>
        </w:rPr>
        <w:t xml:space="preserve">* </w:t>
      </w:r>
      <w:r w:rsidRPr="003A5B19">
        <w:rPr>
          <w:rFonts w:eastAsia="Calibri"/>
          <w:sz w:val="18"/>
          <w:szCs w:val="18"/>
        </w:rPr>
        <w:t xml:space="preserve">Bureau of Labor Statistics.  </w:t>
      </w:r>
      <w:r w:rsidR="00CF2831" w:rsidRPr="00CF2831">
        <w:rPr>
          <w:rFonts w:eastAsia="Calibri"/>
          <w:sz w:val="18"/>
          <w:szCs w:val="18"/>
        </w:rPr>
        <w:t>U.S. Department of Labor, Bureau of Labor Statistics, Occupational Employment Statistics</w:t>
      </w:r>
      <w:r w:rsidR="00CF2831" w:rsidRPr="00CF2831">
        <w:rPr>
          <w:rFonts w:eastAsia="Calibri"/>
          <w:sz w:val="18"/>
          <w:szCs w:val="18"/>
          <w:u w:val="single"/>
        </w:rPr>
        <w:t xml:space="preserve"> </w:t>
      </w:r>
      <w:r w:rsidR="00CF2831" w:rsidRPr="00CF2831">
        <w:rPr>
          <w:rFonts w:eastAsia="Calibri"/>
          <w:i/>
          <w:sz w:val="18"/>
          <w:szCs w:val="18"/>
        </w:rPr>
        <w:t>May 2017, Financial Analysts</w:t>
      </w:r>
      <w:r w:rsidR="00CF2831" w:rsidRPr="00CF2831">
        <w:rPr>
          <w:rFonts w:eastAsia="Calibri"/>
          <w:sz w:val="18"/>
          <w:szCs w:val="18"/>
        </w:rPr>
        <w:t xml:space="preserve">:  </w:t>
      </w:r>
      <w:hyperlink r:id="rId12" w:history="1">
        <w:r w:rsidR="00CF2831" w:rsidRPr="00132278">
          <w:rPr>
            <w:rStyle w:val="Hyperlink"/>
            <w:rFonts w:eastAsia="Calibri"/>
            <w:sz w:val="18"/>
            <w:szCs w:val="18"/>
          </w:rPr>
          <w:t>https://www.bls.gov/oes/2017/may/oes132051.htm</w:t>
        </w:r>
      </w:hyperlink>
      <w:r w:rsidR="00CF2831" w:rsidRPr="00CF2831">
        <w:rPr>
          <w:rFonts w:eastAsia="Calibri"/>
          <w:sz w:val="18"/>
          <w:szCs w:val="18"/>
        </w:rPr>
        <w:t>.</w:t>
      </w:r>
      <w:r w:rsidR="00EE06FC">
        <w:rPr>
          <w:rFonts w:eastAsia="Calibri"/>
          <w:sz w:val="18"/>
          <w:szCs w:val="18"/>
        </w:rPr>
        <w:t xml:space="preserve"> </w:t>
      </w:r>
      <w:r w:rsidR="00CF2831" w:rsidRPr="00CF2831">
        <w:rPr>
          <w:rFonts w:eastAsia="Calibri" w:cs="Arial"/>
          <w:sz w:val="20"/>
          <w:szCs w:val="20"/>
        </w:rPr>
        <w:t xml:space="preserve">Calculation:  $46.49 (average per hour wage for an HR specialist) </w:t>
      </w:r>
      <w:r w:rsidR="00AF688D">
        <w:rPr>
          <w:rFonts w:eastAsia="Calibri" w:cs="Arial"/>
          <w:sz w:val="20"/>
          <w:szCs w:val="20"/>
        </w:rPr>
        <w:t>×</w:t>
      </w:r>
      <w:r w:rsidR="00CF2831" w:rsidRPr="00CF2831">
        <w:rPr>
          <w:rFonts w:eastAsia="Calibri" w:cs="Arial"/>
          <w:sz w:val="20"/>
          <w:szCs w:val="20"/>
        </w:rPr>
        <w:t xml:space="preserve"> 0.75 (time burden for the new attestation form and notifying third parties and retaining records related to the returning worker requirements) = $34.87.  </w:t>
      </w:r>
    </w:p>
    <w:p w14:paraId="5262428A" w14:textId="77777777" w:rsidR="003A5B19" w:rsidRPr="00685CB7" w:rsidRDefault="003A5B19" w:rsidP="00685CB7">
      <w:pPr>
        <w:spacing w:after="120"/>
        <w:rPr>
          <w:rFonts w:eastAsia="Calibri" w:cs="Arial"/>
          <w:sz w:val="20"/>
          <w:szCs w:val="20"/>
        </w:rPr>
      </w:pPr>
    </w:p>
    <w:p w14:paraId="1E9F96A8" w14:textId="77777777" w:rsidR="00EA78D2" w:rsidRPr="007215E9" w:rsidRDefault="00A705A4" w:rsidP="002E445D">
      <w:pPr>
        <w:tabs>
          <w:tab w:val="right" w:pos="360"/>
        </w:tabs>
        <w:autoSpaceDE w:val="0"/>
        <w:autoSpaceDN w:val="0"/>
        <w:adjustRightInd w:val="0"/>
        <w:ind w:left="540" w:hanging="540"/>
        <w:rPr>
          <w:i/>
        </w:rPr>
      </w:pPr>
      <w:r w:rsidRPr="007215E9">
        <w:rPr>
          <w:i/>
        </w:rPr>
        <w:tab/>
      </w:r>
      <w:r w:rsidR="00EA78D2" w:rsidRPr="007215E9">
        <w:rPr>
          <w:i/>
        </w:rPr>
        <w:t>13.</w:t>
      </w:r>
      <w:r w:rsidRPr="007215E9">
        <w:rPr>
          <w:i/>
        </w:rPr>
        <w:tab/>
      </w:r>
      <w:r w:rsidR="00EA78D2" w:rsidRPr="007215E9">
        <w:rPr>
          <w:i/>
        </w:rPr>
        <w:t>Provide an estimate for the total annual cost burden to respondents or record keepers resulting from the collection of information.</w:t>
      </w:r>
      <w:r w:rsidRPr="007215E9">
        <w:rPr>
          <w:i/>
        </w:rPr>
        <w:t xml:space="preserve"> </w:t>
      </w:r>
      <w:r w:rsidR="00EA78D2" w:rsidRPr="007215E9">
        <w:rPr>
          <w:i/>
        </w:rPr>
        <w:t xml:space="preserve"> (Do not include the cost of any hour burden already reflected on the burden worksheet).</w:t>
      </w:r>
    </w:p>
    <w:p w14:paraId="6B635B6F" w14:textId="77777777" w:rsidR="00EA78D2" w:rsidRPr="007215E9" w:rsidRDefault="00EA78D2" w:rsidP="00EA78D2">
      <w:pPr>
        <w:autoSpaceDE w:val="0"/>
        <w:autoSpaceDN w:val="0"/>
        <w:adjustRightInd w:val="0"/>
      </w:pPr>
    </w:p>
    <w:p w14:paraId="5DB79833" w14:textId="77777777" w:rsidR="00060F24" w:rsidRPr="00417BE8" w:rsidRDefault="00060F24" w:rsidP="00060F24">
      <w:pPr>
        <w:widowControl w:val="0"/>
        <w:numPr>
          <w:ilvl w:val="0"/>
          <w:numId w:val="2"/>
        </w:num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r w:rsidRPr="00417BE8">
        <w:t xml:space="preserve">Start-up/capital costs:  There are no start-up costs. </w:t>
      </w:r>
    </w:p>
    <w:p w14:paraId="6756C580" w14:textId="77777777" w:rsidR="00060F24" w:rsidRPr="00417BE8" w:rsidRDefault="00060F24" w:rsidP="00060F24">
      <w:pPr>
        <w:widowControl w:val="0"/>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p>
    <w:p w14:paraId="06E3ABB3" w14:textId="77777777" w:rsidR="00046FF1" w:rsidRDefault="00060F24" w:rsidP="000057B0">
      <w:pPr>
        <w:pStyle w:val="ListParagraph"/>
        <w:widowControl w:val="0"/>
        <w:numPr>
          <w:ilvl w:val="0"/>
          <w:numId w:val="2"/>
        </w:numPr>
        <w:pBdr>
          <w:top w:val="single" w:sz="6" w:space="0" w:color="FFFFFF"/>
          <w:left w:val="single" w:sz="6" w:space="0" w:color="FFFFFF"/>
          <w:bottom w:val="single" w:sz="6" w:space="0" w:color="FFFFFF"/>
          <w:right w:val="single" w:sz="6" w:space="0" w:color="FFFFFF"/>
        </w:pBdr>
        <w:shd w:val="solid" w:color="FFFFFF" w:fill="FFFFFF"/>
        <w:autoSpaceDE w:val="0"/>
        <w:autoSpaceDN w:val="0"/>
        <w:adjustRightInd w:val="0"/>
      </w:pPr>
      <w:r w:rsidRPr="000157AA">
        <w:t xml:space="preserve">Maintenance and operations costs:  </w:t>
      </w:r>
      <w:r w:rsidR="002A3032">
        <w:t>None</w:t>
      </w:r>
      <w:r>
        <w:t xml:space="preserve"> </w:t>
      </w:r>
    </w:p>
    <w:p w14:paraId="673EB097" w14:textId="77777777" w:rsidR="00EA78D2" w:rsidRPr="007215E9" w:rsidRDefault="00EA78D2" w:rsidP="00EA78D2">
      <w:pPr>
        <w:autoSpaceDE w:val="0"/>
        <w:autoSpaceDN w:val="0"/>
        <w:adjustRightInd w:val="0"/>
      </w:pPr>
    </w:p>
    <w:p w14:paraId="6B098465" w14:textId="77777777" w:rsidR="00EA78D2" w:rsidRPr="007215E9" w:rsidRDefault="00C239F6" w:rsidP="007F12A0">
      <w:pPr>
        <w:tabs>
          <w:tab w:val="right" w:pos="360"/>
        </w:tabs>
        <w:autoSpaceDE w:val="0"/>
        <w:autoSpaceDN w:val="0"/>
        <w:adjustRightInd w:val="0"/>
        <w:ind w:left="540" w:hanging="540"/>
        <w:rPr>
          <w:i/>
        </w:rPr>
      </w:pPr>
      <w:r w:rsidRPr="007215E9">
        <w:rPr>
          <w:i/>
        </w:rPr>
        <w:tab/>
      </w:r>
      <w:r w:rsidR="00EA78D2" w:rsidRPr="007215E9">
        <w:rPr>
          <w:i/>
        </w:rPr>
        <w:t>14.</w:t>
      </w:r>
      <w:r w:rsidR="004B774D" w:rsidRPr="007215E9">
        <w:rPr>
          <w:i/>
        </w:rPr>
        <w:tab/>
      </w:r>
      <w:r w:rsidR="00EA78D2" w:rsidRPr="007215E9">
        <w:rPr>
          <w:i/>
        </w:rPr>
        <w:t xml:space="preserve">Provide estimates of annualized costs to the Federal government. </w:t>
      </w:r>
      <w:r w:rsidR="007F12A0" w:rsidRPr="007215E9">
        <w:rPr>
          <w:i/>
        </w:rPr>
        <w:t xml:space="preserve"> </w:t>
      </w:r>
      <w:r w:rsidR="00EA78D2" w:rsidRPr="007215E9">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7F12A0" w:rsidRPr="007215E9">
        <w:rPr>
          <w:i/>
        </w:rPr>
        <w:t xml:space="preserve">  </w:t>
      </w:r>
      <w:r w:rsidR="00EA78D2" w:rsidRPr="007215E9">
        <w:rPr>
          <w:i/>
        </w:rPr>
        <w:t>Agencies may also aggregate cost estimates from Items 12, 13, and 14 in a single table.</w:t>
      </w:r>
    </w:p>
    <w:p w14:paraId="6728F3FA" w14:textId="77777777" w:rsidR="00EA78D2" w:rsidRPr="007215E9" w:rsidRDefault="00EA78D2" w:rsidP="00EA78D2">
      <w:pPr>
        <w:autoSpaceDE w:val="0"/>
        <w:autoSpaceDN w:val="0"/>
        <w:adjustRightInd w:val="0"/>
      </w:pPr>
    </w:p>
    <w:p w14:paraId="29249D35" w14:textId="742C24DD" w:rsidR="00060F24" w:rsidRPr="00417BE8" w:rsidRDefault="00502ACA" w:rsidP="00060F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DOL</w:t>
      </w:r>
      <w:r w:rsidR="00775E99">
        <w:t xml:space="preserve"> </w:t>
      </w:r>
      <w:r w:rsidR="00060F24">
        <w:t xml:space="preserve">anticipates some additional costs </w:t>
      </w:r>
      <w:r w:rsidR="002B2C9A">
        <w:t>will be incurred</w:t>
      </w:r>
      <w:r w:rsidR="00962C2C">
        <w:t xml:space="preserve"> by DHS in </w:t>
      </w:r>
      <w:r w:rsidR="00060F24">
        <w:t>adjudicating the Form ETA-9142-B-CAA-</w:t>
      </w:r>
      <w:r w:rsidR="002B2C9A">
        <w:t>3</w:t>
      </w:r>
      <w:r w:rsidR="00060F24">
        <w:t xml:space="preserve"> submitted as a result of the increase in cap limitation for H-2B visas.  </w:t>
      </w:r>
      <w:r>
        <w:t>DOL</w:t>
      </w:r>
      <w:r w:rsidR="00775E99">
        <w:t>, however,</w:t>
      </w:r>
      <w:r w:rsidR="00060F24">
        <w:t xml:space="preserve"> expects these costs </w:t>
      </w:r>
      <w:r w:rsidR="00962C2C">
        <w:t>were</w:t>
      </w:r>
      <w:r w:rsidR="00060F24">
        <w:t xml:space="preserve"> covered by the fees associated with </w:t>
      </w:r>
      <w:r w:rsidR="00A84688">
        <w:t>f</w:t>
      </w:r>
      <w:r w:rsidR="00060F24">
        <w:t>orms filed with USCIS in support of a</w:t>
      </w:r>
      <w:r w:rsidR="001E5025">
        <w:t xml:space="preserve"> </w:t>
      </w:r>
      <w:r w:rsidR="00060F24">
        <w:t>petition</w:t>
      </w:r>
      <w:r w:rsidR="001E5025">
        <w:t xml:space="preserve"> for H-2B workers</w:t>
      </w:r>
      <w:r w:rsidR="00060F24">
        <w:t xml:space="preserve">.  </w:t>
      </w:r>
      <w:r w:rsidR="00AF378E">
        <w:t xml:space="preserve">DOL will not incur government costs associated with the employers’ retention of the necessary information associated with this collection. </w:t>
      </w:r>
    </w:p>
    <w:p w14:paraId="7CAFB67E" w14:textId="77777777" w:rsidR="00904938" w:rsidRPr="007215E9" w:rsidRDefault="00904938" w:rsidP="00EA78D2">
      <w:pPr>
        <w:autoSpaceDE w:val="0"/>
        <w:autoSpaceDN w:val="0"/>
        <w:adjustRightInd w:val="0"/>
      </w:pPr>
    </w:p>
    <w:p w14:paraId="7BF90179" w14:textId="77777777" w:rsidR="00EA78D2" w:rsidRPr="007215E9" w:rsidRDefault="007F12A0" w:rsidP="007F12A0">
      <w:pPr>
        <w:tabs>
          <w:tab w:val="right" w:pos="360"/>
        </w:tabs>
        <w:autoSpaceDE w:val="0"/>
        <w:autoSpaceDN w:val="0"/>
        <w:adjustRightInd w:val="0"/>
        <w:ind w:left="540" w:hanging="540"/>
        <w:rPr>
          <w:i/>
        </w:rPr>
      </w:pPr>
      <w:r w:rsidRPr="007215E9">
        <w:rPr>
          <w:i/>
        </w:rPr>
        <w:tab/>
      </w:r>
      <w:r w:rsidR="00EA78D2" w:rsidRPr="007215E9">
        <w:rPr>
          <w:i/>
        </w:rPr>
        <w:t>15.</w:t>
      </w:r>
      <w:r w:rsidRPr="007215E9">
        <w:rPr>
          <w:i/>
        </w:rPr>
        <w:tab/>
      </w:r>
      <w:r w:rsidR="00EA78D2" w:rsidRPr="007215E9">
        <w:rPr>
          <w:i/>
        </w:rPr>
        <w:t>Explain the reasons for any program changes or adjustments reported on the burden worksheet.</w:t>
      </w:r>
    </w:p>
    <w:p w14:paraId="1ABA68FC" w14:textId="77777777" w:rsidR="00EA78D2" w:rsidRPr="007215E9" w:rsidRDefault="00EA78D2" w:rsidP="00EA78D2">
      <w:pPr>
        <w:autoSpaceDE w:val="0"/>
        <w:autoSpaceDN w:val="0"/>
        <w:adjustRightInd w:val="0"/>
      </w:pPr>
    </w:p>
    <w:p w14:paraId="7C5A3FEB" w14:textId="7A716FAC" w:rsidR="004A1161" w:rsidRDefault="00565141" w:rsidP="00EA78D2">
      <w:pPr>
        <w:autoSpaceDE w:val="0"/>
        <w:autoSpaceDN w:val="0"/>
        <w:adjustRightInd w:val="0"/>
      </w:pPr>
      <w:r>
        <w:t xml:space="preserve">DOL is now reporting a reduction </w:t>
      </w:r>
      <w:r w:rsidR="00AF688D">
        <w:t>i</w:t>
      </w:r>
      <w:r>
        <w:t xml:space="preserve">n the burden initially projected when the emergency request was filed.  The burden hours for which emergency approval was initially sought has been reduced by 19,824 hours.  This burden reduction results from the fact that as of June 5, 2019, employers are no longer allowed to complete and submit the form, nor required to conduct a business harm assessment, because the supplemental cap was reached, as announced by DHS on June 7, 2019.  The only remaining requirement is the recordkeeping requirement, which DOL estimates will result in 1,888 burden hours.  </w:t>
      </w:r>
    </w:p>
    <w:p w14:paraId="5784256D" w14:textId="77777777" w:rsidR="000A34E0" w:rsidRPr="007215E9" w:rsidRDefault="000A34E0" w:rsidP="00EA78D2">
      <w:pPr>
        <w:autoSpaceDE w:val="0"/>
        <w:autoSpaceDN w:val="0"/>
        <w:adjustRightInd w:val="0"/>
      </w:pPr>
    </w:p>
    <w:p w14:paraId="2D53194D" w14:textId="77777777" w:rsidR="00EA78D2" w:rsidRPr="007215E9" w:rsidRDefault="00030FA0" w:rsidP="00030FA0">
      <w:pPr>
        <w:tabs>
          <w:tab w:val="right" w:pos="360"/>
        </w:tabs>
        <w:autoSpaceDE w:val="0"/>
        <w:autoSpaceDN w:val="0"/>
        <w:adjustRightInd w:val="0"/>
        <w:ind w:left="540" w:hanging="540"/>
        <w:rPr>
          <w:i/>
        </w:rPr>
      </w:pPr>
      <w:r w:rsidRPr="007215E9">
        <w:rPr>
          <w:i/>
        </w:rPr>
        <w:tab/>
      </w:r>
      <w:r w:rsidR="00EA78D2" w:rsidRPr="007215E9">
        <w:rPr>
          <w:i/>
        </w:rPr>
        <w:t>16.</w:t>
      </w:r>
      <w:r w:rsidRPr="007215E9">
        <w:rPr>
          <w:i/>
        </w:rPr>
        <w:tab/>
      </w:r>
      <w:r w:rsidR="00EA78D2" w:rsidRPr="007215E9">
        <w:rPr>
          <w:i/>
        </w:rPr>
        <w:t>For collections of information whose results will be published, outline plans for tabulation and publication</w:t>
      </w:r>
      <w:r w:rsidR="00F25EFF" w:rsidRPr="007215E9">
        <w:rPr>
          <w:i/>
        </w:rPr>
        <w:t xml:space="preserve">.  </w:t>
      </w:r>
      <w:r w:rsidR="00EA78D2" w:rsidRPr="007215E9">
        <w:rPr>
          <w:i/>
        </w:rPr>
        <w:t xml:space="preserve">Address any complex analytical techniques that will be used. </w:t>
      </w:r>
      <w:r w:rsidR="00216406" w:rsidRPr="007215E9">
        <w:rPr>
          <w:i/>
        </w:rPr>
        <w:t xml:space="preserve"> </w:t>
      </w:r>
      <w:r w:rsidR="00EA78D2" w:rsidRPr="007215E9">
        <w:rPr>
          <w:i/>
        </w:rPr>
        <w:t>Provide the time schedule for the entire project, including beginning and ending dates of the collection of information, completion of report, publication dates, and other actions.</w:t>
      </w:r>
    </w:p>
    <w:p w14:paraId="67FE6D6C" w14:textId="77777777" w:rsidR="00EA78D2" w:rsidRPr="007215E9" w:rsidRDefault="00EA78D2" w:rsidP="00EA78D2">
      <w:pPr>
        <w:autoSpaceDE w:val="0"/>
        <w:autoSpaceDN w:val="0"/>
        <w:adjustRightInd w:val="0"/>
      </w:pPr>
    </w:p>
    <w:p w14:paraId="26B8A8E5" w14:textId="7CC59C88" w:rsidR="00060F24" w:rsidRPr="00417BE8" w:rsidRDefault="00060F24" w:rsidP="00060F24">
      <w:pPr>
        <w:tabs>
          <w:tab w:val="left" w:pos="0"/>
          <w:tab w:val="left" w:pos="2880"/>
          <w:tab w:val="left" w:pos="3600"/>
          <w:tab w:val="left" w:pos="4320"/>
          <w:tab w:val="left" w:pos="5040"/>
          <w:tab w:val="left" w:pos="5760"/>
          <w:tab w:val="left" w:pos="6480"/>
          <w:tab w:val="left" w:pos="7200"/>
          <w:tab w:val="left" w:pos="7920"/>
          <w:tab w:val="left" w:pos="8640"/>
        </w:tabs>
      </w:pPr>
      <w:r w:rsidRPr="00417BE8">
        <w:t>The information on Form ETA</w:t>
      </w:r>
      <w:r>
        <w:t>-</w:t>
      </w:r>
      <w:r w:rsidRPr="00417BE8">
        <w:t>9142-B-CAA</w:t>
      </w:r>
      <w:r>
        <w:t>-</w:t>
      </w:r>
      <w:r w:rsidR="002B235F">
        <w:t>3</w:t>
      </w:r>
      <w:r w:rsidRPr="00417BE8">
        <w:t xml:space="preserve"> will </w:t>
      </w:r>
      <w:r>
        <w:t>not</w:t>
      </w:r>
      <w:r w:rsidRPr="00417BE8">
        <w:t xml:space="preserve"> be published</w:t>
      </w:r>
      <w:r w:rsidR="00E51EFD">
        <w:t>;</w:t>
      </w:r>
      <w:r>
        <w:t xml:space="preserve"> however</w:t>
      </w:r>
      <w:r w:rsidR="00F47932">
        <w:t>,</w:t>
      </w:r>
      <w:r>
        <w:t xml:space="preserve"> </w:t>
      </w:r>
      <w:r w:rsidRPr="00B01F19">
        <w:t>DHS may publicly disclose information regarding the H-2B program consistent with applicable law and</w:t>
      </w:r>
      <w:r>
        <w:t xml:space="preserve"> </w:t>
      </w:r>
      <w:r w:rsidRPr="00B01F19">
        <w:t>regulations.</w:t>
      </w:r>
    </w:p>
    <w:p w14:paraId="153418CF" w14:textId="77777777" w:rsidR="004A1161" w:rsidRPr="007215E9" w:rsidRDefault="004A1161" w:rsidP="00EA78D2">
      <w:pPr>
        <w:autoSpaceDE w:val="0"/>
        <w:autoSpaceDN w:val="0"/>
        <w:adjustRightInd w:val="0"/>
      </w:pPr>
    </w:p>
    <w:p w14:paraId="0AA878D9" w14:textId="77777777" w:rsidR="00EA78D2" w:rsidRPr="007215E9" w:rsidRDefault="004B774D" w:rsidP="004B774D">
      <w:pPr>
        <w:tabs>
          <w:tab w:val="right" w:pos="360"/>
        </w:tabs>
        <w:autoSpaceDE w:val="0"/>
        <w:autoSpaceDN w:val="0"/>
        <w:adjustRightInd w:val="0"/>
        <w:ind w:left="540" w:hanging="540"/>
        <w:rPr>
          <w:i/>
        </w:rPr>
      </w:pPr>
      <w:r w:rsidRPr="007215E9">
        <w:rPr>
          <w:i/>
        </w:rPr>
        <w:tab/>
      </w:r>
      <w:r w:rsidR="00EA78D2" w:rsidRPr="007215E9">
        <w:rPr>
          <w:i/>
        </w:rPr>
        <w:t>17.</w:t>
      </w:r>
      <w:r w:rsidRPr="007215E9">
        <w:rPr>
          <w:i/>
        </w:rPr>
        <w:tab/>
      </w:r>
      <w:r w:rsidR="00EA78D2" w:rsidRPr="007215E9">
        <w:rPr>
          <w:i/>
        </w:rPr>
        <w:t xml:space="preserve">If seeking approval </w:t>
      </w:r>
      <w:r w:rsidR="00F25EFF" w:rsidRPr="007215E9">
        <w:rPr>
          <w:i/>
        </w:rPr>
        <w:t xml:space="preserve">not </w:t>
      </w:r>
      <w:r w:rsidR="00EA78D2" w:rsidRPr="007215E9">
        <w:rPr>
          <w:i/>
        </w:rPr>
        <w:t xml:space="preserve">to display the expiration date for OMB approval of the information collection, explain the reasons that display would be inappropriate. </w:t>
      </w:r>
    </w:p>
    <w:p w14:paraId="7C30C06B" w14:textId="77777777" w:rsidR="00EA78D2" w:rsidRPr="007215E9" w:rsidRDefault="00EA78D2" w:rsidP="00EA78D2">
      <w:pPr>
        <w:autoSpaceDE w:val="0"/>
        <w:autoSpaceDN w:val="0"/>
        <w:adjustRightInd w:val="0"/>
      </w:pPr>
    </w:p>
    <w:p w14:paraId="7552D3C9" w14:textId="6CD60C6C" w:rsidR="00060F24" w:rsidRPr="00417BE8" w:rsidRDefault="00060F24" w:rsidP="00060F24">
      <w:r w:rsidRPr="00417BE8">
        <w:t xml:space="preserve">ETA </w:t>
      </w:r>
      <w:r>
        <w:t xml:space="preserve">will display </w:t>
      </w:r>
      <w:r w:rsidRPr="00417BE8">
        <w:t>the OMB approval number and expiration date.</w:t>
      </w:r>
    </w:p>
    <w:p w14:paraId="0593BD3C" w14:textId="77777777" w:rsidR="004A1161" w:rsidRPr="007215E9" w:rsidRDefault="004A1161" w:rsidP="00EA78D2">
      <w:pPr>
        <w:autoSpaceDE w:val="0"/>
        <w:autoSpaceDN w:val="0"/>
        <w:adjustRightInd w:val="0"/>
      </w:pPr>
    </w:p>
    <w:p w14:paraId="0FCF59FA" w14:textId="77777777" w:rsidR="003F4C38" w:rsidRPr="007215E9" w:rsidRDefault="004B774D" w:rsidP="003F4C38">
      <w:pPr>
        <w:tabs>
          <w:tab w:val="right" w:pos="360"/>
        </w:tabs>
        <w:ind w:left="540" w:hanging="540"/>
        <w:rPr>
          <w:i/>
        </w:rPr>
      </w:pPr>
      <w:r w:rsidRPr="007215E9">
        <w:rPr>
          <w:i/>
        </w:rPr>
        <w:tab/>
      </w:r>
      <w:r w:rsidR="00EA78D2" w:rsidRPr="007215E9">
        <w:rPr>
          <w:i/>
        </w:rPr>
        <w:t>18.</w:t>
      </w:r>
      <w:r w:rsidRPr="007215E9">
        <w:rPr>
          <w:i/>
        </w:rPr>
        <w:tab/>
      </w:r>
      <w:r w:rsidR="00EA78D2" w:rsidRPr="007215E9">
        <w:rPr>
          <w:i/>
        </w:rPr>
        <w:t>Explain each exception to the topics of the certification statement identified in “Certification for Paperwork Reduction Act Submissions</w:t>
      </w:r>
      <w:r w:rsidR="00DA78FD">
        <w:rPr>
          <w:i/>
        </w:rPr>
        <w:t>.</w:t>
      </w:r>
      <w:r w:rsidR="00EA78D2" w:rsidRPr="007215E9">
        <w:rPr>
          <w:i/>
        </w:rPr>
        <w:t>”</w:t>
      </w:r>
    </w:p>
    <w:p w14:paraId="20BB819F" w14:textId="77777777" w:rsidR="003F4C38" w:rsidRDefault="003F4C38" w:rsidP="003F4C38">
      <w:pPr>
        <w:tabs>
          <w:tab w:val="right" w:pos="360"/>
        </w:tabs>
        <w:ind w:left="540" w:hanging="540"/>
        <w:rPr>
          <w:i/>
        </w:rPr>
      </w:pPr>
    </w:p>
    <w:p w14:paraId="54687445" w14:textId="77777777" w:rsidR="00DA78FD" w:rsidRPr="00BD0BD5" w:rsidRDefault="00DA78FD" w:rsidP="003F4C38">
      <w:pPr>
        <w:tabs>
          <w:tab w:val="right" w:pos="360"/>
        </w:tabs>
        <w:ind w:left="540" w:hanging="540"/>
      </w:pPr>
      <w:r>
        <w:t xml:space="preserve">DOL is not seeking any exception to the certification requirements.  </w:t>
      </w:r>
    </w:p>
    <w:p w14:paraId="46416E28" w14:textId="77777777" w:rsidR="00DA78FD" w:rsidRDefault="00DA78FD" w:rsidP="003F4C38">
      <w:pPr>
        <w:tabs>
          <w:tab w:val="right" w:pos="360"/>
        </w:tabs>
        <w:ind w:left="540" w:hanging="540"/>
        <w:rPr>
          <w:i/>
        </w:rPr>
      </w:pPr>
    </w:p>
    <w:p w14:paraId="572BCE5F" w14:textId="77777777" w:rsidR="00391D5E" w:rsidRPr="007215E9" w:rsidRDefault="00391D5E" w:rsidP="003F4C38">
      <w:pPr>
        <w:tabs>
          <w:tab w:val="right" w:pos="360"/>
        </w:tabs>
        <w:ind w:left="540" w:hanging="540"/>
        <w:rPr>
          <w:i/>
        </w:rPr>
      </w:pPr>
    </w:p>
    <w:p w14:paraId="4698E42F" w14:textId="77777777" w:rsidR="003F4C38" w:rsidRPr="007215E9" w:rsidRDefault="003F4C38" w:rsidP="003F4C38">
      <w:pPr>
        <w:tabs>
          <w:tab w:val="right" w:pos="360"/>
        </w:tabs>
        <w:ind w:left="540" w:hanging="540"/>
        <w:rPr>
          <w:i/>
        </w:rPr>
      </w:pPr>
      <w:r w:rsidRPr="007215E9">
        <w:rPr>
          <w:b/>
        </w:rPr>
        <w:t xml:space="preserve">B. </w:t>
      </w:r>
      <w:r w:rsidRPr="007215E9">
        <w:rPr>
          <w:b/>
        </w:rPr>
        <w:tab/>
      </w:r>
      <w:r w:rsidR="00C45047" w:rsidRPr="007215E9">
        <w:rPr>
          <w:b/>
        </w:rPr>
        <w:t>Collections of Information Employing Statistical Methods</w:t>
      </w:r>
    </w:p>
    <w:p w14:paraId="7276B876" w14:textId="77777777" w:rsidR="004A1161" w:rsidRPr="007215E9" w:rsidRDefault="004A1161" w:rsidP="00EA78D2"/>
    <w:p w14:paraId="4F8F7B74" w14:textId="77777777" w:rsidR="004A1161" w:rsidRDefault="004A1161" w:rsidP="00EA78D2">
      <w:r w:rsidRPr="007215E9">
        <w:t>This information col</w:t>
      </w:r>
      <w:r>
        <w:t>lection does not employ statistical methods.</w:t>
      </w:r>
    </w:p>
    <w:sectPr w:rsidR="004A1161">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2B0D1" w14:textId="77777777" w:rsidR="0093715A" w:rsidRDefault="0093715A" w:rsidP="00910252">
      <w:r>
        <w:separator/>
      </w:r>
    </w:p>
  </w:endnote>
  <w:endnote w:type="continuationSeparator" w:id="0">
    <w:p w14:paraId="08C99E83" w14:textId="77777777" w:rsidR="0093715A" w:rsidRDefault="0093715A" w:rsidP="00910252">
      <w:r>
        <w:continuationSeparator/>
      </w:r>
    </w:p>
  </w:endnote>
  <w:endnote w:type="continuationNotice" w:id="1">
    <w:p w14:paraId="65F1BABD" w14:textId="77777777" w:rsidR="0093715A" w:rsidRDefault="00937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_sans_pro_regular">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91309" w14:textId="72E50F59" w:rsidR="00743477" w:rsidRDefault="00743477">
    <w:pPr>
      <w:pStyle w:val="Footer"/>
      <w:jc w:val="center"/>
    </w:pPr>
    <w:r>
      <w:fldChar w:fldCharType="begin"/>
    </w:r>
    <w:r>
      <w:instrText xml:space="preserve"> PAGE   \* MERGEFORMAT </w:instrText>
    </w:r>
    <w:r>
      <w:fldChar w:fldCharType="separate"/>
    </w:r>
    <w:r w:rsidR="00144650">
      <w:rPr>
        <w:noProof/>
      </w:rPr>
      <w:t>1</w:t>
    </w:r>
    <w:r>
      <w:rPr>
        <w:noProof/>
      </w:rPr>
      <w:fldChar w:fldCharType="end"/>
    </w:r>
  </w:p>
  <w:p w14:paraId="446C1922" w14:textId="77777777" w:rsidR="00743477" w:rsidRDefault="007434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25F372" w14:textId="77777777" w:rsidR="0093715A" w:rsidRDefault="0093715A" w:rsidP="00910252">
      <w:r>
        <w:separator/>
      </w:r>
    </w:p>
  </w:footnote>
  <w:footnote w:type="continuationSeparator" w:id="0">
    <w:p w14:paraId="1566A47E" w14:textId="77777777" w:rsidR="0093715A" w:rsidRDefault="0093715A" w:rsidP="00910252">
      <w:r>
        <w:continuationSeparator/>
      </w:r>
    </w:p>
  </w:footnote>
  <w:footnote w:type="continuationNotice" w:id="1">
    <w:p w14:paraId="1A4660A9" w14:textId="77777777" w:rsidR="0093715A" w:rsidRDefault="0093715A"/>
  </w:footnote>
  <w:footnote w:id="2">
    <w:p w14:paraId="45829B6C" w14:textId="3A26CCAC" w:rsidR="00151A91" w:rsidRDefault="00151A91">
      <w:pPr>
        <w:pStyle w:val="FootnoteText"/>
      </w:pPr>
      <w:r>
        <w:rPr>
          <w:rStyle w:val="FootnoteReference"/>
        </w:rPr>
        <w:footnoteRef/>
      </w:r>
      <w:r>
        <w:t xml:space="preserve"> </w:t>
      </w:r>
      <w:r w:rsidRPr="00776F28">
        <w:rPr>
          <w:i/>
        </w:rPr>
        <w:t>See</w:t>
      </w:r>
      <w:r>
        <w:t xml:space="preserve"> </w:t>
      </w:r>
      <w:hyperlink r:id="rId1" w:history="1">
        <w:r w:rsidRPr="00151A91">
          <w:rPr>
            <w:rStyle w:val="Hyperlink"/>
          </w:rPr>
          <w:t>National Defense Authorization Act for Fiscal Year 2019</w:t>
        </w:r>
      </w:hyperlink>
      <w:r>
        <w:t xml:space="preserve">, </w:t>
      </w:r>
      <w:r w:rsidRPr="00151A91">
        <w:t xml:space="preserve">which allows certain H-2B workers </w:t>
      </w:r>
      <w:r w:rsidR="00944319">
        <w:t>i</w:t>
      </w:r>
      <w:r w:rsidRPr="00151A91">
        <w:t>n Guam and in the Commonwealth of the Northern Mariana Islands (CNMI) to qualify for an exemption to the “temporary need” requirement if they begin employment on or before Dec. 30, 2023.</w:t>
      </w:r>
    </w:p>
  </w:footnote>
  <w:footnote w:id="3">
    <w:p w14:paraId="2A645C73" w14:textId="480A0006" w:rsidR="008B0E0F" w:rsidRDefault="008B0E0F">
      <w:pPr>
        <w:pStyle w:val="FootnoteText"/>
      </w:pPr>
      <w:r>
        <w:rPr>
          <w:rStyle w:val="FootnoteReference"/>
        </w:rPr>
        <w:footnoteRef/>
      </w:r>
      <w:r>
        <w:t xml:space="preserve"> </w:t>
      </w:r>
      <w:r w:rsidRPr="00FC2C93">
        <w:rPr>
          <w:i/>
        </w:rPr>
        <w:t>See</w:t>
      </w:r>
      <w:r>
        <w:t xml:space="preserve"> </w:t>
      </w:r>
      <w:hyperlink r:id="rId2" w:history="1">
        <w:r w:rsidRPr="00FA11F7">
          <w:rPr>
            <w:rStyle w:val="Hyperlink"/>
          </w:rPr>
          <w:t>https://www.uscis.gov/working-united-states/temporary-workers/temporary-increase-h-2b-nonimmigrant-visas-fy-2019</w:t>
        </w:r>
      </w:hyperlink>
      <w:r>
        <w:t xml:space="preserve">.  </w:t>
      </w:r>
    </w:p>
  </w:footnote>
  <w:footnote w:id="4">
    <w:p w14:paraId="4AE38B83" w14:textId="46A08B8B" w:rsidR="00743477" w:rsidRDefault="00743477">
      <w:pPr>
        <w:pStyle w:val="FootnoteText"/>
      </w:pPr>
      <w:r>
        <w:rPr>
          <w:rStyle w:val="FootnoteReference"/>
        </w:rPr>
        <w:footnoteRef/>
      </w:r>
      <w:r>
        <w:t xml:space="preserve"> Office of Management and Budget Memorandum “Reducing Reporting and Paperwork Burden” (June 22, 2012), </w:t>
      </w:r>
      <w:hyperlink r:id="rId3" w:history="1">
        <w:r w:rsidRPr="00484404">
          <w:rPr>
            <w:rStyle w:val="Hyperlink"/>
          </w:rPr>
          <w:t>https://obamawhitehouse.archives.gov/sites/default/files/omb/inforeg/memos/reducing-reporting-and-paperwork-burdens.pdf</w:t>
        </w:r>
      </w:hyperlink>
      <w:r>
        <w:t xml:space="preserve">. </w:t>
      </w:r>
    </w:p>
  </w:footnote>
  <w:footnote w:id="5">
    <w:p w14:paraId="166C0AC4" w14:textId="34BCF048" w:rsidR="00743477" w:rsidRPr="006973A9" w:rsidRDefault="00743477" w:rsidP="002B2C9A">
      <w:pPr>
        <w:pStyle w:val="FootnoteText"/>
        <w:spacing w:after="120"/>
      </w:pPr>
      <w:r w:rsidRPr="009F4FF6">
        <w:rPr>
          <w:rStyle w:val="FootnoteReference"/>
        </w:rPr>
        <w:footnoteRef/>
      </w:r>
      <w:r w:rsidRPr="006973A9">
        <w:t xml:space="preserve"> Calculation:  </w:t>
      </w:r>
      <w:r>
        <w:t>$46.49 (average</w:t>
      </w:r>
      <w:r w:rsidRPr="006973A9">
        <w:t xml:space="preserve"> per hour wage for an HR specialist</w:t>
      </w:r>
      <w:r>
        <w:t xml:space="preserve">) </w:t>
      </w:r>
      <w:r w:rsidR="00AF688D">
        <w:t>×</w:t>
      </w:r>
      <w:r w:rsidRPr="006973A9">
        <w:t xml:space="preserve"> </w:t>
      </w:r>
      <w:r>
        <w:t>0.75</w:t>
      </w:r>
      <w:r w:rsidRPr="006973A9">
        <w:t xml:space="preserve"> </w:t>
      </w:r>
      <w:r>
        <w:t>(</w:t>
      </w:r>
      <w:r w:rsidRPr="006973A9">
        <w:t>time burden for the new attestation form</w:t>
      </w:r>
      <w:r>
        <w:t xml:space="preserve"> and notifying third parties and retaining records related to the returning worker requirements) </w:t>
      </w:r>
      <w:r w:rsidRPr="006973A9">
        <w:t>= $</w:t>
      </w:r>
      <w:r>
        <w:t>34.87</w:t>
      </w:r>
      <w:r w:rsidRPr="006973A9">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33CDD" w14:textId="01E8B972" w:rsidR="00743477" w:rsidRDefault="00743477" w:rsidP="007215E9">
    <w:pPr>
      <w:tabs>
        <w:tab w:val="center" w:pos="4680"/>
        <w:tab w:val="right" w:pos="9360"/>
      </w:tabs>
      <w:rPr>
        <w:rFonts w:cs="Arial"/>
        <w:sz w:val="20"/>
        <w:szCs w:val="20"/>
      </w:rPr>
    </w:pPr>
    <w:r w:rsidRPr="007215E9">
      <w:rPr>
        <w:rFonts w:cs="Arial"/>
        <w:sz w:val="20"/>
        <w:szCs w:val="20"/>
      </w:rPr>
      <w:t xml:space="preserve">Attestation for Employers Seeking to Employ H-2B Nonimmigrant Workers Under Section </w:t>
    </w:r>
    <w:r w:rsidR="00944319">
      <w:rPr>
        <w:rFonts w:cs="Arial"/>
        <w:sz w:val="20"/>
        <w:szCs w:val="20"/>
      </w:rPr>
      <w:t>1</w:t>
    </w:r>
    <w:r w:rsidRPr="007215E9">
      <w:rPr>
        <w:rFonts w:cs="Arial"/>
        <w:sz w:val="20"/>
        <w:szCs w:val="20"/>
      </w:rPr>
      <w:t xml:space="preserve">05 of Division </w:t>
    </w:r>
    <w:r w:rsidR="00944319">
      <w:rPr>
        <w:rFonts w:cs="Arial"/>
        <w:sz w:val="20"/>
        <w:szCs w:val="20"/>
      </w:rPr>
      <w:t>H</w:t>
    </w:r>
    <w:r w:rsidR="00944319" w:rsidRPr="007215E9">
      <w:rPr>
        <w:rFonts w:cs="Arial"/>
        <w:sz w:val="20"/>
        <w:szCs w:val="20"/>
      </w:rPr>
      <w:t xml:space="preserve"> </w:t>
    </w:r>
    <w:r w:rsidRPr="007215E9">
      <w:rPr>
        <w:rFonts w:cs="Arial"/>
        <w:sz w:val="20"/>
        <w:szCs w:val="20"/>
      </w:rPr>
      <w:t>of the Consolidated Appropriations Act, 201</w:t>
    </w:r>
    <w:r w:rsidR="00944319">
      <w:rPr>
        <w:rFonts w:cs="Arial"/>
        <w:sz w:val="20"/>
        <w:szCs w:val="20"/>
      </w:rPr>
      <w:t>9</w:t>
    </w:r>
    <w:r w:rsidRPr="00135F26">
      <w:rPr>
        <w:rFonts w:cs="Arial"/>
        <w:sz w:val="20"/>
        <w:szCs w:val="20"/>
      </w:rPr>
      <w:t>, Public Law 11</w:t>
    </w:r>
    <w:r>
      <w:rPr>
        <w:rFonts w:cs="Arial"/>
        <w:sz w:val="20"/>
        <w:szCs w:val="20"/>
      </w:rPr>
      <w:t>6-6 (February 15, 2019)</w:t>
    </w:r>
  </w:p>
  <w:p w14:paraId="0042D895" w14:textId="35E65254" w:rsidR="00743477" w:rsidRDefault="00743477" w:rsidP="007215E9">
    <w:pPr>
      <w:tabs>
        <w:tab w:val="center" w:pos="4680"/>
        <w:tab w:val="right" w:pos="9360"/>
      </w:tabs>
      <w:rPr>
        <w:rFonts w:cs="Arial"/>
        <w:sz w:val="20"/>
        <w:szCs w:val="20"/>
      </w:rPr>
    </w:pPr>
    <w:r>
      <w:rPr>
        <w:rFonts w:cs="Arial"/>
        <w:sz w:val="20"/>
        <w:szCs w:val="20"/>
      </w:rPr>
      <w:t xml:space="preserve">OMB Control Number: 1205-0535 </w:t>
    </w:r>
  </w:p>
  <w:p w14:paraId="1F7B8DFE" w14:textId="581F0C46" w:rsidR="00743477" w:rsidRDefault="00827D0A" w:rsidP="007215E9">
    <w:pPr>
      <w:tabs>
        <w:tab w:val="center" w:pos="4680"/>
        <w:tab w:val="right" w:pos="9360"/>
      </w:tabs>
      <w:rPr>
        <w:rFonts w:cs="Arial"/>
        <w:sz w:val="20"/>
        <w:szCs w:val="20"/>
      </w:rPr>
    </w:pPr>
    <w:r>
      <w:rPr>
        <w:rFonts w:cs="Arial"/>
        <w:sz w:val="20"/>
        <w:szCs w:val="20"/>
      </w:rPr>
      <w:t xml:space="preserve">November </w:t>
    </w:r>
    <w:r w:rsidR="00743477">
      <w:rPr>
        <w:rFonts w:cs="Arial"/>
        <w:sz w:val="20"/>
        <w:szCs w:val="20"/>
      </w:rPr>
      <w:t>2019</w:t>
    </w:r>
  </w:p>
  <w:p w14:paraId="5B6CDFBA" w14:textId="74BC688F" w:rsidR="00743477" w:rsidRPr="007215E9" w:rsidRDefault="00743477" w:rsidP="005867B2">
    <w:pPr>
      <w:tabs>
        <w:tab w:val="center" w:pos="4680"/>
        <w:tab w:val="right" w:pos="9360"/>
      </w:tabs>
      <w:rPr>
        <w:sz w:val="20"/>
        <w:szCs w:val="20"/>
      </w:rPr>
    </w:pPr>
  </w:p>
  <w:p w14:paraId="7ACFCB18" w14:textId="77777777" w:rsidR="00743477" w:rsidRDefault="00743477" w:rsidP="00D45FEA">
    <w:pPr>
      <w:pStyle w:val="Header"/>
      <w:tabs>
        <w:tab w:val="clear" w:pos="4680"/>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F5172"/>
    <w:multiLevelType w:val="hybridMultilevel"/>
    <w:tmpl w:val="9828BC24"/>
    <w:lvl w:ilvl="0" w:tplc="0409000F">
      <w:start w:val="1"/>
      <w:numFmt w:val="decimal"/>
      <w:lvlText w:val="%1."/>
      <w:lvlJc w:val="left"/>
      <w:pPr>
        <w:tabs>
          <w:tab w:val="num" w:pos="1350"/>
        </w:tabs>
        <w:ind w:left="1350" w:hanging="360"/>
      </w:p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start w:val="1"/>
      <w:numFmt w:val="lowerRoman"/>
      <w:lvlText w:val="%6."/>
      <w:lvlJc w:val="right"/>
      <w:pPr>
        <w:tabs>
          <w:tab w:val="num" w:pos="4950"/>
        </w:tabs>
        <w:ind w:left="4950" w:hanging="180"/>
      </w:pPr>
    </w:lvl>
    <w:lvl w:ilvl="6" w:tplc="0409000F">
      <w:start w:val="1"/>
      <w:numFmt w:val="decimal"/>
      <w:lvlText w:val="%7."/>
      <w:lvlJc w:val="left"/>
      <w:pPr>
        <w:tabs>
          <w:tab w:val="num" w:pos="5670"/>
        </w:tabs>
        <w:ind w:left="5670" w:hanging="360"/>
      </w:pPr>
    </w:lvl>
    <w:lvl w:ilvl="7" w:tplc="04090019">
      <w:start w:val="1"/>
      <w:numFmt w:val="lowerLetter"/>
      <w:lvlText w:val="%8."/>
      <w:lvlJc w:val="left"/>
      <w:pPr>
        <w:tabs>
          <w:tab w:val="num" w:pos="6390"/>
        </w:tabs>
        <w:ind w:left="6390" w:hanging="360"/>
      </w:pPr>
    </w:lvl>
    <w:lvl w:ilvl="8" w:tplc="0409001B">
      <w:start w:val="1"/>
      <w:numFmt w:val="lowerRoman"/>
      <w:lvlText w:val="%9."/>
      <w:lvlJc w:val="right"/>
      <w:pPr>
        <w:tabs>
          <w:tab w:val="num" w:pos="7110"/>
        </w:tabs>
        <w:ind w:left="7110" w:hanging="180"/>
      </w:pPr>
    </w:lvl>
  </w:abstractNum>
  <w:abstractNum w:abstractNumId="1">
    <w:nsid w:val="7FD327B9"/>
    <w:multiLevelType w:val="hybridMultilevel"/>
    <w:tmpl w:val="523AE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8D2"/>
    <w:rsid w:val="00004579"/>
    <w:rsid w:val="000057B0"/>
    <w:rsid w:val="00007B45"/>
    <w:rsid w:val="000159E8"/>
    <w:rsid w:val="00022BBB"/>
    <w:rsid w:val="0002623C"/>
    <w:rsid w:val="00030C24"/>
    <w:rsid w:val="00030FA0"/>
    <w:rsid w:val="00031030"/>
    <w:rsid w:val="0003209A"/>
    <w:rsid w:val="00035B75"/>
    <w:rsid w:val="0004361D"/>
    <w:rsid w:val="00046FF1"/>
    <w:rsid w:val="000546FA"/>
    <w:rsid w:val="000561A2"/>
    <w:rsid w:val="00057D18"/>
    <w:rsid w:val="00060800"/>
    <w:rsid w:val="00060F24"/>
    <w:rsid w:val="000648C0"/>
    <w:rsid w:val="0007044E"/>
    <w:rsid w:val="00070DC2"/>
    <w:rsid w:val="000758C0"/>
    <w:rsid w:val="00084CF7"/>
    <w:rsid w:val="0009654D"/>
    <w:rsid w:val="000A34E0"/>
    <w:rsid w:val="000C0E05"/>
    <w:rsid w:val="000C4804"/>
    <w:rsid w:val="000C485C"/>
    <w:rsid w:val="000F7140"/>
    <w:rsid w:val="001050AF"/>
    <w:rsid w:val="00105D58"/>
    <w:rsid w:val="001060AD"/>
    <w:rsid w:val="001134D1"/>
    <w:rsid w:val="00116BCA"/>
    <w:rsid w:val="001241CD"/>
    <w:rsid w:val="00125178"/>
    <w:rsid w:val="001264CB"/>
    <w:rsid w:val="00131272"/>
    <w:rsid w:val="0013412D"/>
    <w:rsid w:val="00134398"/>
    <w:rsid w:val="00134742"/>
    <w:rsid w:val="00134CF0"/>
    <w:rsid w:val="00135490"/>
    <w:rsid w:val="00135F26"/>
    <w:rsid w:val="00144650"/>
    <w:rsid w:val="00146907"/>
    <w:rsid w:val="00151A91"/>
    <w:rsid w:val="00154AD6"/>
    <w:rsid w:val="00161546"/>
    <w:rsid w:val="00165724"/>
    <w:rsid w:val="00166458"/>
    <w:rsid w:val="0017136D"/>
    <w:rsid w:val="00185AF6"/>
    <w:rsid w:val="00186A29"/>
    <w:rsid w:val="00192C73"/>
    <w:rsid w:val="001A4AF3"/>
    <w:rsid w:val="001A7B43"/>
    <w:rsid w:val="001B5B96"/>
    <w:rsid w:val="001C050B"/>
    <w:rsid w:val="001C1EE9"/>
    <w:rsid w:val="001C679E"/>
    <w:rsid w:val="001C795C"/>
    <w:rsid w:val="001D1679"/>
    <w:rsid w:val="001D1EBD"/>
    <w:rsid w:val="001E5025"/>
    <w:rsid w:val="001E721D"/>
    <w:rsid w:val="001F1966"/>
    <w:rsid w:val="002001E2"/>
    <w:rsid w:val="00205FE0"/>
    <w:rsid w:val="00206A8A"/>
    <w:rsid w:val="00206AEE"/>
    <w:rsid w:val="00216406"/>
    <w:rsid w:val="002221A7"/>
    <w:rsid w:val="0023127D"/>
    <w:rsid w:val="00236926"/>
    <w:rsid w:val="00241E77"/>
    <w:rsid w:val="00244C12"/>
    <w:rsid w:val="00251031"/>
    <w:rsid w:val="00251630"/>
    <w:rsid w:val="00253237"/>
    <w:rsid w:val="0025593F"/>
    <w:rsid w:val="00273596"/>
    <w:rsid w:val="002810D1"/>
    <w:rsid w:val="002862D6"/>
    <w:rsid w:val="00287FD0"/>
    <w:rsid w:val="0029478C"/>
    <w:rsid w:val="002A3032"/>
    <w:rsid w:val="002A3D50"/>
    <w:rsid w:val="002A5370"/>
    <w:rsid w:val="002B09BA"/>
    <w:rsid w:val="002B235F"/>
    <w:rsid w:val="002B2C9A"/>
    <w:rsid w:val="002B5D8B"/>
    <w:rsid w:val="002B7C06"/>
    <w:rsid w:val="002C0239"/>
    <w:rsid w:val="002C65A9"/>
    <w:rsid w:val="002C6EAC"/>
    <w:rsid w:val="002D2702"/>
    <w:rsid w:val="002D46EB"/>
    <w:rsid w:val="002D7A2B"/>
    <w:rsid w:val="002E19CF"/>
    <w:rsid w:val="002E445D"/>
    <w:rsid w:val="002F37AD"/>
    <w:rsid w:val="002F46B2"/>
    <w:rsid w:val="0030102D"/>
    <w:rsid w:val="00304A8D"/>
    <w:rsid w:val="00305B44"/>
    <w:rsid w:val="00306C42"/>
    <w:rsid w:val="00311025"/>
    <w:rsid w:val="003134D8"/>
    <w:rsid w:val="003141A7"/>
    <w:rsid w:val="00316A22"/>
    <w:rsid w:val="0032260F"/>
    <w:rsid w:val="0032571B"/>
    <w:rsid w:val="00334282"/>
    <w:rsid w:val="00340A74"/>
    <w:rsid w:val="00340C3F"/>
    <w:rsid w:val="003534D7"/>
    <w:rsid w:val="003541A5"/>
    <w:rsid w:val="0036017E"/>
    <w:rsid w:val="003626D9"/>
    <w:rsid w:val="003628B1"/>
    <w:rsid w:val="00362E5D"/>
    <w:rsid w:val="003669DA"/>
    <w:rsid w:val="00386467"/>
    <w:rsid w:val="00391900"/>
    <w:rsid w:val="00391D5E"/>
    <w:rsid w:val="00393520"/>
    <w:rsid w:val="00393677"/>
    <w:rsid w:val="003A364C"/>
    <w:rsid w:val="003A5B19"/>
    <w:rsid w:val="003A75F2"/>
    <w:rsid w:val="003B03B9"/>
    <w:rsid w:val="003B0A7A"/>
    <w:rsid w:val="003B384D"/>
    <w:rsid w:val="003B58F9"/>
    <w:rsid w:val="003D09D5"/>
    <w:rsid w:val="003D6938"/>
    <w:rsid w:val="003F016E"/>
    <w:rsid w:val="003F4C38"/>
    <w:rsid w:val="004016A5"/>
    <w:rsid w:val="004204FF"/>
    <w:rsid w:val="00431234"/>
    <w:rsid w:val="00431F3D"/>
    <w:rsid w:val="00436249"/>
    <w:rsid w:val="00443879"/>
    <w:rsid w:val="00445A27"/>
    <w:rsid w:val="00450EEE"/>
    <w:rsid w:val="00452699"/>
    <w:rsid w:val="00456B9A"/>
    <w:rsid w:val="0046333B"/>
    <w:rsid w:val="00463C92"/>
    <w:rsid w:val="00466045"/>
    <w:rsid w:val="00467037"/>
    <w:rsid w:val="0047128A"/>
    <w:rsid w:val="004745C6"/>
    <w:rsid w:val="00484230"/>
    <w:rsid w:val="00484671"/>
    <w:rsid w:val="00487895"/>
    <w:rsid w:val="004915FD"/>
    <w:rsid w:val="00491D0A"/>
    <w:rsid w:val="00496A25"/>
    <w:rsid w:val="004A1161"/>
    <w:rsid w:val="004A264B"/>
    <w:rsid w:val="004A302F"/>
    <w:rsid w:val="004B46BA"/>
    <w:rsid w:val="004B774D"/>
    <w:rsid w:val="004C4378"/>
    <w:rsid w:val="004C49EC"/>
    <w:rsid w:val="004C6DD5"/>
    <w:rsid w:val="004D525C"/>
    <w:rsid w:val="004D5B7F"/>
    <w:rsid w:val="004E19FD"/>
    <w:rsid w:val="004E28BC"/>
    <w:rsid w:val="004E3C16"/>
    <w:rsid w:val="004E4019"/>
    <w:rsid w:val="004F02A7"/>
    <w:rsid w:val="00501E7D"/>
    <w:rsid w:val="00502ACA"/>
    <w:rsid w:val="005129C8"/>
    <w:rsid w:val="0052176B"/>
    <w:rsid w:val="0053654D"/>
    <w:rsid w:val="0055107E"/>
    <w:rsid w:val="00554FBC"/>
    <w:rsid w:val="005602FA"/>
    <w:rsid w:val="00562959"/>
    <w:rsid w:val="00563FA6"/>
    <w:rsid w:val="00565141"/>
    <w:rsid w:val="005705AB"/>
    <w:rsid w:val="0057470A"/>
    <w:rsid w:val="005749F8"/>
    <w:rsid w:val="005750CA"/>
    <w:rsid w:val="005820D2"/>
    <w:rsid w:val="00582534"/>
    <w:rsid w:val="00585F92"/>
    <w:rsid w:val="00586168"/>
    <w:rsid w:val="005867B2"/>
    <w:rsid w:val="0058705E"/>
    <w:rsid w:val="00590764"/>
    <w:rsid w:val="0059126D"/>
    <w:rsid w:val="00591843"/>
    <w:rsid w:val="005A2453"/>
    <w:rsid w:val="005B5C3B"/>
    <w:rsid w:val="005B607F"/>
    <w:rsid w:val="005C1E35"/>
    <w:rsid w:val="005C59BA"/>
    <w:rsid w:val="005C756D"/>
    <w:rsid w:val="005D6605"/>
    <w:rsid w:val="005E34D2"/>
    <w:rsid w:val="005E3ABF"/>
    <w:rsid w:val="005F5E1C"/>
    <w:rsid w:val="0060082F"/>
    <w:rsid w:val="00601257"/>
    <w:rsid w:val="006022CA"/>
    <w:rsid w:val="006042E2"/>
    <w:rsid w:val="00612412"/>
    <w:rsid w:val="006141FF"/>
    <w:rsid w:val="0062551D"/>
    <w:rsid w:val="00626EB3"/>
    <w:rsid w:val="00632B1B"/>
    <w:rsid w:val="006414D4"/>
    <w:rsid w:val="00644ECF"/>
    <w:rsid w:val="00650DFD"/>
    <w:rsid w:val="006523B9"/>
    <w:rsid w:val="00652D75"/>
    <w:rsid w:val="0066182C"/>
    <w:rsid w:val="0066515C"/>
    <w:rsid w:val="0067304B"/>
    <w:rsid w:val="00674CB6"/>
    <w:rsid w:val="00681457"/>
    <w:rsid w:val="006827E6"/>
    <w:rsid w:val="00682F58"/>
    <w:rsid w:val="00684676"/>
    <w:rsid w:val="00684DF3"/>
    <w:rsid w:val="00685CB7"/>
    <w:rsid w:val="00685F48"/>
    <w:rsid w:val="00690098"/>
    <w:rsid w:val="006919FC"/>
    <w:rsid w:val="0069256F"/>
    <w:rsid w:val="00697FEC"/>
    <w:rsid w:val="006A7544"/>
    <w:rsid w:val="006B2F31"/>
    <w:rsid w:val="006B5164"/>
    <w:rsid w:val="006B6172"/>
    <w:rsid w:val="006B6989"/>
    <w:rsid w:val="006C133A"/>
    <w:rsid w:val="006C6A59"/>
    <w:rsid w:val="006D1CF3"/>
    <w:rsid w:val="006E5201"/>
    <w:rsid w:val="006F484C"/>
    <w:rsid w:val="006F60BA"/>
    <w:rsid w:val="006F786A"/>
    <w:rsid w:val="007020C1"/>
    <w:rsid w:val="00702701"/>
    <w:rsid w:val="00706C54"/>
    <w:rsid w:val="00706EC4"/>
    <w:rsid w:val="007204ED"/>
    <w:rsid w:val="00720AA4"/>
    <w:rsid w:val="007215E9"/>
    <w:rsid w:val="00732B73"/>
    <w:rsid w:val="0073598F"/>
    <w:rsid w:val="007428E4"/>
    <w:rsid w:val="00743477"/>
    <w:rsid w:val="007561B7"/>
    <w:rsid w:val="00765394"/>
    <w:rsid w:val="00767372"/>
    <w:rsid w:val="00774C84"/>
    <w:rsid w:val="00775B36"/>
    <w:rsid w:val="00775E99"/>
    <w:rsid w:val="00776F28"/>
    <w:rsid w:val="00777339"/>
    <w:rsid w:val="00777D3F"/>
    <w:rsid w:val="00781979"/>
    <w:rsid w:val="00793C8C"/>
    <w:rsid w:val="0079548C"/>
    <w:rsid w:val="0079765B"/>
    <w:rsid w:val="007A58DE"/>
    <w:rsid w:val="007B38F0"/>
    <w:rsid w:val="007C66EB"/>
    <w:rsid w:val="007D3B89"/>
    <w:rsid w:val="007D7863"/>
    <w:rsid w:val="007F12A0"/>
    <w:rsid w:val="007F155F"/>
    <w:rsid w:val="0080031A"/>
    <w:rsid w:val="00802939"/>
    <w:rsid w:val="00806E0C"/>
    <w:rsid w:val="008138F3"/>
    <w:rsid w:val="00813ABE"/>
    <w:rsid w:val="00815047"/>
    <w:rsid w:val="00816A17"/>
    <w:rsid w:val="00827D0A"/>
    <w:rsid w:val="00844C76"/>
    <w:rsid w:val="00845153"/>
    <w:rsid w:val="00851258"/>
    <w:rsid w:val="008577C7"/>
    <w:rsid w:val="00857CC2"/>
    <w:rsid w:val="00867271"/>
    <w:rsid w:val="00891A37"/>
    <w:rsid w:val="008A07F2"/>
    <w:rsid w:val="008A2034"/>
    <w:rsid w:val="008A4645"/>
    <w:rsid w:val="008B0E0F"/>
    <w:rsid w:val="008B1787"/>
    <w:rsid w:val="008B2691"/>
    <w:rsid w:val="008B4CFB"/>
    <w:rsid w:val="008B7321"/>
    <w:rsid w:val="008C7834"/>
    <w:rsid w:val="008F2FCD"/>
    <w:rsid w:val="008F4D44"/>
    <w:rsid w:val="008F55E7"/>
    <w:rsid w:val="00903120"/>
    <w:rsid w:val="00904938"/>
    <w:rsid w:val="00910252"/>
    <w:rsid w:val="00911F49"/>
    <w:rsid w:val="00912C45"/>
    <w:rsid w:val="00916213"/>
    <w:rsid w:val="0093388E"/>
    <w:rsid w:val="009368B9"/>
    <w:rsid w:val="0093715A"/>
    <w:rsid w:val="00944319"/>
    <w:rsid w:val="00946FB2"/>
    <w:rsid w:val="00953421"/>
    <w:rsid w:val="009539B2"/>
    <w:rsid w:val="00961857"/>
    <w:rsid w:val="00961B13"/>
    <w:rsid w:val="00962C2C"/>
    <w:rsid w:val="0096557F"/>
    <w:rsid w:val="00971F44"/>
    <w:rsid w:val="00973762"/>
    <w:rsid w:val="00973CD5"/>
    <w:rsid w:val="009755B9"/>
    <w:rsid w:val="00981388"/>
    <w:rsid w:val="00982A79"/>
    <w:rsid w:val="00985835"/>
    <w:rsid w:val="00995D23"/>
    <w:rsid w:val="00996590"/>
    <w:rsid w:val="00997039"/>
    <w:rsid w:val="009B2DAF"/>
    <w:rsid w:val="009B5E5C"/>
    <w:rsid w:val="009C0439"/>
    <w:rsid w:val="009C55B2"/>
    <w:rsid w:val="009D2A30"/>
    <w:rsid w:val="009E07B9"/>
    <w:rsid w:val="00A02EB6"/>
    <w:rsid w:val="00A13E99"/>
    <w:rsid w:val="00A1505E"/>
    <w:rsid w:val="00A171C6"/>
    <w:rsid w:val="00A2213F"/>
    <w:rsid w:val="00A251BC"/>
    <w:rsid w:val="00A31935"/>
    <w:rsid w:val="00A31DCE"/>
    <w:rsid w:val="00A35527"/>
    <w:rsid w:val="00A35CA9"/>
    <w:rsid w:val="00A406A3"/>
    <w:rsid w:val="00A41439"/>
    <w:rsid w:val="00A41F16"/>
    <w:rsid w:val="00A65ADF"/>
    <w:rsid w:val="00A67823"/>
    <w:rsid w:val="00A705A4"/>
    <w:rsid w:val="00A80678"/>
    <w:rsid w:val="00A84688"/>
    <w:rsid w:val="00A91BD5"/>
    <w:rsid w:val="00AA19D3"/>
    <w:rsid w:val="00AA6084"/>
    <w:rsid w:val="00AA6ACF"/>
    <w:rsid w:val="00AC7FC9"/>
    <w:rsid w:val="00AE00C4"/>
    <w:rsid w:val="00AE4EDD"/>
    <w:rsid w:val="00AE7916"/>
    <w:rsid w:val="00AF30EC"/>
    <w:rsid w:val="00AF378E"/>
    <w:rsid w:val="00AF5C63"/>
    <w:rsid w:val="00AF688D"/>
    <w:rsid w:val="00AF7F80"/>
    <w:rsid w:val="00B10FD7"/>
    <w:rsid w:val="00B12197"/>
    <w:rsid w:val="00B16879"/>
    <w:rsid w:val="00B216B3"/>
    <w:rsid w:val="00B267F1"/>
    <w:rsid w:val="00B30EE4"/>
    <w:rsid w:val="00B33B7C"/>
    <w:rsid w:val="00B43D81"/>
    <w:rsid w:val="00B57D5D"/>
    <w:rsid w:val="00B649E9"/>
    <w:rsid w:val="00B6510E"/>
    <w:rsid w:val="00B66C30"/>
    <w:rsid w:val="00B93B2D"/>
    <w:rsid w:val="00B96C02"/>
    <w:rsid w:val="00BA0D7C"/>
    <w:rsid w:val="00BA6848"/>
    <w:rsid w:val="00BC04C7"/>
    <w:rsid w:val="00BC5A9A"/>
    <w:rsid w:val="00BC69AE"/>
    <w:rsid w:val="00BD0BD5"/>
    <w:rsid w:val="00BD6ED5"/>
    <w:rsid w:val="00BE0EBB"/>
    <w:rsid w:val="00BE38F5"/>
    <w:rsid w:val="00BE616A"/>
    <w:rsid w:val="00BF2A59"/>
    <w:rsid w:val="00BF60A0"/>
    <w:rsid w:val="00C0012C"/>
    <w:rsid w:val="00C00D0F"/>
    <w:rsid w:val="00C02868"/>
    <w:rsid w:val="00C07983"/>
    <w:rsid w:val="00C13A7F"/>
    <w:rsid w:val="00C239F6"/>
    <w:rsid w:val="00C30A42"/>
    <w:rsid w:val="00C372C5"/>
    <w:rsid w:val="00C37972"/>
    <w:rsid w:val="00C44891"/>
    <w:rsid w:val="00C45047"/>
    <w:rsid w:val="00C515DD"/>
    <w:rsid w:val="00C52BA5"/>
    <w:rsid w:val="00C5669B"/>
    <w:rsid w:val="00C729C2"/>
    <w:rsid w:val="00C92FA7"/>
    <w:rsid w:val="00CA1065"/>
    <w:rsid w:val="00CA228C"/>
    <w:rsid w:val="00CA2AC5"/>
    <w:rsid w:val="00CB38EE"/>
    <w:rsid w:val="00CB5357"/>
    <w:rsid w:val="00CC0200"/>
    <w:rsid w:val="00CC5C4E"/>
    <w:rsid w:val="00CC7B29"/>
    <w:rsid w:val="00CD3B9F"/>
    <w:rsid w:val="00CE7A6B"/>
    <w:rsid w:val="00CF10D4"/>
    <w:rsid w:val="00CF2831"/>
    <w:rsid w:val="00CF5302"/>
    <w:rsid w:val="00CF53C0"/>
    <w:rsid w:val="00D0452F"/>
    <w:rsid w:val="00D05495"/>
    <w:rsid w:val="00D07DAB"/>
    <w:rsid w:val="00D21F2A"/>
    <w:rsid w:val="00D3545C"/>
    <w:rsid w:val="00D359AE"/>
    <w:rsid w:val="00D438CF"/>
    <w:rsid w:val="00D45FEA"/>
    <w:rsid w:val="00D53849"/>
    <w:rsid w:val="00D56365"/>
    <w:rsid w:val="00D74678"/>
    <w:rsid w:val="00D761E3"/>
    <w:rsid w:val="00D849DA"/>
    <w:rsid w:val="00D84DF5"/>
    <w:rsid w:val="00D95C5F"/>
    <w:rsid w:val="00D971F1"/>
    <w:rsid w:val="00DA78FD"/>
    <w:rsid w:val="00DB444E"/>
    <w:rsid w:val="00DB6024"/>
    <w:rsid w:val="00DB6398"/>
    <w:rsid w:val="00DB6D21"/>
    <w:rsid w:val="00DC067D"/>
    <w:rsid w:val="00DC129B"/>
    <w:rsid w:val="00DC50F9"/>
    <w:rsid w:val="00DC5B18"/>
    <w:rsid w:val="00DC7023"/>
    <w:rsid w:val="00DC7031"/>
    <w:rsid w:val="00DC7253"/>
    <w:rsid w:val="00DC75F7"/>
    <w:rsid w:val="00DF034B"/>
    <w:rsid w:val="00DF2704"/>
    <w:rsid w:val="00DF3C7A"/>
    <w:rsid w:val="00E06D72"/>
    <w:rsid w:val="00E105C8"/>
    <w:rsid w:val="00E12ADF"/>
    <w:rsid w:val="00E139DA"/>
    <w:rsid w:val="00E142F3"/>
    <w:rsid w:val="00E22CD7"/>
    <w:rsid w:val="00E24D0D"/>
    <w:rsid w:val="00E31C90"/>
    <w:rsid w:val="00E321AD"/>
    <w:rsid w:val="00E400F8"/>
    <w:rsid w:val="00E44E53"/>
    <w:rsid w:val="00E464E0"/>
    <w:rsid w:val="00E51EFD"/>
    <w:rsid w:val="00E53342"/>
    <w:rsid w:val="00E61233"/>
    <w:rsid w:val="00E6267F"/>
    <w:rsid w:val="00E659DC"/>
    <w:rsid w:val="00E74803"/>
    <w:rsid w:val="00E75991"/>
    <w:rsid w:val="00E96747"/>
    <w:rsid w:val="00EA27A0"/>
    <w:rsid w:val="00EA78D2"/>
    <w:rsid w:val="00EA793D"/>
    <w:rsid w:val="00EB04CD"/>
    <w:rsid w:val="00EC0B7F"/>
    <w:rsid w:val="00EC502E"/>
    <w:rsid w:val="00ED79C0"/>
    <w:rsid w:val="00EE06FC"/>
    <w:rsid w:val="00EE1B71"/>
    <w:rsid w:val="00EE742E"/>
    <w:rsid w:val="00EE7E3E"/>
    <w:rsid w:val="00EF14DF"/>
    <w:rsid w:val="00EF5443"/>
    <w:rsid w:val="00F03BCB"/>
    <w:rsid w:val="00F16BD2"/>
    <w:rsid w:val="00F25EFF"/>
    <w:rsid w:val="00F27162"/>
    <w:rsid w:val="00F30C6B"/>
    <w:rsid w:val="00F313BE"/>
    <w:rsid w:val="00F36A89"/>
    <w:rsid w:val="00F44D0F"/>
    <w:rsid w:val="00F47932"/>
    <w:rsid w:val="00F52528"/>
    <w:rsid w:val="00F52F68"/>
    <w:rsid w:val="00F63287"/>
    <w:rsid w:val="00F63935"/>
    <w:rsid w:val="00F65DFD"/>
    <w:rsid w:val="00F66064"/>
    <w:rsid w:val="00F664F4"/>
    <w:rsid w:val="00F76C0C"/>
    <w:rsid w:val="00F77214"/>
    <w:rsid w:val="00F810D8"/>
    <w:rsid w:val="00F81B3F"/>
    <w:rsid w:val="00F861F5"/>
    <w:rsid w:val="00F87D2A"/>
    <w:rsid w:val="00F94C9C"/>
    <w:rsid w:val="00FA3A2D"/>
    <w:rsid w:val="00FA4858"/>
    <w:rsid w:val="00FA78E7"/>
    <w:rsid w:val="00FB1A54"/>
    <w:rsid w:val="00FB570A"/>
    <w:rsid w:val="00FB59CA"/>
    <w:rsid w:val="00FC2C93"/>
    <w:rsid w:val="00FC2F3B"/>
    <w:rsid w:val="00FD1238"/>
    <w:rsid w:val="00FF2050"/>
    <w:rsid w:val="175D45DA"/>
    <w:rsid w:val="60AF3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4B5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character" w:styleId="CommentReference">
    <w:name w:val="annotation reference"/>
    <w:uiPriority w:val="99"/>
    <w:rsid w:val="007215E9"/>
    <w:rPr>
      <w:rFonts w:cs="Times New Roman"/>
      <w:sz w:val="16"/>
      <w:szCs w:val="16"/>
    </w:rPr>
  </w:style>
  <w:style w:type="paragraph" w:styleId="CommentText">
    <w:name w:val="annotation text"/>
    <w:basedOn w:val="Normal"/>
    <w:link w:val="CommentTextChar"/>
    <w:uiPriority w:val="99"/>
    <w:rsid w:val="007215E9"/>
    <w:rPr>
      <w:rFonts w:ascii="Arial" w:hAnsi="Arial" w:cs="Arial"/>
      <w:sz w:val="20"/>
      <w:szCs w:val="20"/>
    </w:rPr>
  </w:style>
  <w:style w:type="character" w:customStyle="1" w:styleId="CommentTextChar">
    <w:name w:val="Comment Text Char"/>
    <w:link w:val="CommentText"/>
    <w:uiPriority w:val="99"/>
    <w:rsid w:val="007215E9"/>
    <w:rPr>
      <w:rFonts w:ascii="Arial" w:eastAsia="Times New Roman" w:hAnsi="Arial" w:cs="Arial"/>
      <w:sz w:val="20"/>
      <w:szCs w:val="20"/>
    </w:rPr>
  </w:style>
  <w:style w:type="paragraph" w:styleId="BalloonText">
    <w:name w:val="Balloon Text"/>
    <w:basedOn w:val="Normal"/>
    <w:link w:val="BalloonTextChar"/>
    <w:uiPriority w:val="99"/>
    <w:semiHidden/>
    <w:unhideWhenUsed/>
    <w:rsid w:val="007215E9"/>
    <w:rPr>
      <w:rFonts w:ascii="Segoe UI" w:hAnsi="Segoe UI" w:cs="Segoe UI"/>
      <w:sz w:val="18"/>
      <w:szCs w:val="18"/>
    </w:rPr>
  </w:style>
  <w:style w:type="character" w:customStyle="1" w:styleId="BalloonTextChar">
    <w:name w:val="Balloon Text Char"/>
    <w:link w:val="BalloonText"/>
    <w:uiPriority w:val="99"/>
    <w:semiHidden/>
    <w:rsid w:val="007215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C1E35"/>
    <w:rPr>
      <w:rFonts w:ascii="Times New Roman" w:hAnsi="Times New Roman" w:cs="Times New Roman"/>
      <w:b/>
      <w:bCs/>
    </w:rPr>
  </w:style>
  <w:style w:type="character" w:customStyle="1" w:styleId="CommentSubjectChar">
    <w:name w:val="Comment Subject Char"/>
    <w:link w:val="CommentSubject"/>
    <w:uiPriority w:val="99"/>
    <w:semiHidden/>
    <w:rsid w:val="005C1E35"/>
    <w:rPr>
      <w:rFonts w:ascii="Times New Roman" w:eastAsia="Times New Roman" w:hAnsi="Times New Roman" w:cs="Times New Roman"/>
      <w:b/>
      <w:bCs/>
      <w:sz w:val="20"/>
      <w:szCs w:val="20"/>
    </w:rPr>
  </w:style>
  <w:style w:type="paragraph" w:styleId="Revision">
    <w:name w:val="Revision"/>
    <w:hidden/>
    <w:uiPriority w:val="99"/>
    <w:semiHidden/>
    <w:rsid w:val="00652D75"/>
    <w:rPr>
      <w:rFonts w:ascii="Times New Roman" w:eastAsia="Times New Roman" w:hAnsi="Times New Roman"/>
      <w:sz w:val="24"/>
      <w:szCs w:val="24"/>
    </w:rPr>
  </w:style>
  <w:style w:type="character" w:styleId="Hyperlink">
    <w:name w:val="Hyperlink"/>
    <w:uiPriority w:val="99"/>
    <w:rsid w:val="009C0439"/>
    <w:rPr>
      <w:color w:val="0000FF"/>
      <w:u w:val="single"/>
    </w:rPr>
  </w:style>
  <w:style w:type="paragraph" w:styleId="BodyText">
    <w:name w:val="Body Text"/>
    <w:basedOn w:val="Normal"/>
    <w:link w:val="BodyTextChar"/>
    <w:uiPriority w:val="99"/>
    <w:rsid w:val="009C0439"/>
    <w:pPr>
      <w:widowControl w:val="0"/>
      <w:autoSpaceDE w:val="0"/>
      <w:autoSpaceDN w:val="0"/>
      <w:adjustRightInd w:val="0"/>
      <w:jc w:val="both"/>
    </w:pPr>
    <w:rPr>
      <w:rFonts w:ascii="Arial" w:hAnsi="Arial"/>
      <w:sz w:val="22"/>
      <w:szCs w:val="22"/>
    </w:rPr>
  </w:style>
  <w:style w:type="character" w:customStyle="1" w:styleId="BodyTextChar">
    <w:name w:val="Body Text Char"/>
    <w:link w:val="BodyText"/>
    <w:uiPriority w:val="99"/>
    <w:rsid w:val="009C0439"/>
    <w:rPr>
      <w:rFonts w:ascii="Arial" w:eastAsia="Times New Roman" w:hAnsi="Arial" w:cs="Times New Roman"/>
    </w:rPr>
  </w:style>
  <w:style w:type="paragraph" w:styleId="FootnoteText">
    <w:name w:val="footnote text"/>
    <w:basedOn w:val="Normal"/>
    <w:link w:val="FootnoteTextChar"/>
    <w:uiPriority w:val="99"/>
    <w:semiHidden/>
    <w:unhideWhenUsed/>
    <w:rsid w:val="00781979"/>
    <w:rPr>
      <w:sz w:val="20"/>
      <w:szCs w:val="20"/>
    </w:rPr>
  </w:style>
  <w:style w:type="character" w:customStyle="1" w:styleId="FootnoteTextChar">
    <w:name w:val="Footnote Text Char"/>
    <w:link w:val="FootnoteText"/>
    <w:uiPriority w:val="99"/>
    <w:semiHidden/>
    <w:rsid w:val="00781979"/>
    <w:rPr>
      <w:rFonts w:ascii="Times New Roman" w:eastAsia="Times New Roman" w:hAnsi="Times New Roman" w:cs="Times New Roman"/>
      <w:sz w:val="20"/>
      <w:szCs w:val="20"/>
    </w:rPr>
  </w:style>
  <w:style w:type="character" w:styleId="FootnoteReference">
    <w:name w:val="footnote reference"/>
    <w:uiPriority w:val="99"/>
    <w:unhideWhenUsed/>
    <w:rsid w:val="00781979"/>
    <w:rPr>
      <w:vertAlign w:val="superscript"/>
    </w:rPr>
  </w:style>
  <w:style w:type="character" w:styleId="FollowedHyperlink">
    <w:name w:val="FollowedHyperlink"/>
    <w:basedOn w:val="DefaultParagraphFont"/>
    <w:uiPriority w:val="99"/>
    <w:semiHidden/>
    <w:unhideWhenUsed/>
    <w:rsid w:val="00FC2F3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78D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link w:val="Footer"/>
    <w:uiPriority w:val="99"/>
    <w:rsid w:val="00910252"/>
    <w:rPr>
      <w:rFonts w:ascii="Times New Roman" w:eastAsia="Times New Roman" w:hAnsi="Times New Roman" w:cs="Times New Roman"/>
      <w:sz w:val="24"/>
      <w:szCs w:val="24"/>
    </w:rPr>
  </w:style>
  <w:style w:type="character" w:styleId="CommentReference">
    <w:name w:val="annotation reference"/>
    <w:uiPriority w:val="99"/>
    <w:rsid w:val="007215E9"/>
    <w:rPr>
      <w:rFonts w:cs="Times New Roman"/>
      <w:sz w:val="16"/>
      <w:szCs w:val="16"/>
    </w:rPr>
  </w:style>
  <w:style w:type="paragraph" w:styleId="CommentText">
    <w:name w:val="annotation text"/>
    <w:basedOn w:val="Normal"/>
    <w:link w:val="CommentTextChar"/>
    <w:uiPriority w:val="99"/>
    <w:rsid w:val="007215E9"/>
    <w:rPr>
      <w:rFonts w:ascii="Arial" w:hAnsi="Arial" w:cs="Arial"/>
      <w:sz w:val="20"/>
      <w:szCs w:val="20"/>
    </w:rPr>
  </w:style>
  <w:style w:type="character" w:customStyle="1" w:styleId="CommentTextChar">
    <w:name w:val="Comment Text Char"/>
    <w:link w:val="CommentText"/>
    <w:uiPriority w:val="99"/>
    <w:rsid w:val="007215E9"/>
    <w:rPr>
      <w:rFonts w:ascii="Arial" w:eastAsia="Times New Roman" w:hAnsi="Arial" w:cs="Arial"/>
      <w:sz w:val="20"/>
      <w:szCs w:val="20"/>
    </w:rPr>
  </w:style>
  <w:style w:type="paragraph" w:styleId="BalloonText">
    <w:name w:val="Balloon Text"/>
    <w:basedOn w:val="Normal"/>
    <w:link w:val="BalloonTextChar"/>
    <w:uiPriority w:val="99"/>
    <w:semiHidden/>
    <w:unhideWhenUsed/>
    <w:rsid w:val="007215E9"/>
    <w:rPr>
      <w:rFonts w:ascii="Segoe UI" w:hAnsi="Segoe UI" w:cs="Segoe UI"/>
      <w:sz w:val="18"/>
      <w:szCs w:val="18"/>
    </w:rPr>
  </w:style>
  <w:style w:type="character" w:customStyle="1" w:styleId="BalloonTextChar">
    <w:name w:val="Balloon Text Char"/>
    <w:link w:val="BalloonText"/>
    <w:uiPriority w:val="99"/>
    <w:semiHidden/>
    <w:rsid w:val="007215E9"/>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5C1E35"/>
    <w:rPr>
      <w:rFonts w:ascii="Times New Roman" w:hAnsi="Times New Roman" w:cs="Times New Roman"/>
      <w:b/>
      <w:bCs/>
    </w:rPr>
  </w:style>
  <w:style w:type="character" w:customStyle="1" w:styleId="CommentSubjectChar">
    <w:name w:val="Comment Subject Char"/>
    <w:link w:val="CommentSubject"/>
    <w:uiPriority w:val="99"/>
    <w:semiHidden/>
    <w:rsid w:val="005C1E35"/>
    <w:rPr>
      <w:rFonts w:ascii="Times New Roman" w:eastAsia="Times New Roman" w:hAnsi="Times New Roman" w:cs="Times New Roman"/>
      <w:b/>
      <w:bCs/>
      <w:sz w:val="20"/>
      <w:szCs w:val="20"/>
    </w:rPr>
  </w:style>
  <w:style w:type="paragraph" w:styleId="Revision">
    <w:name w:val="Revision"/>
    <w:hidden/>
    <w:uiPriority w:val="99"/>
    <w:semiHidden/>
    <w:rsid w:val="00652D75"/>
    <w:rPr>
      <w:rFonts w:ascii="Times New Roman" w:eastAsia="Times New Roman" w:hAnsi="Times New Roman"/>
      <w:sz w:val="24"/>
      <w:szCs w:val="24"/>
    </w:rPr>
  </w:style>
  <w:style w:type="character" w:styleId="Hyperlink">
    <w:name w:val="Hyperlink"/>
    <w:uiPriority w:val="99"/>
    <w:rsid w:val="009C0439"/>
    <w:rPr>
      <w:color w:val="0000FF"/>
      <w:u w:val="single"/>
    </w:rPr>
  </w:style>
  <w:style w:type="paragraph" w:styleId="BodyText">
    <w:name w:val="Body Text"/>
    <w:basedOn w:val="Normal"/>
    <w:link w:val="BodyTextChar"/>
    <w:uiPriority w:val="99"/>
    <w:rsid w:val="009C0439"/>
    <w:pPr>
      <w:widowControl w:val="0"/>
      <w:autoSpaceDE w:val="0"/>
      <w:autoSpaceDN w:val="0"/>
      <w:adjustRightInd w:val="0"/>
      <w:jc w:val="both"/>
    </w:pPr>
    <w:rPr>
      <w:rFonts w:ascii="Arial" w:hAnsi="Arial"/>
      <w:sz w:val="22"/>
      <w:szCs w:val="22"/>
    </w:rPr>
  </w:style>
  <w:style w:type="character" w:customStyle="1" w:styleId="BodyTextChar">
    <w:name w:val="Body Text Char"/>
    <w:link w:val="BodyText"/>
    <w:uiPriority w:val="99"/>
    <w:rsid w:val="009C0439"/>
    <w:rPr>
      <w:rFonts w:ascii="Arial" w:eastAsia="Times New Roman" w:hAnsi="Arial" w:cs="Times New Roman"/>
    </w:rPr>
  </w:style>
  <w:style w:type="paragraph" w:styleId="FootnoteText">
    <w:name w:val="footnote text"/>
    <w:basedOn w:val="Normal"/>
    <w:link w:val="FootnoteTextChar"/>
    <w:uiPriority w:val="99"/>
    <w:semiHidden/>
    <w:unhideWhenUsed/>
    <w:rsid w:val="00781979"/>
    <w:rPr>
      <w:sz w:val="20"/>
      <w:szCs w:val="20"/>
    </w:rPr>
  </w:style>
  <w:style w:type="character" w:customStyle="1" w:styleId="FootnoteTextChar">
    <w:name w:val="Footnote Text Char"/>
    <w:link w:val="FootnoteText"/>
    <w:uiPriority w:val="99"/>
    <w:semiHidden/>
    <w:rsid w:val="00781979"/>
    <w:rPr>
      <w:rFonts w:ascii="Times New Roman" w:eastAsia="Times New Roman" w:hAnsi="Times New Roman" w:cs="Times New Roman"/>
      <w:sz w:val="20"/>
      <w:szCs w:val="20"/>
    </w:rPr>
  </w:style>
  <w:style w:type="character" w:styleId="FootnoteReference">
    <w:name w:val="footnote reference"/>
    <w:uiPriority w:val="99"/>
    <w:unhideWhenUsed/>
    <w:rsid w:val="00781979"/>
    <w:rPr>
      <w:vertAlign w:val="superscript"/>
    </w:rPr>
  </w:style>
  <w:style w:type="character" w:styleId="FollowedHyperlink">
    <w:name w:val="FollowedHyperlink"/>
    <w:basedOn w:val="DefaultParagraphFont"/>
    <w:uiPriority w:val="99"/>
    <w:semiHidden/>
    <w:unhideWhenUsed/>
    <w:rsid w:val="00FC2F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633725">
      <w:bodyDiv w:val="1"/>
      <w:marLeft w:val="0"/>
      <w:marRight w:val="0"/>
      <w:marTop w:val="0"/>
      <w:marBottom w:val="0"/>
      <w:divBdr>
        <w:top w:val="none" w:sz="0" w:space="0" w:color="auto"/>
        <w:left w:val="none" w:sz="0" w:space="0" w:color="auto"/>
        <w:bottom w:val="none" w:sz="0" w:space="0" w:color="auto"/>
        <w:right w:val="none" w:sz="0" w:space="0" w:color="auto"/>
      </w:divBdr>
    </w:div>
    <w:div w:id="1844129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bls.gov/oes/2017/may/oes132051.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obamawhitehouse.archives.gov/sites/default/files/omb/inforeg/memos/reducing-reporting-and-paperwork-burdens.pdf" TargetMode="External"/><Relationship Id="rId2" Type="http://schemas.openxmlformats.org/officeDocument/2006/relationships/hyperlink" Target="https://www.uscis.gov/working-united-states/temporary-workers/temporary-increase-h-2b-nonimmigrant-visas-fy-2019" TargetMode="External"/><Relationship Id="rId1" Type="http://schemas.openxmlformats.org/officeDocument/2006/relationships/hyperlink" Target="https://www.congress.gov/bill/115th-congress/house-bill/5515?q=%7B%22search%22%3A%5B%22PUBLIC+LAW+115-232%22%5D%7D&amp;r=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853699B210B3744A6A1F5EA1A237C90" ma:contentTypeVersion="7" ma:contentTypeDescription="Create a new document." ma:contentTypeScope="" ma:versionID="d9551a6b5002ff3b2c6a1938122ea115">
  <xsd:schema xmlns:xsd="http://www.w3.org/2001/XMLSchema" xmlns:xs="http://www.w3.org/2001/XMLSchema" xmlns:p="http://schemas.microsoft.com/office/2006/metadata/properties" xmlns:ns3="6310d5a0-4d82-4e0c-9aaf-cacbd190259c" targetNamespace="http://schemas.microsoft.com/office/2006/metadata/properties" ma:root="true" ma:fieldsID="1a03c40fb04ecb70e0c643331cb72d21" ns3:_="">
    <xsd:import namespace="6310d5a0-4d82-4e0c-9aaf-cacbd190259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0d5a0-4d82-4e0c-9aaf-cacbd19025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604138-647C-4405-8263-3DEDB87D03E4}">
  <ds:schemaRefs>
    <ds:schemaRef ds:uri="http://schemas.microsoft.com/sharepoint/v3/contenttype/forms"/>
  </ds:schemaRefs>
</ds:datastoreItem>
</file>

<file path=customXml/itemProps2.xml><?xml version="1.0" encoding="utf-8"?>
<ds:datastoreItem xmlns:ds="http://schemas.openxmlformats.org/officeDocument/2006/customXml" ds:itemID="{EBE814AF-925D-4ADF-AB2B-076C55BFC8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0d5a0-4d82-4e0c-9aaf-cacbd1902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0FAB6-1292-4A0F-8EF9-F0D85CF0FAF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B89CD5-D2A2-4447-962E-987ECACCA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3139</Words>
  <Characters>17897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20995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Smyth, Michel - OASAM OCIO</dc:creator>
  <cp:keywords/>
  <dc:description/>
  <cp:lastModifiedBy>SYSTEM</cp:lastModifiedBy>
  <cp:revision>2</cp:revision>
  <cp:lastPrinted>2018-11-19T15:14:00Z</cp:lastPrinted>
  <dcterms:created xsi:type="dcterms:W3CDTF">2019-11-19T19:34:00Z</dcterms:created>
  <dcterms:modified xsi:type="dcterms:W3CDTF">2019-11-19T19:34:00Z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0x0101004853699B210B3744A6A1F5EA1A237C90</vt:lpwstr>
  </property>
</Properties>
</file>