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C8A" w:rsidRPr="00204C8A" w:rsidRDefault="00204C8A" w:rsidP="00204C8A">
      <w:pPr>
        <w:widowControl/>
        <w:shd w:val="clear" w:color="auto" w:fill="FFFFFF"/>
        <w:spacing w:before="200" w:after="100"/>
        <w:outlineLvl w:val="1"/>
        <w:rPr>
          <w:rFonts w:ascii="Arial" w:hAnsi="Arial" w:cs="Arial"/>
          <w:b/>
          <w:bCs/>
          <w:smallCaps/>
          <w:color w:val="000000"/>
          <w:sz w:val="27"/>
          <w:szCs w:val="27"/>
        </w:rPr>
      </w:pPr>
      <w:bookmarkStart w:id="0" w:name="_GoBack"/>
      <w:bookmarkEnd w:id="0"/>
      <w:r w:rsidRPr="00204C8A">
        <w:rPr>
          <w:rFonts w:ascii="Arial" w:hAnsi="Arial" w:cs="Arial"/>
          <w:b/>
          <w:bCs/>
          <w:smallCaps/>
          <w:color w:val="000000"/>
          <w:sz w:val="27"/>
          <w:szCs w:val="27"/>
        </w:rPr>
        <w:t>Non-Federal Law Enforcement Officers</w:t>
      </w:r>
    </w:p>
    <w:p w:rsidR="00204C8A" w:rsidRPr="00204C8A" w:rsidRDefault="00D53F29" w:rsidP="00204C8A">
      <w:pPr>
        <w:widowControl/>
        <w:shd w:val="clear" w:color="auto" w:fill="FFFFFF"/>
        <w:spacing w:before="200" w:after="100" w:afterAutospacing="1"/>
        <w:rPr>
          <w:rFonts w:ascii="Arial" w:hAnsi="Arial" w:cs="Arial"/>
          <w:color w:val="000000"/>
          <w:sz w:val="20"/>
        </w:rPr>
      </w:pPr>
      <w:hyperlink r:id="rId5" w:anchor="_top" w:history="1">
        <w:r w:rsidR="00204C8A" w:rsidRPr="00204C8A">
          <w:rPr>
            <w:rFonts w:ascii="Arial" w:hAnsi="Arial" w:cs="Arial"/>
            <w:noProof/>
            <w:color w:val="0000FF"/>
            <w:sz w:val="17"/>
            <w:szCs w:val="17"/>
          </w:rPr>
          <w:drawing>
            <wp:inline distT="0" distB="0" distL="0" distR="0" wp14:anchorId="3628E9F8" wp14:editId="5AA4A449">
              <wp:extent cx="152400" cy="152400"/>
              <wp:effectExtent l="0" t="0" r="0" b="0"/>
              <wp:docPr id="1" name="Picture 1"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04C8A" w:rsidRPr="00204C8A">
          <w:rPr>
            <w:rFonts w:ascii="Arial" w:hAnsi="Arial" w:cs="Arial"/>
            <w:color w:val="0000FF"/>
            <w:sz w:val="17"/>
            <w:szCs w:val="17"/>
          </w:rPr>
          <w:t> Back to Top</w:t>
        </w:r>
      </w:hyperlink>
    </w:p>
    <w:p w:rsidR="00204C8A" w:rsidRPr="00204C8A" w:rsidRDefault="00204C8A" w:rsidP="00204C8A">
      <w:pPr>
        <w:widowControl/>
        <w:shd w:val="clear" w:color="auto" w:fill="FFFFFF"/>
        <w:spacing w:before="200" w:after="100"/>
        <w:outlineLvl w:val="1"/>
        <w:rPr>
          <w:rFonts w:ascii="Arial" w:hAnsi="Arial" w:cs="Arial"/>
          <w:b/>
          <w:bCs/>
          <w:color w:val="000000"/>
          <w:sz w:val="20"/>
        </w:rPr>
      </w:pPr>
      <w:bookmarkStart w:id="1" w:name="se20.1.10_1735"/>
      <w:bookmarkEnd w:id="1"/>
      <w:r w:rsidRPr="00204C8A">
        <w:rPr>
          <w:rFonts w:ascii="Arial" w:hAnsi="Arial" w:cs="Arial"/>
          <w:b/>
          <w:bCs/>
          <w:color w:val="000000"/>
          <w:sz w:val="20"/>
        </w:rPr>
        <w:t>§10.735   When is a non-Federal law enforcement officer (LEO) covered under the FECA?</w:t>
      </w:r>
    </w:p>
    <w:p w:rsidR="00204C8A" w:rsidRPr="00204C8A" w:rsidRDefault="00204C8A" w:rsidP="00204C8A">
      <w:pPr>
        <w:widowControl/>
        <w:shd w:val="clear" w:color="auto" w:fill="FFFFFF"/>
        <w:spacing w:before="100" w:beforeAutospacing="1" w:after="100" w:afterAutospacing="1"/>
        <w:ind w:firstLine="480"/>
        <w:rPr>
          <w:rFonts w:ascii="Arial" w:hAnsi="Arial" w:cs="Arial"/>
          <w:color w:val="000000"/>
          <w:sz w:val="20"/>
        </w:rPr>
      </w:pPr>
      <w:r w:rsidRPr="00204C8A">
        <w:rPr>
          <w:rFonts w:ascii="Arial" w:hAnsi="Arial" w:cs="Arial"/>
          <w:color w:val="000000"/>
          <w:sz w:val="20"/>
        </w:rPr>
        <w:t>(a) A law enforcement officer (officer) includes an employee of a State or local Government, the Governments of U.S. possessions and territories, or an employee of the United States pensioned or pensionable under sections 521-535 of Title 4, D.C. Code, whose functions include the activities listed in 5 U.S.C. 8191.</w:t>
      </w:r>
    </w:p>
    <w:p w:rsidR="00204C8A" w:rsidRPr="00204C8A" w:rsidRDefault="00204C8A" w:rsidP="00204C8A">
      <w:pPr>
        <w:widowControl/>
        <w:shd w:val="clear" w:color="auto" w:fill="FFFFFF"/>
        <w:spacing w:before="100" w:beforeAutospacing="1" w:after="100" w:afterAutospacing="1"/>
        <w:ind w:firstLine="480"/>
        <w:rPr>
          <w:rFonts w:ascii="Arial" w:hAnsi="Arial" w:cs="Arial"/>
          <w:color w:val="000000"/>
          <w:sz w:val="20"/>
        </w:rPr>
      </w:pPr>
      <w:r w:rsidRPr="00204C8A">
        <w:rPr>
          <w:rFonts w:ascii="Arial" w:hAnsi="Arial" w:cs="Arial"/>
          <w:color w:val="000000"/>
          <w:sz w:val="20"/>
        </w:rPr>
        <w:t>(b) Benefits are available to officers who are not “employees” under 5 U.S.C. 8101, and who are determined in the discretion of OWCP to have been engaged in the activities listed in 5 U.S.C. 8191 with respect to the enforcement of crimes against the United States. Individuals who only perform administrative functions in support of officers are not considered officers.</w:t>
      </w:r>
    </w:p>
    <w:p w:rsidR="00204C8A" w:rsidRPr="00204C8A" w:rsidRDefault="00204C8A" w:rsidP="00204C8A">
      <w:pPr>
        <w:widowControl/>
        <w:shd w:val="clear" w:color="auto" w:fill="FFFFFF"/>
        <w:spacing w:before="100" w:beforeAutospacing="1" w:after="100" w:afterAutospacing="1"/>
        <w:ind w:firstLine="480"/>
        <w:rPr>
          <w:rFonts w:ascii="Arial" w:hAnsi="Arial" w:cs="Arial"/>
          <w:color w:val="000000"/>
          <w:sz w:val="20"/>
        </w:rPr>
      </w:pPr>
      <w:r w:rsidRPr="00204C8A">
        <w:rPr>
          <w:rFonts w:ascii="Arial" w:hAnsi="Arial" w:cs="Arial"/>
          <w:color w:val="000000"/>
          <w:sz w:val="20"/>
        </w:rPr>
        <w:t>(c) Except as provided by 5 U.S.C. 8191 and 8192 and elsewhere in this part, the provisions of the FECA and of subparts A, B, and D through I of this part apply to officers.</w:t>
      </w:r>
    </w:p>
    <w:p w:rsidR="00204C8A" w:rsidRPr="00204C8A" w:rsidRDefault="00D53F29" w:rsidP="00204C8A">
      <w:pPr>
        <w:widowControl/>
        <w:shd w:val="clear" w:color="auto" w:fill="FFFFFF"/>
        <w:spacing w:before="200" w:after="100" w:afterAutospacing="1"/>
        <w:rPr>
          <w:rFonts w:ascii="Arial" w:hAnsi="Arial" w:cs="Arial"/>
          <w:color w:val="000000"/>
          <w:sz w:val="20"/>
        </w:rPr>
      </w:pPr>
      <w:hyperlink r:id="rId8" w:anchor="_top" w:history="1">
        <w:r w:rsidR="00204C8A" w:rsidRPr="00204C8A">
          <w:rPr>
            <w:rFonts w:ascii="Arial" w:hAnsi="Arial" w:cs="Arial"/>
            <w:noProof/>
            <w:color w:val="0000FF"/>
            <w:sz w:val="17"/>
            <w:szCs w:val="17"/>
          </w:rPr>
          <w:drawing>
            <wp:inline distT="0" distB="0" distL="0" distR="0" wp14:anchorId="793F7DFA" wp14:editId="13D0CA85">
              <wp:extent cx="152400" cy="152400"/>
              <wp:effectExtent l="0" t="0" r="0" b="0"/>
              <wp:docPr id="2" name="Picture 2"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04C8A" w:rsidRPr="00204C8A">
          <w:rPr>
            <w:rFonts w:ascii="Arial" w:hAnsi="Arial" w:cs="Arial"/>
            <w:color w:val="0000FF"/>
            <w:sz w:val="17"/>
            <w:szCs w:val="17"/>
          </w:rPr>
          <w:t> Back to Top</w:t>
        </w:r>
      </w:hyperlink>
    </w:p>
    <w:p w:rsidR="00204C8A" w:rsidRPr="00204C8A" w:rsidRDefault="00204C8A" w:rsidP="00204C8A">
      <w:pPr>
        <w:widowControl/>
        <w:shd w:val="clear" w:color="auto" w:fill="FFFFFF"/>
        <w:spacing w:before="200" w:after="100"/>
        <w:outlineLvl w:val="1"/>
        <w:rPr>
          <w:rFonts w:ascii="Arial" w:hAnsi="Arial" w:cs="Arial"/>
          <w:b/>
          <w:bCs/>
          <w:color w:val="000000"/>
          <w:sz w:val="20"/>
        </w:rPr>
      </w:pPr>
      <w:bookmarkStart w:id="2" w:name="se20.1.10_1736"/>
      <w:bookmarkEnd w:id="2"/>
      <w:r w:rsidRPr="00204C8A">
        <w:rPr>
          <w:rFonts w:ascii="Arial" w:hAnsi="Arial" w:cs="Arial"/>
          <w:b/>
          <w:bCs/>
          <w:color w:val="000000"/>
          <w:sz w:val="20"/>
        </w:rPr>
        <w:t>§10.736   What are the time limits for filing a LEO claim?</w:t>
      </w:r>
    </w:p>
    <w:p w:rsidR="00204C8A" w:rsidRPr="00204C8A" w:rsidRDefault="00204C8A" w:rsidP="00204C8A">
      <w:pPr>
        <w:widowControl/>
        <w:shd w:val="clear" w:color="auto" w:fill="FFFFFF"/>
        <w:spacing w:before="100" w:beforeAutospacing="1" w:after="100" w:afterAutospacing="1"/>
        <w:ind w:firstLine="480"/>
        <w:rPr>
          <w:rFonts w:ascii="Arial" w:hAnsi="Arial" w:cs="Arial"/>
          <w:color w:val="000000"/>
          <w:sz w:val="20"/>
        </w:rPr>
      </w:pPr>
      <w:r w:rsidRPr="00204C8A">
        <w:rPr>
          <w:rFonts w:ascii="Arial" w:hAnsi="Arial" w:cs="Arial"/>
          <w:color w:val="000000"/>
          <w:sz w:val="20"/>
        </w:rPr>
        <w:t>OWCP must receive a claim for benefits under 5 U.S.C. 8191 within five years after the injury or death. This five-year limitation is not subject to waiver. The tolling provisions of 5 U.S.C. 8122(d) do not apply to these claims.</w:t>
      </w:r>
    </w:p>
    <w:p w:rsidR="00204C8A" w:rsidRPr="00204C8A" w:rsidRDefault="00D53F29" w:rsidP="00204C8A">
      <w:pPr>
        <w:widowControl/>
        <w:shd w:val="clear" w:color="auto" w:fill="FFFFFF"/>
        <w:spacing w:before="200" w:after="100" w:afterAutospacing="1"/>
        <w:rPr>
          <w:rFonts w:ascii="Arial" w:hAnsi="Arial" w:cs="Arial"/>
          <w:color w:val="000000"/>
          <w:sz w:val="20"/>
        </w:rPr>
      </w:pPr>
      <w:hyperlink r:id="rId9" w:anchor="_top" w:history="1">
        <w:r w:rsidR="00204C8A" w:rsidRPr="00204C8A">
          <w:rPr>
            <w:rFonts w:ascii="Arial" w:hAnsi="Arial" w:cs="Arial"/>
            <w:noProof/>
            <w:color w:val="0000FF"/>
            <w:sz w:val="17"/>
            <w:szCs w:val="17"/>
          </w:rPr>
          <w:drawing>
            <wp:inline distT="0" distB="0" distL="0" distR="0" wp14:anchorId="4BF61CF8" wp14:editId="3BC228F7">
              <wp:extent cx="152400" cy="152400"/>
              <wp:effectExtent l="0" t="0" r="0" b="0"/>
              <wp:docPr id="3" name="Picture 3"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04C8A" w:rsidRPr="00204C8A">
          <w:rPr>
            <w:rFonts w:ascii="Arial" w:hAnsi="Arial" w:cs="Arial"/>
            <w:color w:val="0000FF"/>
            <w:sz w:val="17"/>
            <w:szCs w:val="17"/>
          </w:rPr>
          <w:t> Back to Top</w:t>
        </w:r>
      </w:hyperlink>
    </w:p>
    <w:p w:rsidR="00204C8A" w:rsidRPr="00204C8A" w:rsidRDefault="00204C8A" w:rsidP="00204C8A">
      <w:pPr>
        <w:widowControl/>
        <w:shd w:val="clear" w:color="auto" w:fill="FFFFFF"/>
        <w:spacing w:before="200" w:after="100"/>
        <w:outlineLvl w:val="1"/>
        <w:rPr>
          <w:rFonts w:ascii="Arial" w:hAnsi="Arial" w:cs="Arial"/>
          <w:b/>
          <w:bCs/>
          <w:color w:val="000000"/>
          <w:sz w:val="20"/>
        </w:rPr>
      </w:pPr>
      <w:bookmarkStart w:id="3" w:name="se20.1.10_1737"/>
      <w:bookmarkEnd w:id="3"/>
      <w:r w:rsidRPr="00204C8A">
        <w:rPr>
          <w:rFonts w:ascii="Arial" w:hAnsi="Arial" w:cs="Arial"/>
          <w:b/>
          <w:bCs/>
          <w:color w:val="000000"/>
          <w:sz w:val="20"/>
        </w:rPr>
        <w:t>§10.737   How is a LEO claim filed, and who can file a LEO claim?</w:t>
      </w:r>
    </w:p>
    <w:p w:rsidR="00204C8A" w:rsidRPr="00204C8A" w:rsidRDefault="00204C8A" w:rsidP="00204C8A">
      <w:pPr>
        <w:widowControl/>
        <w:shd w:val="clear" w:color="auto" w:fill="FFFFFF"/>
        <w:spacing w:before="100" w:beforeAutospacing="1" w:after="100" w:afterAutospacing="1"/>
        <w:ind w:firstLine="480"/>
        <w:rPr>
          <w:rFonts w:ascii="Arial" w:hAnsi="Arial" w:cs="Arial"/>
          <w:color w:val="000000"/>
          <w:sz w:val="20"/>
        </w:rPr>
      </w:pPr>
      <w:r w:rsidRPr="00204C8A">
        <w:rPr>
          <w:rFonts w:ascii="Arial" w:hAnsi="Arial" w:cs="Arial"/>
          <w:color w:val="000000"/>
          <w:sz w:val="20"/>
        </w:rPr>
        <w:t>A claim for injury or occupational disease should be filed on Form CA-721; a death claim should be filed on Form CA-722. All claims should be submitted to the officer's employer for completion and forwarding to OWCP. A claim may be filed by the officer, the officer's survivor, or any person or association authorized to act on behalf of an officer or an officer's survivors.</w:t>
      </w:r>
    </w:p>
    <w:p w:rsidR="00204C8A" w:rsidRPr="00204C8A" w:rsidRDefault="00D53F29" w:rsidP="00204C8A">
      <w:pPr>
        <w:widowControl/>
        <w:shd w:val="clear" w:color="auto" w:fill="FFFFFF"/>
        <w:spacing w:before="200" w:after="100" w:afterAutospacing="1"/>
        <w:rPr>
          <w:rFonts w:ascii="Arial" w:hAnsi="Arial" w:cs="Arial"/>
          <w:color w:val="000000"/>
          <w:sz w:val="20"/>
        </w:rPr>
      </w:pPr>
      <w:hyperlink r:id="rId10" w:anchor="_top" w:history="1">
        <w:r w:rsidR="00204C8A" w:rsidRPr="00204C8A">
          <w:rPr>
            <w:rFonts w:ascii="Arial" w:hAnsi="Arial" w:cs="Arial"/>
            <w:noProof/>
            <w:color w:val="0000FF"/>
            <w:sz w:val="17"/>
            <w:szCs w:val="17"/>
          </w:rPr>
          <w:drawing>
            <wp:inline distT="0" distB="0" distL="0" distR="0" wp14:anchorId="22AA6187" wp14:editId="7D6C2AB1">
              <wp:extent cx="152400" cy="152400"/>
              <wp:effectExtent l="0" t="0" r="0" b="0"/>
              <wp:docPr id="4" name="Picture 4"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04C8A" w:rsidRPr="00204C8A">
          <w:rPr>
            <w:rFonts w:ascii="Arial" w:hAnsi="Arial" w:cs="Arial"/>
            <w:color w:val="0000FF"/>
            <w:sz w:val="17"/>
            <w:szCs w:val="17"/>
          </w:rPr>
          <w:t> Back to Top</w:t>
        </w:r>
      </w:hyperlink>
    </w:p>
    <w:p w:rsidR="00204C8A" w:rsidRPr="00204C8A" w:rsidRDefault="00204C8A" w:rsidP="00204C8A">
      <w:pPr>
        <w:widowControl/>
        <w:shd w:val="clear" w:color="auto" w:fill="FFFFFF"/>
        <w:spacing w:before="200" w:after="100"/>
        <w:outlineLvl w:val="1"/>
        <w:rPr>
          <w:rFonts w:ascii="Arial" w:hAnsi="Arial" w:cs="Arial"/>
          <w:b/>
          <w:bCs/>
          <w:color w:val="000000"/>
          <w:sz w:val="20"/>
        </w:rPr>
      </w:pPr>
      <w:bookmarkStart w:id="4" w:name="se20.1.10_1738"/>
      <w:bookmarkEnd w:id="4"/>
      <w:r w:rsidRPr="00204C8A">
        <w:rPr>
          <w:rFonts w:ascii="Arial" w:hAnsi="Arial" w:cs="Arial"/>
          <w:b/>
          <w:bCs/>
          <w:color w:val="000000"/>
          <w:sz w:val="20"/>
        </w:rPr>
        <w:t>§10.738   Under what circumstances are benefits payable in LEO claims?</w:t>
      </w:r>
    </w:p>
    <w:p w:rsidR="00204C8A" w:rsidRPr="00204C8A" w:rsidRDefault="00204C8A" w:rsidP="00204C8A">
      <w:pPr>
        <w:widowControl/>
        <w:shd w:val="clear" w:color="auto" w:fill="FFFFFF"/>
        <w:spacing w:before="100" w:beforeAutospacing="1" w:after="100" w:afterAutospacing="1"/>
        <w:ind w:firstLine="480"/>
        <w:rPr>
          <w:rFonts w:ascii="Arial" w:hAnsi="Arial" w:cs="Arial"/>
          <w:color w:val="000000"/>
          <w:sz w:val="20"/>
        </w:rPr>
      </w:pPr>
      <w:r w:rsidRPr="00204C8A">
        <w:rPr>
          <w:rFonts w:ascii="Arial" w:hAnsi="Arial" w:cs="Arial"/>
          <w:color w:val="000000"/>
          <w:sz w:val="20"/>
        </w:rPr>
        <w:t>(a) Benefits are payable when an officer is injured while apprehending, or attempting to apprehend, an individual for the commission of a Federal crime. However, either an actual Federal crime must be in progress or have been committed, or objective evidence (of which the officer is aware at the time of injury) must exist that a potential Federal crime was in progress or had already been committed. The actual or potential Federal crime must be an integral part of the criminal activity toward which the officer's actions are directed. The fact that an injury to an officer is related in some way to the commission of a Federal crime does not necessarily bring the injury within the coverage of the FECA. The FECA is not intended to cover officers who are merely enforcing local laws.</w:t>
      </w:r>
    </w:p>
    <w:p w:rsidR="00204C8A" w:rsidRPr="00204C8A" w:rsidRDefault="00204C8A" w:rsidP="00204C8A">
      <w:pPr>
        <w:widowControl/>
        <w:shd w:val="clear" w:color="auto" w:fill="FFFFFF"/>
        <w:spacing w:before="100" w:beforeAutospacing="1" w:after="100" w:afterAutospacing="1"/>
        <w:ind w:firstLine="480"/>
        <w:rPr>
          <w:rFonts w:ascii="Arial" w:hAnsi="Arial" w:cs="Arial"/>
          <w:color w:val="000000"/>
          <w:sz w:val="20"/>
        </w:rPr>
      </w:pPr>
      <w:r w:rsidRPr="00204C8A">
        <w:rPr>
          <w:rFonts w:ascii="Arial" w:hAnsi="Arial" w:cs="Arial"/>
          <w:color w:val="000000"/>
          <w:sz w:val="20"/>
        </w:rPr>
        <w:t xml:space="preserve">(b) For benefits to be payable when an officer is injured preventing, or attempting to prevent, a Federal crime, there must be objective evidence that a Federal crime is about to be committed. An </w:t>
      </w:r>
      <w:r w:rsidRPr="00204C8A">
        <w:rPr>
          <w:rFonts w:ascii="Arial" w:hAnsi="Arial" w:cs="Arial"/>
          <w:color w:val="000000"/>
          <w:sz w:val="20"/>
        </w:rPr>
        <w:lastRenderedPageBreak/>
        <w:t>officer's belief, unsupported by objective evidence, that he or she is acting to prevent the commission of a Federal crime will not result in coverage. Moreover, the officer's subjective intent, as measured by all available evidence (including the officer's own statements and testimony, if available), must have been directed toward the prevention of a Federal crime. In this context, an officer's own statements and testimony are relevant to, but do not control, the determination of coverage.</w:t>
      </w:r>
    </w:p>
    <w:p w:rsidR="00204C8A" w:rsidRPr="00204C8A" w:rsidRDefault="00D53F29" w:rsidP="00204C8A">
      <w:pPr>
        <w:widowControl/>
        <w:shd w:val="clear" w:color="auto" w:fill="FFFFFF"/>
        <w:spacing w:before="200" w:after="100" w:afterAutospacing="1"/>
        <w:rPr>
          <w:rFonts w:ascii="Arial" w:hAnsi="Arial" w:cs="Arial"/>
          <w:color w:val="000000"/>
          <w:sz w:val="20"/>
        </w:rPr>
      </w:pPr>
      <w:hyperlink r:id="rId11" w:anchor="_top" w:history="1">
        <w:r w:rsidR="00204C8A" w:rsidRPr="00204C8A">
          <w:rPr>
            <w:rFonts w:ascii="Arial" w:hAnsi="Arial" w:cs="Arial"/>
            <w:noProof/>
            <w:color w:val="0000FF"/>
            <w:sz w:val="17"/>
            <w:szCs w:val="17"/>
          </w:rPr>
          <w:drawing>
            <wp:inline distT="0" distB="0" distL="0" distR="0" wp14:anchorId="39AEC069" wp14:editId="00185C95">
              <wp:extent cx="152400" cy="152400"/>
              <wp:effectExtent l="0" t="0" r="0" b="0"/>
              <wp:docPr id="5" name="Picture 5"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04C8A" w:rsidRPr="00204C8A">
          <w:rPr>
            <w:rFonts w:ascii="Arial" w:hAnsi="Arial" w:cs="Arial"/>
            <w:color w:val="0000FF"/>
            <w:sz w:val="17"/>
            <w:szCs w:val="17"/>
          </w:rPr>
          <w:t> Back to Top</w:t>
        </w:r>
      </w:hyperlink>
    </w:p>
    <w:p w:rsidR="00204C8A" w:rsidRPr="00204C8A" w:rsidRDefault="00204C8A" w:rsidP="00204C8A">
      <w:pPr>
        <w:widowControl/>
        <w:shd w:val="clear" w:color="auto" w:fill="FFFFFF"/>
        <w:spacing w:before="200" w:after="100"/>
        <w:outlineLvl w:val="1"/>
        <w:rPr>
          <w:rFonts w:ascii="Arial" w:hAnsi="Arial" w:cs="Arial"/>
          <w:b/>
          <w:bCs/>
          <w:color w:val="000000"/>
          <w:sz w:val="20"/>
        </w:rPr>
      </w:pPr>
      <w:bookmarkStart w:id="5" w:name="se20.1.10_1739"/>
      <w:bookmarkEnd w:id="5"/>
      <w:r w:rsidRPr="00204C8A">
        <w:rPr>
          <w:rFonts w:ascii="Arial" w:hAnsi="Arial" w:cs="Arial"/>
          <w:b/>
          <w:bCs/>
          <w:color w:val="000000"/>
          <w:sz w:val="20"/>
        </w:rPr>
        <w:t>§10.739   What kind of objective evidence of a potential Federal crime must exist for coverage to be extended?</w:t>
      </w:r>
    </w:p>
    <w:p w:rsidR="00204C8A" w:rsidRPr="00204C8A" w:rsidRDefault="00204C8A" w:rsidP="00204C8A">
      <w:pPr>
        <w:widowControl/>
        <w:shd w:val="clear" w:color="auto" w:fill="FFFFFF"/>
        <w:spacing w:before="100" w:beforeAutospacing="1" w:after="100" w:afterAutospacing="1"/>
        <w:ind w:firstLine="480"/>
        <w:rPr>
          <w:rFonts w:ascii="Arial" w:hAnsi="Arial" w:cs="Arial"/>
          <w:color w:val="000000"/>
          <w:sz w:val="20"/>
        </w:rPr>
      </w:pPr>
      <w:r w:rsidRPr="00204C8A">
        <w:rPr>
          <w:rFonts w:ascii="Arial" w:hAnsi="Arial" w:cs="Arial"/>
          <w:color w:val="000000"/>
          <w:sz w:val="20"/>
        </w:rPr>
        <w:t>Based on the facts available at the time of the event, the officer must have an awareness of sufficient information which would lead a reasonable officer, under the circumstances, to conclude that a Federal crime was in progress, or was about to occur. This awareness need not extend to the precise particulars of the crime (the section of Title 18, United States Code, for example), but there must be sufficient evidence that the officer was in fact engaged in actual or attempted apprehension of a Federal criminal or prevention of a Federal crime.</w:t>
      </w:r>
    </w:p>
    <w:p w:rsidR="00204C8A" w:rsidRPr="00204C8A" w:rsidRDefault="00D53F29" w:rsidP="00204C8A">
      <w:pPr>
        <w:widowControl/>
        <w:shd w:val="clear" w:color="auto" w:fill="FFFFFF"/>
        <w:spacing w:before="200" w:after="100" w:afterAutospacing="1"/>
        <w:rPr>
          <w:rFonts w:ascii="Arial" w:hAnsi="Arial" w:cs="Arial"/>
          <w:color w:val="000000"/>
          <w:sz w:val="20"/>
        </w:rPr>
      </w:pPr>
      <w:hyperlink r:id="rId12" w:anchor="_top" w:history="1">
        <w:r w:rsidR="00204C8A" w:rsidRPr="00204C8A">
          <w:rPr>
            <w:rFonts w:ascii="Arial" w:hAnsi="Arial" w:cs="Arial"/>
            <w:noProof/>
            <w:color w:val="0000FF"/>
            <w:sz w:val="17"/>
            <w:szCs w:val="17"/>
          </w:rPr>
          <w:drawing>
            <wp:inline distT="0" distB="0" distL="0" distR="0" wp14:anchorId="41A46AD7" wp14:editId="5BA3821D">
              <wp:extent cx="152400" cy="152400"/>
              <wp:effectExtent l="0" t="0" r="0" b="0"/>
              <wp:docPr id="6" name="Picture 6"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04C8A" w:rsidRPr="00204C8A">
          <w:rPr>
            <w:rFonts w:ascii="Arial" w:hAnsi="Arial" w:cs="Arial"/>
            <w:color w:val="0000FF"/>
            <w:sz w:val="17"/>
            <w:szCs w:val="17"/>
          </w:rPr>
          <w:t> Back to Top</w:t>
        </w:r>
      </w:hyperlink>
    </w:p>
    <w:p w:rsidR="00204C8A" w:rsidRPr="00204C8A" w:rsidRDefault="00204C8A" w:rsidP="00204C8A">
      <w:pPr>
        <w:widowControl/>
        <w:shd w:val="clear" w:color="auto" w:fill="FFFFFF"/>
        <w:spacing w:before="200" w:after="100"/>
        <w:outlineLvl w:val="1"/>
        <w:rPr>
          <w:rFonts w:ascii="Arial" w:hAnsi="Arial" w:cs="Arial"/>
          <w:b/>
          <w:bCs/>
          <w:color w:val="000000"/>
          <w:sz w:val="20"/>
        </w:rPr>
      </w:pPr>
      <w:bookmarkStart w:id="6" w:name="se20.1.10_1740"/>
      <w:bookmarkEnd w:id="6"/>
      <w:r w:rsidRPr="00204C8A">
        <w:rPr>
          <w:rFonts w:ascii="Arial" w:hAnsi="Arial" w:cs="Arial"/>
          <w:b/>
          <w:bCs/>
          <w:color w:val="000000"/>
          <w:sz w:val="20"/>
        </w:rPr>
        <w:t>§10.740   In what situations will OWCP automatically presume that a law enforcement officer is covered by the FECA?</w:t>
      </w:r>
    </w:p>
    <w:p w:rsidR="00204C8A" w:rsidRPr="00204C8A" w:rsidRDefault="00204C8A" w:rsidP="00204C8A">
      <w:pPr>
        <w:widowControl/>
        <w:shd w:val="clear" w:color="auto" w:fill="FFFFFF"/>
        <w:spacing w:before="100" w:beforeAutospacing="1" w:after="100" w:afterAutospacing="1"/>
        <w:ind w:firstLine="480"/>
        <w:rPr>
          <w:rFonts w:ascii="Arial" w:hAnsi="Arial" w:cs="Arial"/>
          <w:color w:val="000000"/>
          <w:sz w:val="20"/>
        </w:rPr>
      </w:pPr>
      <w:r w:rsidRPr="00204C8A">
        <w:rPr>
          <w:rFonts w:ascii="Arial" w:hAnsi="Arial" w:cs="Arial"/>
          <w:color w:val="000000"/>
          <w:sz w:val="20"/>
        </w:rPr>
        <w:t>(a) Where an officer is detailed by a competent State or local authority to assist a Federal law enforcement authority in the protection of the President of the United States, or any other person actually provided or entitled to U.S. Secret Service protection, coverage will be extended.</w:t>
      </w:r>
    </w:p>
    <w:p w:rsidR="00204C8A" w:rsidRPr="00204C8A" w:rsidRDefault="00204C8A" w:rsidP="00204C8A">
      <w:pPr>
        <w:widowControl/>
        <w:shd w:val="clear" w:color="auto" w:fill="FFFFFF"/>
        <w:spacing w:before="100" w:beforeAutospacing="1" w:after="100" w:afterAutospacing="1"/>
        <w:ind w:firstLine="480"/>
        <w:rPr>
          <w:rFonts w:ascii="Arial" w:hAnsi="Arial" w:cs="Arial"/>
          <w:color w:val="000000"/>
          <w:sz w:val="20"/>
        </w:rPr>
      </w:pPr>
      <w:r w:rsidRPr="00204C8A">
        <w:rPr>
          <w:rFonts w:ascii="Arial" w:hAnsi="Arial" w:cs="Arial"/>
          <w:color w:val="000000"/>
          <w:sz w:val="20"/>
        </w:rPr>
        <w:t>(b) Coverage for officers of the U.S. Park Police and those officers of the Uniformed Division of the U.S. Secret Service who participate in the District of Columbia Retirement System is adjudicated under the principles set forth in paragraph (a) of this section, and does not extend to numerous tangential activities of law enforcement (for example, reporting to work, changing clothes). However, officers of the Non-Uniformed Division of the U.S. Secret Service who participate in the District of Columbia Retirement System are covered under the FECA during the performance of all official duties.</w:t>
      </w:r>
    </w:p>
    <w:p w:rsidR="00204C8A" w:rsidRPr="00204C8A" w:rsidRDefault="00D53F29" w:rsidP="00204C8A">
      <w:pPr>
        <w:widowControl/>
        <w:shd w:val="clear" w:color="auto" w:fill="FFFFFF"/>
        <w:spacing w:before="200" w:after="100" w:afterAutospacing="1"/>
        <w:rPr>
          <w:rFonts w:ascii="Arial" w:hAnsi="Arial" w:cs="Arial"/>
          <w:color w:val="000000"/>
          <w:sz w:val="20"/>
        </w:rPr>
      </w:pPr>
      <w:hyperlink r:id="rId13" w:anchor="_top" w:history="1">
        <w:r w:rsidR="00204C8A" w:rsidRPr="00204C8A">
          <w:rPr>
            <w:rFonts w:ascii="Arial" w:hAnsi="Arial" w:cs="Arial"/>
            <w:noProof/>
            <w:color w:val="0000FF"/>
            <w:sz w:val="17"/>
            <w:szCs w:val="17"/>
          </w:rPr>
          <w:drawing>
            <wp:inline distT="0" distB="0" distL="0" distR="0" wp14:anchorId="2AC36901" wp14:editId="25A0165E">
              <wp:extent cx="152400" cy="152400"/>
              <wp:effectExtent l="0" t="0" r="0" b="0"/>
              <wp:docPr id="7" name="Picture 7"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04C8A" w:rsidRPr="00204C8A">
          <w:rPr>
            <w:rFonts w:ascii="Arial" w:hAnsi="Arial" w:cs="Arial"/>
            <w:color w:val="0000FF"/>
            <w:sz w:val="17"/>
            <w:szCs w:val="17"/>
          </w:rPr>
          <w:t> Back to Top</w:t>
        </w:r>
      </w:hyperlink>
    </w:p>
    <w:p w:rsidR="00204C8A" w:rsidRPr="00204C8A" w:rsidRDefault="00204C8A" w:rsidP="00204C8A">
      <w:pPr>
        <w:widowControl/>
        <w:shd w:val="clear" w:color="auto" w:fill="FFFFFF"/>
        <w:spacing w:before="200" w:after="100"/>
        <w:outlineLvl w:val="1"/>
        <w:rPr>
          <w:rFonts w:ascii="Arial" w:hAnsi="Arial" w:cs="Arial"/>
          <w:b/>
          <w:bCs/>
          <w:color w:val="000000"/>
          <w:sz w:val="20"/>
        </w:rPr>
      </w:pPr>
      <w:bookmarkStart w:id="7" w:name="se20.1.10_1741"/>
      <w:bookmarkEnd w:id="7"/>
      <w:r w:rsidRPr="00204C8A">
        <w:rPr>
          <w:rFonts w:ascii="Arial" w:hAnsi="Arial" w:cs="Arial"/>
          <w:b/>
          <w:bCs/>
          <w:color w:val="000000"/>
          <w:sz w:val="20"/>
        </w:rPr>
        <w:t>§10.741   How are benefits calculated in LEO claims?</w:t>
      </w:r>
    </w:p>
    <w:p w:rsidR="00204C8A" w:rsidRPr="00204C8A" w:rsidRDefault="00204C8A" w:rsidP="00204C8A">
      <w:pPr>
        <w:widowControl/>
        <w:shd w:val="clear" w:color="auto" w:fill="FFFFFF"/>
        <w:spacing w:before="100" w:beforeAutospacing="1" w:after="100" w:afterAutospacing="1"/>
        <w:ind w:firstLine="480"/>
        <w:rPr>
          <w:rFonts w:ascii="Arial" w:hAnsi="Arial" w:cs="Arial"/>
          <w:color w:val="000000"/>
          <w:sz w:val="20"/>
        </w:rPr>
      </w:pPr>
      <w:r w:rsidRPr="00204C8A">
        <w:rPr>
          <w:rFonts w:ascii="Arial" w:hAnsi="Arial" w:cs="Arial"/>
          <w:color w:val="000000"/>
          <w:sz w:val="20"/>
        </w:rPr>
        <w:t>(a) Except for continuation of pay, eligible officers and survivors are entitled to the same benefits as if the officer had been an employee under 5 U.S.C. 8101. However, such benefits may be reduced or adjusted as OWCP in its discretion may deem appropriate to reflect comparable benefits which the officer or survivor received or would have been entitled to receive by virtue of the officer's employment.</w:t>
      </w:r>
    </w:p>
    <w:p w:rsidR="00204C8A" w:rsidRPr="00204C8A" w:rsidRDefault="00204C8A" w:rsidP="00204C8A">
      <w:pPr>
        <w:widowControl/>
        <w:shd w:val="clear" w:color="auto" w:fill="FFFFFF"/>
        <w:spacing w:before="100" w:beforeAutospacing="1" w:after="100" w:afterAutospacing="1"/>
        <w:ind w:firstLine="480"/>
        <w:rPr>
          <w:rFonts w:ascii="Arial" w:hAnsi="Arial" w:cs="Arial"/>
          <w:color w:val="000000"/>
          <w:sz w:val="20"/>
        </w:rPr>
      </w:pPr>
      <w:r w:rsidRPr="00204C8A">
        <w:rPr>
          <w:rFonts w:ascii="Arial" w:hAnsi="Arial" w:cs="Arial"/>
          <w:color w:val="000000"/>
          <w:sz w:val="20"/>
        </w:rPr>
        <w:t>(b) For the purpose of this section, a comparable benefit includes any benefit that the officer or survivor is entitled to receive because of the officer's employment, including pension and disability funds, State workers' compensation payments, Public Safety Officers' Benefits Act payments, and State and local lump-sum payments. Health benefits coverage and proceeds of life insurance policies purchased by the employer are not considered to be comparable benefits.</w:t>
      </w:r>
    </w:p>
    <w:p w:rsidR="00204C8A" w:rsidRPr="00204C8A" w:rsidRDefault="00204C8A" w:rsidP="00204C8A">
      <w:pPr>
        <w:widowControl/>
        <w:shd w:val="clear" w:color="auto" w:fill="FFFFFF"/>
        <w:spacing w:before="100" w:beforeAutospacing="1" w:after="100" w:afterAutospacing="1"/>
        <w:ind w:firstLine="480"/>
        <w:rPr>
          <w:rFonts w:ascii="Arial" w:hAnsi="Arial" w:cs="Arial"/>
          <w:color w:val="000000"/>
          <w:sz w:val="20"/>
        </w:rPr>
      </w:pPr>
      <w:r w:rsidRPr="00204C8A">
        <w:rPr>
          <w:rFonts w:ascii="Arial" w:hAnsi="Arial" w:cs="Arial"/>
          <w:color w:val="000000"/>
          <w:sz w:val="20"/>
        </w:rPr>
        <w:t xml:space="preserve">(c) The FECA provides that, where an officer receives comparable benefits, compensation benefits are to be reduced proportionally in a manner that reflects the relative percentage contribution of the officer and the officer's employer to the fund which is the source of the comparable benefit. Where the source of the comparable benefit is a retirement or other system which is not fully funded, the calculation </w:t>
      </w:r>
      <w:r w:rsidRPr="00204C8A">
        <w:rPr>
          <w:rFonts w:ascii="Arial" w:hAnsi="Arial" w:cs="Arial"/>
          <w:color w:val="000000"/>
          <w:sz w:val="20"/>
        </w:rPr>
        <w:lastRenderedPageBreak/>
        <w:t>of the amount of the reduction will be based on a per capita comparison between the contribution by the employer and the contribution by all covered officers during the year prior to the officer's injury or death.</w:t>
      </w:r>
    </w:p>
    <w:p w:rsidR="00204C8A" w:rsidRPr="00204C8A" w:rsidRDefault="00204C8A" w:rsidP="00204C8A">
      <w:pPr>
        <w:widowControl/>
        <w:shd w:val="clear" w:color="auto" w:fill="FFFFFF"/>
        <w:spacing w:before="100" w:beforeAutospacing="1" w:after="100" w:afterAutospacing="1"/>
        <w:ind w:firstLine="480"/>
        <w:rPr>
          <w:rFonts w:ascii="Arial" w:hAnsi="Arial" w:cs="Arial"/>
          <w:color w:val="000000"/>
          <w:sz w:val="20"/>
        </w:rPr>
      </w:pPr>
      <w:r w:rsidRPr="00204C8A">
        <w:rPr>
          <w:rFonts w:ascii="Arial" w:hAnsi="Arial" w:cs="Arial"/>
          <w:color w:val="000000"/>
          <w:sz w:val="20"/>
        </w:rPr>
        <w:t>(d) The non-receipt of compensation during a period where a dual benefit (such as a lump-sum payment on the death of an officer) is being offset against compensation entitlement does not result in an adjustment of the respective benefit percentages of remaining beneficiaries because of a cessation of compensation under 5 U.S.C. 8133(c).</w:t>
      </w:r>
    </w:p>
    <w:p w:rsidR="00392180" w:rsidRDefault="00392180"/>
    <w:sectPr w:rsidR="00392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8E"/>
    <w:rsid w:val="00204C8A"/>
    <w:rsid w:val="00392180"/>
    <w:rsid w:val="0079708E"/>
    <w:rsid w:val="00CB2980"/>
    <w:rsid w:val="00D53F29"/>
    <w:rsid w:val="00E7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6E"/>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7386E"/>
  </w:style>
  <w:style w:type="paragraph" w:styleId="BalloonText">
    <w:name w:val="Balloon Text"/>
    <w:basedOn w:val="Normal"/>
    <w:link w:val="BalloonTextChar"/>
    <w:uiPriority w:val="99"/>
    <w:semiHidden/>
    <w:unhideWhenUsed/>
    <w:rsid w:val="00204C8A"/>
    <w:rPr>
      <w:rFonts w:ascii="Tahoma" w:hAnsi="Tahoma" w:cs="Tahoma"/>
      <w:sz w:val="16"/>
      <w:szCs w:val="16"/>
    </w:rPr>
  </w:style>
  <w:style w:type="character" w:customStyle="1" w:styleId="BalloonTextChar">
    <w:name w:val="Balloon Text Char"/>
    <w:basedOn w:val="DefaultParagraphFont"/>
    <w:link w:val="BalloonText"/>
    <w:uiPriority w:val="99"/>
    <w:semiHidden/>
    <w:rsid w:val="00204C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6E"/>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7386E"/>
  </w:style>
  <w:style w:type="paragraph" w:styleId="BalloonText">
    <w:name w:val="Balloon Text"/>
    <w:basedOn w:val="Normal"/>
    <w:link w:val="BalloonTextChar"/>
    <w:uiPriority w:val="99"/>
    <w:semiHidden/>
    <w:unhideWhenUsed/>
    <w:rsid w:val="00204C8A"/>
    <w:rPr>
      <w:rFonts w:ascii="Tahoma" w:hAnsi="Tahoma" w:cs="Tahoma"/>
      <w:sz w:val="16"/>
      <w:szCs w:val="16"/>
    </w:rPr>
  </w:style>
  <w:style w:type="character" w:customStyle="1" w:styleId="BalloonTextChar">
    <w:name w:val="Balloon Text Char"/>
    <w:basedOn w:val="DefaultParagraphFont"/>
    <w:link w:val="BalloonText"/>
    <w:uiPriority w:val="99"/>
    <w:semiHidden/>
    <w:rsid w:val="00204C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9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c=ecfr&amp;SID=c131552afa82be329e42e2c9d62a41c8&amp;rgn=div5&amp;view=text&amp;node=20:1.0.1.2.2&amp;idno=20" TargetMode="External"/><Relationship Id="rId13" Type="http://schemas.openxmlformats.org/officeDocument/2006/relationships/hyperlink" Target="http://www.ecfr.gov/cgi-bin/text-idx?c=ecfr&amp;SID=c131552afa82be329e42e2c9d62a41c8&amp;rgn=div5&amp;view=text&amp;node=20:1.0.1.2.2&amp;idno=20"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ecfr.gov/cgi-bin/text-idx?c=ecfr&amp;SID=c131552afa82be329e42e2c9d62a41c8&amp;rgn=div5&amp;view=text&amp;node=20:1.0.1.2.2&amp;idno=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fr.gov/cgi-bin/text-idx?c=ecfr&amp;SID=c131552afa82be329e42e2c9d62a41c8&amp;rgn=div5&amp;view=text&amp;node=20:1.0.1.2.2&amp;idno=20#_top" TargetMode="External"/><Relationship Id="rId11" Type="http://schemas.openxmlformats.org/officeDocument/2006/relationships/hyperlink" Target="http://www.ecfr.gov/cgi-bin/text-idx?c=ecfr&amp;SID=c131552afa82be329e42e2c9d62a41c8&amp;rgn=div5&amp;view=text&amp;node=20:1.0.1.2.2&amp;idno=20" TargetMode="External"/><Relationship Id="rId5" Type="http://schemas.openxmlformats.org/officeDocument/2006/relationships/hyperlink" Target="http://www.ecfr.gov/cgi-bin/text-idx?c=ecfr&amp;SID=c131552afa82be329e42e2c9d62a41c8&amp;rgn=div5&amp;view=text&amp;node=20:1.0.1.2.2&amp;idno=20" TargetMode="External"/><Relationship Id="rId15" Type="http://schemas.openxmlformats.org/officeDocument/2006/relationships/theme" Target="theme/theme1.xml"/><Relationship Id="rId10" Type="http://schemas.openxmlformats.org/officeDocument/2006/relationships/hyperlink" Target="http://www.ecfr.gov/cgi-bin/text-idx?c=ecfr&amp;SID=c131552afa82be329e42e2c9d62a41c8&amp;rgn=div5&amp;view=text&amp;node=20:1.0.1.2.2&amp;idno=20" TargetMode="External"/><Relationship Id="rId4" Type="http://schemas.openxmlformats.org/officeDocument/2006/relationships/webSettings" Target="webSettings.xml"/><Relationship Id="rId9" Type="http://schemas.openxmlformats.org/officeDocument/2006/relationships/hyperlink" Target="http://www.ecfr.gov/cgi-bin/text-idx?c=ecfr&amp;SID=c131552afa82be329e42e2c9d62a41c8&amp;rgn=div5&amp;view=text&amp;node=20:1.0.1.2.2&amp;idno=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Sharpless, Marcus J - OWCP</dc:creator>
  <cp:lastModifiedBy>SYSTEM</cp:lastModifiedBy>
  <cp:revision>2</cp:revision>
  <dcterms:created xsi:type="dcterms:W3CDTF">2019-11-27T16:29:00Z</dcterms:created>
  <dcterms:modified xsi:type="dcterms:W3CDTF">2019-11-27T16:29:00Z</dcterms:modified>
</cp:coreProperties>
</file>