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6199" w:rsidR="001551C6" w:rsidP="009A0BBE" w:rsidRDefault="001551C6" w14:paraId="78BF0BF8" w14:textId="115062C1">
      <w:pPr>
        <w:spacing w:before="100" w:beforeAutospacing="1"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137238">
        <w:rPr>
          <w:b/>
          <w:i/>
          <w:color w:val="000000" w:themeColor="text1"/>
          <w:sz w:val="32"/>
        </w:rPr>
        <w:t>Evaluation of the Mandela Washington Fellowship for Young African Leaders</w:t>
      </w:r>
      <w:r w:rsidRPr="007F6199">
        <w:rPr>
          <w:b/>
          <w:color w:val="000000" w:themeColor="text1"/>
          <w:sz w:val="32"/>
        </w:rPr>
        <w:br/>
        <w:t xml:space="preserve">OMB </w:t>
      </w:r>
      <w:r w:rsidR="0012623E">
        <w:rPr>
          <w:b/>
          <w:color w:val="000000" w:themeColor="text1"/>
          <w:sz w:val="32"/>
        </w:rPr>
        <w:t xml:space="preserve">Control </w:t>
      </w:r>
      <w:r w:rsidRPr="007F6199">
        <w:rPr>
          <w:b/>
          <w:color w:val="000000" w:themeColor="text1"/>
          <w:sz w:val="32"/>
        </w:rPr>
        <w:t xml:space="preserve">Number </w:t>
      </w:r>
      <w:r w:rsidRPr="0012623E">
        <w:rPr>
          <w:b/>
          <w:color w:val="000000" w:themeColor="text1"/>
          <w:sz w:val="32"/>
        </w:rPr>
        <w:t>1405-</w:t>
      </w:r>
      <w:r w:rsidRPr="0012623E" w:rsidR="00377BC9">
        <w:rPr>
          <w:b/>
          <w:color w:val="000000" w:themeColor="text1"/>
          <w:sz w:val="32"/>
        </w:rPr>
        <w:t>XXXX</w:t>
      </w:r>
      <w:r w:rsidRPr="007F6199">
        <w:rPr>
          <w:b/>
          <w:i/>
          <w:color w:val="000000" w:themeColor="text1"/>
          <w:sz w:val="32"/>
        </w:rPr>
        <w:br/>
      </w:r>
    </w:p>
    <w:p w:rsidR="001551C6" w:rsidP="00F4332D" w:rsidRDefault="001551C6" w14:paraId="543B2DF1" w14:textId="77777777">
      <w:pPr>
        <w:pStyle w:val="Heading1"/>
        <w:spacing w:before="100" w:beforeAutospacing="1"/>
      </w:pPr>
      <w:r>
        <w:t>A.</w:t>
      </w:r>
      <w:r>
        <w:tab/>
        <w:t>JUSTIFICATION</w:t>
      </w:r>
    </w:p>
    <w:p w:rsidRPr="007F6199" w:rsidR="001551C6" w:rsidP="00F4332D" w:rsidRDefault="001551C6" w14:paraId="7D5E5256" w14:textId="77777777">
      <w:pPr>
        <w:numPr>
          <w:ilvl w:val="0"/>
          <w:numId w:val="1"/>
        </w:numPr>
        <w:spacing w:before="100" w:beforeAutospacing="1"/>
        <w:rPr>
          <w:i/>
          <w:color w:val="000000" w:themeColor="text1"/>
          <w:sz w:val="28"/>
          <w:szCs w:val="28"/>
        </w:rPr>
      </w:pPr>
      <w:r w:rsidRPr="007F6199">
        <w:rPr>
          <w:i/>
          <w:color w:val="000000" w:themeColor="text1"/>
          <w:sz w:val="28"/>
          <w:szCs w:val="28"/>
        </w:rPr>
        <w:t>Why is this collection necessary and what are the legal statutes that allow this?</w:t>
      </w:r>
    </w:p>
    <w:p w:rsidR="00137238" w:rsidP="00F4332D" w:rsidRDefault="001C7D50" w14:paraId="26899AA4" w14:textId="4DC38905">
      <w:pPr>
        <w:pStyle w:val="ListParagraph"/>
        <w:spacing w:before="100" w:beforeAutospacing="1"/>
        <w:ind w:left="360"/>
      </w:pPr>
      <w:r>
        <w:t>The Department of State’s Bureau of Educational and Cultural Affairs (ECA) regularly monitors</w:t>
      </w:r>
      <w:r w:rsidR="005D5629">
        <w:t xml:space="preserve"> and evaluates</w:t>
      </w:r>
      <w:r>
        <w:t xml:space="preserve"> its programs through the collection of data about program accomplishments in order to </w:t>
      </w:r>
      <w:r w:rsidRPr="009F50B1">
        <w:t>enable program staff to assess the impact of its programs, where improvements may be necessary, and to modify/plan future programs.</w:t>
      </w:r>
      <w:r w:rsidRPr="009F50B1" w:rsidR="005D5629">
        <w:t xml:space="preserve"> ECA is currently conducting an evaluation of the </w:t>
      </w:r>
      <w:r w:rsidR="00137238">
        <w:t>Mandela Washington Fellowship for Young African Leaders (Fellowship)</w:t>
      </w:r>
      <w:r w:rsidRPr="009F50B1" w:rsidR="00D97743">
        <w:t xml:space="preserve">.  </w:t>
      </w:r>
      <w:r w:rsidRPr="00061F3B" w:rsidR="00D97743">
        <w:t xml:space="preserve">The </w:t>
      </w:r>
      <w:r w:rsidRPr="00061F3B" w:rsidR="00650ABA">
        <w:t xml:space="preserve">Mandela Washington </w:t>
      </w:r>
      <w:r w:rsidRPr="00061F3B" w:rsidR="00137238">
        <w:t xml:space="preserve">Fellowship </w:t>
      </w:r>
      <w:r w:rsidRPr="00EA3E11" w:rsidR="00137238">
        <w:t xml:space="preserve">is </w:t>
      </w:r>
      <w:r w:rsidRPr="00EA3E11" w:rsidR="00EE4552">
        <w:t>the flagship program of</w:t>
      </w:r>
      <w:r w:rsidRPr="00EA3E11" w:rsidR="00137238">
        <w:t xml:space="preserve"> the Young African Leaders Initiative (YALI), which is a signature effort to invest in the next generation of African leaders.  </w:t>
      </w:r>
      <w:r w:rsidRPr="00EA3E11" w:rsidR="00EE4552">
        <w:t>The F</w:t>
      </w:r>
      <w:r w:rsidRPr="00EA3E11" w:rsidR="00E73EC6">
        <w:t xml:space="preserve">ellowship includes a six-week Academic and Leadership Institute at a U.S. college or university; a three-day networking Summit in Washington, D.C.;  </w:t>
      </w:r>
      <w:r w:rsidRPr="00EA3E11" w:rsidR="007C2631">
        <w:t xml:space="preserve">a </w:t>
      </w:r>
      <w:r w:rsidRPr="00EA3E11" w:rsidR="00E73EC6">
        <w:t>competitively selected U.S.-based prof</w:t>
      </w:r>
      <w:r w:rsidRPr="00EA3E11" w:rsidR="007C2631">
        <w:t>essional development experience</w:t>
      </w:r>
      <w:r w:rsidRPr="00EA3E11" w:rsidR="00E73EC6">
        <w:t xml:space="preserve"> with U.S. non-governmental organizations, private companies, and governmental agencies;  </w:t>
      </w:r>
      <w:r w:rsidRPr="00EA3E11" w:rsidR="007C2631">
        <w:t xml:space="preserve">a competitively selected Reciprocal Exchange Component for American professionals to travel to sub-Saharan African countries to build on strategic partnerships and professional connections developed during the Fellowship; </w:t>
      </w:r>
      <w:r w:rsidRPr="00EA3E11" w:rsidR="00E73EC6">
        <w:t>and Africa-based support following the conclusion of the Institutes. The U.S.-based components of the Fellowship – Academic and Leadership Institutes, Summit, professional development experiences, and Reciprocal Exchange component</w:t>
      </w:r>
      <w:r w:rsidRPr="00EA3E11" w:rsidR="00CC5F8B">
        <w:t>s</w:t>
      </w:r>
      <w:r w:rsidRPr="00EA3E11" w:rsidR="00E73EC6">
        <w:t xml:space="preserve"> are managed by ECA and are the focus of this evaluation. </w:t>
      </w:r>
    </w:p>
    <w:p w:rsidR="00137238" w:rsidP="00F4332D" w:rsidRDefault="00137238" w14:paraId="07FE408D" w14:textId="77777777">
      <w:pPr>
        <w:pStyle w:val="ListParagraph"/>
        <w:spacing w:before="100" w:beforeAutospacing="1"/>
        <w:ind w:left="360"/>
      </w:pPr>
    </w:p>
    <w:p w:rsidRPr="00F33A2D" w:rsidR="001C7D50" w:rsidP="00F4332D" w:rsidRDefault="00F33A2D" w14:paraId="3FFF12D3" w14:textId="1E1167D1">
      <w:pPr>
        <w:pStyle w:val="ListParagraph"/>
        <w:spacing w:before="100" w:beforeAutospacing="1"/>
        <w:ind w:left="360"/>
      </w:pPr>
      <w:r w:rsidRPr="00F33A2D">
        <w:t xml:space="preserve">As the </w:t>
      </w:r>
      <w:r w:rsidR="00137238">
        <w:t>Fellowship</w:t>
      </w:r>
      <w:r w:rsidRPr="00F33A2D">
        <w:t xml:space="preserve"> has </w:t>
      </w:r>
      <w:r w:rsidR="00CC5F8B">
        <w:t>been implemente</w:t>
      </w:r>
      <w:r w:rsidR="00137238">
        <w:t xml:space="preserve">d </w:t>
      </w:r>
      <w:r w:rsidR="00CC5F8B">
        <w:t>for</w:t>
      </w:r>
      <w:r w:rsidR="00137238">
        <w:t xml:space="preserve"> five years, </w:t>
      </w:r>
      <w:r w:rsidRPr="00F33A2D">
        <w:t xml:space="preserve">ECA is conducting this evaluation to determine the extent to which the program is </w:t>
      </w:r>
      <w:r w:rsidR="00CC5F8B">
        <w:t>meeting its stated goals, as well as the program’s impact on advancing DOS strategic policy priorities</w:t>
      </w:r>
      <w:r w:rsidRPr="00F33A2D">
        <w:t xml:space="preserve">. In order to do so, ECA has contracted </w:t>
      </w:r>
      <w:r w:rsidR="00137238">
        <w:t>Guidehouse LLP (</w:t>
      </w:r>
      <w:r w:rsidR="006F2D12">
        <w:t>Guidehouse</w:t>
      </w:r>
      <w:r w:rsidR="00137238">
        <w:t>)</w:t>
      </w:r>
      <w:r w:rsidRPr="00F33A2D">
        <w:t xml:space="preserve"> to conduct surveys</w:t>
      </w:r>
      <w:r w:rsidR="00137238">
        <w:t>, interview</w:t>
      </w:r>
      <w:r w:rsidR="00CC5F8B">
        <w:t>s</w:t>
      </w:r>
      <w:r w:rsidR="00137238">
        <w:t>, and focus groups with Fellowship A</w:t>
      </w:r>
      <w:r w:rsidRPr="00F33A2D">
        <w:t>lumni</w:t>
      </w:r>
      <w:r w:rsidR="005A06FD">
        <w:t>, Academic and Leadership Institute staff, Professional Development Experience repr</w:t>
      </w:r>
      <w:r w:rsidR="003A2294">
        <w:t>esentatives, Reciprocal Exchange</w:t>
      </w:r>
      <w:r w:rsidR="005A06FD">
        <w:t xml:space="preserve"> Alumni, and</w:t>
      </w:r>
      <w:r w:rsidRPr="00F33A2D">
        <w:t xml:space="preserve"> </w:t>
      </w:r>
      <w:r w:rsidR="005A06FD">
        <w:t>other</w:t>
      </w:r>
      <w:r w:rsidR="005A29D3">
        <w:t xml:space="preserve"> U.S. community members that Fellows</w:t>
      </w:r>
      <w:r w:rsidR="00D501BD">
        <w:t xml:space="preserve"> interacted with during their time in the United States. </w:t>
      </w:r>
    </w:p>
    <w:p w:rsidR="00C918FF" w:rsidP="00F4332D" w:rsidRDefault="00C918FF" w14:paraId="37820BEF" w14:textId="77777777">
      <w:pPr>
        <w:pStyle w:val="ListParagraph"/>
        <w:spacing w:before="100" w:beforeAutospacing="1"/>
        <w:ind w:left="360"/>
      </w:pPr>
    </w:p>
    <w:p w:rsidR="00C918FF" w:rsidP="00F4332D" w:rsidRDefault="00C918FF" w14:paraId="13109D27" w14:textId="77777777">
      <w:pPr>
        <w:pStyle w:val="ListParagraph"/>
        <w:spacing w:before="100" w:beforeAutospacing="1"/>
        <w:ind w:left="360"/>
      </w:pPr>
      <w:r>
        <w:t xml:space="preserve">Legal authorities and administrative requirements that necessitate the collection of these data can be found below:  </w:t>
      </w:r>
    </w:p>
    <w:p w:rsidRPr="000D3832" w:rsidR="001C7D50" w:rsidP="00720D0A" w:rsidRDefault="001C7D50" w14:paraId="7F69A606" w14:textId="77777777">
      <w:pPr>
        <w:numPr>
          <w:ilvl w:val="0"/>
          <w:numId w:val="7"/>
        </w:numPr>
        <w:spacing w:before="100" w:beforeAutospacing="1" w:after="0"/>
        <w:ind w:left="720"/>
      </w:pPr>
      <w:r w:rsidRPr="000D3832">
        <w:t>Government Performance</w:t>
      </w:r>
      <w:r w:rsidR="00243589">
        <w:t xml:space="preserve"> and Results Act of 1993 (GPRA)</w:t>
      </w:r>
      <w:r w:rsidRPr="000D3832">
        <w:t xml:space="preserve">    </w:t>
      </w:r>
    </w:p>
    <w:p w:rsidRPr="000D3832" w:rsidR="001C7D50" w:rsidP="00720D0A" w:rsidRDefault="001C7D50" w14:paraId="1313319D" w14:textId="77777777">
      <w:pPr>
        <w:numPr>
          <w:ilvl w:val="0"/>
          <w:numId w:val="7"/>
        </w:numPr>
        <w:spacing w:before="100" w:beforeAutospacing="1" w:after="0"/>
        <w:ind w:left="720"/>
      </w:pPr>
      <w:r w:rsidRPr="000D3832">
        <w:t>Government Performance and Results Mod</w:t>
      </w:r>
      <w:r w:rsidR="00243589">
        <w:t>ernization Act of 2010 (GPRAMA)</w:t>
      </w:r>
      <w:r w:rsidRPr="000D3832">
        <w:t xml:space="preserve"> </w:t>
      </w:r>
    </w:p>
    <w:p w:rsidR="00243589" w:rsidP="00720D0A" w:rsidRDefault="001C7D50" w14:paraId="62630A35" w14:textId="77777777">
      <w:pPr>
        <w:numPr>
          <w:ilvl w:val="0"/>
          <w:numId w:val="7"/>
        </w:numPr>
        <w:spacing w:before="100" w:beforeAutospacing="1" w:after="0"/>
        <w:ind w:left="720"/>
      </w:pPr>
      <w:r w:rsidRPr="000D3832">
        <w:t>Foreign Aid Transparency and Accountability Act of 2016, Public Law</w:t>
      </w:r>
      <w:r w:rsidR="00032A5E">
        <w:t xml:space="preserve"> </w:t>
      </w:r>
      <w:r w:rsidRPr="000D3832">
        <w:t>114-191</w:t>
      </w:r>
    </w:p>
    <w:p w:rsidR="001C7D50" w:rsidP="00720D0A" w:rsidRDefault="00243589" w14:paraId="0C8B799C" w14:textId="77777777">
      <w:pPr>
        <w:numPr>
          <w:ilvl w:val="0"/>
          <w:numId w:val="7"/>
        </w:numPr>
        <w:spacing w:before="100" w:beforeAutospacing="1" w:after="0"/>
        <w:ind w:left="720"/>
      </w:pPr>
      <w:r>
        <w:lastRenderedPageBreak/>
        <w:t>Foundations for Evidence-Based Policymaking Act of 2017</w:t>
      </w:r>
      <w:r w:rsidR="001C7D50">
        <w:t xml:space="preserve"> </w:t>
      </w:r>
    </w:p>
    <w:p w:rsidR="00243589" w:rsidP="00720D0A" w:rsidRDefault="00C918FF" w14:paraId="5DC50DCB" w14:textId="77777777">
      <w:pPr>
        <w:numPr>
          <w:ilvl w:val="0"/>
          <w:numId w:val="7"/>
        </w:numPr>
        <w:spacing w:before="100" w:beforeAutospacing="1" w:after="0"/>
        <w:ind w:left="720"/>
      </w:pPr>
      <w:r>
        <w:t>Department of State’s Program and Project Design, Mo</w:t>
      </w:r>
      <w:r w:rsidR="00243589">
        <w:t>nitoring, and Evaluation Policy</w:t>
      </w:r>
    </w:p>
    <w:p w:rsidRPr="00243589" w:rsidR="00D22C31" w:rsidP="00720D0A" w:rsidRDefault="001C7D50" w14:paraId="6BAF0075" w14:textId="77777777">
      <w:pPr>
        <w:numPr>
          <w:ilvl w:val="0"/>
          <w:numId w:val="7"/>
        </w:numPr>
        <w:spacing w:before="100" w:beforeAutospacing="1" w:after="0"/>
        <w:ind w:left="720"/>
      </w:pPr>
      <w:r w:rsidRPr="000D3832">
        <w:t xml:space="preserve">Mutual Educational and Cultural Exchange Act of 1961, as amended, 22 U.S.C. 2451 </w:t>
      </w:r>
      <w:r w:rsidRPr="00243589">
        <w:rPr>
          <w:i/>
          <w:iCs/>
        </w:rPr>
        <w:t xml:space="preserve">et seq </w:t>
      </w:r>
      <w:r w:rsidRPr="00243589">
        <w:rPr>
          <w:iCs/>
        </w:rPr>
        <w:t>(also known as the Fulbright-Hays Act)</w:t>
      </w:r>
    </w:p>
    <w:p w:rsidRPr="00D22C31" w:rsidR="001551C6" w:rsidP="00D22C31" w:rsidRDefault="001551C6" w14:paraId="38F985FD" w14:textId="77777777">
      <w:pPr>
        <w:numPr>
          <w:ilvl w:val="0"/>
          <w:numId w:val="1"/>
        </w:numPr>
        <w:spacing w:before="100" w:beforeAutospacing="1" w:after="0"/>
        <w:rPr>
          <w:i/>
          <w:color w:val="000000" w:themeColor="text1"/>
          <w:sz w:val="28"/>
          <w:szCs w:val="28"/>
        </w:rPr>
      </w:pPr>
      <w:r w:rsidRPr="00D22C31">
        <w:rPr>
          <w:i/>
          <w:color w:val="000000" w:themeColor="text1"/>
          <w:sz w:val="28"/>
          <w:szCs w:val="28"/>
        </w:rPr>
        <w:t>What business purpose is the information gathered going to be used for?</w:t>
      </w:r>
    </w:p>
    <w:p w:rsidR="00EE4552" w:rsidP="006F2D12" w:rsidRDefault="00EE4552" w14:paraId="674B85BB" w14:textId="1CC8720D">
      <w:pPr>
        <w:spacing w:before="100" w:beforeAutospacing="1"/>
        <w:ind w:left="360"/>
      </w:pPr>
      <w:r>
        <w:t xml:space="preserve">The primary users of the collected data will be ECA’s evaluation and program staff and its implementing partner. Additional stakeholders </w:t>
      </w:r>
      <w:r w:rsidR="007210F5">
        <w:t xml:space="preserve">may include members from </w:t>
      </w:r>
      <w:r w:rsidR="00B760D9">
        <w:t>the ECA Evaluation Division,</w:t>
      </w:r>
      <w:r w:rsidR="007210F5">
        <w:t xml:space="preserve"> Program Offices in ECA, ECA senior leadership, </w:t>
      </w:r>
      <w:r w:rsidR="00657E69">
        <w:t xml:space="preserve">staff at U.S. Government agencies implementing components of YALI and </w:t>
      </w:r>
      <w:r w:rsidR="00EB2575">
        <w:t>relevant U.S. Embassy personnel</w:t>
      </w:r>
      <w:r w:rsidR="00657E69">
        <w:t>.</w:t>
      </w:r>
      <w:r>
        <w:t xml:space="preserve"> The information collected will be used to inform any beneficial program adjustments to strengthen the utility and cost-effectiveness of the program. </w:t>
      </w:r>
    </w:p>
    <w:p w:rsidRPr="00F4332D" w:rsidR="009F50B1" w:rsidP="00F4332D" w:rsidRDefault="006F2D12" w14:paraId="4690A6BC" w14:textId="353F512D">
      <w:pPr>
        <w:spacing w:before="100" w:beforeAutospacing="1"/>
        <w:ind w:left="360"/>
      </w:pPr>
      <w:r>
        <w:t>A high-level version of the final</w:t>
      </w:r>
      <w:r w:rsidRPr="00736EA0" w:rsidR="00736EA0">
        <w:t xml:space="preserve"> report will also be made available to the public as part of ECA’s responsibility to be accountable for the use of its funds and performance of its mission.</w:t>
      </w:r>
      <w:r>
        <w:t xml:space="preserve"> </w:t>
      </w:r>
      <w:r w:rsidR="009F50B1">
        <w:t xml:space="preserve">The ECA Evaluation Division, in partnership with </w:t>
      </w:r>
      <w:r>
        <w:t>Guidehouse</w:t>
      </w:r>
      <w:r w:rsidR="00FA00A6">
        <w:t xml:space="preserve"> (</w:t>
      </w:r>
      <w:r w:rsidR="009F50B1">
        <w:t>who is conducting the evaluation</w:t>
      </w:r>
      <w:r w:rsidR="00FA00A6">
        <w:t>)</w:t>
      </w:r>
      <w:r w:rsidR="009F50B1">
        <w:t xml:space="preserve"> will be responsible for collecting and analyzing the data.</w:t>
      </w:r>
    </w:p>
    <w:p w:rsidR="001551C6" w:rsidP="00F4332D" w:rsidRDefault="001551C6" w14:paraId="36596020" w14:textId="77777777">
      <w:pPr>
        <w:numPr>
          <w:ilvl w:val="0"/>
          <w:numId w:val="1"/>
        </w:numPr>
        <w:spacing w:before="100" w:beforeAutospacing="1"/>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Pr="00C85D2E" w:rsidR="003C45B5" w:rsidP="00D22C31" w:rsidRDefault="00927BD2" w14:paraId="1DC97FB2" w14:textId="354645C4">
      <w:pPr>
        <w:spacing w:before="100" w:beforeAutospacing="1"/>
        <w:ind w:left="360"/>
        <w:rPr>
          <w:szCs w:val="24"/>
        </w:rPr>
      </w:pPr>
      <w:r>
        <w:rPr>
          <w:szCs w:val="24"/>
        </w:rPr>
        <w:t>Surveys</w:t>
      </w:r>
      <w:r w:rsidRPr="00C85D2E" w:rsidR="003C45B5">
        <w:rPr>
          <w:szCs w:val="24"/>
        </w:rPr>
        <w:t xml:space="preserve"> will be managed by </w:t>
      </w:r>
      <w:r w:rsidR="00B414A0">
        <w:rPr>
          <w:szCs w:val="24"/>
        </w:rPr>
        <w:t>Guidehouse</w:t>
      </w:r>
      <w:r w:rsidRPr="00C85D2E" w:rsidR="003C45B5">
        <w:rPr>
          <w:szCs w:val="24"/>
        </w:rPr>
        <w:t xml:space="preserve"> on a single survey platform, </w:t>
      </w:r>
      <w:r w:rsidR="00B414A0">
        <w:rPr>
          <w:szCs w:val="24"/>
        </w:rPr>
        <w:t>Qualtrics</w:t>
      </w:r>
      <w:r w:rsidRPr="00C85D2E" w:rsidR="003C45B5">
        <w:rPr>
          <w:szCs w:val="24"/>
        </w:rPr>
        <w:t>.</w:t>
      </w:r>
      <w:r w:rsidR="003C45B5">
        <w:rPr>
          <w:szCs w:val="24"/>
        </w:rPr>
        <w:t xml:space="preserve"> </w:t>
      </w:r>
      <w:r w:rsidR="00B414A0">
        <w:rPr>
          <w:szCs w:val="24"/>
        </w:rPr>
        <w:t xml:space="preserve">Qualtrics </w:t>
      </w:r>
      <w:r w:rsidRPr="00C85D2E" w:rsidR="003C45B5">
        <w:rPr>
          <w:szCs w:val="24"/>
        </w:rPr>
        <w:t xml:space="preserve">provides functionality that will minimize time required to </w:t>
      </w:r>
      <w:r w:rsidR="003C45B5">
        <w:rPr>
          <w:szCs w:val="24"/>
        </w:rPr>
        <w:t xml:space="preserve">both </w:t>
      </w:r>
      <w:r w:rsidRPr="00C85D2E" w:rsidR="003C45B5">
        <w:rPr>
          <w:szCs w:val="24"/>
        </w:rPr>
        <w:t xml:space="preserve">administer </w:t>
      </w:r>
      <w:r w:rsidR="003C45B5">
        <w:rPr>
          <w:szCs w:val="24"/>
        </w:rPr>
        <w:t xml:space="preserve">and </w:t>
      </w:r>
      <w:r w:rsidR="00D22C31">
        <w:rPr>
          <w:szCs w:val="24"/>
        </w:rPr>
        <w:t>respond to the survey</w:t>
      </w:r>
      <w:r w:rsidRPr="00C85D2E" w:rsidR="003C45B5">
        <w:rPr>
          <w:szCs w:val="24"/>
        </w:rPr>
        <w:t>, including:</w:t>
      </w:r>
    </w:p>
    <w:p w:rsidRPr="00C85D2E" w:rsidR="003C45B5" w:rsidP="00F4332D" w:rsidRDefault="003C45B5" w14:paraId="5634A1DC" w14:textId="77777777">
      <w:pPr>
        <w:pStyle w:val="ListParagraph"/>
        <w:numPr>
          <w:ilvl w:val="0"/>
          <w:numId w:val="8"/>
        </w:numPr>
        <w:spacing w:before="100" w:beforeAutospacing="1" w:after="160" w:line="256" w:lineRule="auto"/>
        <w:rPr>
          <w:szCs w:val="24"/>
        </w:rPr>
      </w:pPr>
      <w:r w:rsidRPr="00C85D2E">
        <w:rPr>
          <w:szCs w:val="24"/>
        </w:rPr>
        <w:t>Strong validation measures to reduce errors an</w:t>
      </w:r>
      <w:r>
        <w:rPr>
          <w:szCs w:val="24"/>
        </w:rPr>
        <w:t xml:space="preserve">d generate cleaner raw </w:t>
      </w:r>
      <w:proofErr w:type="gramStart"/>
      <w:r>
        <w:rPr>
          <w:szCs w:val="24"/>
        </w:rPr>
        <w:t>data;</w:t>
      </w:r>
      <w:proofErr w:type="gramEnd"/>
    </w:p>
    <w:p w:rsidR="00FF6639" w:rsidP="00FF6639" w:rsidRDefault="003C45B5" w14:paraId="3F0BB6F7" w14:textId="77777777">
      <w:pPr>
        <w:pStyle w:val="ListParagraph"/>
        <w:numPr>
          <w:ilvl w:val="0"/>
          <w:numId w:val="8"/>
        </w:numPr>
        <w:spacing w:before="100" w:beforeAutospacing="1" w:after="160" w:line="256" w:lineRule="auto"/>
        <w:rPr>
          <w:szCs w:val="24"/>
        </w:rPr>
      </w:pPr>
      <w:r w:rsidRPr="00C85D2E">
        <w:rPr>
          <w:szCs w:val="24"/>
        </w:rPr>
        <w:t>Quick access dashboards for initi</w:t>
      </w:r>
      <w:r>
        <w:rPr>
          <w:szCs w:val="24"/>
        </w:rPr>
        <w:t>al results; and</w:t>
      </w:r>
    </w:p>
    <w:p w:rsidRPr="00FF6639" w:rsidR="003C45B5" w:rsidP="00FF6639" w:rsidRDefault="00927BD2" w14:paraId="7282AF4F" w14:textId="6564CB2E">
      <w:pPr>
        <w:pStyle w:val="ListParagraph"/>
        <w:numPr>
          <w:ilvl w:val="0"/>
          <w:numId w:val="8"/>
        </w:numPr>
        <w:spacing w:before="100" w:beforeAutospacing="1" w:after="160" w:line="256" w:lineRule="auto"/>
        <w:rPr>
          <w:szCs w:val="24"/>
        </w:rPr>
      </w:pPr>
      <w:r>
        <w:rPr>
          <w:szCs w:val="24"/>
        </w:rPr>
        <w:t>Security certifications including</w:t>
      </w:r>
      <w:r w:rsidRPr="00FF6639" w:rsidR="00FF6639">
        <w:rPr>
          <w:szCs w:val="24"/>
        </w:rPr>
        <w:t xml:space="preserve"> ISO 27001 certified and FedRamp Authorized. </w:t>
      </w:r>
    </w:p>
    <w:p w:rsidR="003C45B5" w:rsidP="00F4332D" w:rsidRDefault="00B414A0" w14:paraId="1A8C5E71" w14:textId="0E449701">
      <w:pPr>
        <w:spacing w:before="100" w:beforeAutospacing="1"/>
        <w:ind w:left="360"/>
        <w:rPr>
          <w:szCs w:val="24"/>
        </w:rPr>
      </w:pPr>
      <w:r>
        <w:rPr>
          <w:szCs w:val="24"/>
        </w:rPr>
        <w:t xml:space="preserve">Qualtrics allows survey design to be tested on mobile platforms to ensure correct display of questions. </w:t>
      </w:r>
      <w:r w:rsidR="003C45B5">
        <w:rPr>
          <w:szCs w:val="24"/>
        </w:rPr>
        <w:t xml:space="preserve">We expect that all </w:t>
      </w:r>
      <w:r>
        <w:rPr>
          <w:szCs w:val="24"/>
        </w:rPr>
        <w:t xml:space="preserve">survey </w:t>
      </w:r>
      <w:r w:rsidR="003C45B5">
        <w:rPr>
          <w:szCs w:val="24"/>
        </w:rPr>
        <w:t>submissions will be collected electronically.</w:t>
      </w:r>
    </w:p>
    <w:p w:rsidRPr="00F4332D" w:rsidR="00B414A0" w:rsidP="00F4332D" w:rsidRDefault="00897605" w14:paraId="160FC888" w14:textId="2F558F92">
      <w:pPr>
        <w:spacing w:before="100" w:beforeAutospacing="1"/>
        <w:ind w:left="360"/>
        <w:rPr>
          <w:szCs w:val="24"/>
        </w:rPr>
      </w:pPr>
      <w:r>
        <w:rPr>
          <w:szCs w:val="24"/>
        </w:rPr>
        <w:t>Due to the nature of in-depth interviews, these will need to be administered in-person</w:t>
      </w:r>
      <w:r w:rsidR="00FE5818">
        <w:rPr>
          <w:szCs w:val="24"/>
        </w:rPr>
        <w:t>, by phone</w:t>
      </w:r>
      <w:r>
        <w:rPr>
          <w:szCs w:val="24"/>
        </w:rPr>
        <w:t xml:space="preserve"> or via virtual meeting platform</w:t>
      </w:r>
      <w:r w:rsidR="006B32E7">
        <w:rPr>
          <w:szCs w:val="24"/>
        </w:rPr>
        <w:t xml:space="preserve"> such as Go-To-Meeting</w:t>
      </w:r>
      <w:r>
        <w:rPr>
          <w:szCs w:val="24"/>
        </w:rPr>
        <w:t xml:space="preserve">. </w:t>
      </w:r>
    </w:p>
    <w:p w:rsidR="001551C6" w:rsidP="00F4332D" w:rsidRDefault="001551C6" w14:paraId="768CB4B6" w14:textId="77777777">
      <w:pPr>
        <w:numPr>
          <w:ilvl w:val="0"/>
          <w:numId w:val="1"/>
        </w:numPr>
        <w:spacing w:before="100" w:beforeAutospacing="1"/>
        <w:rPr>
          <w:i/>
          <w:color w:val="000000" w:themeColor="text1"/>
          <w:sz w:val="28"/>
          <w:szCs w:val="28"/>
        </w:rPr>
      </w:pPr>
      <w:r w:rsidRPr="007F6199">
        <w:rPr>
          <w:i/>
          <w:color w:val="000000" w:themeColor="text1"/>
          <w:sz w:val="28"/>
          <w:szCs w:val="28"/>
        </w:rPr>
        <w:t>Does this collection duplicate any other collection of information?</w:t>
      </w:r>
    </w:p>
    <w:p w:rsidRPr="00F4332D" w:rsidR="0026413B" w:rsidP="00F4332D" w:rsidRDefault="003C45B5" w14:paraId="0EFDA9E0" w14:textId="1275A1A1">
      <w:pPr>
        <w:spacing w:before="100" w:beforeAutospacing="1"/>
        <w:ind w:left="360"/>
      </w:pPr>
      <w:r>
        <w:t>This will n</w:t>
      </w:r>
      <w:r w:rsidR="00E222A6">
        <w:t xml:space="preserve">ot be a duplication of effort. </w:t>
      </w:r>
      <w:r w:rsidRPr="008C6B47" w:rsidR="008C6B47">
        <w:t>The purpose of the data collection</w:t>
      </w:r>
      <w:r w:rsidR="00E222A6">
        <w:t xml:space="preserve"> and the focus of the questions asked</w:t>
      </w:r>
      <w:r w:rsidRPr="008C6B47" w:rsidR="008C6B47">
        <w:t xml:space="preserve"> is to understand the</w:t>
      </w:r>
      <w:r w:rsidR="005A06FD">
        <w:t xml:space="preserve"> Fellowship’s</w:t>
      </w:r>
      <w:r w:rsidRPr="008C6B47" w:rsidR="008C6B47">
        <w:t xml:space="preserve"> </w:t>
      </w:r>
      <w:r w:rsidR="00897605">
        <w:t xml:space="preserve">impacts </w:t>
      </w:r>
      <w:r w:rsidR="00E222A6">
        <w:t xml:space="preserve">on </w:t>
      </w:r>
      <w:r w:rsidR="00897605">
        <w:t xml:space="preserve">personal and professional development, impacts on U.S. communities, and contributions to U.S. foreign policy goals and objectives. </w:t>
      </w:r>
      <w:r w:rsidR="00F33A2D">
        <w:t xml:space="preserve">ECA has not collected these data from these </w:t>
      </w:r>
      <w:r w:rsidR="00E222A6">
        <w:t xml:space="preserve">U.S. </w:t>
      </w:r>
      <w:r w:rsidR="00F33A2D">
        <w:t>stakeholders in the past.</w:t>
      </w:r>
    </w:p>
    <w:p w:rsidR="001551C6" w:rsidP="00F4332D" w:rsidRDefault="001551C6" w14:paraId="346A9E50" w14:textId="77777777">
      <w:pPr>
        <w:numPr>
          <w:ilvl w:val="0"/>
          <w:numId w:val="1"/>
        </w:numPr>
        <w:spacing w:before="100" w:beforeAutospacing="1"/>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Pr="00B308E4" w:rsidR="001551C6" w:rsidP="00F4332D" w:rsidRDefault="00897605" w14:paraId="794835C8" w14:textId="77777777">
      <w:pPr>
        <w:spacing w:before="100" w:beforeAutospacing="1"/>
        <w:ind w:left="360"/>
      </w:pPr>
      <w:r>
        <w:lastRenderedPageBreak/>
        <w:t xml:space="preserve">Representatives from small businesses may be interviewed and/or surveyed for the evaluation, but we expect the time burden to be minimal. </w:t>
      </w:r>
    </w:p>
    <w:p w:rsidR="001551C6" w:rsidP="00F4332D" w:rsidRDefault="001551C6" w14:paraId="624427E0" w14:textId="77777777">
      <w:pPr>
        <w:numPr>
          <w:ilvl w:val="0"/>
          <w:numId w:val="1"/>
        </w:numPr>
        <w:spacing w:before="100" w:beforeAutospacing="1"/>
        <w:rPr>
          <w:i/>
          <w:color w:val="000000" w:themeColor="text1"/>
          <w:sz w:val="28"/>
          <w:szCs w:val="28"/>
        </w:rPr>
      </w:pPr>
      <w:r w:rsidRPr="007F6199">
        <w:rPr>
          <w:i/>
          <w:color w:val="000000" w:themeColor="text1"/>
          <w:sz w:val="28"/>
          <w:szCs w:val="28"/>
        </w:rPr>
        <w:t>What are consequences if this collection is not done?</w:t>
      </w:r>
    </w:p>
    <w:p w:rsidRPr="00F4332D" w:rsidR="00C17636" w:rsidP="00F4332D" w:rsidRDefault="008C6B47" w14:paraId="6BBA9DB4" w14:textId="69C67FC9">
      <w:pPr>
        <w:pStyle w:val="ListParagraph"/>
        <w:spacing w:before="100" w:beforeAutospacing="1" w:after="0"/>
        <w:ind w:left="360"/>
        <w:rPr>
          <w:rFonts w:cstheme="minorHAnsi"/>
          <w:szCs w:val="24"/>
        </w:rPr>
      </w:pPr>
      <w:r w:rsidRPr="008C6B47">
        <w:rPr>
          <w:rFonts w:cstheme="minorHAnsi"/>
          <w:szCs w:val="24"/>
        </w:rPr>
        <w:t xml:space="preserve">Approval is being sought for a one-time data collection. </w:t>
      </w:r>
      <w:r w:rsidR="00897605">
        <w:rPr>
          <w:rFonts w:cstheme="minorHAnsi"/>
          <w:szCs w:val="24"/>
        </w:rPr>
        <w:t>As the Mandela Washington Fellowship has been operating formally since 2014, ECA</w:t>
      </w:r>
      <w:r w:rsidRPr="008C6B47">
        <w:rPr>
          <w:rFonts w:cstheme="minorHAnsi"/>
          <w:szCs w:val="24"/>
        </w:rPr>
        <w:t xml:space="preserve"> deems it critical to conduct an independent evaluation to capture the impacts of the program and to determine whether or not any adjustments to the program are necessary to ensure that it i</w:t>
      </w:r>
      <w:r w:rsidR="00897605">
        <w:rPr>
          <w:rFonts w:cstheme="minorHAnsi"/>
          <w:szCs w:val="24"/>
        </w:rPr>
        <w:t xml:space="preserve">s meeting its long-term goals. </w:t>
      </w:r>
      <w:r w:rsidRPr="008C6B47">
        <w:rPr>
          <w:rFonts w:cstheme="minorHAnsi"/>
          <w:szCs w:val="24"/>
        </w:rPr>
        <w:t xml:space="preserve">Absent this data collection, ECA cannot fully answer questions about the long-term benefits of the program. </w:t>
      </w:r>
    </w:p>
    <w:p w:rsidR="001551C6" w:rsidP="00F4332D" w:rsidRDefault="001551C6" w14:paraId="714100B8" w14:textId="77777777">
      <w:pPr>
        <w:numPr>
          <w:ilvl w:val="0"/>
          <w:numId w:val="1"/>
        </w:numPr>
        <w:spacing w:before="100" w:beforeAutospacing="1"/>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F4332D" w:rsidR="0026413B" w:rsidP="00F4332D" w:rsidRDefault="008C6B47" w14:paraId="65C57646" w14:textId="560EFE3A">
      <w:pPr>
        <w:pStyle w:val="ListParagraph"/>
        <w:spacing w:before="100" w:beforeAutospacing="1" w:after="0"/>
        <w:ind w:left="360"/>
        <w:rPr>
          <w:rFonts w:cstheme="minorHAnsi"/>
          <w:szCs w:val="24"/>
        </w:rPr>
      </w:pPr>
      <w:r w:rsidRPr="008C6B47">
        <w:rPr>
          <w:rFonts w:cstheme="minorHAnsi"/>
          <w:szCs w:val="24"/>
        </w:rPr>
        <w:t xml:space="preserve">This data collection involves no special circumstances, as it is a one-time data collection and </w:t>
      </w:r>
      <w:r w:rsidRPr="00034E98">
        <w:rPr>
          <w:rFonts w:cstheme="minorHAnsi"/>
          <w:szCs w:val="24"/>
        </w:rPr>
        <w:t>does not require submission of any information that is not OMB-approved</w:t>
      </w:r>
      <w:r w:rsidRPr="00034E98" w:rsidR="007879B9">
        <w:rPr>
          <w:rFonts w:cstheme="minorHAnsi"/>
          <w:szCs w:val="24"/>
        </w:rPr>
        <w:t xml:space="preserve">. </w:t>
      </w:r>
      <w:r w:rsidRPr="00034E98">
        <w:rPr>
          <w:rFonts w:cstheme="minorHAnsi"/>
          <w:szCs w:val="24"/>
        </w:rPr>
        <w:t xml:space="preserve">Consent procedures include obtaining </w:t>
      </w:r>
      <w:r w:rsidR="00FA3152">
        <w:rPr>
          <w:rFonts w:cstheme="minorHAnsi"/>
          <w:szCs w:val="24"/>
        </w:rPr>
        <w:t>providing the notices outlined in paragraph 10, prior to collection of any data</w:t>
      </w:r>
      <w:r w:rsidRPr="00034E98">
        <w:rPr>
          <w:rFonts w:cstheme="minorHAnsi"/>
          <w:szCs w:val="24"/>
        </w:rPr>
        <w:t>.</w:t>
      </w:r>
      <w:r w:rsidRPr="008C6B47">
        <w:rPr>
          <w:rFonts w:cstheme="minorHAnsi"/>
          <w:szCs w:val="24"/>
        </w:rPr>
        <w:t xml:space="preserve"> </w:t>
      </w:r>
    </w:p>
    <w:p w:rsidR="001551C6" w:rsidP="00F4332D" w:rsidRDefault="001551C6" w14:paraId="635736C4" w14:textId="77777777">
      <w:pPr>
        <w:numPr>
          <w:ilvl w:val="0"/>
          <w:numId w:val="1"/>
        </w:numPr>
        <w:spacing w:before="100" w:beforeAutospacing="1"/>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1551C6" w:rsidP="00F4332D" w:rsidRDefault="005E51D9" w14:paraId="23DCE727" w14:textId="13E92D92">
      <w:pPr>
        <w:spacing w:before="100" w:beforeAutospacing="1"/>
        <w:ind w:left="360"/>
        <w:rPr>
          <w:color w:val="000000" w:themeColor="text1"/>
          <w:szCs w:val="24"/>
        </w:rPr>
      </w:pPr>
      <w:r>
        <w:rPr>
          <w:color w:val="000000" w:themeColor="text1"/>
          <w:szCs w:val="24"/>
        </w:rPr>
        <w:t xml:space="preserve">The 60-day Federal Register Notice was published on </w:t>
      </w:r>
      <w:r w:rsidR="005E1F88">
        <w:rPr>
          <w:color w:val="000000" w:themeColor="text1"/>
          <w:szCs w:val="24"/>
        </w:rPr>
        <w:t>July 26</w:t>
      </w:r>
      <w:r>
        <w:rPr>
          <w:color w:val="000000" w:themeColor="text1"/>
          <w:szCs w:val="24"/>
        </w:rPr>
        <w:t xml:space="preserve">, 2019 </w:t>
      </w:r>
      <w:r w:rsidRPr="003664C6">
        <w:rPr>
          <w:color w:val="000000" w:themeColor="text1"/>
          <w:szCs w:val="24"/>
        </w:rPr>
        <w:t>(</w:t>
      </w:r>
      <w:r w:rsidRPr="003664C6">
        <w:rPr>
          <w:szCs w:val="24"/>
        </w:rPr>
        <w:t xml:space="preserve">84 FR </w:t>
      </w:r>
      <w:r w:rsidR="00B1332C">
        <w:rPr>
          <w:szCs w:val="24"/>
        </w:rPr>
        <w:t>36153</w:t>
      </w:r>
      <w:r w:rsidRPr="003664C6">
        <w:rPr>
          <w:color w:val="000000" w:themeColor="text1"/>
          <w:szCs w:val="24"/>
        </w:rPr>
        <w:t>).  One comment was received</w:t>
      </w:r>
      <w:r w:rsidRPr="003664C6" w:rsidR="005E1F88">
        <w:rPr>
          <w:color w:val="000000" w:themeColor="text1"/>
          <w:szCs w:val="24"/>
        </w:rPr>
        <w:t xml:space="preserve"> but </w:t>
      </w:r>
      <w:r w:rsidRPr="003664C6" w:rsidR="00380A0C">
        <w:rPr>
          <w:color w:val="000000" w:themeColor="text1"/>
          <w:szCs w:val="24"/>
        </w:rPr>
        <w:t>did not provide feedback on</w:t>
      </w:r>
      <w:r w:rsidRPr="003664C6" w:rsidR="006C482D">
        <w:rPr>
          <w:color w:val="000000" w:themeColor="text1"/>
          <w:szCs w:val="24"/>
        </w:rPr>
        <w:t xml:space="preserve"> the evaluation</w:t>
      </w:r>
      <w:r w:rsidRPr="003664C6" w:rsidR="00380A0C">
        <w:rPr>
          <w:color w:val="000000" w:themeColor="text1"/>
          <w:szCs w:val="24"/>
        </w:rPr>
        <w:t xml:space="preserve"> data collection tools</w:t>
      </w:r>
      <w:r w:rsidRPr="003664C6" w:rsidR="003664C6">
        <w:rPr>
          <w:color w:val="000000" w:themeColor="text1"/>
          <w:szCs w:val="24"/>
        </w:rPr>
        <w:t xml:space="preserve"> and was</w:t>
      </w:r>
      <w:r w:rsidR="00372264">
        <w:rPr>
          <w:color w:val="000000" w:themeColor="text1"/>
          <w:szCs w:val="24"/>
        </w:rPr>
        <w:t xml:space="preserve"> not deemed </w:t>
      </w:r>
      <w:r w:rsidRPr="003664C6" w:rsidR="003664C6">
        <w:rPr>
          <w:color w:val="000000" w:themeColor="text1"/>
          <w:szCs w:val="24"/>
        </w:rPr>
        <w:t>relevant</w:t>
      </w:r>
      <w:r w:rsidRPr="003664C6">
        <w:rPr>
          <w:color w:val="000000" w:themeColor="text1"/>
          <w:szCs w:val="24"/>
        </w:rPr>
        <w:t>.</w:t>
      </w:r>
      <w:r>
        <w:rPr>
          <w:color w:val="000000" w:themeColor="text1"/>
          <w:szCs w:val="24"/>
        </w:rPr>
        <w:t xml:space="preserve">  </w:t>
      </w:r>
      <w:r w:rsidR="001551C6">
        <w:rPr>
          <w:color w:val="000000" w:themeColor="text1"/>
          <w:szCs w:val="24"/>
        </w:rPr>
        <w:t>The Department will publish a notice in the Federal Register soliciting public co</w:t>
      </w:r>
      <w:r w:rsidR="0026413B">
        <w:rPr>
          <w:color w:val="000000" w:themeColor="text1"/>
          <w:szCs w:val="24"/>
        </w:rPr>
        <w:t xml:space="preserve">mments for a period of </w:t>
      </w:r>
      <w:r>
        <w:rPr>
          <w:color w:val="000000" w:themeColor="text1"/>
          <w:szCs w:val="24"/>
        </w:rPr>
        <w:t>3</w:t>
      </w:r>
      <w:r w:rsidR="0026413B">
        <w:rPr>
          <w:color w:val="000000" w:themeColor="text1"/>
          <w:szCs w:val="24"/>
        </w:rPr>
        <w:t>0 days.</w:t>
      </w:r>
    </w:p>
    <w:p w:rsidR="001551C6" w:rsidP="00F4332D" w:rsidRDefault="001551C6" w14:paraId="6C9C96DC" w14:textId="77777777">
      <w:pPr>
        <w:numPr>
          <w:ilvl w:val="0"/>
          <w:numId w:val="1"/>
        </w:numPr>
        <w:spacing w:before="100" w:beforeAutospacing="1"/>
        <w:rPr>
          <w:i/>
          <w:color w:val="000000" w:themeColor="text1"/>
          <w:sz w:val="28"/>
          <w:szCs w:val="28"/>
        </w:rPr>
      </w:pPr>
      <w:r w:rsidRPr="007F6199">
        <w:rPr>
          <w:i/>
          <w:color w:val="000000" w:themeColor="text1"/>
          <w:sz w:val="28"/>
          <w:szCs w:val="28"/>
        </w:rPr>
        <w:t>Are payments or gifts given to the respondents?</w:t>
      </w:r>
    </w:p>
    <w:p w:rsidRPr="008C6B47" w:rsidR="008C6B47" w:rsidP="00F4332D" w:rsidRDefault="00032A5E" w14:paraId="4E547201" w14:textId="4BBC66A6">
      <w:pPr>
        <w:spacing w:before="100" w:beforeAutospacing="1"/>
        <w:ind w:left="360"/>
      </w:pPr>
      <w:r>
        <w:t>N</w:t>
      </w:r>
      <w:r w:rsidRPr="008C6B47" w:rsidR="008C6B47">
        <w:t>o payments or gifts</w:t>
      </w:r>
      <w:r w:rsidR="007879B9">
        <w:t xml:space="preserve"> are proposed for respondents. </w:t>
      </w:r>
    </w:p>
    <w:p w:rsidRPr="0021113A" w:rsidR="001551C6" w:rsidP="00F4332D" w:rsidRDefault="001551C6" w14:paraId="18A6626A" w14:textId="77777777">
      <w:pPr>
        <w:numPr>
          <w:ilvl w:val="0"/>
          <w:numId w:val="1"/>
        </w:numPr>
        <w:spacing w:before="100" w:beforeAutospacing="1"/>
        <w:rPr>
          <w:i/>
          <w:sz w:val="28"/>
          <w:szCs w:val="28"/>
        </w:rPr>
      </w:pPr>
      <w:r w:rsidRPr="00434008">
        <w:rPr>
          <w:i/>
          <w:sz w:val="28"/>
          <w:szCs w:val="28"/>
        </w:rPr>
        <w:t xml:space="preserve"> </w:t>
      </w:r>
      <w:r w:rsidRPr="0021113A">
        <w:rPr>
          <w:i/>
          <w:sz w:val="28"/>
          <w:szCs w:val="28"/>
        </w:rPr>
        <w:t>Describe assurances of privacy/confidentiality</w:t>
      </w:r>
    </w:p>
    <w:p w:rsidR="00472167" w:rsidP="00F4332D" w:rsidRDefault="00C17636" w14:paraId="421A2C03" w14:textId="77777777">
      <w:pPr>
        <w:pStyle w:val="Footer"/>
        <w:spacing w:before="100" w:beforeAutospacing="1"/>
        <w:ind w:left="360"/>
      </w:pPr>
      <w:r w:rsidRPr="00C17636">
        <w:t>ECA</w:t>
      </w:r>
      <w:r>
        <w:t xml:space="preserve"> </w:t>
      </w:r>
      <w:r w:rsidRPr="00C17636">
        <w:t>and its external contractors follow all procedures and policies stipulated under the Privacy Act of 1974 to guarantee the privacy of the respondents.</w:t>
      </w:r>
      <w:r w:rsidR="00472167">
        <w:t xml:space="preserve"> </w:t>
      </w:r>
    </w:p>
    <w:p w:rsidRPr="000E24F9" w:rsidR="00EA4CC0" w:rsidP="00F4332D" w:rsidRDefault="00472167" w14:paraId="01174F14" w14:textId="07D7C1EF">
      <w:pPr>
        <w:pStyle w:val="Footer"/>
        <w:spacing w:before="100" w:beforeAutospacing="1"/>
        <w:ind w:left="360"/>
        <w:rPr>
          <w:b/>
          <w:i/>
          <w:color w:val="1F497D" w:themeColor="text2"/>
        </w:rPr>
      </w:pPr>
      <w:r w:rsidRPr="000E24F9">
        <w:rPr>
          <w:b/>
          <w:i/>
          <w:color w:val="1F497D" w:themeColor="text2"/>
        </w:rPr>
        <w:t>E</w:t>
      </w:r>
      <w:r w:rsidR="000E24F9">
        <w:rPr>
          <w:b/>
          <w:i/>
          <w:color w:val="1F497D" w:themeColor="text2"/>
        </w:rPr>
        <w:t>ach survey will include</w:t>
      </w:r>
      <w:r w:rsidRPr="000E24F9" w:rsidR="00EA4CC0">
        <w:rPr>
          <w:b/>
          <w:i/>
          <w:color w:val="1F497D" w:themeColor="text2"/>
        </w:rPr>
        <w:t xml:space="preserve"> the following language: </w:t>
      </w:r>
    </w:p>
    <w:p w:rsidRPr="00D15FC4" w:rsidR="00472167" w:rsidP="00472167" w:rsidRDefault="00472167" w14:paraId="76415986" w14:textId="77777777">
      <w:pPr>
        <w:shd w:val="clear" w:color="auto" w:fill="FFFFFF"/>
        <w:spacing w:after="0"/>
        <w:ind w:left="720"/>
        <w:rPr>
          <w:b/>
          <w:szCs w:val="24"/>
        </w:rPr>
      </w:pPr>
    </w:p>
    <w:p w:rsidRPr="00D15FC4" w:rsidR="00472167" w:rsidP="00472167" w:rsidRDefault="00980B69" w14:paraId="441470C7" w14:textId="59785F17">
      <w:pPr>
        <w:shd w:val="clear" w:color="auto" w:fill="FFFFFF"/>
        <w:spacing w:after="0"/>
        <w:ind w:left="720"/>
        <w:rPr>
          <w:b/>
          <w:szCs w:val="24"/>
        </w:rPr>
      </w:pPr>
      <w:r>
        <w:rPr>
          <w:b/>
          <w:szCs w:val="24"/>
        </w:rPr>
        <w:t>“</w:t>
      </w:r>
      <w:r w:rsidRPr="00D15FC4" w:rsidR="00472167">
        <w:rPr>
          <w:b/>
          <w:szCs w:val="24"/>
        </w:rPr>
        <w:t xml:space="preserve">Your participation in this survey is voluntary. You may opt to withdraw from the survey at any time, choose not to answer select questions, or choose to not submit your survey responses. </w:t>
      </w:r>
    </w:p>
    <w:p w:rsidRPr="00D15FC4" w:rsidR="00472167" w:rsidP="00472167" w:rsidRDefault="00472167" w14:paraId="5F37547D" w14:textId="77777777">
      <w:pPr>
        <w:shd w:val="clear" w:color="auto" w:fill="FFFFFF"/>
        <w:spacing w:after="0"/>
        <w:ind w:left="720"/>
        <w:rPr>
          <w:szCs w:val="24"/>
        </w:rPr>
      </w:pPr>
    </w:p>
    <w:p w:rsidRPr="00D15FC4" w:rsidR="00472167" w:rsidP="00472167" w:rsidRDefault="00472167" w14:paraId="68B12336" w14:textId="77777777">
      <w:pPr>
        <w:shd w:val="clear" w:color="auto" w:fill="FFFFFF"/>
        <w:spacing w:after="0"/>
        <w:ind w:left="720"/>
        <w:rPr>
          <w:szCs w:val="24"/>
        </w:rPr>
      </w:pPr>
      <w:r w:rsidRPr="00D15FC4">
        <w:rPr>
          <w:szCs w:val="24"/>
        </w:rPr>
        <w:t>By selecting the “I consent to participate in this survey” below, you are consenting to the following:</w:t>
      </w:r>
    </w:p>
    <w:p w:rsidRPr="00D15FC4" w:rsidR="00472167" w:rsidP="00472167" w:rsidRDefault="00472167" w14:paraId="6EA0CCB8" w14:textId="77777777">
      <w:pPr>
        <w:pStyle w:val="ListParagraph"/>
        <w:numPr>
          <w:ilvl w:val="0"/>
          <w:numId w:val="14"/>
        </w:numPr>
        <w:spacing w:after="0"/>
        <w:ind w:left="1080"/>
        <w:contextualSpacing w:val="0"/>
        <w:rPr>
          <w:szCs w:val="24"/>
        </w:rPr>
      </w:pPr>
      <w:r w:rsidRPr="00D15FC4">
        <w:rPr>
          <w:szCs w:val="24"/>
          <w:shd w:val="clear" w:color="auto" w:fill="FFFFFF"/>
        </w:rPr>
        <w:lastRenderedPageBreak/>
        <w:t>Aggregated responses or de-identified qualitative insights from open-ended questions may be included in the final report or publications resulting from the evaluation.</w:t>
      </w:r>
    </w:p>
    <w:p w:rsidRPr="00D15FC4" w:rsidR="00472167" w:rsidP="00472167" w:rsidRDefault="00472167" w14:paraId="29DAA395" w14:textId="77777777">
      <w:pPr>
        <w:pStyle w:val="ListParagraph"/>
        <w:numPr>
          <w:ilvl w:val="0"/>
          <w:numId w:val="14"/>
        </w:numPr>
        <w:spacing w:after="0"/>
        <w:ind w:left="1080"/>
        <w:contextualSpacing w:val="0"/>
        <w:rPr>
          <w:szCs w:val="24"/>
        </w:rPr>
      </w:pPr>
      <w:r w:rsidRPr="00D15FC4">
        <w:rPr>
          <w:szCs w:val="24"/>
        </w:rPr>
        <w:t>De-identified data files will be submitted to the Bureau of Educational and Cultural Affairs (ECA) at the U.S. Department of State upon completion of the evaluation (without names or any contact information).</w:t>
      </w:r>
    </w:p>
    <w:p w:rsidRPr="00D15FC4" w:rsidR="00472167" w:rsidP="00472167" w:rsidRDefault="00472167" w14:paraId="43C264F8" w14:textId="77777777">
      <w:pPr>
        <w:pStyle w:val="ListParagraph"/>
        <w:numPr>
          <w:ilvl w:val="0"/>
          <w:numId w:val="14"/>
        </w:numPr>
        <w:spacing w:after="0"/>
        <w:ind w:left="1080"/>
        <w:contextualSpacing w:val="0"/>
        <w:rPr>
          <w:szCs w:val="24"/>
        </w:rPr>
      </w:pPr>
      <w:r w:rsidRPr="00D15FC4">
        <w:rPr>
          <w:szCs w:val="24"/>
        </w:rPr>
        <w:t xml:space="preserve">The data you provide may be reanalyzed </w:t>
      </w:r>
      <w:proofErr w:type="gramStart"/>
      <w:r w:rsidRPr="00D15FC4">
        <w:rPr>
          <w:szCs w:val="24"/>
        </w:rPr>
        <w:t>at a later date</w:t>
      </w:r>
      <w:proofErr w:type="gramEnd"/>
      <w:r w:rsidRPr="00D15FC4">
        <w:rPr>
          <w:szCs w:val="24"/>
        </w:rPr>
        <w:t xml:space="preserve"> for a follow-up study or other purpose approved by ECA.</w:t>
      </w:r>
    </w:p>
    <w:p w:rsidRPr="00D15FC4" w:rsidR="00472167" w:rsidP="00472167" w:rsidRDefault="00472167" w14:paraId="13A84FC5" w14:textId="77777777">
      <w:pPr>
        <w:shd w:val="clear" w:color="auto" w:fill="FFFFFF"/>
        <w:spacing w:after="0"/>
        <w:ind w:left="720"/>
        <w:rPr>
          <w:szCs w:val="24"/>
        </w:rPr>
      </w:pPr>
      <w:r w:rsidRPr="00D15FC4">
        <w:rPr>
          <w:szCs w:val="24"/>
        </w:rPr>
        <w:t> </w:t>
      </w:r>
    </w:p>
    <w:p w:rsidRPr="00D15FC4" w:rsidR="00472167" w:rsidP="00472167" w:rsidRDefault="00472167" w14:paraId="3B08EB98" w14:textId="77777777">
      <w:pPr>
        <w:shd w:val="clear" w:color="auto" w:fill="FFFFFF"/>
        <w:spacing w:after="0"/>
        <w:ind w:left="720"/>
        <w:rPr>
          <w:b/>
          <w:szCs w:val="24"/>
        </w:rPr>
      </w:pPr>
      <w:r w:rsidRPr="00D15FC4">
        <w:rPr>
          <w:b/>
          <w:szCs w:val="24"/>
        </w:rPr>
        <w:t xml:space="preserve">Your contributions are </w:t>
      </w:r>
      <w:proofErr w:type="gramStart"/>
      <w:r w:rsidRPr="00D15FC4">
        <w:rPr>
          <w:b/>
          <w:szCs w:val="24"/>
        </w:rPr>
        <w:t>confidential</w:t>
      </w:r>
      <w:proofErr w:type="gramEnd"/>
      <w:r w:rsidRPr="00D15FC4">
        <w:rPr>
          <w:b/>
          <w:szCs w:val="24"/>
        </w:rPr>
        <w:t xml:space="preserve"> and no individual identities will be used in any reports or publications resulting from the evaluation unless the individual provides consent to the Evaluation Team. </w:t>
      </w:r>
    </w:p>
    <w:p w:rsidRPr="00D15FC4" w:rsidR="00472167" w:rsidP="00472167" w:rsidRDefault="00472167" w14:paraId="6042F471" w14:textId="77777777">
      <w:pPr>
        <w:shd w:val="clear" w:color="auto" w:fill="FFFFFF"/>
        <w:spacing w:after="0"/>
        <w:ind w:left="720"/>
        <w:rPr>
          <w:color w:val="404040"/>
          <w:szCs w:val="24"/>
        </w:rPr>
      </w:pPr>
    </w:p>
    <w:p w:rsidRPr="00D15FC4" w:rsidR="00472167" w:rsidP="00472167" w:rsidRDefault="00472167" w14:paraId="03A8852C" w14:textId="77777777">
      <w:pPr>
        <w:shd w:val="clear" w:color="auto" w:fill="FFFFFF"/>
        <w:spacing w:after="0"/>
        <w:ind w:left="720"/>
        <w:rPr>
          <w:szCs w:val="24"/>
        </w:rPr>
      </w:pPr>
      <w:r w:rsidRPr="00D15FC4">
        <w:rPr>
          <w:szCs w:val="24"/>
        </w:rPr>
        <w:t xml:space="preserve">If you have any questions or concerns about this survey or the Mandela Washington Fellowship evaluation more broadly, please reach out to the Evaluation Team at </w:t>
      </w:r>
      <w:hyperlink w:history="1" r:id="rId8">
        <w:r w:rsidRPr="00D15FC4">
          <w:rPr>
            <w:rStyle w:val="Hyperlink"/>
            <w:b/>
            <w:szCs w:val="24"/>
          </w:rPr>
          <w:t>fellowshipevaluation@guidehouse.com</w:t>
        </w:r>
      </w:hyperlink>
      <w:r w:rsidRPr="00D15FC4">
        <w:rPr>
          <w:b/>
          <w:szCs w:val="24"/>
        </w:rPr>
        <w:t>.</w:t>
      </w:r>
    </w:p>
    <w:p w:rsidRPr="00D15FC4" w:rsidR="00472167" w:rsidP="00472167" w:rsidRDefault="00472167" w14:paraId="73098E98" w14:textId="77777777">
      <w:pPr>
        <w:spacing w:after="0"/>
        <w:ind w:left="720"/>
        <w:rPr>
          <w:szCs w:val="24"/>
        </w:rPr>
      </w:pPr>
    </w:p>
    <w:p w:rsidRPr="00D15FC4" w:rsidR="00472167" w:rsidP="00472167" w:rsidRDefault="00472167" w14:paraId="50B06477" w14:textId="77777777">
      <w:pPr>
        <w:pStyle w:val="ListParagraph"/>
        <w:spacing w:after="0"/>
        <w:contextualSpacing w:val="0"/>
        <w:rPr>
          <w:b/>
          <w:szCs w:val="24"/>
        </w:rPr>
      </w:pPr>
      <w:r w:rsidRPr="00D15FC4">
        <w:rPr>
          <w:b/>
          <w:szCs w:val="24"/>
        </w:rPr>
        <w:t xml:space="preserve">Please acknowledge if you consent to participate in this survey: </w:t>
      </w:r>
    </w:p>
    <w:p w:rsidRPr="00D15FC4" w:rsidR="00472167" w:rsidP="00472167" w:rsidRDefault="00472167" w14:paraId="1A0AFDD4" w14:textId="77777777">
      <w:pPr>
        <w:spacing w:after="0"/>
        <w:ind w:left="720"/>
        <w:rPr>
          <w:szCs w:val="24"/>
        </w:rPr>
      </w:pPr>
    </w:p>
    <w:p w:rsidRPr="00D15FC4" w:rsidR="00472167" w:rsidP="00472167" w:rsidRDefault="00472167" w14:paraId="32B86444" w14:textId="77777777">
      <w:pPr>
        <w:spacing w:after="0"/>
        <w:ind w:left="720"/>
        <w:rPr>
          <w:i/>
          <w:szCs w:val="24"/>
        </w:rPr>
      </w:pPr>
      <w:r w:rsidRPr="00D15FC4">
        <w:rPr>
          <w:i/>
          <w:szCs w:val="24"/>
        </w:rPr>
        <w:t>Answer Options</w:t>
      </w:r>
    </w:p>
    <w:p w:rsidRPr="00D15FC4" w:rsidR="00472167" w:rsidP="00472167" w:rsidRDefault="00472167" w14:paraId="66EB4BA8" w14:textId="77777777">
      <w:pPr>
        <w:pStyle w:val="ListParagraph"/>
        <w:numPr>
          <w:ilvl w:val="0"/>
          <w:numId w:val="13"/>
        </w:numPr>
        <w:spacing w:after="0"/>
        <w:ind w:left="1080"/>
        <w:contextualSpacing w:val="0"/>
        <w:rPr>
          <w:szCs w:val="24"/>
        </w:rPr>
      </w:pPr>
      <w:r w:rsidRPr="00D15FC4">
        <w:rPr>
          <w:szCs w:val="24"/>
        </w:rPr>
        <w:t>I consent to participate in this survey</w:t>
      </w:r>
    </w:p>
    <w:p w:rsidRPr="00D15FC4" w:rsidR="00EA4CC0" w:rsidP="00472167" w:rsidRDefault="00472167" w14:paraId="6BC26CC1" w14:textId="657005D9">
      <w:pPr>
        <w:pStyle w:val="ListParagraph"/>
        <w:numPr>
          <w:ilvl w:val="0"/>
          <w:numId w:val="13"/>
        </w:numPr>
        <w:spacing w:after="0"/>
        <w:ind w:left="1080"/>
        <w:contextualSpacing w:val="0"/>
        <w:rPr>
          <w:szCs w:val="24"/>
        </w:rPr>
      </w:pPr>
      <w:r w:rsidRPr="00D15FC4">
        <w:rPr>
          <w:szCs w:val="24"/>
        </w:rPr>
        <w:t xml:space="preserve">I do not consent to participate in this survey </w:t>
      </w:r>
      <w:r w:rsidRPr="00D15FC4">
        <w:rPr>
          <w:i/>
          <w:szCs w:val="24"/>
        </w:rPr>
        <w:t>[note: if ‘I do not consent’ is selected, survey will automatically close]</w:t>
      </w:r>
      <w:r w:rsidR="00980B69">
        <w:rPr>
          <w:i/>
          <w:szCs w:val="24"/>
        </w:rPr>
        <w:t>”</w:t>
      </w:r>
      <w:r w:rsidRPr="00D15FC4" w:rsidR="00EA4CC0">
        <w:rPr>
          <w:i/>
          <w:szCs w:val="24"/>
        </w:rPr>
        <w:t xml:space="preserve"> </w:t>
      </w:r>
    </w:p>
    <w:p w:rsidRPr="000E24F9" w:rsidR="00D15FC4" w:rsidP="00472167" w:rsidRDefault="00D15FC4" w14:paraId="1CD32A91" w14:textId="77777777">
      <w:pPr>
        <w:spacing w:before="100" w:beforeAutospacing="1" w:after="0"/>
        <w:rPr>
          <w:b/>
          <w:i/>
          <w:color w:val="1F497D" w:themeColor="text2"/>
          <w:szCs w:val="24"/>
        </w:rPr>
      </w:pPr>
      <w:r w:rsidRPr="000E24F9">
        <w:rPr>
          <w:b/>
          <w:i/>
          <w:color w:val="1F497D" w:themeColor="text2"/>
          <w:szCs w:val="24"/>
        </w:rPr>
        <w:t xml:space="preserve">Each Interview will begin with the following language: </w:t>
      </w:r>
    </w:p>
    <w:p w:rsidRPr="00D15FC4" w:rsidR="00D15FC4" w:rsidP="00D15FC4" w:rsidRDefault="00D15FC4" w14:paraId="6C14B94A" w14:textId="77777777">
      <w:pPr>
        <w:spacing w:after="0"/>
        <w:rPr>
          <w:i/>
          <w:szCs w:val="24"/>
        </w:rPr>
      </w:pPr>
    </w:p>
    <w:p w:rsidRPr="00D15FC4" w:rsidR="00D15FC4" w:rsidP="00D15FC4" w:rsidRDefault="00980B69" w14:paraId="72154A0F" w14:textId="01617AE1">
      <w:pPr>
        <w:spacing w:line="240" w:lineRule="atLeast"/>
        <w:ind w:left="720"/>
        <w:rPr>
          <w:rFonts w:eastAsia="Calibri"/>
          <w:b/>
          <w:szCs w:val="24"/>
          <w:lang w:val="en-GB"/>
        </w:rPr>
      </w:pPr>
      <w:r>
        <w:rPr>
          <w:rFonts w:eastAsia="Calibri"/>
          <w:b/>
          <w:szCs w:val="24"/>
          <w:lang w:val="en-GB"/>
        </w:rPr>
        <w:t>“</w:t>
      </w:r>
      <w:r w:rsidRPr="00D15FC4" w:rsidR="00D15FC4">
        <w:rPr>
          <w:rFonts w:eastAsia="Calibri"/>
          <w:b/>
          <w:szCs w:val="24"/>
          <w:lang w:val="en-GB"/>
        </w:rPr>
        <w:t xml:space="preserve">Your participation in this interview is </w:t>
      </w:r>
      <w:r w:rsidRPr="00D15FC4" w:rsidR="00D15FC4">
        <w:rPr>
          <w:rFonts w:eastAsia="Calibri"/>
          <w:b/>
          <w:szCs w:val="24"/>
          <w:u w:val="single"/>
          <w:lang w:val="en-GB"/>
        </w:rPr>
        <w:t>voluntary</w:t>
      </w:r>
      <w:r w:rsidRPr="00D15FC4" w:rsidR="00D15FC4">
        <w:rPr>
          <w:rFonts w:eastAsia="Calibri"/>
          <w:b/>
          <w:szCs w:val="24"/>
          <w:lang w:val="en-GB"/>
        </w:rPr>
        <w:t xml:space="preserve">. You may opt to withdraw from the interview at any time or choose not to answer select questions. For your awareness: </w:t>
      </w:r>
    </w:p>
    <w:p w:rsidRPr="00D15FC4" w:rsidR="00D15FC4" w:rsidP="00D15FC4" w:rsidRDefault="00D15FC4" w14:paraId="35C71D28" w14:textId="77777777">
      <w:pPr>
        <w:numPr>
          <w:ilvl w:val="0"/>
          <w:numId w:val="16"/>
        </w:numPr>
        <w:spacing w:after="240" w:line="256" w:lineRule="auto"/>
        <w:ind w:left="1080"/>
        <w:contextualSpacing/>
        <w:rPr>
          <w:rFonts w:eastAsia="Calibri"/>
          <w:b/>
          <w:szCs w:val="24"/>
          <w:lang w:val="en-GB"/>
        </w:rPr>
      </w:pPr>
      <w:r w:rsidRPr="00D15FC4">
        <w:rPr>
          <w:rFonts w:eastAsia="Calibri"/>
          <w:szCs w:val="24"/>
          <w:lang w:val="en-GB"/>
        </w:rPr>
        <w:t xml:space="preserve">Aggregated responses or qualitative insights (without names) from open-ended questions may be included in the final report or publications resulting from the evaluation. </w:t>
      </w:r>
    </w:p>
    <w:p w:rsidRPr="00D15FC4" w:rsidR="00D15FC4" w:rsidP="00D15FC4" w:rsidRDefault="00D15FC4" w14:paraId="32B65D2D" w14:textId="77777777">
      <w:pPr>
        <w:numPr>
          <w:ilvl w:val="0"/>
          <w:numId w:val="16"/>
        </w:numPr>
        <w:spacing w:after="240" w:line="256" w:lineRule="auto"/>
        <w:ind w:left="1080"/>
        <w:contextualSpacing/>
        <w:rPr>
          <w:rFonts w:eastAsia="Calibri"/>
          <w:b/>
          <w:szCs w:val="24"/>
          <w:lang w:val="en-GB"/>
        </w:rPr>
      </w:pPr>
      <w:r w:rsidRPr="00D15FC4">
        <w:rPr>
          <w:rFonts w:eastAsia="Calibri"/>
          <w:szCs w:val="24"/>
          <w:lang w:val="en-GB"/>
        </w:rPr>
        <w:t>Qualitative data files will be submitted to ECA at the completion of the evaluation (without names or any contact information).</w:t>
      </w:r>
    </w:p>
    <w:p w:rsidRPr="00D15FC4" w:rsidR="00D15FC4" w:rsidP="00D15FC4" w:rsidRDefault="00D15FC4" w14:paraId="1921526E" w14:textId="77777777">
      <w:pPr>
        <w:numPr>
          <w:ilvl w:val="0"/>
          <w:numId w:val="16"/>
        </w:numPr>
        <w:spacing w:after="240" w:line="256" w:lineRule="auto"/>
        <w:ind w:left="1080"/>
        <w:contextualSpacing/>
        <w:rPr>
          <w:rFonts w:eastAsia="Calibri"/>
          <w:b/>
          <w:szCs w:val="24"/>
          <w:lang w:val="en-GB"/>
        </w:rPr>
      </w:pPr>
      <w:r w:rsidRPr="00D15FC4">
        <w:rPr>
          <w:rFonts w:eastAsia="Calibri"/>
          <w:szCs w:val="24"/>
          <w:lang w:val="en-GB"/>
        </w:rPr>
        <w:t xml:space="preserve">The information you provide may be re-analyzed </w:t>
      </w:r>
      <w:proofErr w:type="gramStart"/>
      <w:r w:rsidRPr="00D15FC4">
        <w:rPr>
          <w:rFonts w:eastAsia="Calibri"/>
          <w:szCs w:val="24"/>
          <w:lang w:val="en-GB"/>
        </w:rPr>
        <w:t>at a later date</w:t>
      </w:r>
      <w:proofErr w:type="gramEnd"/>
      <w:r w:rsidRPr="00D15FC4">
        <w:rPr>
          <w:rFonts w:eastAsia="Calibri"/>
          <w:szCs w:val="24"/>
          <w:lang w:val="en-GB"/>
        </w:rPr>
        <w:t xml:space="preserve"> for a follow-up study or other purpose approved by ECA. </w:t>
      </w:r>
    </w:p>
    <w:p w:rsidRPr="00D15FC4" w:rsidR="00D15FC4" w:rsidP="00D15FC4" w:rsidRDefault="00D15FC4" w14:paraId="2E63F997" w14:textId="77777777">
      <w:pPr>
        <w:spacing w:line="240" w:lineRule="atLeast"/>
        <w:ind w:left="720"/>
        <w:rPr>
          <w:rFonts w:eastAsia="Calibri"/>
          <w:szCs w:val="24"/>
          <w:lang w:val="en-GB"/>
        </w:rPr>
      </w:pPr>
    </w:p>
    <w:p w:rsidRPr="00D15FC4" w:rsidR="00D15FC4" w:rsidP="00D15FC4" w:rsidRDefault="00D15FC4" w14:paraId="4C6ACF1A" w14:textId="62E563BB">
      <w:pPr>
        <w:spacing w:line="240" w:lineRule="atLeast"/>
        <w:ind w:left="720"/>
        <w:rPr>
          <w:rFonts w:eastAsia="Calibri"/>
          <w:szCs w:val="24"/>
          <w:lang w:val="en-GB"/>
        </w:rPr>
      </w:pPr>
      <w:r w:rsidRPr="00D15FC4">
        <w:rPr>
          <w:rFonts w:eastAsia="Calibri"/>
          <w:szCs w:val="24"/>
          <w:lang w:val="en-GB"/>
        </w:rPr>
        <w:t xml:space="preserve">Your contributions are </w:t>
      </w:r>
      <w:proofErr w:type="gramStart"/>
      <w:r w:rsidRPr="00D15FC4">
        <w:rPr>
          <w:rFonts w:eastAsia="Calibri"/>
          <w:szCs w:val="24"/>
          <w:lang w:val="en-GB"/>
        </w:rPr>
        <w:t>confidential</w:t>
      </w:r>
      <w:proofErr w:type="gramEnd"/>
      <w:r w:rsidRPr="00D15FC4">
        <w:rPr>
          <w:rFonts w:eastAsia="Calibri"/>
          <w:szCs w:val="24"/>
          <w:lang w:val="en-GB"/>
        </w:rPr>
        <w:t xml:space="preserve"> and no individual names will be used in any reports or publications resulting from the evaluation unless the individual provides consent to the Evaluation Team. If you have any questions or concerns about this interview or the evaluation more broadly, please reach out to the Evaluation Team at </w:t>
      </w:r>
      <w:hyperlink w:history="1" r:id="rId9">
        <w:r w:rsidRPr="00D15FC4">
          <w:rPr>
            <w:rFonts w:eastAsia="Calibri"/>
            <w:color w:val="0563C1"/>
            <w:szCs w:val="24"/>
            <w:u w:val="single"/>
            <w:lang w:val="en-GB"/>
          </w:rPr>
          <w:t>fellowshipevaluation@guidehouse.com</w:t>
        </w:r>
      </w:hyperlink>
      <w:r w:rsidRPr="00D15FC4">
        <w:rPr>
          <w:rFonts w:eastAsia="Calibri"/>
          <w:szCs w:val="24"/>
          <w:lang w:val="en-GB"/>
        </w:rPr>
        <w:t>.</w:t>
      </w:r>
    </w:p>
    <w:p w:rsidR="009E3E39" w:rsidP="009E3E39" w:rsidRDefault="009E3E39" w14:paraId="7EBE23F4" w14:textId="77777777">
      <w:pPr>
        <w:spacing w:after="0" w:line="240" w:lineRule="atLeast"/>
        <w:ind w:left="720"/>
        <w:rPr>
          <w:rFonts w:eastAsia="Calibri"/>
          <w:b/>
          <w:szCs w:val="24"/>
          <w:lang w:val="en-GB"/>
        </w:rPr>
      </w:pPr>
    </w:p>
    <w:p w:rsidRPr="00D15FC4" w:rsidR="00D15FC4" w:rsidP="00D15FC4" w:rsidRDefault="00D15FC4" w14:paraId="36E93B32" w14:textId="731EC6D1">
      <w:pPr>
        <w:spacing w:line="240" w:lineRule="atLeast"/>
        <w:ind w:left="720"/>
        <w:rPr>
          <w:rFonts w:eastAsia="Calibri"/>
          <w:szCs w:val="24"/>
          <w:lang w:val="en-GB"/>
        </w:rPr>
      </w:pPr>
      <w:r w:rsidRPr="00D15FC4">
        <w:rPr>
          <w:rFonts w:eastAsia="Calibri"/>
          <w:b/>
          <w:szCs w:val="24"/>
          <w:lang w:val="en-GB"/>
        </w:rPr>
        <w:t>CONSENT TO PARTICIPATE</w:t>
      </w:r>
    </w:p>
    <w:p w:rsidRPr="00D15FC4" w:rsidR="00D15FC4" w:rsidP="00D15FC4" w:rsidRDefault="00D15FC4" w14:paraId="2C90B1E0" w14:textId="6614EFB4">
      <w:pPr>
        <w:spacing w:after="0" w:line="240" w:lineRule="atLeast"/>
        <w:ind w:left="720"/>
        <w:rPr>
          <w:rFonts w:eastAsia="Calibri"/>
          <w:szCs w:val="24"/>
          <w:lang w:val="en-GB"/>
        </w:rPr>
      </w:pPr>
      <w:r w:rsidRPr="00D15FC4">
        <w:rPr>
          <w:rFonts w:eastAsia="Calibri"/>
          <w:szCs w:val="24"/>
          <w:lang w:val="en-GB"/>
        </w:rPr>
        <w:t>Do you consent to participate in this interview?</w:t>
      </w:r>
      <w:r w:rsidRPr="00D15FC4">
        <w:rPr>
          <w:rFonts w:eastAsia="Calibri"/>
          <w:i/>
          <w:szCs w:val="24"/>
          <w:lang w:val="en-GB"/>
        </w:rPr>
        <w:t xml:space="preserve"> [</w:t>
      </w:r>
      <w:r w:rsidRPr="00D15FC4" w:rsidR="0068744D">
        <w:rPr>
          <w:rFonts w:eastAsia="Calibri"/>
          <w:i/>
          <w:szCs w:val="24"/>
          <w:lang w:val="en-GB"/>
        </w:rPr>
        <w:t>Verbal</w:t>
      </w:r>
      <w:r w:rsidRPr="00D15FC4">
        <w:rPr>
          <w:rFonts w:eastAsia="Calibri"/>
          <w:i/>
          <w:szCs w:val="24"/>
          <w:lang w:val="en-GB"/>
        </w:rPr>
        <w:t xml:space="preserve"> response will be documented]</w:t>
      </w:r>
    </w:p>
    <w:p w:rsidRPr="00D15FC4" w:rsidR="00D15FC4" w:rsidP="00D15FC4" w:rsidRDefault="00D15FC4" w14:paraId="4604A781" w14:textId="77777777">
      <w:pPr>
        <w:pStyle w:val="ListParagraph"/>
        <w:numPr>
          <w:ilvl w:val="0"/>
          <w:numId w:val="17"/>
        </w:numPr>
        <w:tabs>
          <w:tab w:val="left" w:pos="810"/>
        </w:tabs>
        <w:spacing w:after="0" w:line="240" w:lineRule="atLeast"/>
        <w:ind w:left="1080"/>
        <w:rPr>
          <w:rFonts w:eastAsia="Calibri"/>
          <w:szCs w:val="24"/>
          <w:lang w:val="en-GB"/>
        </w:rPr>
      </w:pPr>
      <w:r w:rsidRPr="00D15FC4">
        <w:rPr>
          <w:rFonts w:eastAsia="Calibri"/>
          <w:szCs w:val="24"/>
          <w:lang w:val="en-GB"/>
        </w:rPr>
        <w:lastRenderedPageBreak/>
        <w:t>I consent to participate in this interview</w:t>
      </w:r>
    </w:p>
    <w:p w:rsidRPr="00D15FC4" w:rsidR="00D15FC4" w:rsidP="00D15FC4" w:rsidRDefault="00D15FC4" w14:paraId="3B9AE47E" w14:textId="45BE5F47">
      <w:pPr>
        <w:pStyle w:val="ListParagraph"/>
        <w:numPr>
          <w:ilvl w:val="0"/>
          <w:numId w:val="17"/>
        </w:numPr>
        <w:tabs>
          <w:tab w:val="left" w:pos="810"/>
        </w:tabs>
        <w:spacing w:after="0" w:line="240" w:lineRule="atLeast"/>
        <w:ind w:left="1080"/>
        <w:rPr>
          <w:rFonts w:eastAsia="Calibri"/>
          <w:szCs w:val="24"/>
          <w:lang w:val="en-GB"/>
        </w:rPr>
      </w:pPr>
      <w:r w:rsidRPr="00D15FC4">
        <w:rPr>
          <w:rFonts w:eastAsia="Calibri"/>
          <w:szCs w:val="24"/>
          <w:lang w:val="en-GB"/>
        </w:rPr>
        <w:t xml:space="preserve">I do not consent to participate in this interview </w:t>
      </w:r>
      <w:r w:rsidRPr="00D15FC4">
        <w:rPr>
          <w:rFonts w:eastAsia="Calibri"/>
          <w:i/>
          <w:szCs w:val="24"/>
          <w:lang w:val="en-GB"/>
        </w:rPr>
        <w:t>[note: if selected, the interview will end]</w:t>
      </w:r>
      <w:r w:rsidR="00980B69">
        <w:rPr>
          <w:rFonts w:eastAsia="Calibri"/>
          <w:i/>
          <w:szCs w:val="24"/>
          <w:lang w:val="en-GB"/>
        </w:rPr>
        <w:t>”</w:t>
      </w:r>
    </w:p>
    <w:p w:rsidR="00597AB4" w:rsidP="00F4332D" w:rsidRDefault="00597AB4" w14:paraId="403C8D71" w14:textId="77777777">
      <w:pPr>
        <w:pStyle w:val="ListParagraph"/>
        <w:spacing w:before="100" w:beforeAutospacing="1"/>
        <w:ind w:left="360"/>
        <w:rPr>
          <w:szCs w:val="24"/>
        </w:rPr>
      </w:pPr>
    </w:p>
    <w:p w:rsidR="008C6B47" w:rsidP="00F4332D" w:rsidRDefault="008C6B47" w14:paraId="6E0AEF74" w14:textId="7962FBFE">
      <w:pPr>
        <w:pStyle w:val="ListParagraph"/>
        <w:spacing w:before="100" w:beforeAutospacing="1"/>
        <w:ind w:left="360"/>
        <w:rPr>
          <w:szCs w:val="24"/>
        </w:rPr>
      </w:pPr>
      <w:r w:rsidRPr="008C6B47">
        <w:rPr>
          <w:szCs w:val="24"/>
        </w:rPr>
        <w:t>In line with ECA policy, indivi</w:t>
      </w:r>
      <w:r w:rsidR="00E03362">
        <w:rPr>
          <w:szCs w:val="24"/>
        </w:rPr>
        <w:t>dual names will not be reported in the evaluation report,</w:t>
      </w:r>
      <w:r w:rsidRPr="008C6B47">
        <w:rPr>
          <w:szCs w:val="24"/>
        </w:rPr>
        <w:t xml:space="preserve"> but responses will be used in the aggregated analysis, and may be disaggregated by variables of interest, such as country of </w:t>
      </w:r>
      <w:r w:rsidR="00980B69">
        <w:rPr>
          <w:szCs w:val="24"/>
        </w:rPr>
        <w:t xml:space="preserve">study, program year, sex, etc. </w:t>
      </w:r>
      <w:r w:rsidRPr="008C6B47">
        <w:rPr>
          <w:szCs w:val="24"/>
        </w:rPr>
        <w:t xml:space="preserve">As noted above, however, the consent statement for this evaluation includes </w:t>
      </w:r>
      <w:r w:rsidR="00FA3152">
        <w:rPr>
          <w:szCs w:val="24"/>
        </w:rPr>
        <w:t xml:space="preserve">the notices outlined above. </w:t>
      </w:r>
      <w:r w:rsidRPr="008C6B47">
        <w:rPr>
          <w:szCs w:val="24"/>
        </w:rPr>
        <w:t>De-identified data files will be shared with ECA for this purpose at the end of the evaluation.</w:t>
      </w:r>
    </w:p>
    <w:p w:rsidR="001551C6" w:rsidP="00F4332D" w:rsidRDefault="001551C6" w14:paraId="34913951" w14:textId="2E2AAFD4">
      <w:pPr>
        <w:numPr>
          <w:ilvl w:val="0"/>
          <w:numId w:val="1"/>
        </w:numPr>
        <w:spacing w:before="100" w:beforeAutospacing="1"/>
        <w:rPr>
          <w:i/>
          <w:color w:val="000000" w:themeColor="text1"/>
          <w:sz w:val="28"/>
          <w:szCs w:val="28"/>
        </w:rPr>
      </w:pPr>
      <w:bookmarkStart w:name="_GoBack" w:id="0"/>
      <w:r w:rsidRPr="007F6199">
        <w:rPr>
          <w:i/>
          <w:color w:val="000000" w:themeColor="text1"/>
          <w:sz w:val="28"/>
          <w:szCs w:val="28"/>
        </w:rPr>
        <w:t>Are any questions of a sensitive nature asked?</w:t>
      </w:r>
      <w:bookmarkEnd w:id="0"/>
    </w:p>
    <w:p w:rsidRPr="00B30A40" w:rsidR="00060225" w:rsidP="00B30A40" w:rsidRDefault="00B30A40" w14:paraId="42509BC9" w14:textId="6D5961E3">
      <w:pPr>
        <w:rPr>
          <w:sz w:val="22"/>
        </w:rPr>
      </w:pPr>
      <w:r w:rsidRPr="00E62F89">
        <w:t>There is one question of a sensitive nature on the survey</w:t>
      </w:r>
      <w:r w:rsidRPr="00E62F89" w:rsidR="002D083D">
        <w:t>s targeting the Reciprocal Exchange</w:t>
      </w:r>
      <w:r w:rsidRPr="00E62F89" w:rsidR="003C5EB4">
        <w:t xml:space="preserve"> Alumni</w:t>
      </w:r>
      <w:r w:rsidRPr="00E62F89" w:rsidR="002D083D">
        <w:t>, P</w:t>
      </w:r>
      <w:r w:rsidRPr="00E62F89" w:rsidR="00340867">
        <w:t xml:space="preserve">rofessional </w:t>
      </w:r>
      <w:r w:rsidRPr="00E62F89" w:rsidR="002D083D">
        <w:t>D</w:t>
      </w:r>
      <w:r w:rsidRPr="00E62F89" w:rsidR="00340867">
        <w:t xml:space="preserve">evelopment </w:t>
      </w:r>
      <w:r w:rsidRPr="00E62F89" w:rsidR="002D083D">
        <w:t>E</w:t>
      </w:r>
      <w:r w:rsidRPr="00E62F89" w:rsidR="00340867">
        <w:t>xperience</w:t>
      </w:r>
      <w:r w:rsidRPr="00E62F89" w:rsidR="002D083D">
        <w:t xml:space="preserve"> Hosts</w:t>
      </w:r>
      <w:r w:rsidRPr="00E62F89" w:rsidR="00340867">
        <w:t>, Academic and Leadership Institute staff, and U.S. Community members</w:t>
      </w:r>
      <w:r w:rsidRPr="00E62F89">
        <w:t xml:space="preserve">: sex.  Although the pre-testing did not reveal any differences in answers by sex given the very small number of respondents, there may be important differences in perceptions among </w:t>
      </w:r>
      <w:r w:rsidRPr="00E62F89" w:rsidR="00340867">
        <w:t>Reciprocal Exchange Alumni, Professional Development Experience Hosts, Academic and Leadership Institute staff, and U.S. Community members</w:t>
      </w:r>
      <w:r w:rsidRPr="00E62F89" w:rsidDel="00340867" w:rsidR="00340867">
        <w:t xml:space="preserve"> </w:t>
      </w:r>
      <w:r w:rsidRPr="00E62F89">
        <w:t>by sex</w:t>
      </w:r>
      <w:r w:rsidR="0054183E">
        <w:t>. T</w:t>
      </w:r>
      <w:r w:rsidRPr="00E62F89">
        <w:t>he team would like to be able to analyze for those differences to strengthen communication with</w:t>
      </w:r>
      <w:r w:rsidR="0054183E">
        <w:t>, and program components for</w:t>
      </w:r>
      <w:r w:rsidRPr="00E62F89">
        <w:t xml:space="preserve"> those stakeholders in the future.</w:t>
      </w:r>
      <w:r>
        <w:t xml:space="preserve">  </w:t>
      </w:r>
    </w:p>
    <w:p w:rsidRPr="008C6B47" w:rsidR="001551C6" w:rsidP="00F4332D" w:rsidRDefault="001551C6" w14:paraId="2975532D" w14:textId="77777777">
      <w:pPr>
        <w:numPr>
          <w:ilvl w:val="0"/>
          <w:numId w:val="1"/>
        </w:numPr>
        <w:spacing w:before="100" w:beforeAutospacing="1"/>
        <w:rPr>
          <w:i/>
          <w:color w:val="000000" w:themeColor="text1"/>
          <w:sz w:val="28"/>
          <w:szCs w:val="28"/>
        </w:rPr>
      </w:pPr>
      <w:r w:rsidRPr="007F6199">
        <w:rPr>
          <w:i/>
          <w:color w:val="000000" w:themeColor="text1"/>
          <w:sz w:val="28"/>
          <w:szCs w:val="28"/>
        </w:rPr>
        <w:t xml:space="preserve"> </w:t>
      </w:r>
      <w:r w:rsidRPr="008C6B47">
        <w:rPr>
          <w:i/>
          <w:color w:val="000000" w:themeColor="text1"/>
          <w:sz w:val="28"/>
          <w:szCs w:val="28"/>
        </w:rPr>
        <w:t>Describe the hour time burden and the hour cost burden on the respondent needed to complete this collection</w:t>
      </w:r>
    </w:p>
    <w:p w:rsidR="008C6B47" w:rsidP="00E03362" w:rsidRDefault="008C6B47" w14:paraId="1504A112" w14:textId="08D6D12F">
      <w:pPr>
        <w:spacing w:before="100" w:beforeAutospacing="1" w:after="0"/>
        <w:ind w:left="360"/>
        <w:rPr>
          <w:szCs w:val="24"/>
        </w:rPr>
      </w:pPr>
      <w:r w:rsidRPr="00FA282D">
        <w:rPr>
          <w:szCs w:val="24"/>
        </w:rPr>
        <w:t xml:space="preserve">The total estimated hour burden for this data collection is </w:t>
      </w:r>
      <w:r w:rsidR="00765257">
        <w:rPr>
          <w:szCs w:val="24"/>
        </w:rPr>
        <w:t>22</w:t>
      </w:r>
      <w:r w:rsidR="000B79AF">
        <w:rPr>
          <w:szCs w:val="24"/>
        </w:rPr>
        <w:t>0.7</w:t>
      </w:r>
      <w:r w:rsidR="00765257">
        <w:rPr>
          <w:szCs w:val="24"/>
        </w:rPr>
        <w:t>5</w:t>
      </w:r>
      <w:r w:rsidRPr="003A2294">
        <w:rPr>
          <w:szCs w:val="24"/>
        </w:rPr>
        <w:t xml:space="preserve"> hours</w:t>
      </w:r>
      <w:r w:rsidRPr="00FA282D">
        <w:rPr>
          <w:szCs w:val="24"/>
        </w:rPr>
        <w:t>, broken down as follows</w:t>
      </w:r>
      <w:r w:rsidR="00830835">
        <w:rPr>
          <w:szCs w:val="24"/>
        </w:rPr>
        <w:t xml:space="preserve"> in Table 1. </w:t>
      </w:r>
      <w:r w:rsidR="00D75415">
        <w:rPr>
          <w:szCs w:val="24"/>
        </w:rPr>
        <w:t xml:space="preserve">The estimated number of </w:t>
      </w:r>
      <w:r w:rsidR="00030797">
        <w:rPr>
          <w:szCs w:val="24"/>
        </w:rPr>
        <w:t xml:space="preserve">respondents </w:t>
      </w:r>
      <w:r w:rsidR="00D75415">
        <w:rPr>
          <w:szCs w:val="24"/>
        </w:rPr>
        <w:t xml:space="preserve">is </w:t>
      </w:r>
      <w:r w:rsidR="00501ACA">
        <w:rPr>
          <w:szCs w:val="24"/>
        </w:rPr>
        <w:t xml:space="preserve">approximately </w:t>
      </w:r>
      <w:r w:rsidR="00D75415">
        <w:rPr>
          <w:szCs w:val="24"/>
        </w:rPr>
        <w:t>30%</w:t>
      </w:r>
      <w:r w:rsidR="00E95361">
        <w:rPr>
          <w:szCs w:val="24"/>
        </w:rPr>
        <w:t xml:space="preserve"> of the respondent pool</w:t>
      </w:r>
      <w:r w:rsidR="00D75415">
        <w:rPr>
          <w:szCs w:val="24"/>
        </w:rPr>
        <w:t xml:space="preserve">. </w:t>
      </w:r>
    </w:p>
    <w:p w:rsidR="00830835" w:rsidP="00F4332D" w:rsidRDefault="00830835" w14:paraId="6DA3DA19" w14:textId="10B2E6BE">
      <w:pPr>
        <w:spacing w:before="100" w:beforeAutospacing="1" w:after="0"/>
        <w:rPr>
          <w:szCs w:val="24"/>
        </w:rPr>
      </w:pPr>
      <w:r>
        <w:rPr>
          <w:szCs w:val="24"/>
        </w:rPr>
        <w:t xml:space="preserve">Table 1. Hour Time Burden for </w:t>
      </w:r>
      <w:r w:rsidR="00F538B8">
        <w:rPr>
          <w:szCs w:val="24"/>
        </w:rPr>
        <w:t>Mandela Washington Fellowship</w:t>
      </w:r>
      <w:r>
        <w:rPr>
          <w:szCs w:val="24"/>
        </w:rPr>
        <w:t xml:space="preserve"> Evaluation Respondents</w:t>
      </w:r>
    </w:p>
    <w:tbl>
      <w:tblPr>
        <w:tblStyle w:val="TableGrid"/>
        <w:tblW w:w="0" w:type="auto"/>
        <w:tblLook w:val="04A0" w:firstRow="1" w:lastRow="0" w:firstColumn="1" w:lastColumn="0" w:noHBand="0" w:noVBand="1"/>
      </w:tblPr>
      <w:tblGrid>
        <w:gridCol w:w="3685"/>
        <w:gridCol w:w="2160"/>
        <w:gridCol w:w="1710"/>
        <w:gridCol w:w="1795"/>
      </w:tblGrid>
      <w:tr w:rsidRPr="000B79AF" w:rsidR="00830835" w14:paraId="6547460B" w14:textId="77777777">
        <w:tc>
          <w:tcPr>
            <w:tcW w:w="3685" w:type="dxa"/>
          </w:tcPr>
          <w:p w:rsidRPr="000B79AF" w:rsidR="00830835" w:rsidP="00830835" w:rsidRDefault="00830835" w14:paraId="41F2D184" w14:textId="77777777">
            <w:pPr>
              <w:spacing w:after="0"/>
              <w:rPr>
                <w:b/>
                <w:sz w:val="20"/>
                <w:szCs w:val="24"/>
              </w:rPr>
            </w:pPr>
            <w:r w:rsidRPr="000B79AF">
              <w:rPr>
                <w:b/>
                <w:sz w:val="20"/>
                <w:szCs w:val="24"/>
              </w:rPr>
              <w:t>Respondent Instrument</w:t>
            </w:r>
          </w:p>
        </w:tc>
        <w:tc>
          <w:tcPr>
            <w:tcW w:w="2160" w:type="dxa"/>
          </w:tcPr>
          <w:p w:rsidRPr="000B79AF" w:rsidR="00830835" w:rsidP="00830835" w:rsidRDefault="00830835" w14:paraId="1B5C861A" w14:textId="27CE24F2">
            <w:pPr>
              <w:spacing w:after="0"/>
              <w:jc w:val="center"/>
              <w:rPr>
                <w:b/>
                <w:sz w:val="20"/>
                <w:szCs w:val="24"/>
              </w:rPr>
            </w:pPr>
            <w:r w:rsidRPr="000B79AF">
              <w:rPr>
                <w:b/>
                <w:sz w:val="20"/>
                <w:szCs w:val="24"/>
              </w:rPr>
              <w:t>Estimated Number of Respon</w:t>
            </w:r>
            <w:r w:rsidR="00B1332C">
              <w:rPr>
                <w:b/>
                <w:sz w:val="20"/>
                <w:szCs w:val="24"/>
              </w:rPr>
              <w:t>s</w:t>
            </w:r>
            <w:r w:rsidR="00B1332C">
              <w:rPr>
                <w:b/>
                <w:sz w:val="20"/>
              </w:rPr>
              <w:t>es</w:t>
            </w:r>
          </w:p>
        </w:tc>
        <w:tc>
          <w:tcPr>
            <w:tcW w:w="1710" w:type="dxa"/>
          </w:tcPr>
          <w:p w:rsidRPr="000B79AF" w:rsidR="00830835" w:rsidP="00830835" w:rsidRDefault="00830835" w14:paraId="4791626B" w14:textId="1960B24D">
            <w:pPr>
              <w:spacing w:after="0"/>
              <w:jc w:val="center"/>
              <w:rPr>
                <w:b/>
                <w:sz w:val="20"/>
                <w:szCs w:val="24"/>
              </w:rPr>
            </w:pPr>
            <w:r w:rsidRPr="000B79AF">
              <w:rPr>
                <w:b/>
                <w:sz w:val="20"/>
                <w:szCs w:val="24"/>
              </w:rPr>
              <w:t>Average Time per Response</w:t>
            </w:r>
            <w:r w:rsidRPr="000B79AF" w:rsidR="00D75415">
              <w:rPr>
                <w:b/>
                <w:sz w:val="20"/>
                <w:szCs w:val="24"/>
              </w:rPr>
              <w:t xml:space="preserve"> (minutes)</w:t>
            </w:r>
          </w:p>
        </w:tc>
        <w:tc>
          <w:tcPr>
            <w:tcW w:w="1795" w:type="dxa"/>
          </w:tcPr>
          <w:p w:rsidRPr="000B79AF" w:rsidR="00830835" w:rsidP="00830835" w:rsidRDefault="00830835" w14:paraId="2F798DF2" w14:textId="09775FC6">
            <w:pPr>
              <w:spacing w:after="0"/>
              <w:jc w:val="center"/>
              <w:rPr>
                <w:b/>
                <w:sz w:val="20"/>
                <w:szCs w:val="24"/>
              </w:rPr>
            </w:pPr>
            <w:r w:rsidRPr="000B79AF">
              <w:rPr>
                <w:b/>
                <w:sz w:val="20"/>
                <w:szCs w:val="24"/>
              </w:rPr>
              <w:t>Total Estimated Burden Time</w:t>
            </w:r>
            <w:r w:rsidRPr="000B79AF" w:rsidR="00D75415">
              <w:rPr>
                <w:b/>
                <w:sz w:val="20"/>
                <w:szCs w:val="24"/>
              </w:rPr>
              <w:t xml:space="preserve"> (hours)</w:t>
            </w:r>
          </w:p>
        </w:tc>
      </w:tr>
      <w:tr w:rsidRPr="000B79AF" w:rsidR="00830835" w14:paraId="166920DD" w14:textId="77777777">
        <w:tc>
          <w:tcPr>
            <w:tcW w:w="3685" w:type="dxa"/>
          </w:tcPr>
          <w:p w:rsidRPr="000B79AF" w:rsidR="00830835" w:rsidP="00830835" w:rsidRDefault="00B80B66" w14:paraId="47C88303" w14:textId="77777777">
            <w:pPr>
              <w:spacing w:after="0"/>
              <w:rPr>
                <w:sz w:val="20"/>
                <w:szCs w:val="24"/>
              </w:rPr>
            </w:pPr>
            <w:r w:rsidRPr="000B79AF">
              <w:rPr>
                <w:sz w:val="20"/>
                <w:szCs w:val="24"/>
              </w:rPr>
              <w:t>Academic and Leadership Institute Survey</w:t>
            </w:r>
          </w:p>
        </w:tc>
        <w:tc>
          <w:tcPr>
            <w:tcW w:w="2160" w:type="dxa"/>
          </w:tcPr>
          <w:p w:rsidRPr="000B79AF" w:rsidR="00830835" w:rsidP="00830835" w:rsidRDefault="00EA3E11" w14:paraId="7256F1B7" w14:textId="1F93B743">
            <w:pPr>
              <w:spacing w:after="0"/>
              <w:jc w:val="center"/>
              <w:rPr>
                <w:sz w:val="20"/>
                <w:szCs w:val="24"/>
              </w:rPr>
            </w:pPr>
            <w:r w:rsidRPr="000B79AF">
              <w:rPr>
                <w:sz w:val="20"/>
                <w:szCs w:val="24"/>
              </w:rPr>
              <w:t>4</w:t>
            </w:r>
            <w:r w:rsidRPr="000B79AF" w:rsidR="00D75415">
              <w:rPr>
                <w:sz w:val="20"/>
                <w:szCs w:val="24"/>
              </w:rPr>
              <w:t>0</w:t>
            </w:r>
          </w:p>
        </w:tc>
        <w:tc>
          <w:tcPr>
            <w:tcW w:w="1710" w:type="dxa"/>
          </w:tcPr>
          <w:p w:rsidRPr="000B79AF" w:rsidR="00830835" w:rsidP="00830835" w:rsidRDefault="00D75415" w14:paraId="0C83F258" w14:textId="7A88A149">
            <w:pPr>
              <w:spacing w:after="0"/>
              <w:jc w:val="center"/>
              <w:rPr>
                <w:sz w:val="20"/>
                <w:szCs w:val="24"/>
              </w:rPr>
            </w:pPr>
            <w:r w:rsidRPr="000B79AF">
              <w:rPr>
                <w:sz w:val="20"/>
                <w:szCs w:val="24"/>
              </w:rPr>
              <w:t>30</w:t>
            </w:r>
          </w:p>
        </w:tc>
        <w:tc>
          <w:tcPr>
            <w:tcW w:w="1795" w:type="dxa"/>
          </w:tcPr>
          <w:p w:rsidRPr="000B79AF" w:rsidR="00830835" w:rsidP="00830835" w:rsidRDefault="005D42E5" w14:paraId="3CF4CCFF" w14:textId="6D58D664">
            <w:pPr>
              <w:spacing w:after="0"/>
              <w:jc w:val="center"/>
              <w:rPr>
                <w:sz w:val="20"/>
                <w:szCs w:val="24"/>
              </w:rPr>
            </w:pPr>
            <w:r w:rsidRPr="000B79AF">
              <w:rPr>
                <w:sz w:val="20"/>
                <w:szCs w:val="24"/>
              </w:rPr>
              <w:t>20</w:t>
            </w:r>
          </w:p>
        </w:tc>
      </w:tr>
      <w:tr w:rsidRPr="000B79AF" w:rsidR="00830835" w14:paraId="38653774" w14:textId="77777777">
        <w:tc>
          <w:tcPr>
            <w:tcW w:w="3685" w:type="dxa"/>
          </w:tcPr>
          <w:p w:rsidRPr="000B79AF" w:rsidR="00830835" w:rsidP="00830835" w:rsidRDefault="00B80B66" w14:paraId="5A1E8A09" w14:textId="77777777">
            <w:pPr>
              <w:spacing w:after="0"/>
              <w:rPr>
                <w:sz w:val="20"/>
                <w:szCs w:val="24"/>
              </w:rPr>
            </w:pPr>
            <w:r w:rsidRPr="000B79AF">
              <w:rPr>
                <w:sz w:val="20"/>
                <w:szCs w:val="24"/>
              </w:rPr>
              <w:t>Academic and Leadership Institute Interview Questions</w:t>
            </w:r>
          </w:p>
        </w:tc>
        <w:tc>
          <w:tcPr>
            <w:tcW w:w="2160" w:type="dxa"/>
          </w:tcPr>
          <w:p w:rsidRPr="000B79AF" w:rsidR="00830835" w:rsidP="00830835" w:rsidRDefault="00D75415" w14:paraId="60A26D9C" w14:textId="37F9360F">
            <w:pPr>
              <w:spacing w:after="0"/>
              <w:jc w:val="center"/>
              <w:rPr>
                <w:sz w:val="20"/>
                <w:szCs w:val="24"/>
              </w:rPr>
            </w:pPr>
            <w:r w:rsidRPr="000B79AF">
              <w:rPr>
                <w:sz w:val="20"/>
                <w:szCs w:val="24"/>
              </w:rPr>
              <w:t>1</w:t>
            </w:r>
            <w:r w:rsidRPr="000B79AF" w:rsidR="003D2EAA">
              <w:rPr>
                <w:sz w:val="20"/>
                <w:szCs w:val="24"/>
              </w:rPr>
              <w:t>5</w:t>
            </w:r>
          </w:p>
        </w:tc>
        <w:tc>
          <w:tcPr>
            <w:tcW w:w="1710" w:type="dxa"/>
          </w:tcPr>
          <w:p w:rsidRPr="000B79AF" w:rsidR="00830835" w:rsidP="00830835" w:rsidRDefault="000B79AF" w14:paraId="5253DA8E" w14:textId="22341D63">
            <w:pPr>
              <w:spacing w:after="0"/>
              <w:jc w:val="center"/>
              <w:rPr>
                <w:sz w:val="20"/>
                <w:szCs w:val="24"/>
              </w:rPr>
            </w:pPr>
            <w:r w:rsidRPr="000B79AF">
              <w:rPr>
                <w:sz w:val="20"/>
                <w:szCs w:val="24"/>
              </w:rPr>
              <w:t>60</w:t>
            </w:r>
          </w:p>
        </w:tc>
        <w:tc>
          <w:tcPr>
            <w:tcW w:w="1795" w:type="dxa"/>
          </w:tcPr>
          <w:p w:rsidRPr="000B79AF" w:rsidR="00830835" w:rsidP="00830835" w:rsidRDefault="000B79AF" w14:paraId="75F44E1A" w14:textId="6615652E">
            <w:pPr>
              <w:spacing w:after="0"/>
              <w:jc w:val="center"/>
              <w:rPr>
                <w:sz w:val="20"/>
                <w:szCs w:val="24"/>
              </w:rPr>
            </w:pPr>
            <w:r w:rsidRPr="000B79AF">
              <w:rPr>
                <w:sz w:val="20"/>
                <w:szCs w:val="24"/>
              </w:rPr>
              <w:t>15</w:t>
            </w:r>
          </w:p>
        </w:tc>
      </w:tr>
      <w:tr w:rsidRPr="000B79AF" w:rsidR="00830835" w14:paraId="4BFB2A2A" w14:textId="77777777">
        <w:tc>
          <w:tcPr>
            <w:tcW w:w="3685" w:type="dxa"/>
          </w:tcPr>
          <w:p w:rsidRPr="000B79AF" w:rsidR="00830835" w:rsidP="00830835" w:rsidRDefault="00B80B66" w14:paraId="1E0D284C" w14:textId="77777777">
            <w:pPr>
              <w:spacing w:after="0"/>
              <w:rPr>
                <w:sz w:val="20"/>
                <w:szCs w:val="24"/>
              </w:rPr>
            </w:pPr>
            <w:r w:rsidRPr="000B79AF">
              <w:rPr>
                <w:sz w:val="20"/>
                <w:szCs w:val="24"/>
              </w:rPr>
              <w:t>Professional Development Experience Host Organization Survey</w:t>
            </w:r>
          </w:p>
        </w:tc>
        <w:tc>
          <w:tcPr>
            <w:tcW w:w="2160" w:type="dxa"/>
          </w:tcPr>
          <w:p w:rsidRPr="000B79AF" w:rsidR="00830835" w:rsidP="00830835" w:rsidRDefault="00D75415" w14:paraId="79CFA633" w14:textId="4D0EAABC">
            <w:pPr>
              <w:spacing w:after="0"/>
              <w:jc w:val="center"/>
              <w:rPr>
                <w:sz w:val="20"/>
                <w:szCs w:val="24"/>
              </w:rPr>
            </w:pPr>
            <w:r w:rsidRPr="000B79AF">
              <w:rPr>
                <w:sz w:val="20"/>
                <w:szCs w:val="24"/>
              </w:rPr>
              <w:t>122</w:t>
            </w:r>
          </w:p>
        </w:tc>
        <w:tc>
          <w:tcPr>
            <w:tcW w:w="1710" w:type="dxa"/>
          </w:tcPr>
          <w:p w:rsidRPr="000B79AF" w:rsidR="00830835" w:rsidP="00830835" w:rsidRDefault="00D75415" w14:paraId="2E27F461" w14:textId="4D8669D9">
            <w:pPr>
              <w:spacing w:after="0"/>
              <w:jc w:val="center"/>
              <w:rPr>
                <w:sz w:val="20"/>
                <w:szCs w:val="24"/>
              </w:rPr>
            </w:pPr>
            <w:r w:rsidRPr="000B79AF">
              <w:rPr>
                <w:sz w:val="20"/>
                <w:szCs w:val="24"/>
              </w:rPr>
              <w:t>30</w:t>
            </w:r>
          </w:p>
        </w:tc>
        <w:tc>
          <w:tcPr>
            <w:tcW w:w="1795" w:type="dxa"/>
          </w:tcPr>
          <w:p w:rsidRPr="000B79AF" w:rsidR="00830835" w:rsidP="00830835" w:rsidRDefault="00D75415" w14:paraId="4DD6FED6" w14:textId="4860C148">
            <w:pPr>
              <w:spacing w:after="0"/>
              <w:jc w:val="center"/>
              <w:rPr>
                <w:sz w:val="20"/>
                <w:szCs w:val="24"/>
              </w:rPr>
            </w:pPr>
            <w:r w:rsidRPr="000B79AF">
              <w:rPr>
                <w:sz w:val="20"/>
                <w:szCs w:val="24"/>
              </w:rPr>
              <w:t>61</w:t>
            </w:r>
          </w:p>
        </w:tc>
      </w:tr>
      <w:tr w:rsidRPr="000B79AF" w:rsidR="00830835" w14:paraId="12993BFE" w14:textId="77777777">
        <w:tc>
          <w:tcPr>
            <w:tcW w:w="3685" w:type="dxa"/>
          </w:tcPr>
          <w:p w:rsidRPr="000B79AF" w:rsidR="00830835" w:rsidP="00B80B66" w:rsidRDefault="00B80B66" w14:paraId="7D8D5F9A" w14:textId="4E09F136">
            <w:pPr>
              <w:spacing w:after="0"/>
              <w:rPr>
                <w:sz w:val="20"/>
                <w:szCs w:val="24"/>
              </w:rPr>
            </w:pPr>
            <w:r w:rsidRPr="000B79AF">
              <w:rPr>
                <w:sz w:val="20"/>
                <w:szCs w:val="24"/>
              </w:rPr>
              <w:t>Professional Development Experience Host Organization Interview Questions</w:t>
            </w:r>
          </w:p>
        </w:tc>
        <w:tc>
          <w:tcPr>
            <w:tcW w:w="2160" w:type="dxa"/>
          </w:tcPr>
          <w:p w:rsidRPr="000B79AF" w:rsidR="00830835" w:rsidP="00830835" w:rsidRDefault="00D75415" w14:paraId="339988B0" w14:textId="575548D5">
            <w:pPr>
              <w:spacing w:after="0"/>
              <w:jc w:val="center"/>
              <w:rPr>
                <w:sz w:val="20"/>
                <w:szCs w:val="24"/>
              </w:rPr>
            </w:pPr>
            <w:r w:rsidRPr="000B79AF">
              <w:rPr>
                <w:sz w:val="20"/>
                <w:szCs w:val="24"/>
              </w:rPr>
              <w:t>1</w:t>
            </w:r>
            <w:r w:rsidRPr="000B79AF" w:rsidR="003D2EAA">
              <w:rPr>
                <w:sz w:val="20"/>
                <w:szCs w:val="24"/>
              </w:rPr>
              <w:t>5</w:t>
            </w:r>
          </w:p>
        </w:tc>
        <w:tc>
          <w:tcPr>
            <w:tcW w:w="1710" w:type="dxa"/>
          </w:tcPr>
          <w:p w:rsidRPr="000B79AF" w:rsidR="00830835" w:rsidP="00830835" w:rsidRDefault="00D75415" w14:paraId="241D9797" w14:textId="396F65F9">
            <w:pPr>
              <w:spacing w:after="0"/>
              <w:jc w:val="center"/>
              <w:rPr>
                <w:sz w:val="20"/>
                <w:szCs w:val="24"/>
              </w:rPr>
            </w:pPr>
            <w:r w:rsidRPr="000B79AF">
              <w:rPr>
                <w:sz w:val="20"/>
                <w:szCs w:val="24"/>
              </w:rPr>
              <w:t>60</w:t>
            </w:r>
          </w:p>
        </w:tc>
        <w:tc>
          <w:tcPr>
            <w:tcW w:w="1795" w:type="dxa"/>
          </w:tcPr>
          <w:p w:rsidRPr="000B79AF" w:rsidR="00830835" w:rsidP="00830835" w:rsidRDefault="00D75415" w14:paraId="1E4D328E" w14:textId="112A2AC6">
            <w:pPr>
              <w:spacing w:after="0"/>
              <w:jc w:val="center"/>
              <w:rPr>
                <w:sz w:val="20"/>
                <w:szCs w:val="24"/>
              </w:rPr>
            </w:pPr>
            <w:r w:rsidRPr="000B79AF">
              <w:rPr>
                <w:sz w:val="20"/>
                <w:szCs w:val="24"/>
              </w:rPr>
              <w:t>1</w:t>
            </w:r>
            <w:r w:rsidRPr="000B79AF" w:rsidR="003D2EAA">
              <w:rPr>
                <w:sz w:val="20"/>
                <w:szCs w:val="24"/>
              </w:rPr>
              <w:t>5</w:t>
            </w:r>
          </w:p>
        </w:tc>
      </w:tr>
      <w:tr w:rsidRPr="000B79AF" w:rsidR="00B80B66" w14:paraId="5776FE30" w14:textId="77777777">
        <w:tc>
          <w:tcPr>
            <w:tcW w:w="3685" w:type="dxa"/>
          </w:tcPr>
          <w:p w:rsidRPr="000B79AF" w:rsidR="00B80B66" w:rsidP="00830835" w:rsidRDefault="00B80B66" w14:paraId="1B9F40EA" w14:textId="77777777">
            <w:pPr>
              <w:spacing w:after="0"/>
              <w:rPr>
                <w:b/>
                <w:sz w:val="20"/>
                <w:szCs w:val="24"/>
              </w:rPr>
            </w:pPr>
            <w:r w:rsidRPr="000B79AF">
              <w:rPr>
                <w:sz w:val="20"/>
                <w:szCs w:val="24"/>
              </w:rPr>
              <w:t>Reciprocal Exchange Alumni Survey</w:t>
            </w:r>
          </w:p>
        </w:tc>
        <w:tc>
          <w:tcPr>
            <w:tcW w:w="2160" w:type="dxa"/>
          </w:tcPr>
          <w:p w:rsidRPr="000B79AF" w:rsidR="00B80B66" w:rsidP="00830835" w:rsidRDefault="00D75415" w14:paraId="478A08FB" w14:textId="3F39D380">
            <w:pPr>
              <w:spacing w:after="0"/>
              <w:jc w:val="center"/>
              <w:rPr>
                <w:sz w:val="20"/>
                <w:szCs w:val="24"/>
              </w:rPr>
            </w:pPr>
            <w:r w:rsidRPr="000B79AF">
              <w:rPr>
                <w:sz w:val="20"/>
                <w:szCs w:val="24"/>
              </w:rPr>
              <w:t>52</w:t>
            </w:r>
          </w:p>
        </w:tc>
        <w:tc>
          <w:tcPr>
            <w:tcW w:w="1710" w:type="dxa"/>
          </w:tcPr>
          <w:p w:rsidRPr="000B79AF" w:rsidR="00B80B66" w:rsidP="00CC0A7C" w:rsidRDefault="000B79AF" w14:paraId="158752F6" w14:textId="3FD2D5F7">
            <w:pPr>
              <w:spacing w:after="0"/>
              <w:jc w:val="center"/>
              <w:rPr>
                <w:sz w:val="20"/>
                <w:szCs w:val="24"/>
              </w:rPr>
            </w:pPr>
            <w:r w:rsidRPr="000B79AF">
              <w:rPr>
                <w:sz w:val="20"/>
                <w:szCs w:val="24"/>
              </w:rPr>
              <w:t>30</w:t>
            </w:r>
          </w:p>
        </w:tc>
        <w:tc>
          <w:tcPr>
            <w:tcW w:w="1795" w:type="dxa"/>
          </w:tcPr>
          <w:p w:rsidRPr="000B79AF" w:rsidR="00B80B66" w:rsidP="00830835" w:rsidRDefault="000B79AF" w14:paraId="03866FAD" w14:textId="58B04985">
            <w:pPr>
              <w:spacing w:after="0"/>
              <w:jc w:val="center"/>
              <w:rPr>
                <w:sz w:val="20"/>
                <w:szCs w:val="24"/>
              </w:rPr>
            </w:pPr>
            <w:r w:rsidRPr="000B79AF">
              <w:rPr>
                <w:sz w:val="20"/>
                <w:szCs w:val="24"/>
              </w:rPr>
              <w:t>26</w:t>
            </w:r>
          </w:p>
        </w:tc>
      </w:tr>
      <w:tr w:rsidRPr="000B79AF" w:rsidR="00B80B66" w14:paraId="2884F227" w14:textId="77777777">
        <w:tc>
          <w:tcPr>
            <w:tcW w:w="3685" w:type="dxa"/>
          </w:tcPr>
          <w:p w:rsidRPr="000B79AF" w:rsidR="00B80B66" w:rsidP="00830835" w:rsidRDefault="00B80B66" w14:paraId="0B025613" w14:textId="77777777">
            <w:pPr>
              <w:spacing w:after="0"/>
              <w:rPr>
                <w:b/>
                <w:sz w:val="20"/>
                <w:szCs w:val="24"/>
              </w:rPr>
            </w:pPr>
            <w:r w:rsidRPr="000B79AF">
              <w:rPr>
                <w:sz w:val="20"/>
                <w:szCs w:val="24"/>
              </w:rPr>
              <w:t>Reciprocal Exchange Alumni Interview Questions</w:t>
            </w:r>
          </w:p>
        </w:tc>
        <w:tc>
          <w:tcPr>
            <w:tcW w:w="2160" w:type="dxa"/>
          </w:tcPr>
          <w:p w:rsidRPr="000B79AF" w:rsidR="00B80B66" w:rsidP="00830835" w:rsidRDefault="00D75415" w14:paraId="73ACDA2F" w14:textId="5F2517E6">
            <w:pPr>
              <w:spacing w:after="0"/>
              <w:jc w:val="center"/>
              <w:rPr>
                <w:sz w:val="20"/>
                <w:szCs w:val="24"/>
              </w:rPr>
            </w:pPr>
            <w:r w:rsidRPr="000B79AF">
              <w:rPr>
                <w:sz w:val="20"/>
                <w:szCs w:val="24"/>
              </w:rPr>
              <w:t>1</w:t>
            </w:r>
            <w:r w:rsidRPr="000B79AF" w:rsidR="003D2EAA">
              <w:rPr>
                <w:sz w:val="20"/>
                <w:szCs w:val="24"/>
              </w:rPr>
              <w:t>5</w:t>
            </w:r>
          </w:p>
        </w:tc>
        <w:tc>
          <w:tcPr>
            <w:tcW w:w="1710" w:type="dxa"/>
          </w:tcPr>
          <w:p w:rsidRPr="000B79AF" w:rsidR="00B80B66" w:rsidP="00830835" w:rsidRDefault="000B79AF" w14:paraId="493B419F" w14:textId="73448290">
            <w:pPr>
              <w:spacing w:after="0"/>
              <w:jc w:val="center"/>
              <w:rPr>
                <w:sz w:val="20"/>
                <w:szCs w:val="24"/>
              </w:rPr>
            </w:pPr>
            <w:r w:rsidRPr="000B79AF">
              <w:rPr>
                <w:sz w:val="20"/>
                <w:szCs w:val="24"/>
              </w:rPr>
              <w:t>60</w:t>
            </w:r>
          </w:p>
        </w:tc>
        <w:tc>
          <w:tcPr>
            <w:tcW w:w="1795" w:type="dxa"/>
          </w:tcPr>
          <w:p w:rsidRPr="000B79AF" w:rsidR="00B80B66" w:rsidP="00830835" w:rsidRDefault="000B79AF" w14:paraId="0151570B" w14:textId="405249FD">
            <w:pPr>
              <w:spacing w:after="0"/>
              <w:jc w:val="center"/>
              <w:rPr>
                <w:sz w:val="20"/>
                <w:szCs w:val="24"/>
              </w:rPr>
            </w:pPr>
            <w:r w:rsidRPr="000B79AF">
              <w:rPr>
                <w:sz w:val="20"/>
                <w:szCs w:val="24"/>
              </w:rPr>
              <w:t>15</w:t>
            </w:r>
          </w:p>
        </w:tc>
      </w:tr>
      <w:tr w:rsidRPr="000B79AF" w:rsidR="00B80B66" w14:paraId="5D1A91FC" w14:textId="77777777">
        <w:tc>
          <w:tcPr>
            <w:tcW w:w="3685" w:type="dxa"/>
          </w:tcPr>
          <w:p w:rsidRPr="000B79AF" w:rsidR="00B80B66" w:rsidP="00830835" w:rsidRDefault="00404AA2" w14:paraId="0F4A7BA4" w14:textId="77777777">
            <w:pPr>
              <w:spacing w:after="0"/>
              <w:rPr>
                <w:sz w:val="20"/>
                <w:szCs w:val="24"/>
              </w:rPr>
            </w:pPr>
            <w:r w:rsidRPr="000B79AF">
              <w:rPr>
                <w:sz w:val="20"/>
                <w:szCs w:val="24"/>
              </w:rPr>
              <w:t>U.S. Community Member Survey</w:t>
            </w:r>
          </w:p>
        </w:tc>
        <w:tc>
          <w:tcPr>
            <w:tcW w:w="2160" w:type="dxa"/>
          </w:tcPr>
          <w:p w:rsidRPr="000B79AF" w:rsidR="00B80B66" w:rsidP="00830835" w:rsidRDefault="00D75415" w14:paraId="37760DC5" w14:textId="39843027">
            <w:pPr>
              <w:spacing w:after="0"/>
              <w:jc w:val="center"/>
              <w:rPr>
                <w:sz w:val="20"/>
                <w:szCs w:val="24"/>
              </w:rPr>
            </w:pPr>
            <w:r w:rsidRPr="000B79AF">
              <w:rPr>
                <w:sz w:val="20"/>
                <w:szCs w:val="24"/>
              </w:rPr>
              <w:t>15</w:t>
            </w:r>
          </w:p>
        </w:tc>
        <w:tc>
          <w:tcPr>
            <w:tcW w:w="1710" w:type="dxa"/>
          </w:tcPr>
          <w:p w:rsidRPr="000B79AF" w:rsidR="00B80B66" w:rsidP="00830835" w:rsidRDefault="00D75415" w14:paraId="46FB0FD3" w14:textId="67DEC168">
            <w:pPr>
              <w:spacing w:after="0"/>
              <w:jc w:val="center"/>
              <w:rPr>
                <w:sz w:val="20"/>
                <w:szCs w:val="24"/>
              </w:rPr>
            </w:pPr>
            <w:r w:rsidRPr="000B79AF">
              <w:rPr>
                <w:sz w:val="20"/>
                <w:szCs w:val="24"/>
              </w:rPr>
              <w:t>25</w:t>
            </w:r>
          </w:p>
        </w:tc>
        <w:tc>
          <w:tcPr>
            <w:tcW w:w="1795" w:type="dxa"/>
          </w:tcPr>
          <w:p w:rsidRPr="000B79AF" w:rsidR="00B80B66" w:rsidP="00830835" w:rsidRDefault="00D75415" w14:paraId="289AFE4D" w14:textId="20C1058D">
            <w:pPr>
              <w:spacing w:after="0"/>
              <w:jc w:val="center"/>
              <w:rPr>
                <w:sz w:val="20"/>
                <w:szCs w:val="24"/>
              </w:rPr>
            </w:pPr>
            <w:r w:rsidRPr="000B79AF">
              <w:rPr>
                <w:sz w:val="20"/>
                <w:szCs w:val="24"/>
              </w:rPr>
              <w:t>6.25</w:t>
            </w:r>
          </w:p>
        </w:tc>
      </w:tr>
      <w:tr w:rsidRPr="000B79AF" w:rsidR="00B80B66" w14:paraId="7018CE51" w14:textId="77777777">
        <w:tc>
          <w:tcPr>
            <w:tcW w:w="3685" w:type="dxa"/>
          </w:tcPr>
          <w:p w:rsidRPr="000B79AF" w:rsidR="00B80B66" w:rsidP="00D75415" w:rsidRDefault="00404AA2" w14:paraId="5F5F4B5C" w14:textId="720164AC">
            <w:pPr>
              <w:spacing w:after="0"/>
              <w:rPr>
                <w:b/>
                <w:sz w:val="20"/>
                <w:szCs w:val="24"/>
              </w:rPr>
            </w:pPr>
            <w:r w:rsidRPr="000B79AF">
              <w:rPr>
                <w:sz w:val="20"/>
                <w:szCs w:val="24"/>
              </w:rPr>
              <w:t xml:space="preserve">U.S. Community Member </w:t>
            </w:r>
            <w:r w:rsidRPr="000B79AF" w:rsidR="00D75415">
              <w:rPr>
                <w:sz w:val="20"/>
                <w:szCs w:val="24"/>
              </w:rPr>
              <w:t xml:space="preserve">Focus Group Discussion </w:t>
            </w:r>
            <w:r w:rsidRPr="000B79AF">
              <w:rPr>
                <w:sz w:val="20"/>
                <w:szCs w:val="24"/>
              </w:rPr>
              <w:t>Questions</w:t>
            </w:r>
          </w:p>
        </w:tc>
        <w:tc>
          <w:tcPr>
            <w:tcW w:w="2160" w:type="dxa"/>
          </w:tcPr>
          <w:p w:rsidRPr="000B79AF" w:rsidR="00B80B66" w:rsidP="00830835" w:rsidRDefault="00D75415" w14:paraId="65DAE7F4" w14:textId="7AB48641">
            <w:pPr>
              <w:spacing w:after="0"/>
              <w:jc w:val="center"/>
              <w:rPr>
                <w:sz w:val="20"/>
                <w:szCs w:val="24"/>
              </w:rPr>
            </w:pPr>
            <w:r w:rsidRPr="000B79AF">
              <w:rPr>
                <w:sz w:val="20"/>
                <w:szCs w:val="24"/>
              </w:rPr>
              <w:t>1</w:t>
            </w:r>
            <w:r w:rsidRPr="000B79AF" w:rsidR="003D2EAA">
              <w:rPr>
                <w:sz w:val="20"/>
                <w:szCs w:val="24"/>
              </w:rPr>
              <w:t>5</w:t>
            </w:r>
          </w:p>
        </w:tc>
        <w:tc>
          <w:tcPr>
            <w:tcW w:w="1710" w:type="dxa"/>
          </w:tcPr>
          <w:p w:rsidRPr="000B79AF" w:rsidR="00B80B66" w:rsidP="00830835" w:rsidRDefault="00CC0A7C" w14:paraId="1A016C30" w14:textId="1B50F5AD">
            <w:pPr>
              <w:spacing w:after="0"/>
              <w:jc w:val="center"/>
              <w:rPr>
                <w:sz w:val="20"/>
                <w:szCs w:val="24"/>
              </w:rPr>
            </w:pPr>
            <w:r w:rsidRPr="000B79AF">
              <w:rPr>
                <w:sz w:val="20"/>
                <w:szCs w:val="24"/>
              </w:rPr>
              <w:t>90</w:t>
            </w:r>
          </w:p>
        </w:tc>
        <w:tc>
          <w:tcPr>
            <w:tcW w:w="1795" w:type="dxa"/>
          </w:tcPr>
          <w:p w:rsidRPr="000B79AF" w:rsidR="00B80B66" w:rsidP="00830835" w:rsidRDefault="009E76F3" w14:paraId="43A01A2B" w14:textId="6381097D">
            <w:pPr>
              <w:spacing w:after="0"/>
              <w:jc w:val="center"/>
              <w:rPr>
                <w:sz w:val="20"/>
                <w:szCs w:val="24"/>
              </w:rPr>
            </w:pPr>
            <w:r w:rsidRPr="000B79AF">
              <w:rPr>
                <w:sz w:val="20"/>
                <w:szCs w:val="24"/>
              </w:rPr>
              <w:t>22.5</w:t>
            </w:r>
          </w:p>
        </w:tc>
      </w:tr>
      <w:tr w:rsidRPr="000B79AF" w:rsidR="003D2EAA" w14:paraId="0EC7C3D8" w14:textId="77777777">
        <w:tc>
          <w:tcPr>
            <w:tcW w:w="3685" w:type="dxa"/>
          </w:tcPr>
          <w:p w:rsidRPr="000B79AF" w:rsidR="003D2EAA" w:rsidP="00D75415" w:rsidRDefault="003D2EAA" w14:paraId="3A31CEBB" w14:textId="6901D946">
            <w:pPr>
              <w:spacing w:after="0"/>
              <w:rPr>
                <w:sz w:val="20"/>
                <w:szCs w:val="24"/>
              </w:rPr>
            </w:pPr>
            <w:r w:rsidRPr="000B79AF">
              <w:rPr>
                <w:sz w:val="20"/>
                <w:szCs w:val="24"/>
              </w:rPr>
              <w:t>Fellowship Experience Maps</w:t>
            </w:r>
          </w:p>
        </w:tc>
        <w:tc>
          <w:tcPr>
            <w:tcW w:w="2160" w:type="dxa"/>
          </w:tcPr>
          <w:p w:rsidRPr="000B79AF" w:rsidR="003D2EAA" w:rsidP="00830835" w:rsidRDefault="00BE7419" w14:paraId="23D4BFE4" w14:textId="0DABFE10">
            <w:pPr>
              <w:spacing w:after="0"/>
              <w:jc w:val="center"/>
              <w:rPr>
                <w:sz w:val="20"/>
                <w:szCs w:val="24"/>
              </w:rPr>
            </w:pPr>
            <w:r w:rsidRPr="000B79AF">
              <w:rPr>
                <w:sz w:val="20"/>
                <w:szCs w:val="24"/>
              </w:rPr>
              <w:t>40</w:t>
            </w:r>
          </w:p>
        </w:tc>
        <w:tc>
          <w:tcPr>
            <w:tcW w:w="1710" w:type="dxa"/>
          </w:tcPr>
          <w:p w:rsidRPr="000B79AF" w:rsidR="003D2EAA" w:rsidP="00830835" w:rsidRDefault="003D2EAA" w14:paraId="33D24D25" w14:textId="3C994212">
            <w:pPr>
              <w:spacing w:after="0"/>
              <w:jc w:val="center"/>
              <w:rPr>
                <w:sz w:val="20"/>
                <w:szCs w:val="24"/>
              </w:rPr>
            </w:pPr>
            <w:r w:rsidRPr="000B79AF">
              <w:rPr>
                <w:sz w:val="20"/>
                <w:szCs w:val="24"/>
              </w:rPr>
              <w:t>60</w:t>
            </w:r>
          </w:p>
        </w:tc>
        <w:tc>
          <w:tcPr>
            <w:tcW w:w="1795" w:type="dxa"/>
          </w:tcPr>
          <w:p w:rsidRPr="000B79AF" w:rsidR="003D2EAA" w:rsidP="00830835" w:rsidRDefault="00BE7419" w14:paraId="25E64A94" w14:textId="5CB36427">
            <w:pPr>
              <w:spacing w:after="0"/>
              <w:jc w:val="center"/>
              <w:rPr>
                <w:sz w:val="20"/>
                <w:szCs w:val="24"/>
              </w:rPr>
            </w:pPr>
            <w:r w:rsidRPr="000B79AF">
              <w:rPr>
                <w:sz w:val="20"/>
                <w:szCs w:val="24"/>
              </w:rPr>
              <w:t>40</w:t>
            </w:r>
          </w:p>
        </w:tc>
      </w:tr>
      <w:tr w:rsidR="00830835" w:rsidTr="00171772" w14:paraId="343999B2" w14:textId="77777777">
        <w:trPr>
          <w:trHeight w:val="242"/>
        </w:trPr>
        <w:tc>
          <w:tcPr>
            <w:tcW w:w="3685" w:type="dxa"/>
          </w:tcPr>
          <w:p w:rsidRPr="000B79AF" w:rsidR="00830835" w:rsidP="00830835" w:rsidRDefault="004814F4" w14:paraId="02AFEC72" w14:textId="77777777">
            <w:pPr>
              <w:spacing w:after="0"/>
              <w:rPr>
                <w:b/>
                <w:sz w:val="20"/>
                <w:szCs w:val="24"/>
              </w:rPr>
            </w:pPr>
            <w:r w:rsidRPr="000B79AF">
              <w:rPr>
                <w:b/>
                <w:sz w:val="20"/>
                <w:szCs w:val="24"/>
              </w:rPr>
              <w:t>Total Estimated Burden Time</w:t>
            </w:r>
          </w:p>
        </w:tc>
        <w:tc>
          <w:tcPr>
            <w:tcW w:w="2160" w:type="dxa"/>
          </w:tcPr>
          <w:p w:rsidRPr="000B79AF" w:rsidR="00830835" w:rsidP="00830835" w:rsidRDefault="00012F93" w14:paraId="320E7DFF" w14:textId="20B2EA52">
            <w:pPr>
              <w:spacing w:after="0"/>
              <w:jc w:val="center"/>
              <w:rPr>
                <w:sz w:val="20"/>
                <w:szCs w:val="24"/>
              </w:rPr>
            </w:pPr>
            <w:r w:rsidRPr="000B79AF">
              <w:rPr>
                <w:sz w:val="20"/>
                <w:szCs w:val="24"/>
              </w:rPr>
              <w:t>329</w:t>
            </w:r>
          </w:p>
        </w:tc>
        <w:tc>
          <w:tcPr>
            <w:tcW w:w="1710" w:type="dxa"/>
          </w:tcPr>
          <w:p w:rsidRPr="000B79AF" w:rsidR="00830835" w:rsidP="00830835" w:rsidRDefault="000B79AF" w14:paraId="71047C66" w14:textId="09F864B9">
            <w:pPr>
              <w:spacing w:after="0"/>
              <w:jc w:val="center"/>
              <w:rPr>
                <w:sz w:val="20"/>
                <w:szCs w:val="24"/>
              </w:rPr>
            </w:pPr>
            <w:r w:rsidRPr="000B79AF">
              <w:rPr>
                <w:sz w:val="20"/>
                <w:szCs w:val="24"/>
              </w:rPr>
              <w:t>49.44</w:t>
            </w:r>
          </w:p>
        </w:tc>
        <w:tc>
          <w:tcPr>
            <w:tcW w:w="1795" w:type="dxa"/>
          </w:tcPr>
          <w:p w:rsidRPr="00830835" w:rsidR="00830835" w:rsidP="000B79AF" w:rsidRDefault="008F58DB" w14:paraId="542540F3" w14:textId="3A40F2E8">
            <w:pPr>
              <w:spacing w:after="0"/>
              <w:jc w:val="center"/>
              <w:rPr>
                <w:sz w:val="20"/>
                <w:szCs w:val="24"/>
              </w:rPr>
            </w:pPr>
            <w:r>
              <w:rPr>
                <w:sz w:val="20"/>
                <w:szCs w:val="24"/>
              </w:rPr>
              <w:t>2</w:t>
            </w:r>
            <w:r w:rsidR="008F49F5">
              <w:rPr>
                <w:sz w:val="20"/>
                <w:szCs w:val="24"/>
              </w:rPr>
              <w:t>20</w:t>
            </w:r>
            <w:r>
              <w:rPr>
                <w:sz w:val="20"/>
                <w:szCs w:val="24"/>
              </w:rPr>
              <w:t>.</w:t>
            </w:r>
            <w:r w:rsidR="008F49F5">
              <w:rPr>
                <w:sz w:val="20"/>
                <w:szCs w:val="24"/>
              </w:rPr>
              <w:t>75</w:t>
            </w:r>
            <w:r w:rsidRPr="000B79AF" w:rsidR="004814F4">
              <w:rPr>
                <w:sz w:val="20"/>
                <w:szCs w:val="24"/>
              </w:rPr>
              <w:t xml:space="preserve"> annual hours</w:t>
            </w:r>
          </w:p>
        </w:tc>
      </w:tr>
    </w:tbl>
    <w:p w:rsidRPr="00372264" w:rsidR="00781EEE" w:rsidP="00F4332D" w:rsidRDefault="008C6B47" w14:paraId="29B90640" w14:textId="0F2343D7">
      <w:pPr>
        <w:spacing w:before="100" w:beforeAutospacing="1" w:after="0"/>
        <w:rPr>
          <w:rFonts w:cstheme="minorHAnsi"/>
          <w:szCs w:val="24"/>
        </w:rPr>
      </w:pPr>
      <w:r>
        <w:rPr>
          <w:rFonts w:cstheme="minorHAnsi"/>
          <w:szCs w:val="24"/>
        </w:rPr>
        <w:lastRenderedPageBreak/>
        <w:t>The average times were calculated based on</w:t>
      </w:r>
      <w:r w:rsidR="000B79AF">
        <w:rPr>
          <w:rFonts w:cstheme="minorHAnsi"/>
          <w:szCs w:val="24"/>
        </w:rPr>
        <w:t xml:space="preserve"> the average pilot test times and</w:t>
      </w:r>
      <w:r>
        <w:rPr>
          <w:rFonts w:cstheme="minorHAnsi"/>
          <w:szCs w:val="24"/>
        </w:rPr>
        <w:t xml:space="preserve"> </w:t>
      </w:r>
      <w:r w:rsidR="00B80B66">
        <w:rPr>
          <w:rFonts w:cstheme="minorHAnsi"/>
          <w:szCs w:val="24"/>
        </w:rPr>
        <w:t>estimated times</w:t>
      </w:r>
      <w:r w:rsidR="00404AA2">
        <w:rPr>
          <w:rFonts w:cstheme="minorHAnsi"/>
          <w:szCs w:val="24"/>
        </w:rPr>
        <w:t xml:space="preserve"> from similar survey and interview question lengths.</w:t>
      </w:r>
      <w:r>
        <w:rPr>
          <w:rFonts w:cstheme="minorHAnsi"/>
          <w:szCs w:val="24"/>
        </w:rPr>
        <w:t xml:space="preserve"> </w:t>
      </w:r>
      <w:r w:rsidR="000B79AF">
        <w:rPr>
          <w:rFonts w:cstheme="minorHAnsi"/>
          <w:szCs w:val="24"/>
        </w:rPr>
        <w:t xml:space="preserve">Each survey and key informant interview instrument </w:t>
      </w:r>
      <w:proofErr w:type="gramStart"/>
      <w:r w:rsidR="000B79AF">
        <w:rPr>
          <w:rFonts w:cstheme="minorHAnsi"/>
          <w:szCs w:val="24"/>
        </w:rPr>
        <w:t>was</w:t>
      </w:r>
      <w:proofErr w:type="gramEnd"/>
      <w:r w:rsidR="000B79AF">
        <w:rPr>
          <w:rFonts w:cstheme="minorHAnsi"/>
          <w:szCs w:val="24"/>
        </w:rPr>
        <w:t xml:space="preserve"> pilot tested with a set of respondents, and the mean time is </w:t>
      </w:r>
      <w:r w:rsidRPr="00372264" w:rsidR="000B79AF">
        <w:rPr>
          <w:rFonts w:cstheme="minorHAnsi"/>
          <w:szCs w:val="24"/>
        </w:rPr>
        <w:t>reported above.</w:t>
      </w:r>
      <w:r w:rsidRPr="00372264" w:rsidR="00781EEE">
        <w:rPr>
          <w:rFonts w:cstheme="minorHAnsi"/>
          <w:szCs w:val="24"/>
        </w:rPr>
        <w:t xml:space="preserve"> The range of response times is shown in the table below.</w:t>
      </w:r>
    </w:p>
    <w:p w:rsidR="002F7D52" w:rsidP="002F7D52" w:rsidRDefault="002F7D52" w14:paraId="58AE11C6" w14:textId="77777777">
      <w:pPr>
        <w:keepNext/>
        <w:spacing w:before="100" w:beforeAutospacing="1" w:after="0"/>
        <w:rPr>
          <w:rFonts w:cstheme="minorHAnsi"/>
          <w:szCs w:val="24"/>
        </w:rPr>
      </w:pPr>
      <w:r w:rsidRPr="00372264">
        <w:rPr>
          <w:rFonts w:cstheme="minorHAnsi"/>
          <w:szCs w:val="24"/>
        </w:rPr>
        <w:t>Table 2. Pilot test response time ranges by data collection instrument</w:t>
      </w:r>
    </w:p>
    <w:tbl>
      <w:tblPr>
        <w:tblStyle w:val="TableGrid"/>
        <w:tblW w:w="0" w:type="auto"/>
        <w:tblLook w:val="04A0" w:firstRow="1" w:lastRow="0" w:firstColumn="1" w:lastColumn="0" w:noHBand="0" w:noVBand="1"/>
      </w:tblPr>
      <w:tblGrid>
        <w:gridCol w:w="3984"/>
        <w:gridCol w:w="1624"/>
        <w:gridCol w:w="1873"/>
        <w:gridCol w:w="1869"/>
      </w:tblGrid>
      <w:tr w:rsidR="002F7D52" w:rsidTr="0062420C" w14:paraId="1359839A" w14:textId="77777777">
        <w:tc>
          <w:tcPr>
            <w:tcW w:w="3984" w:type="dxa"/>
          </w:tcPr>
          <w:p w:rsidRPr="00C74B40" w:rsidR="002F7D52" w:rsidP="0062420C" w:rsidRDefault="002F7D52" w14:paraId="28ECADFA" w14:textId="77777777">
            <w:pPr>
              <w:spacing w:before="100" w:beforeAutospacing="1"/>
              <w:rPr>
                <w:rFonts w:cstheme="minorHAnsi"/>
                <w:b/>
                <w:sz w:val="20"/>
                <w:szCs w:val="24"/>
              </w:rPr>
            </w:pPr>
            <w:r w:rsidRPr="00C74B40">
              <w:rPr>
                <w:rFonts w:cstheme="minorHAnsi"/>
                <w:b/>
                <w:sz w:val="20"/>
                <w:szCs w:val="24"/>
              </w:rPr>
              <w:t>Data Collection Instrument</w:t>
            </w:r>
          </w:p>
        </w:tc>
        <w:tc>
          <w:tcPr>
            <w:tcW w:w="1624" w:type="dxa"/>
          </w:tcPr>
          <w:p w:rsidRPr="00846815" w:rsidR="002F7D52" w:rsidP="0062420C" w:rsidRDefault="002F7D52" w14:paraId="1ADB0985" w14:textId="77777777">
            <w:pPr>
              <w:spacing w:before="100" w:beforeAutospacing="1"/>
              <w:jc w:val="center"/>
              <w:rPr>
                <w:rFonts w:cstheme="minorHAnsi"/>
                <w:b/>
                <w:sz w:val="20"/>
                <w:szCs w:val="24"/>
              </w:rPr>
            </w:pPr>
            <w:r w:rsidRPr="00846815">
              <w:rPr>
                <w:rFonts w:cstheme="minorHAnsi"/>
                <w:b/>
                <w:sz w:val="20"/>
                <w:szCs w:val="24"/>
              </w:rPr>
              <w:t>Number of Pilot Tests</w:t>
            </w:r>
          </w:p>
        </w:tc>
        <w:tc>
          <w:tcPr>
            <w:tcW w:w="1873" w:type="dxa"/>
          </w:tcPr>
          <w:p w:rsidRPr="00846815" w:rsidR="002F7D52" w:rsidP="0062420C" w:rsidRDefault="002F7D52" w14:paraId="6008E18C" w14:textId="77777777">
            <w:pPr>
              <w:spacing w:before="100" w:beforeAutospacing="1"/>
              <w:jc w:val="center"/>
              <w:rPr>
                <w:rFonts w:cstheme="minorHAnsi"/>
                <w:b/>
                <w:sz w:val="20"/>
                <w:szCs w:val="24"/>
              </w:rPr>
            </w:pPr>
            <w:r w:rsidRPr="00846815">
              <w:rPr>
                <w:rFonts w:cstheme="minorHAnsi"/>
                <w:b/>
                <w:sz w:val="20"/>
                <w:szCs w:val="24"/>
              </w:rPr>
              <w:t>Shortest Response Time</w:t>
            </w:r>
          </w:p>
          <w:p w:rsidRPr="00846815" w:rsidR="002F7D52" w:rsidP="0062420C" w:rsidRDefault="002F7D52" w14:paraId="4FC19478" w14:textId="77777777">
            <w:pPr>
              <w:spacing w:before="100" w:beforeAutospacing="1"/>
              <w:jc w:val="center"/>
              <w:rPr>
                <w:rFonts w:cstheme="minorHAnsi"/>
                <w:b/>
                <w:sz w:val="20"/>
                <w:szCs w:val="24"/>
              </w:rPr>
            </w:pPr>
            <w:r w:rsidRPr="00846815">
              <w:rPr>
                <w:b/>
                <w:sz w:val="20"/>
                <w:szCs w:val="24"/>
              </w:rPr>
              <w:t>(minutes)</w:t>
            </w:r>
          </w:p>
        </w:tc>
        <w:tc>
          <w:tcPr>
            <w:tcW w:w="1869" w:type="dxa"/>
          </w:tcPr>
          <w:p w:rsidRPr="00846815" w:rsidR="002F7D52" w:rsidP="0062420C" w:rsidRDefault="002F7D52" w14:paraId="5069ACEA" w14:textId="77777777">
            <w:pPr>
              <w:spacing w:before="100" w:beforeAutospacing="1"/>
              <w:jc w:val="center"/>
              <w:rPr>
                <w:rFonts w:cstheme="minorHAnsi"/>
                <w:b/>
                <w:sz w:val="20"/>
                <w:szCs w:val="24"/>
              </w:rPr>
            </w:pPr>
            <w:r w:rsidRPr="00846815">
              <w:rPr>
                <w:rFonts w:cstheme="minorHAnsi"/>
                <w:b/>
                <w:sz w:val="20"/>
                <w:szCs w:val="24"/>
              </w:rPr>
              <w:t>Longest Response Time</w:t>
            </w:r>
          </w:p>
          <w:p w:rsidRPr="00846815" w:rsidR="002F7D52" w:rsidP="0062420C" w:rsidRDefault="002F7D52" w14:paraId="011B6760" w14:textId="77777777">
            <w:pPr>
              <w:spacing w:before="100" w:beforeAutospacing="1"/>
              <w:jc w:val="center"/>
              <w:rPr>
                <w:rFonts w:cstheme="minorHAnsi"/>
                <w:b/>
                <w:sz w:val="20"/>
                <w:szCs w:val="24"/>
              </w:rPr>
            </w:pPr>
            <w:r w:rsidRPr="00846815">
              <w:rPr>
                <w:b/>
                <w:sz w:val="20"/>
                <w:szCs w:val="24"/>
              </w:rPr>
              <w:t>(minutes)</w:t>
            </w:r>
          </w:p>
        </w:tc>
      </w:tr>
      <w:tr w:rsidR="002F7D52" w:rsidTr="0062420C" w14:paraId="230A5A7B" w14:textId="77777777">
        <w:tc>
          <w:tcPr>
            <w:tcW w:w="3984" w:type="dxa"/>
          </w:tcPr>
          <w:p w:rsidRPr="00C74B40" w:rsidR="002F7D52" w:rsidP="0062420C" w:rsidRDefault="002F7D52" w14:paraId="6C1A677C" w14:textId="63F1B70D">
            <w:pPr>
              <w:spacing w:before="100" w:beforeAutospacing="1"/>
              <w:rPr>
                <w:rFonts w:cstheme="minorHAnsi"/>
                <w:sz w:val="20"/>
                <w:szCs w:val="24"/>
              </w:rPr>
            </w:pPr>
            <w:r w:rsidRPr="000B79AF">
              <w:rPr>
                <w:sz w:val="20"/>
                <w:szCs w:val="24"/>
              </w:rPr>
              <w:t>Academic and Leadership Institute Survey</w:t>
            </w:r>
          </w:p>
        </w:tc>
        <w:tc>
          <w:tcPr>
            <w:tcW w:w="1624" w:type="dxa"/>
          </w:tcPr>
          <w:p w:rsidR="002F7D52" w:rsidP="0062420C" w:rsidRDefault="00A62A6E" w14:paraId="4C0102C2" w14:textId="3792D60C">
            <w:pPr>
              <w:spacing w:before="100" w:beforeAutospacing="1"/>
              <w:jc w:val="center"/>
              <w:rPr>
                <w:rFonts w:cstheme="minorHAnsi"/>
                <w:sz w:val="20"/>
                <w:szCs w:val="24"/>
              </w:rPr>
            </w:pPr>
            <w:r>
              <w:rPr>
                <w:rFonts w:cstheme="minorHAnsi"/>
                <w:sz w:val="20"/>
                <w:szCs w:val="24"/>
              </w:rPr>
              <w:t>6</w:t>
            </w:r>
          </w:p>
        </w:tc>
        <w:tc>
          <w:tcPr>
            <w:tcW w:w="1873" w:type="dxa"/>
          </w:tcPr>
          <w:p w:rsidRPr="00C74B40" w:rsidR="002F7D52" w:rsidP="0062420C" w:rsidRDefault="00A62A6E" w14:paraId="5DD3B4B3" w14:textId="38AB088D">
            <w:pPr>
              <w:spacing w:before="100" w:beforeAutospacing="1"/>
              <w:jc w:val="center"/>
              <w:rPr>
                <w:rFonts w:cstheme="minorHAnsi"/>
                <w:sz w:val="20"/>
                <w:szCs w:val="24"/>
              </w:rPr>
            </w:pPr>
            <w:r>
              <w:rPr>
                <w:rFonts w:cstheme="minorHAnsi"/>
                <w:sz w:val="20"/>
                <w:szCs w:val="24"/>
              </w:rPr>
              <w:t>15</w:t>
            </w:r>
          </w:p>
        </w:tc>
        <w:tc>
          <w:tcPr>
            <w:tcW w:w="1869" w:type="dxa"/>
          </w:tcPr>
          <w:p w:rsidRPr="00C74B40" w:rsidR="002F7D52" w:rsidP="0062420C" w:rsidRDefault="00A62A6E" w14:paraId="1DC82A45" w14:textId="20A2C21A">
            <w:pPr>
              <w:spacing w:before="100" w:beforeAutospacing="1"/>
              <w:jc w:val="center"/>
              <w:rPr>
                <w:rFonts w:cstheme="minorHAnsi"/>
                <w:sz w:val="20"/>
                <w:szCs w:val="24"/>
              </w:rPr>
            </w:pPr>
            <w:r>
              <w:rPr>
                <w:rFonts w:cstheme="minorHAnsi"/>
                <w:sz w:val="20"/>
                <w:szCs w:val="24"/>
              </w:rPr>
              <w:t>50</w:t>
            </w:r>
          </w:p>
        </w:tc>
      </w:tr>
      <w:tr w:rsidR="002F7D52" w:rsidTr="0062420C" w14:paraId="49E18249" w14:textId="77777777">
        <w:tc>
          <w:tcPr>
            <w:tcW w:w="3984" w:type="dxa"/>
          </w:tcPr>
          <w:p w:rsidRPr="00C74B40" w:rsidR="002F7D52" w:rsidP="0062420C" w:rsidRDefault="002F7D52" w14:paraId="5F3DEA1D" w14:textId="538A66C0">
            <w:pPr>
              <w:spacing w:before="100" w:beforeAutospacing="1"/>
              <w:rPr>
                <w:rFonts w:cstheme="minorHAnsi"/>
                <w:sz w:val="20"/>
                <w:szCs w:val="24"/>
              </w:rPr>
            </w:pPr>
            <w:r w:rsidRPr="000B79AF">
              <w:rPr>
                <w:sz w:val="20"/>
                <w:szCs w:val="24"/>
              </w:rPr>
              <w:t>Professional Development Experience Host Organization Survey</w:t>
            </w:r>
          </w:p>
        </w:tc>
        <w:tc>
          <w:tcPr>
            <w:tcW w:w="1624" w:type="dxa"/>
          </w:tcPr>
          <w:p w:rsidR="002F7D52" w:rsidP="0062420C" w:rsidRDefault="00A62A6E" w14:paraId="654B34AC" w14:textId="590CAA02">
            <w:pPr>
              <w:spacing w:before="100" w:beforeAutospacing="1"/>
              <w:jc w:val="center"/>
              <w:rPr>
                <w:rFonts w:cstheme="minorHAnsi"/>
                <w:sz w:val="20"/>
                <w:szCs w:val="24"/>
              </w:rPr>
            </w:pPr>
            <w:r>
              <w:rPr>
                <w:rFonts w:cstheme="minorHAnsi"/>
                <w:sz w:val="20"/>
                <w:szCs w:val="24"/>
              </w:rPr>
              <w:t>3</w:t>
            </w:r>
          </w:p>
        </w:tc>
        <w:tc>
          <w:tcPr>
            <w:tcW w:w="1873" w:type="dxa"/>
          </w:tcPr>
          <w:p w:rsidRPr="00C74B40" w:rsidR="002F7D52" w:rsidP="0062420C" w:rsidRDefault="008F39DF" w14:paraId="11309808" w14:textId="3C632C88">
            <w:pPr>
              <w:spacing w:before="100" w:beforeAutospacing="1"/>
              <w:jc w:val="center"/>
              <w:rPr>
                <w:rFonts w:cstheme="minorHAnsi"/>
                <w:sz w:val="20"/>
                <w:szCs w:val="24"/>
              </w:rPr>
            </w:pPr>
            <w:r>
              <w:rPr>
                <w:rFonts w:cstheme="minorHAnsi"/>
                <w:sz w:val="20"/>
                <w:szCs w:val="24"/>
              </w:rPr>
              <w:t>15</w:t>
            </w:r>
          </w:p>
        </w:tc>
        <w:tc>
          <w:tcPr>
            <w:tcW w:w="1869" w:type="dxa"/>
          </w:tcPr>
          <w:p w:rsidRPr="00C74B40" w:rsidR="002F7D52" w:rsidP="0062420C" w:rsidRDefault="00C702FF" w14:paraId="104533D1" w14:textId="67AF4223">
            <w:pPr>
              <w:spacing w:before="100" w:beforeAutospacing="1"/>
              <w:jc w:val="center"/>
              <w:rPr>
                <w:rFonts w:cstheme="minorHAnsi"/>
                <w:sz w:val="20"/>
                <w:szCs w:val="24"/>
              </w:rPr>
            </w:pPr>
            <w:r>
              <w:rPr>
                <w:rFonts w:cstheme="minorHAnsi"/>
                <w:sz w:val="20"/>
                <w:szCs w:val="24"/>
              </w:rPr>
              <w:t>40</w:t>
            </w:r>
          </w:p>
        </w:tc>
      </w:tr>
      <w:tr w:rsidRPr="00C74B40" w:rsidR="00A62A6E" w:rsidTr="0062420C" w14:paraId="29EAFFA5" w14:textId="77777777">
        <w:tc>
          <w:tcPr>
            <w:tcW w:w="3984" w:type="dxa"/>
          </w:tcPr>
          <w:p w:rsidRPr="00C74B40" w:rsidR="00A62A6E" w:rsidP="00A62A6E" w:rsidRDefault="00A62A6E" w14:paraId="6B500E8C" w14:textId="1A6A0137">
            <w:pPr>
              <w:spacing w:before="100" w:beforeAutospacing="1"/>
              <w:rPr>
                <w:rFonts w:cstheme="minorHAnsi"/>
                <w:sz w:val="20"/>
                <w:szCs w:val="24"/>
              </w:rPr>
            </w:pPr>
            <w:r w:rsidRPr="000B79AF">
              <w:rPr>
                <w:sz w:val="20"/>
                <w:szCs w:val="24"/>
              </w:rPr>
              <w:t>Reciprocal Exchange Alumni Survey</w:t>
            </w:r>
          </w:p>
        </w:tc>
        <w:tc>
          <w:tcPr>
            <w:tcW w:w="1624" w:type="dxa"/>
          </w:tcPr>
          <w:p w:rsidR="00A62A6E" w:rsidP="00A62A6E" w:rsidRDefault="00A62A6E" w14:paraId="794AFD81" w14:textId="4CA9B4D0">
            <w:pPr>
              <w:spacing w:before="100" w:beforeAutospacing="1"/>
              <w:jc w:val="center"/>
              <w:rPr>
                <w:rFonts w:cstheme="minorHAnsi"/>
                <w:sz w:val="20"/>
                <w:szCs w:val="24"/>
              </w:rPr>
            </w:pPr>
            <w:r>
              <w:rPr>
                <w:rFonts w:cstheme="minorHAnsi"/>
                <w:sz w:val="20"/>
                <w:szCs w:val="24"/>
              </w:rPr>
              <w:t>3</w:t>
            </w:r>
          </w:p>
        </w:tc>
        <w:tc>
          <w:tcPr>
            <w:tcW w:w="1873" w:type="dxa"/>
          </w:tcPr>
          <w:p w:rsidRPr="00C74B40" w:rsidR="00A62A6E" w:rsidP="00A62A6E" w:rsidRDefault="00A62A6E" w14:paraId="4CEC2663" w14:textId="1852D63C">
            <w:pPr>
              <w:spacing w:before="100" w:beforeAutospacing="1"/>
              <w:jc w:val="center"/>
              <w:rPr>
                <w:rFonts w:cstheme="minorHAnsi"/>
                <w:sz w:val="20"/>
                <w:szCs w:val="24"/>
              </w:rPr>
            </w:pPr>
            <w:r>
              <w:rPr>
                <w:rFonts w:cstheme="minorHAnsi"/>
                <w:sz w:val="20"/>
                <w:szCs w:val="24"/>
              </w:rPr>
              <w:t>15</w:t>
            </w:r>
          </w:p>
        </w:tc>
        <w:tc>
          <w:tcPr>
            <w:tcW w:w="1869" w:type="dxa"/>
          </w:tcPr>
          <w:p w:rsidRPr="00C74B40" w:rsidR="00A62A6E" w:rsidP="00A62A6E" w:rsidRDefault="00A62A6E" w14:paraId="1A898CCB" w14:textId="3CF17F75">
            <w:pPr>
              <w:spacing w:before="100" w:beforeAutospacing="1"/>
              <w:jc w:val="center"/>
              <w:rPr>
                <w:rFonts w:cstheme="minorHAnsi"/>
                <w:sz w:val="20"/>
                <w:szCs w:val="24"/>
              </w:rPr>
            </w:pPr>
            <w:r>
              <w:rPr>
                <w:rFonts w:cstheme="minorHAnsi"/>
                <w:sz w:val="20"/>
                <w:szCs w:val="24"/>
              </w:rPr>
              <w:t>40</w:t>
            </w:r>
          </w:p>
        </w:tc>
      </w:tr>
      <w:tr w:rsidR="00A62A6E" w:rsidTr="0062420C" w14:paraId="25B3D042" w14:textId="77777777">
        <w:tc>
          <w:tcPr>
            <w:tcW w:w="3984" w:type="dxa"/>
          </w:tcPr>
          <w:p w:rsidRPr="00C74B40" w:rsidR="00A62A6E" w:rsidP="00A62A6E" w:rsidRDefault="00A62A6E" w14:paraId="375E23C0" w14:textId="72643259">
            <w:pPr>
              <w:spacing w:before="100" w:beforeAutospacing="1"/>
              <w:rPr>
                <w:rFonts w:cstheme="minorHAnsi"/>
                <w:sz w:val="20"/>
                <w:szCs w:val="24"/>
              </w:rPr>
            </w:pPr>
            <w:r w:rsidRPr="000B79AF">
              <w:rPr>
                <w:sz w:val="20"/>
                <w:szCs w:val="24"/>
              </w:rPr>
              <w:t>U.S. Community Member Survey</w:t>
            </w:r>
          </w:p>
        </w:tc>
        <w:tc>
          <w:tcPr>
            <w:tcW w:w="1624" w:type="dxa"/>
          </w:tcPr>
          <w:p w:rsidR="00A62A6E" w:rsidP="00A62A6E" w:rsidRDefault="00990900" w14:paraId="318E492E" w14:textId="731F323C">
            <w:pPr>
              <w:spacing w:before="100" w:beforeAutospacing="1"/>
              <w:jc w:val="center"/>
              <w:rPr>
                <w:rFonts w:cstheme="minorHAnsi"/>
                <w:sz w:val="20"/>
                <w:szCs w:val="24"/>
              </w:rPr>
            </w:pPr>
            <w:r>
              <w:rPr>
                <w:rFonts w:cstheme="minorHAnsi"/>
                <w:sz w:val="20"/>
                <w:szCs w:val="24"/>
              </w:rPr>
              <w:t>3</w:t>
            </w:r>
          </w:p>
        </w:tc>
        <w:tc>
          <w:tcPr>
            <w:tcW w:w="1873" w:type="dxa"/>
          </w:tcPr>
          <w:p w:rsidRPr="00C74B40" w:rsidR="00A62A6E" w:rsidP="00A62A6E" w:rsidRDefault="00BC048D" w14:paraId="3A9A27AD" w14:textId="32BE3181">
            <w:pPr>
              <w:spacing w:before="100" w:beforeAutospacing="1"/>
              <w:jc w:val="center"/>
              <w:rPr>
                <w:rFonts w:cstheme="minorHAnsi"/>
                <w:sz w:val="20"/>
                <w:szCs w:val="24"/>
              </w:rPr>
            </w:pPr>
            <w:r>
              <w:rPr>
                <w:rFonts w:cstheme="minorHAnsi"/>
                <w:sz w:val="20"/>
                <w:szCs w:val="24"/>
              </w:rPr>
              <w:t>15</w:t>
            </w:r>
          </w:p>
        </w:tc>
        <w:tc>
          <w:tcPr>
            <w:tcW w:w="1869" w:type="dxa"/>
          </w:tcPr>
          <w:p w:rsidRPr="00C74B40" w:rsidR="00A62A6E" w:rsidP="00A62A6E" w:rsidRDefault="00AF4452" w14:paraId="46F0FA01" w14:textId="18F89BBA">
            <w:pPr>
              <w:spacing w:before="100" w:beforeAutospacing="1"/>
              <w:jc w:val="center"/>
              <w:rPr>
                <w:rFonts w:cstheme="minorHAnsi"/>
                <w:sz w:val="20"/>
                <w:szCs w:val="24"/>
              </w:rPr>
            </w:pPr>
            <w:r>
              <w:rPr>
                <w:rFonts w:cstheme="minorHAnsi"/>
                <w:sz w:val="20"/>
                <w:szCs w:val="24"/>
              </w:rPr>
              <w:t>15</w:t>
            </w:r>
          </w:p>
        </w:tc>
      </w:tr>
    </w:tbl>
    <w:p w:rsidR="00781EEE" w:rsidP="00781EEE" w:rsidRDefault="00781EEE" w14:paraId="549A924E" w14:textId="6EF4974E">
      <w:pPr>
        <w:spacing w:before="100" w:beforeAutospacing="1" w:after="0"/>
        <w:rPr>
          <w:rFonts w:cstheme="minorHAnsi"/>
          <w:szCs w:val="24"/>
        </w:rPr>
      </w:pPr>
      <w:r>
        <w:rPr>
          <w:rFonts w:cstheme="minorHAnsi"/>
          <w:szCs w:val="24"/>
        </w:rPr>
        <w:t xml:space="preserve">Although the questions asked in the focus group guide </w:t>
      </w:r>
      <w:r w:rsidR="00787007">
        <w:rPr>
          <w:rFonts w:cstheme="minorHAnsi"/>
          <w:szCs w:val="24"/>
        </w:rPr>
        <w:t xml:space="preserve">and interviews </w:t>
      </w:r>
      <w:r>
        <w:rPr>
          <w:rFonts w:cstheme="minorHAnsi"/>
          <w:szCs w:val="24"/>
        </w:rPr>
        <w:t>were tested, we were unable to simulate focus groups</w:t>
      </w:r>
      <w:r w:rsidR="00787007">
        <w:rPr>
          <w:rFonts w:cstheme="minorHAnsi"/>
          <w:szCs w:val="24"/>
        </w:rPr>
        <w:t xml:space="preserve"> and full interviews</w:t>
      </w:r>
      <w:r>
        <w:rPr>
          <w:rFonts w:cstheme="minorHAnsi"/>
          <w:szCs w:val="24"/>
        </w:rPr>
        <w:t xml:space="preserve"> in the pilot testing period.  The time estimate</w:t>
      </w:r>
      <w:r w:rsidR="00787007">
        <w:rPr>
          <w:rFonts w:cstheme="minorHAnsi"/>
          <w:szCs w:val="24"/>
        </w:rPr>
        <w:t>s</w:t>
      </w:r>
      <w:r>
        <w:rPr>
          <w:rFonts w:cstheme="minorHAnsi"/>
          <w:szCs w:val="24"/>
        </w:rPr>
        <w:t xml:space="preserve"> for the focus group</w:t>
      </w:r>
      <w:r w:rsidR="00787007">
        <w:rPr>
          <w:rFonts w:cstheme="minorHAnsi"/>
          <w:szCs w:val="24"/>
        </w:rPr>
        <w:t xml:space="preserve"> and interviews</w:t>
      </w:r>
      <w:r>
        <w:rPr>
          <w:rFonts w:cstheme="minorHAnsi"/>
          <w:szCs w:val="24"/>
        </w:rPr>
        <w:t xml:space="preserve">, therefore, </w:t>
      </w:r>
      <w:r w:rsidR="00787007">
        <w:rPr>
          <w:rFonts w:cstheme="minorHAnsi"/>
          <w:szCs w:val="24"/>
        </w:rPr>
        <w:t>are</w:t>
      </w:r>
      <w:r>
        <w:rPr>
          <w:rFonts w:cstheme="minorHAnsi"/>
          <w:szCs w:val="24"/>
        </w:rPr>
        <w:t xml:space="preserve"> based on the number and complexity of questions to be asked and number of anticipated respondents per group based on the evaluation contractor’s </w:t>
      </w:r>
      <w:proofErr w:type="gramStart"/>
      <w:r>
        <w:rPr>
          <w:rFonts w:cstheme="minorHAnsi"/>
          <w:szCs w:val="24"/>
        </w:rPr>
        <w:t>past experience</w:t>
      </w:r>
      <w:proofErr w:type="gramEnd"/>
      <w:r>
        <w:rPr>
          <w:rFonts w:cstheme="minorHAnsi"/>
          <w:szCs w:val="24"/>
        </w:rPr>
        <w:t xml:space="preserve"> conducting </w:t>
      </w:r>
      <w:r w:rsidR="00787007">
        <w:rPr>
          <w:rFonts w:cstheme="minorHAnsi"/>
          <w:szCs w:val="24"/>
        </w:rPr>
        <w:t xml:space="preserve">interviews and </w:t>
      </w:r>
      <w:r>
        <w:rPr>
          <w:rFonts w:cstheme="minorHAnsi"/>
          <w:szCs w:val="24"/>
        </w:rPr>
        <w:t xml:space="preserve">focus groups.  The </w:t>
      </w:r>
      <w:r w:rsidR="00787007">
        <w:rPr>
          <w:rFonts w:cstheme="minorHAnsi"/>
          <w:szCs w:val="24"/>
        </w:rPr>
        <w:t>interviewer/</w:t>
      </w:r>
      <w:r>
        <w:rPr>
          <w:rFonts w:cstheme="minorHAnsi"/>
          <w:szCs w:val="24"/>
        </w:rPr>
        <w:t xml:space="preserve">focus group moderator also has some control over how long the conversation </w:t>
      </w:r>
      <w:proofErr w:type="gramStart"/>
      <w:r>
        <w:rPr>
          <w:rFonts w:cstheme="minorHAnsi"/>
          <w:szCs w:val="24"/>
        </w:rPr>
        <w:t>lasts, and</w:t>
      </w:r>
      <w:proofErr w:type="gramEnd"/>
      <w:r>
        <w:rPr>
          <w:rFonts w:cstheme="minorHAnsi"/>
          <w:szCs w:val="24"/>
        </w:rPr>
        <w:t xml:space="preserve"> can steer the </w:t>
      </w:r>
      <w:r w:rsidR="00787007">
        <w:rPr>
          <w:rFonts w:cstheme="minorHAnsi"/>
          <w:szCs w:val="24"/>
        </w:rPr>
        <w:t>interview</w:t>
      </w:r>
      <w:r w:rsidR="002C4CC9">
        <w:rPr>
          <w:rFonts w:cstheme="minorHAnsi"/>
          <w:szCs w:val="24"/>
        </w:rPr>
        <w:t>ee</w:t>
      </w:r>
      <w:r w:rsidR="00787007">
        <w:rPr>
          <w:rFonts w:cstheme="minorHAnsi"/>
          <w:szCs w:val="24"/>
        </w:rPr>
        <w:t>/</w:t>
      </w:r>
      <w:r>
        <w:rPr>
          <w:rFonts w:cstheme="minorHAnsi"/>
          <w:szCs w:val="24"/>
        </w:rPr>
        <w:t xml:space="preserve">group to the next question to ensure that the </w:t>
      </w:r>
      <w:r w:rsidR="00787007">
        <w:rPr>
          <w:rFonts w:cstheme="minorHAnsi"/>
          <w:szCs w:val="24"/>
        </w:rPr>
        <w:t>interview/</w:t>
      </w:r>
      <w:r>
        <w:rPr>
          <w:rFonts w:cstheme="minorHAnsi"/>
          <w:szCs w:val="24"/>
        </w:rPr>
        <w:t>group</w:t>
      </w:r>
      <w:r w:rsidR="00787007">
        <w:rPr>
          <w:rFonts w:cstheme="minorHAnsi"/>
          <w:szCs w:val="24"/>
        </w:rPr>
        <w:t xml:space="preserve"> discussion</w:t>
      </w:r>
      <w:r>
        <w:rPr>
          <w:rFonts w:cstheme="minorHAnsi"/>
          <w:szCs w:val="24"/>
        </w:rPr>
        <w:t xml:space="preserve"> does not run too long. </w:t>
      </w:r>
    </w:p>
    <w:p w:rsidRPr="00404AA2" w:rsidR="008C6B47" w:rsidP="00F4332D" w:rsidRDefault="008C6B47" w14:paraId="05208EF2" w14:textId="77777777">
      <w:pPr>
        <w:pStyle w:val="Heading3"/>
        <w:spacing w:before="100" w:beforeAutospacing="1"/>
        <w:rPr>
          <w:rFonts w:eastAsia="Times New Roman"/>
          <w:b/>
          <w:color w:val="auto"/>
        </w:rPr>
      </w:pPr>
      <w:bookmarkStart w:name="_Toc535591061" w:id="1"/>
      <w:bookmarkStart w:name="_Toc535592804" w:id="2"/>
      <w:bookmarkStart w:name="_Toc535593086" w:id="3"/>
      <w:r w:rsidRPr="00404AA2">
        <w:rPr>
          <w:rFonts w:eastAsia="Times New Roman"/>
          <w:b/>
          <w:color w:val="auto"/>
        </w:rPr>
        <w:t>Time Cost to Respondents</w:t>
      </w:r>
      <w:bookmarkEnd w:id="1"/>
      <w:bookmarkEnd w:id="2"/>
      <w:bookmarkEnd w:id="3"/>
      <w:r w:rsidRPr="00404AA2">
        <w:rPr>
          <w:rFonts w:eastAsia="Times New Roman"/>
          <w:b/>
          <w:color w:val="auto"/>
        </w:rPr>
        <w:t xml:space="preserve"> </w:t>
      </w:r>
    </w:p>
    <w:p w:rsidR="008C6B47" w:rsidP="00404AA2" w:rsidRDefault="009F6538" w14:paraId="4D187A95" w14:textId="2D3A0188">
      <w:pPr>
        <w:spacing w:after="0"/>
        <w:rPr>
          <w:rFonts w:cstheme="minorHAnsi"/>
          <w:szCs w:val="24"/>
        </w:rPr>
      </w:pPr>
      <w:r>
        <w:rPr>
          <w:rFonts w:cstheme="minorHAnsi"/>
          <w:szCs w:val="24"/>
        </w:rPr>
        <w:t>To estimate the burdened labor rate for individuals participating in the data collection, the Department used</w:t>
      </w:r>
      <w:r w:rsidR="008C6B47">
        <w:rPr>
          <w:rFonts w:cstheme="minorHAnsi"/>
          <w:szCs w:val="24"/>
        </w:rPr>
        <w:t xml:space="preserve"> </w:t>
      </w:r>
      <w:r w:rsidRPr="00AE4E59" w:rsidR="009043EA">
        <w:rPr>
          <w:rFonts w:cstheme="minorHAnsi"/>
          <w:szCs w:val="24"/>
        </w:rPr>
        <w:t xml:space="preserve">total compensation rates obtained from the </w:t>
      </w:r>
      <w:r w:rsidR="009043EA">
        <w:rPr>
          <w:rFonts w:cstheme="minorHAnsi"/>
          <w:szCs w:val="24"/>
        </w:rPr>
        <w:t xml:space="preserve">Bureau of Labor Statistics </w:t>
      </w:r>
      <w:r w:rsidR="00F616E9">
        <w:rPr>
          <w:rFonts w:cstheme="minorHAnsi"/>
          <w:szCs w:val="24"/>
        </w:rPr>
        <w:t>March</w:t>
      </w:r>
      <w:r w:rsidRPr="00246266" w:rsidR="00F616E9">
        <w:rPr>
          <w:rFonts w:cstheme="minorHAnsi"/>
          <w:szCs w:val="24"/>
        </w:rPr>
        <w:t xml:space="preserve"> 201</w:t>
      </w:r>
      <w:r w:rsidR="00F616E9">
        <w:rPr>
          <w:rFonts w:cstheme="minorHAnsi"/>
          <w:szCs w:val="24"/>
        </w:rPr>
        <w:t>9</w:t>
      </w:r>
      <w:r w:rsidRPr="00AE4E59" w:rsidR="00F616E9">
        <w:rPr>
          <w:rFonts w:cstheme="minorHAnsi"/>
          <w:szCs w:val="24"/>
        </w:rPr>
        <w:t xml:space="preserve"> </w:t>
      </w:r>
      <w:r w:rsidRPr="00AE4E59" w:rsidR="009043EA">
        <w:rPr>
          <w:rFonts w:cstheme="minorHAnsi"/>
          <w:szCs w:val="24"/>
        </w:rPr>
        <w:t>Employer Costs for Employee Compensation Summary</w:t>
      </w:r>
      <w:r w:rsidR="009043EA">
        <w:rPr>
          <w:rFonts w:cstheme="minorHAnsi"/>
          <w:szCs w:val="24"/>
        </w:rPr>
        <w:t>,</w:t>
      </w:r>
      <w:r w:rsidR="009043EA">
        <w:rPr>
          <w:rStyle w:val="FootnoteReference"/>
          <w:rFonts w:cstheme="minorHAnsi"/>
          <w:szCs w:val="24"/>
        </w:rPr>
        <w:footnoteReference w:id="1"/>
      </w:r>
      <w:r w:rsidR="009043EA">
        <w:rPr>
          <w:rFonts w:cstheme="minorHAnsi"/>
          <w:szCs w:val="24"/>
        </w:rPr>
        <w:t xml:space="preserve"> which includes costs for wages, salaries and benefits (</w:t>
      </w:r>
      <w:r w:rsidR="008C6B47">
        <w:rPr>
          <w:rFonts w:cstheme="minorHAnsi"/>
          <w:szCs w:val="24"/>
        </w:rPr>
        <w:t xml:space="preserve">as </w:t>
      </w:r>
      <w:r w:rsidR="009C60AF">
        <w:rPr>
          <w:rFonts w:cstheme="minorHAnsi"/>
          <w:szCs w:val="24"/>
        </w:rPr>
        <w:t xml:space="preserve">Fellowship </w:t>
      </w:r>
      <w:r w:rsidR="004802D8">
        <w:rPr>
          <w:rFonts w:cstheme="minorHAnsi"/>
          <w:szCs w:val="24"/>
        </w:rPr>
        <w:t xml:space="preserve">stakeholders </w:t>
      </w:r>
      <w:r w:rsidR="009043EA">
        <w:rPr>
          <w:rFonts w:cstheme="minorHAnsi"/>
          <w:szCs w:val="24"/>
        </w:rPr>
        <w:t>are spread across the country)</w:t>
      </w:r>
      <w:r w:rsidR="00126EBC">
        <w:rPr>
          <w:rFonts w:cstheme="minorHAnsi"/>
          <w:szCs w:val="24"/>
        </w:rPr>
        <w:t xml:space="preserve">. Given the diverse </w:t>
      </w:r>
      <w:r w:rsidR="008F084E">
        <w:rPr>
          <w:rFonts w:cstheme="minorHAnsi"/>
          <w:szCs w:val="24"/>
        </w:rPr>
        <w:t xml:space="preserve">sectors and career levels within </w:t>
      </w:r>
      <w:r w:rsidR="0070598A">
        <w:rPr>
          <w:rFonts w:cstheme="minorHAnsi"/>
          <w:szCs w:val="24"/>
        </w:rPr>
        <w:t xml:space="preserve">each of the respondent groups, </w:t>
      </w:r>
      <w:r w:rsidR="00F00D10">
        <w:rPr>
          <w:rFonts w:cstheme="minorHAnsi"/>
          <w:szCs w:val="24"/>
        </w:rPr>
        <w:t xml:space="preserve">a variety of representative </w:t>
      </w:r>
      <w:r w:rsidR="003956A8">
        <w:rPr>
          <w:rFonts w:cstheme="minorHAnsi"/>
          <w:szCs w:val="24"/>
        </w:rPr>
        <w:t xml:space="preserve">occupations were selected from the Bureau of Labor Statistics’ data as proxies to represent potential respondent careers and sectors. </w:t>
      </w:r>
      <w:r w:rsidR="009043EA">
        <w:rPr>
          <w:rFonts w:cstheme="minorHAnsi"/>
          <w:szCs w:val="24"/>
        </w:rPr>
        <w:t>Compensation</w:t>
      </w:r>
      <w:r w:rsidR="003956A8">
        <w:rPr>
          <w:rFonts w:cstheme="minorHAnsi"/>
          <w:szCs w:val="24"/>
        </w:rPr>
        <w:t xml:space="preserve"> estimates for proxies were then averaged for each respondent group. For example, Academic and Leadership Institute staff are typically </w:t>
      </w:r>
      <w:r w:rsidR="004F4135">
        <w:rPr>
          <w:rFonts w:cstheme="minorHAnsi"/>
          <w:szCs w:val="24"/>
        </w:rPr>
        <w:t xml:space="preserve">staff within U.S. Universities, </w:t>
      </w:r>
      <w:r w:rsidRPr="00246266" w:rsidR="004802D8">
        <w:rPr>
          <w:rFonts w:cstheme="minorHAnsi"/>
          <w:szCs w:val="24"/>
        </w:rPr>
        <w:t xml:space="preserve">and as such, the cost burden for these groups was estimated with </w:t>
      </w:r>
      <w:r w:rsidR="00BD3BB9">
        <w:rPr>
          <w:rFonts w:cstheme="minorHAnsi"/>
          <w:szCs w:val="24"/>
        </w:rPr>
        <w:t xml:space="preserve">use of </w:t>
      </w:r>
      <w:r w:rsidRPr="00AE4E59" w:rsidR="004802D8">
        <w:rPr>
          <w:rFonts w:cstheme="minorHAnsi"/>
          <w:szCs w:val="24"/>
        </w:rPr>
        <w:t xml:space="preserve">total compensation rates obtained from the </w:t>
      </w:r>
      <w:r w:rsidR="00585B29">
        <w:rPr>
          <w:rFonts w:cstheme="minorHAnsi"/>
          <w:szCs w:val="24"/>
        </w:rPr>
        <w:t>For Academic and Leadership Institute staff, we used the state and local government “Junior colleges, colleges, and universities” category, with a total hourly compensation of $</w:t>
      </w:r>
      <w:r w:rsidR="00BC2C56">
        <w:rPr>
          <w:rFonts w:cstheme="minorHAnsi"/>
          <w:szCs w:val="24"/>
        </w:rPr>
        <w:t>58.86</w:t>
      </w:r>
      <w:r w:rsidR="00585B29">
        <w:rPr>
          <w:rFonts w:cstheme="minorHAnsi"/>
          <w:szCs w:val="24"/>
        </w:rPr>
        <w:t xml:space="preserve"> </w:t>
      </w:r>
      <w:r w:rsidR="00EA3E11">
        <w:rPr>
          <w:rFonts w:cstheme="minorHAnsi"/>
          <w:szCs w:val="24"/>
        </w:rPr>
        <w:t>.</w:t>
      </w:r>
      <w:r w:rsidR="00787E5F">
        <w:rPr>
          <w:rStyle w:val="FootnoteReference"/>
          <w:rFonts w:cstheme="minorHAnsi"/>
          <w:szCs w:val="24"/>
        </w:rPr>
        <w:footnoteReference w:id="2"/>
      </w:r>
      <w:r w:rsidR="004802D8">
        <w:rPr>
          <w:rFonts w:cstheme="minorHAnsi"/>
          <w:szCs w:val="24"/>
        </w:rPr>
        <w:t xml:space="preserve"> </w:t>
      </w:r>
      <w:r w:rsidR="00AB74A4">
        <w:rPr>
          <w:rFonts w:cstheme="minorHAnsi"/>
          <w:szCs w:val="24"/>
        </w:rPr>
        <w:t xml:space="preserve">Table 2 </w:t>
      </w:r>
      <w:r w:rsidR="00283DDF">
        <w:rPr>
          <w:rFonts w:cstheme="minorHAnsi"/>
          <w:szCs w:val="24"/>
        </w:rPr>
        <w:t>highlights the estimate of overall respondent gro</w:t>
      </w:r>
      <w:r w:rsidR="00AB74A4">
        <w:rPr>
          <w:rFonts w:cstheme="minorHAnsi"/>
          <w:szCs w:val="24"/>
        </w:rPr>
        <w:t>up hour and cost burden. Table 3</w:t>
      </w:r>
      <w:r w:rsidR="00283DDF">
        <w:rPr>
          <w:rFonts w:cstheme="minorHAnsi"/>
          <w:szCs w:val="24"/>
        </w:rPr>
        <w:t xml:space="preserve"> highlights the </w:t>
      </w:r>
      <w:r w:rsidR="008F084E">
        <w:rPr>
          <w:rFonts w:cstheme="minorHAnsi"/>
          <w:szCs w:val="24"/>
        </w:rPr>
        <w:t xml:space="preserve">occupation </w:t>
      </w:r>
      <w:r w:rsidR="00283DDF">
        <w:rPr>
          <w:rFonts w:cstheme="minorHAnsi"/>
          <w:szCs w:val="24"/>
        </w:rPr>
        <w:t xml:space="preserve">proxies selected for this analysis. </w:t>
      </w:r>
      <w:r w:rsidR="008C6B47">
        <w:rPr>
          <w:rFonts w:cstheme="minorHAnsi"/>
          <w:szCs w:val="24"/>
        </w:rPr>
        <w:t xml:space="preserve"> </w:t>
      </w:r>
    </w:p>
    <w:p w:rsidR="008C6B47" w:rsidP="00F4332D" w:rsidRDefault="008C6B47" w14:paraId="511091D5" w14:textId="6B26DD92">
      <w:pPr>
        <w:spacing w:before="100" w:beforeAutospacing="1" w:after="0"/>
        <w:rPr>
          <w:rFonts w:cstheme="minorHAnsi"/>
          <w:szCs w:val="24"/>
        </w:rPr>
      </w:pPr>
      <w:r w:rsidRPr="00246266">
        <w:rPr>
          <w:rFonts w:cstheme="minorHAnsi"/>
          <w:szCs w:val="24"/>
        </w:rPr>
        <w:lastRenderedPageBreak/>
        <w:t xml:space="preserve">Table </w:t>
      </w:r>
      <w:r w:rsidR="002F7D52">
        <w:rPr>
          <w:rFonts w:cstheme="minorHAnsi"/>
          <w:szCs w:val="24"/>
        </w:rPr>
        <w:t>3</w:t>
      </w:r>
      <w:r w:rsidRPr="00246266">
        <w:rPr>
          <w:rFonts w:cstheme="minorHAnsi"/>
          <w:szCs w:val="24"/>
        </w:rPr>
        <w:t xml:space="preserve">. Estimate of </w:t>
      </w:r>
      <w:r>
        <w:rPr>
          <w:rFonts w:cstheme="minorHAnsi"/>
          <w:szCs w:val="24"/>
        </w:rPr>
        <w:t xml:space="preserve">Respondent </w:t>
      </w:r>
      <w:r w:rsidRPr="00246266">
        <w:rPr>
          <w:rFonts w:cstheme="minorHAnsi"/>
          <w:szCs w:val="24"/>
        </w:rPr>
        <w:t>Hour and Cost</w:t>
      </w:r>
      <w:r>
        <w:rPr>
          <w:rFonts w:cstheme="minorHAnsi"/>
          <w:szCs w:val="24"/>
        </w:rPr>
        <w:t xml:space="preserve"> Burden</w:t>
      </w:r>
    </w:p>
    <w:tbl>
      <w:tblPr>
        <w:tblW w:w="5000" w:type="pct"/>
        <w:tblLook w:val="04A0" w:firstRow="1" w:lastRow="0" w:firstColumn="1" w:lastColumn="0" w:noHBand="0" w:noVBand="1"/>
      </w:tblPr>
      <w:tblGrid>
        <w:gridCol w:w="2335"/>
        <w:gridCol w:w="2335"/>
        <w:gridCol w:w="2335"/>
        <w:gridCol w:w="2335"/>
      </w:tblGrid>
      <w:tr w:rsidRPr="002F7D52" w:rsidR="002F7D52" w:rsidTr="002F7D52" w14:paraId="153A8143" w14:textId="77777777">
        <w:trPr>
          <w:trHeight w:val="315"/>
        </w:trPr>
        <w:tc>
          <w:tcPr>
            <w:tcW w:w="1250" w:type="pct"/>
            <w:tcBorders>
              <w:top w:val="single" w:color="auto" w:sz="8" w:space="0"/>
              <w:left w:val="single" w:color="auto" w:sz="8" w:space="0"/>
              <w:bottom w:val="single" w:color="auto" w:sz="8" w:space="0"/>
              <w:right w:val="single" w:color="auto" w:sz="8" w:space="0"/>
            </w:tcBorders>
            <w:shd w:val="clear" w:color="000000" w:fill="D9D9D9"/>
            <w:vAlign w:val="center"/>
            <w:hideMark/>
          </w:tcPr>
          <w:p w:rsidRPr="002F7D52" w:rsidR="002F7D52" w:rsidP="002F7D52" w:rsidRDefault="002F7D52" w14:paraId="7A050CA9" w14:textId="77777777">
            <w:pPr>
              <w:spacing w:after="0"/>
              <w:rPr>
                <w:b/>
                <w:bCs/>
                <w:color w:val="000000"/>
                <w:sz w:val="20"/>
              </w:rPr>
            </w:pPr>
            <w:r w:rsidRPr="002F7D52">
              <w:rPr>
                <w:b/>
                <w:bCs/>
                <w:color w:val="000000"/>
                <w:sz w:val="20"/>
              </w:rPr>
              <w:t>Respondent Group</w:t>
            </w:r>
          </w:p>
        </w:tc>
        <w:tc>
          <w:tcPr>
            <w:tcW w:w="1250" w:type="pct"/>
            <w:tcBorders>
              <w:top w:val="single" w:color="auto" w:sz="8" w:space="0"/>
              <w:left w:val="nil"/>
              <w:bottom w:val="single" w:color="auto" w:sz="8" w:space="0"/>
              <w:right w:val="single" w:color="auto" w:sz="8" w:space="0"/>
            </w:tcBorders>
            <w:shd w:val="clear" w:color="000000" w:fill="D9D9D9"/>
            <w:vAlign w:val="center"/>
            <w:hideMark/>
          </w:tcPr>
          <w:p w:rsidRPr="002F7D52" w:rsidR="002F7D52" w:rsidP="002F7D52" w:rsidRDefault="002F7D52" w14:paraId="2EC39C57" w14:textId="77777777">
            <w:pPr>
              <w:spacing w:after="0"/>
              <w:jc w:val="center"/>
              <w:rPr>
                <w:b/>
                <w:bCs/>
                <w:color w:val="000000"/>
                <w:sz w:val="20"/>
              </w:rPr>
            </w:pPr>
            <w:r w:rsidRPr="002F7D52">
              <w:rPr>
                <w:b/>
                <w:bCs/>
                <w:color w:val="000000"/>
                <w:sz w:val="20"/>
              </w:rPr>
              <w:t>Total Estimated Hours</w:t>
            </w:r>
          </w:p>
        </w:tc>
        <w:tc>
          <w:tcPr>
            <w:tcW w:w="1250" w:type="pct"/>
            <w:tcBorders>
              <w:top w:val="single" w:color="auto" w:sz="8" w:space="0"/>
              <w:left w:val="nil"/>
              <w:bottom w:val="single" w:color="auto" w:sz="8" w:space="0"/>
              <w:right w:val="single" w:color="auto" w:sz="8" w:space="0"/>
            </w:tcBorders>
            <w:shd w:val="clear" w:color="000000" w:fill="D9D9D9"/>
            <w:vAlign w:val="center"/>
            <w:hideMark/>
          </w:tcPr>
          <w:p w:rsidRPr="002F7D52" w:rsidR="002F7D52" w:rsidP="002F7D52" w:rsidRDefault="002F7D52" w14:paraId="215193A5" w14:textId="77777777">
            <w:pPr>
              <w:spacing w:after="0"/>
              <w:jc w:val="center"/>
              <w:rPr>
                <w:b/>
                <w:bCs/>
                <w:color w:val="000000"/>
                <w:sz w:val="20"/>
              </w:rPr>
            </w:pPr>
            <w:r w:rsidRPr="002F7D52">
              <w:rPr>
                <w:b/>
                <w:bCs/>
                <w:color w:val="000000"/>
                <w:sz w:val="20"/>
              </w:rPr>
              <w:t>Hourly Cost Rate</w:t>
            </w:r>
          </w:p>
        </w:tc>
        <w:tc>
          <w:tcPr>
            <w:tcW w:w="1250" w:type="pct"/>
            <w:tcBorders>
              <w:top w:val="single" w:color="auto" w:sz="8" w:space="0"/>
              <w:left w:val="nil"/>
              <w:bottom w:val="single" w:color="auto" w:sz="8" w:space="0"/>
              <w:right w:val="single" w:color="auto" w:sz="8" w:space="0"/>
            </w:tcBorders>
            <w:shd w:val="clear" w:color="000000" w:fill="D9D9D9"/>
            <w:vAlign w:val="center"/>
            <w:hideMark/>
          </w:tcPr>
          <w:p w:rsidRPr="002F7D52" w:rsidR="002F7D52" w:rsidP="002F7D52" w:rsidRDefault="002F7D52" w14:paraId="5199D2D8" w14:textId="77777777">
            <w:pPr>
              <w:spacing w:after="0"/>
              <w:jc w:val="center"/>
              <w:rPr>
                <w:b/>
                <w:bCs/>
                <w:color w:val="000000"/>
                <w:sz w:val="20"/>
              </w:rPr>
            </w:pPr>
            <w:r w:rsidRPr="002F7D52">
              <w:rPr>
                <w:b/>
                <w:bCs/>
                <w:color w:val="000000"/>
                <w:sz w:val="20"/>
              </w:rPr>
              <w:t>Total Cost Burden</w:t>
            </w:r>
          </w:p>
        </w:tc>
      </w:tr>
      <w:tr w:rsidRPr="002F7D52" w:rsidR="002F7D52" w:rsidTr="002F7D52" w14:paraId="290D9F89" w14:textId="77777777">
        <w:trPr>
          <w:trHeight w:val="780"/>
        </w:trPr>
        <w:tc>
          <w:tcPr>
            <w:tcW w:w="1250" w:type="pct"/>
            <w:tcBorders>
              <w:top w:val="nil"/>
              <w:left w:val="single" w:color="auto" w:sz="8" w:space="0"/>
              <w:bottom w:val="single" w:color="auto" w:sz="8" w:space="0"/>
              <w:right w:val="single" w:color="auto" w:sz="8" w:space="0"/>
            </w:tcBorders>
            <w:shd w:val="clear" w:color="auto" w:fill="auto"/>
            <w:vAlign w:val="center"/>
            <w:hideMark/>
          </w:tcPr>
          <w:p w:rsidRPr="002F7D52" w:rsidR="002F7D52" w:rsidP="002F7D52" w:rsidRDefault="002F7D52" w14:paraId="007DA430" w14:textId="77777777">
            <w:pPr>
              <w:spacing w:after="0"/>
              <w:rPr>
                <w:color w:val="000000"/>
                <w:sz w:val="20"/>
              </w:rPr>
            </w:pPr>
            <w:r w:rsidRPr="002F7D52">
              <w:rPr>
                <w:color w:val="000000"/>
                <w:sz w:val="20"/>
              </w:rPr>
              <w:t>Academic and Leadership Institute Staff</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6F10656E" w14:textId="77777777">
            <w:pPr>
              <w:spacing w:after="0"/>
              <w:jc w:val="center"/>
              <w:rPr>
                <w:color w:val="000000"/>
                <w:sz w:val="20"/>
              </w:rPr>
            </w:pPr>
            <w:r w:rsidRPr="002F7D52">
              <w:rPr>
                <w:color w:val="000000"/>
                <w:sz w:val="20"/>
              </w:rPr>
              <w:t>35</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63101C4E" w14:textId="77777777">
            <w:pPr>
              <w:spacing w:after="0"/>
              <w:jc w:val="center"/>
              <w:rPr>
                <w:color w:val="000000"/>
                <w:sz w:val="20"/>
              </w:rPr>
            </w:pPr>
            <w:r w:rsidRPr="002F7D52">
              <w:rPr>
                <w:color w:val="000000"/>
                <w:sz w:val="20"/>
              </w:rPr>
              <w:t xml:space="preserve">$58.86 </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7C1ABE90" w14:textId="77777777">
            <w:pPr>
              <w:spacing w:after="0"/>
              <w:jc w:val="center"/>
              <w:rPr>
                <w:color w:val="000000"/>
                <w:sz w:val="20"/>
              </w:rPr>
            </w:pPr>
            <w:r w:rsidRPr="002F7D52">
              <w:rPr>
                <w:color w:val="000000"/>
                <w:sz w:val="20"/>
              </w:rPr>
              <w:t xml:space="preserve">$2,060.10 </w:t>
            </w:r>
          </w:p>
        </w:tc>
      </w:tr>
      <w:tr w:rsidRPr="002F7D52" w:rsidR="002F7D52" w:rsidTr="002F7D52" w14:paraId="662A22AD" w14:textId="77777777">
        <w:trPr>
          <w:trHeight w:val="1035"/>
        </w:trPr>
        <w:tc>
          <w:tcPr>
            <w:tcW w:w="1250" w:type="pct"/>
            <w:tcBorders>
              <w:top w:val="nil"/>
              <w:left w:val="single" w:color="auto" w:sz="8" w:space="0"/>
              <w:bottom w:val="single" w:color="auto" w:sz="8" w:space="0"/>
              <w:right w:val="single" w:color="auto" w:sz="8" w:space="0"/>
            </w:tcBorders>
            <w:shd w:val="clear" w:color="auto" w:fill="auto"/>
            <w:vAlign w:val="center"/>
            <w:hideMark/>
          </w:tcPr>
          <w:p w:rsidRPr="002F7D52" w:rsidR="002F7D52" w:rsidP="002F7D52" w:rsidRDefault="002F7D52" w14:paraId="0AAE231D" w14:textId="77777777">
            <w:pPr>
              <w:spacing w:after="0"/>
              <w:rPr>
                <w:color w:val="000000"/>
                <w:sz w:val="20"/>
              </w:rPr>
            </w:pPr>
            <w:r w:rsidRPr="002F7D52">
              <w:rPr>
                <w:color w:val="000000"/>
                <w:sz w:val="20"/>
              </w:rPr>
              <w:t>Professional Development Experience Representatives</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5585C8EE" w14:textId="77777777">
            <w:pPr>
              <w:spacing w:after="0"/>
              <w:jc w:val="center"/>
              <w:rPr>
                <w:color w:val="000000"/>
                <w:sz w:val="20"/>
              </w:rPr>
            </w:pPr>
            <w:r w:rsidRPr="002F7D52">
              <w:rPr>
                <w:color w:val="000000"/>
                <w:sz w:val="20"/>
              </w:rPr>
              <w:t>76</w:t>
            </w:r>
          </w:p>
        </w:tc>
        <w:tc>
          <w:tcPr>
            <w:tcW w:w="1250" w:type="pct"/>
            <w:tcBorders>
              <w:top w:val="nil"/>
              <w:left w:val="nil"/>
              <w:bottom w:val="nil"/>
              <w:right w:val="single" w:color="auto" w:sz="8" w:space="0"/>
            </w:tcBorders>
            <w:shd w:val="clear" w:color="auto" w:fill="auto"/>
            <w:vAlign w:val="center"/>
            <w:hideMark/>
          </w:tcPr>
          <w:p w:rsidRPr="002F7D52" w:rsidR="002F7D52" w:rsidP="002F7D52" w:rsidRDefault="002F7D52" w14:paraId="087A318C" w14:textId="77777777">
            <w:pPr>
              <w:spacing w:after="0"/>
              <w:jc w:val="center"/>
              <w:rPr>
                <w:b/>
                <w:bCs/>
                <w:color w:val="000000"/>
                <w:sz w:val="20"/>
              </w:rPr>
            </w:pPr>
            <w:r w:rsidRPr="002F7D52">
              <w:rPr>
                <w:b/>
                <w:bCs/>
                <w:color w:val="000000"/>
                <w:sz w:val="20"/>
              </w:rPr>
              <w:t xml:space="preserve">$49.69 </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52CB8E97" w14:textId="77777777">
            <w:pPr>
              <w:spacing w:after="0"/>
              <w:jc w:val="center"/>
              <w:rPr>
                <w:color w:val="000000"/>
                <w:sz w:val="20"/>
              </w:rPr>
            </w:pPr>
            <w:r w:rsidRPr="002F7D52">
              <w:rPr>
                <w:color w:val="000000"/>
                <w:sz w:val="20"/>
              </w:rPr>
              <w:t xml:space="preserve">$3,776.44 </w:t>
            </w:r>
          </w:p>
        </w:tc>
      </w:tr>
      <w:tr w:rsidRPr="002F7D52" w:rsidR="002F7D52" w:rsidTr="002F7D52" w14:paraId="2FB4251A" w14:textId="77777777">
        <w:trPr>
          <w:trHeight w:val="525"/>
        </w:trPr>
        <w:tc>
          <w:tcPr>
            <w:tcW w:w="1250" w:type="pct"/>
            <w:tcBorders>
              <w:top w:val="nil"/>
              <w:left w:val="single" w:color="auto" w:sz="8" w:space="0"/>
              <w:bottom w:val="single" w:color="auto" w:sz="8" w:space="0"/>
              <w:right w:val="single" w:color="auto" w:sz="8" w:space="0"/>
            </w:tcBorders>
            <w:shd w:val="clear" w:color="auto" w:fill="auto"/>
            <w:vAlign w:val="center"/>
            <w:hideMark/>
          </w:tcPr>
          <w:p w:rsidRPr="002F7D52" w:rsidR="002F7D52" w:rsidP="002F7D52" w:rsidRDefault="002F7D52" w14:paraId="79812F4B" w14:textId="77777777">
            <w:pPr>
              <w:spacing w:after="0"/>
              <w:rPr>
                <w:color w:val="000000"/>
                <w:sz w:val="20"/>
              </w:rPr>
            </w:pPr>
            <w:r w:rsidRPr="002F7D52">
              <w:rPr>
                <w:color w:val="000000"/>
                <w:sz w:val="20"/>
              </w:rPr>
              <w:t>Reciprocal Exchange Alumni</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6C005863" w14:textId="77777777">
            <w:pPr>
              <w:spacing w:after="0"/>
              <w:jc w:val="center"/>
              <w:rPr>
                <w:color w:val="000000"/>
                <w:sz w:val="20"/>
              </w:rPr>
            </w:pPr>
            <w:r w:rsidRPr="002F7D52">
              <w:rPr>
                <w:color w:val="000000"/>
                <w:sz w:val="20"/>
              </w:rPr>
              <w:t>41</w:t>
            </w:r>
          </w:p>
        </w:tc>
        <w:tc>
          <w:tcPr>
            <w:tcW w:w="1250" w:type="pct"/>
            <w:tcBorders>
              <w:top w:val="single" w:color="auto" w:sz="8" w:space="0"/>
              <w:left w:val="nil"/>
              <w:bottom w:val="nil"/>
              <w:right w:val="single" w:color="auto" w:sz="8" w:space="0"/>
            </w:tcBorders>
            <w:shd w:val="clear" w:color="auto" w:fill="auto"/>
            <w:vAlign w:val="center"/>
            <w:hideMark/>
          </w:tcPr>
          <w:p w:rsidRPr="002F7D52" w:rsidR="002F7D52" w:rsidP="002F7D52" w:rsidRDefault="002F7D52" w14:paraId="644BCFD0" w14:textId="77777777">
            <w:pPr>
              <w:spacing w:after="0"/>
              <w:jc w:val="center"/>
              <w:rPr>
                <w:b/>
                <w:bCs/>
                <w:color w:val="000000"/>
                <w:sz w:val="20"/>
              </w:rPr>
            </w:pPr>
            <w:r w:rsidRPr="002F7D52">
              <w:rPr>
                <w:b/>
                <w:bCs/>
                <w:color w:val="000000"/>
                <w:sz w:val="20"/>
              </w:rPr>
              <w:t xml:space="preserve">$50.17 </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4B705686" w14:textId="77777777">
            <w:pPr>
              <w:spacing w:after="0"/>
              <w:jc w:val="center"/>
              <w:rPr>
                <w:color w:val="000000"/>
                <w:sz w:val="20"/>
              </w:rPr>
            </w:pPr>
            <w:r w:rsidRPr="002F7D52">
              <w:rPr>
                <w:color w:val="000000"/>
                <w:sz w:val="20"/>
              </w:rPr>
              <w:t xml:space="preserve">$2,056.97 </w:t>
            </w:r>
          </w:p>
        </w:tc>
      </w:tr>
      <w:tr w:rsidRPr="002F7D52" w:rsidR="002F7D52" w:rsidTr="002F7D52" w14:paraId="5FB7D844" w14:textId="77777777">
        <w:trPr>
          <w:trHeight w:val="525"/>
        </w:trPr>
        <w:tc>
          <w:tcPr>
            <w:tcW w:w="1250" w:type="pct"/>
            <w:tcBorders>
              <w:top w:val="nil"/>
              <w:left w:val="single" w:color="auto" w:sz="8" w:space="0"/>
              <w:bottom w:val="single" w:color="auto" w:sz="8" w:space="0"/>
              <w:right w:val="single" w:color="auto" w:sz="8" w:space="0"/>
            </w:tcBorders>
            <w:shd w:val="clear" w:color="auto" w:fill="auto"/>
            <w:vAlign w:val="center"/>
            <w:hideMark/>
          </w:tcPr>
          <w:p w:rsidRPr="002F7D52" w:rsidR="002F7D52" w:rsidP="002F7D52" w:rsidRDefault="002F7D52" w14:paraId="2D0028CB" w14:textId="77777777">
            <w:pPr>
              <w:spacing w:after="0"/>
              <w:rPr>
                <w:color w:val="000000"/>
                <w:sz w:val="20"/>
              </w:rPr>
            </w:pPr>
            <w:r w:rsidRPr="002F7D52">
              <w:rPr>
                <w:color w:val="000000"/>
                <w:sz w:val="20"/>
              </w:rPr>
              <w:t>U.S. Community Members</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7A29BF1F" w14:textId="77777777">
            <w:pPr>
              <w:spacing w:after="0"/>
              <w:jc w:val="center"/>
              <w:rPr>
                <w:color w:val="000000"/>
                <w:sz w:val="20"/>
              </w:rPr>
            </w:pPr>
            <w:r w:rsidRPr="002F7D52">
              <w:rPr>
                <w:color w:val="000000"/>
                <w:sz w:val="20"/>
              </w:rPr>
              <w:t>28.75</w:t>
            </w:r>
          </w:p>
        </w:tc>
        <w:tc>
          <w:tcPr>
            <w:tcW w:w="1250" w:type="pct"/>
            <w:tcBorders>
              <w:top w:val="single" w:color="auto" w:sz="8" w:space="0"/>
              <w:left w:val="nil"/>
              <w:bottom w:val="nil"/>
              <w:right w:val="single" w:color="auto" w:sz="8" w:space="0"/>
            </w:tcBorders>
            <w:shd w:val="clear" w:color="auto" w:fill="auto"/>
            <w:vAlign w:val="center"/>
            <w:hideMark/>
          </w:tcPr>
          <w:p w:rsidRPr="002F7D52" w:rsidR="002F7D52" w:rsidP="002F7D52" w:rsidRDefault="002F7D52" w14:paraId="2E95FE20" w14:textId="77777777">
            <w:pPr>
              <w:spacing w:after="0"/>
              <w:jc w:val="center"/>
              <w:rPr>
                <w:b/>
                <w:bCs/>
                <w:color w:val="000000"/>
                <w:sz w:val="20"/>
              </w:rPr>
            </w:pPr>
            <w:r w:rsidRPr="002F7D52">
              <w:rPr>
                <w:b/>
                <w:bCs/>
                <w:color w:val="000000"/>
                <w:sz w:val="20"/>
              </w:rPr>
              <w:t xml:space="preserve">$51.17 </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4B42E0D3" w14:textId="77777777">
            <w:pPr>
              <w:spacing w:after="0"/>
              <w:jc w:val="center"/>
              <w:rPr>
                <w:color w:val="000000"/>
                <w:sz w:val="20"/>
              </w:rPr>
            </w:pPr>
            <w:r w:rsidRPr="002F7D52">
              <w:rPr>
                <w:color w:val="000000"/>
                <w:sz w:val="20"/>
              </w:rPr>
              <w:t xml:space="preserve">$1,471.27 </w:t>
            </w:r>
          </w:p>
        </w:tc>
      </w:tr>
      <w:tr w:rsidRPr="002F7D52" w:rsidR="002F7D52" w:rsidTr="002F7D52" w14:paraId="47FD20EF" w14:textId="77777777">
        <w:trPr>
          <w:trHeight w:val="525"/>
        </w:trPr>
        <w:tc>
          <w:tcPr>
            <w:tcW w:w="1250" w:type="pct"/>
            <w:tcBorders>
              <w:top w:val="nil"/>
              <w:left w:val="single" w:color="auto" w:sz="8" w:space="0"/>
              <w:bottom w:val="single" w:color="auto" w:sz="8" w:space="0"/>
              <w:right w:val="single" w:color="auto" w:sz="8" w:space="0"/>
            </w:tcBorders>
            <w:shd w:val="clear" w:color="auto" w:fill="auto"/>
            <w:vAlign w:val="center"/>
            <w:hideMark/>
          </w:tcPr>
          <w:p w:rsidRPr="002F7D52" w:rsidR="002F7D52" w:rsidP="002F7D52" w:rsidRDefault="002F7D52" w14:paraId="2AF08BD6" w14:textId="77777777">
            <w:pPr>
              <w:spacing w:after="0"/>
              <w:rPr>
                <w:color w:val="000000"/>
                <w:sz w:val="20"/>
              </w:rPr>
            </w:pPr>
            <w:r w:rsidRPr="002F7D52">
              <w:rPr>
                <w:color w:val="000000"/>
                <w:sz w:val="20"/>
              </w:rPr>
              <w:t>Fellowship Experience Map Respondents</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69315021" w14:textId="77777777">
            <w:pPr>
              <w:spacing w:after="0"/>
              <w:jc w:val="center"/>
              <w:rPr>
                <w:color w:val="000000"/>
                <w:sz w:val="20"/>
              </w:rPr>
            </w:pPr>
            <w:r w:rsidRPr="002F7D52">
              <w:rPr>
                <w:color w:val="000000"/>
                <w:sz w:val="20"/>
              </w:rPr>
              <w:t>40</w:t>
            </w:r>
          </w:p>
        </w:tc>
        <w:tc>
          <w:tcPr>
            <w:tcW w:w="1250" w:type="pct"/>
            <w:tcBorders>
              <w:top w:val="single" w:color="auto" w:sz="8" w:space="0"/>
              <w:left w:val="nil"/>
              <w:bottom w:val="nil"/>
              <w:right w:val="single" w:color="auto" w:sz="8" w:space="0"/>
            </w:tcBorders>
            <w:shd w:val="clear" w:color="auto" w:fill="auto"/>
            <w:vAlign w:val="center"/>
            <w:hideMark/>
          </w:tcPr>
          <w:p w:rsidRPr="002F7D52" w:rsidR="002F7D52" w:rsidP="002F7D52" w:rsidRDefault="002F7D52" w14:paraId="23DBF574" w14:textId="77777777">
            <w:pPr>
              <w:spacing w:after="0"/>
              <w:jc w:val="center"/>
              <w:rPr>
                <w:b/>
                <w:bCs/>
                <w:color w:val="000000"/>
                <w:sz w:val="20"/>
              </w:rPr>
            </w:pPr>
            <w:r w:rsidRPr="002F7D52">
              <w:rPr>
                <w:b/>
                <w:bCs/>
                <w:color w:val="000000"/>
                <w:sz w:val="20"/>
              </w:rPr>
              <w:t xml:space="preserve">$50.68 </w:t>
            </w:r>
          </w:p>
        </w:tc>
        <w:tc>
          <w:tcPr>
            <w:tcW w:w="1250" w:type="pct"/>
            <w:tcBorders>
              <w:top w:val="nil"/>
              <w:left w:val="nil"/>
              <w:bottom w:val="single" w:color="auto" w:sz="8" w:space="0"/>
              <w:right w:val="single" w:color="auto" w:sz="8" w:space="0"/>
            </w:tcBorders>
            <w:shd w:val="clear" w:color="auto" w:fill="auto"/>
            <w:vAlign w:val="center"/>
            <w:hideMark/>
          </w:tcPr>
          <w:p w:rsidRPr="002F7D52" w:rsidR="002F7D52" w:rsidP="002F7D52" w:rsidRDefault="002F7D52" w14:paraId="48643975" w14:textId="77777777">
            <w:pPr>
              <w:spacing w:after="0"/>
              <w:jc w:val="center"/>
              <w:rPr>
                <w:color w:val="000000"/>
                <w:sz w:val="20"/>
              </w:rPr>
            </w:pPr>
            <w:r w:rsidRPr="002F7D52">
              <w:rPr>
                <w:color w:val="000000"/>
                <w:sz w:val="20"/>
              </w:rPr>
              <w:t xml:space="preserve">$2,027.00 </w:t>
            </w:r>
          </w:p>
        </w:tc>
      </w:tr>
      <w:tr w:rsidRPr="002F7D52" w:rsidR="002F7D52" w:rsidTr="002F7D52" w14:paraId="48C0A593" w14:textId="77777777">
        <w:trPr>
          <w:trHeight w:val="315"/>
        </w:trPr>
        <w:tc>
          <w:tcPr>
            <w:tcW w:w="1250" w:type="pct"/>
            <w:tcBorders>
              <w:top w:val="nil"/>
              <w:left w:val="single" w:color="auto" w:sz="8" w:space="0"/>
              <w:bottom w:val="single" w:color="auto" w:sz="8" w:space="0"/>
              <w:right w:val="single" w:color="auto" w:sz="8" w:space="0"/>
            </w:tcBorders>
            <w:shd w:val="clear" w:color="000000" w:fill="D9D9D9"/>
            <w:vAlign w:val="center"/>
            <w:hideMark/>
          </w:tcPr>
          <w:p w:rsidRPr="002F7D52" w:rsidR="002F7D52" w:rsidP="002F7D52" w:rsidRDefault="002F7D52" w14:paraId="54E54C16" w14:textId="77777777">
            <w:pPr>
              <w:spacing w:after="0"/>
              <w:rPr>
                <w:b/>
                <w:bCs/>
                <w:color w:val="000000"/>
                <w:sz w:val="20"/>
              </w:rPr>
            </w:pPr>
            <w:r w:rsidRPr="002F7D52">
              <w:rPr>
                <w:b/>
                <w:bCs/>
                <w:color w:val="000000"/>
                <w:sz w:val="20"/>
              </w:rPr>
              <w:t xml:space="preserve">Total </w:t>
            </w:r>
          </w:p>
        </w:tc>
        <w:tc>
          <w:tcPr>
            <w:tcW w:w="1250" w:type="pct"/>
            <w:tcBorders>
              <w:top w:val="nil"/>
              <w:left w:val="nil"/>
              <w:bottom w:val="single" w:color="auto" w:sz="8" w:space="0"/>
              <w:right w:val="single" w:color="auto" w:sz="8" w:space="0"/>
            </w:tcBorders>
            <w:shd w:val="clear" w:color="000000" w:fill="D9D9D9"/>
            <w:vAlign w:val="center"/>
            <w:hideMark/>
          </w:tcPr>
          <w:p w:rsidRPr="002F7D52" w:rsidR="002F7D52" w:rsidP="002F7D52" w:rsidRDefault="002F7D52" w14:paraId="7BA4CAF8" w14:textId="77777777">
            <w:pPr>
              <w:spacing w:after="0"/>
              <w:jc w:val="center"/>
              <w:rPr>
                <w:color w:val="000000"/>
                <w:sz w:val="20"/>
              </w:rPr>
            </w:pPr>
            <w:r w:rsidRPr="002F7D52">
              <w:rPr>
                <w:color w:val="000000"/>
                <w:sz w:val="20"/>
              </w:rPr>
              <w:t>220.75</w:t>
            </w:r>
          </w:p>
        </w:tc>
        <w:tc>
          <w:tcPr>
            <w:tcW w:w="1250" w:type="pct"/>
            <w:tcBorders>
              <w:top w:val="single" w:color="auto" w:sz="8" w:space="0"/>
              <w:left w:val="nil"/>
              <w:bottom w:val="single" w:color="auto" w:sz="8" w:space="0"/>
              <w:right w:val="single" w:color="auto" w:sz="8" w:space="0"/>
            </w:tcBorders>
            <w:shd w:val="clear" w:color="000000" w:fill="D9D9D9"/>
            <w:vAlign w:val="center"/>
            <w:hideMark/>
          </w:tcPr>
          <w:p w:rsidRPr="002F7D52" w:rsidR="002F7D52" w:rsidP="002F7D52" w:rsidRDefault="002F7D52" w14:paraId="7C0B8A45" w14:textId="77777777">
            <w:pPr>
              <w:spacing w:after="0"/>
              <w:jc w:val="center"/>
              <w:rPr>
                <w:color w:val="000000"/>
                <w:sz w:val="20"/>
              </w:rPr>
            </w:pPr>
            <w:r w:rsidRPr="002F7D52">
              <w:rPr>
                <w:color w:val="000000"/>
                <w:sz w:val="20"/>
              </w:rPr>
              <w:t>N/A</w:t>
            </w:r>
          </w:p>
        </w:tc>
        <w:tc>
          <w:tcPr>
            <w:tcW w:w="1250" w:type="pct"/>
            <w:tcBorders>
              <w:top w:val="nil"/>
              <w:left w:val="nil"/>
              <w:bottom w:val="single" w:color="auto" w:sz="8" w:space="0"/>
              <w:right w:val="single" w:color="auto" w:sz="8" w:space="0"/>
            </w:tcBorders>
            <w:shd w:val="clear" w:color="000000" w:fill="D9D9D9"/>
            <w:vAlign w:val="center"/>
            <w:hideMark/>
          </w:tcPr>
          <w:p w:rsidRPr="002F7D52" w:rsidR="002F7D52" w:rsidP="002F7D52" w:rsidRDefault="002F7D52" w14:paraId="61C474C5" w14:textId="77777777">
            <w:pPr>
              <w:spacing w:after="0"/>
              <w:jc w:val="center"/>
              <w:rPr>
                <w:color w:val="000000"/>
                <w:sz w:val="20"/>
              </w:rPr>
            </w:pPr>
            <w:r w:rsidRPr="002F7D52">
              <w:rPr>
                <w:color w:val="000000"/>
                <w:sz w:val="20"/>
              </w:rPr>
              <w:t xml:space="preserve">$11,391.78 </w:t>
            </w:r>
          </w:p>
        </w:tc>
      </w:tr>
    </w:tbl>
    <w:p w:rsidR="002F7D52" w:rsidP="00F4332D" w:rsidRDefault="002F7D52" w14:paraId="4F292EA6" w14:textId="77777777">
      <w:pPr>
        <w:spacing w:before="100" w:beforeAutospacing="1" w:after="0"/>
        <w:rPr>
          <w:rFonts w:cstheme="minorHAnsi"/>
          <w:szCs w:val="24"/>
        </w:rPr>
      </w:pPr>
    </w:p>
    <w:p w:rsidR="00283DDF" w:rsidP="00283DDF" w:rsidRDefault="00283DDF" w14:paraId="238E34E0" w14:textId="3148A3A2">
      <w:pPr>
        <w:spacing w:before="100" w:beforeAutospacing="1" w:after="0"/>
        <w:rPr>
          <w:rFonts w:cstheme="minorHAnsi"/>
          <w:szCs w:val="24"/>
        </w:rPr>
      </w:pPr>
      <w:r w:rsidRPr="00246266">
        <w:rPr>
          <w:rFonts w:cstheme="minorHAnsi"/>
          <w:szCs w:val="24"/>
        </w:rPr>
        <w:t xml:space="preserve">Table </w:t>
      </w:r>
      <w:r w:rsidR="002F7D52">
        <w:rPr>
          <w:rFonts w:cstheme="minorHAnsi"/>
          <w:szCs w:val="24"/>
        </w:rPr>
        <w:t>4</w:t>
      </w:r>
      <w:r>
        <w:rPr>
          <w:rFonts w:cstheme="minorHAnsi"/>
          <w:szCs w:val="24"/>
        </w:rPr>
        <w:t>. Wage Estimate Proxies</w:t>
      </w:r>
    </w:p>
    <w:tbl>
      <w:tblPr>
        <w:tblStyle w:val="TableGrid"/>
        <w:tblW w:w="0" w:type="auto"/>
        <w:tblLook w:val="04A0" w:firstRow="1" w:lastRow="0" w:firstColumn="1" w:lastColumn="0" w:noHBand="0" w:noVBand="1"/>
      </w:tblPr>
      <w:tblGrid>
        <w:gridCol w:w="3775"/>
        <w:gridCol w:w="2160"/>
        <w:gridCol w:w="1620"/>
        <w:gridCol w:w="1795"/>
      </w:tblGrid>
      <w:tr w:rsidR="00A52034" w:rsidTr="00A52034" w14:paraId="22C9330B" w14:textId="77777777">
        <w:trPr>
          <w:tblHeader/>
        </w:trPr>
        <w:tc>
          <w:tcPr>
            <w:tcW w:w="3775" w:type="dxa"/>
            <w:shd w:val="clear" w:color="auto" w:fill="D9D9D9" w:themeFill="background1" w:themeFillShade="D9"/>
          </w:tcPr>
          <w:p w:rsidRPr="00FC176E" w:rsidR="00A52034" w:rsidP="00A52034" w:rsidRDefault="00A52034" w14:paraId="218F3D3C" w14:textId="77777777">
            <w:pPr>
              <w:spacing w:before="100" w:beforeAutospacing="1"/>
              <w:rPr>
                <w:rFonts w:cstheme="minorHAnsi"/>
                <w:b/>
                <w:sz w:val="20"/>
              </w:rPr>
            </w:pPr>
            <w:r w:rsidRPr="00FC176E">
              <w:rPr>
                <w:rFonts w:cstheme="minorHAnsi"/>
                <w:b/>
                <w:sz w:val="20"/>
              </w:rPr>
              <w:t>Respondent Group</w:t>
            </w:r>
          </w:p>
        </w:tc>
        <w:tc>
          <w:tcPr>
            <w:tcW w:w="2160" w:type="dxa"/>
            <w:shd w:val="clear" w:color="auto" w:fill="D9D9D9" w:themeFill="background1" w:themeFillShade="D9"/>
            <w:vAlign w:val="center"/>
          </w:tcPr>
          <w:p w:rsidRPr="00FC176E" w:rsidR="00A52034" w:rsidP="00A52034" w:rsidRDefault="00A52034" w14:paraId="0F2CE1B2" w14:textId="6B23EB5D">
            <w:pPr>
              <w:spacing w:before="100" w:beforeAutospacing="1"/>
              <w:jc w:val="center"/>
              <w:rPr>
                <w:rFonts w:cstheme="minorHAnsi"/>
                <w:b/>
                <w:sz w:val="20"/>
              </w:rPr>
            </w:pPr>
            <w:r>
              <w:rPr>
                <w:b/>
                <w:bCs/>
                <w:color w:val="000000"/>
                <w:sz w:val="20"/>
              </w:rPr>
              <w:t>Occupation Proxies</w:t>
            </w:r>
          </w:p>
        </w:tc>
        <w:tc>
          <w:tcPr>
            <w:tcW w:w="1620" w:type="dxa"/>
            <w:shd w:val="clear" w:color="auto" w:fill="D9D9D9" w:themeFill="background1" w:themeFillShade="D9"/>
            <w:vAlign w:val="center"/>
          </w:tcPr>
          <w:p w:rsidRPr="00FC176E" w:rsidR="00A52034" w:rsidP="00A52034" w:rsidRDefault="00A52034" w14:paraId="47DB144C" w14:textId="5C094A6A">
            <w:pPr>
              <w:spacing w:before="100" w:beforeAutospacing="1"/>
              <w:jc w:val="center"/>
              <w:rPr>
                <w:rFonts w:cstheme="minorHAnsi"/>
                <w:b/>
                <w:sz w:val="20"/>
              </w:rPr>
            </w:pPr>
            <w:r>
              <w:rPr>
                <w:b/>
                <w:bCs/>
                <w:color w:val="000000"/>
                <w:sz w:val="20"/>
              </w:rPr>
              <w:t>Hourly Compensation (includes costs for wages, salaries, and benefits)</w:t>
            </w:r>
          </w:p>
        </w:tc>
        <w:tc>
          <w:tcPr>
            <w:tcW w:w="1795" w:type="dxa"/>
            <w:shd w:val="clear" w:color="auto" w:fill="D9D9D9" w:themeFill="background1" w:themeFillShade="D9"/>
            <w:vAlign w:val="center"/>
          </w:tcPr>
          <w:p w:rsidRPr="00FC176E" w:rsidR="00A52034" w:rsidP="00A52034" w:rsidRDefault="00A52034" w14:paraId="3AA68F03" w14:textId="6B78B99E">
            <w:pPr>
              <w:spacing w:before="100" w:beforeAutospacing="1"/>
              <w:jc w:val="center"/>
              <w:rPr>
                <w:rFonts w:cstheme="minorHAnsi"/>
                <w:b/>
                <w:sz w:val="20"/>
              </w:rPr>
            </w:pPr>
            <w:r>
              <w:rPr>
                <w:b/>
                <w:bCs/>
                <w:color w:val="000000"/>
                <w:sz w:val="20"/>
              </w:rPr>
              <w:t>Total Average Hourly Compensation</w:t>
            </w:r>
          </w:p>
        </w:tc>
      </w:tr>
      <w:tr w:rsidR="00A52034" w:rsidTr="00F46EBA" w14:paraId="19ADF86F" w14:textId="77777777">
        <w:trPr>
          <w:trHeight w:val="1040"/>
        </w:trPr>
        <w:tc>
          <w:tcPr>
            <w:tcW w:w="3775" w:type="dxa"/>
            <w:shd w:val="clear" w:color="auto" w:fill="auto"/>
            <w:vAlign w:val="center"/>
          </w:tcPr>
          <w:p w:rsidRPr="00982943" w:rsidR="00A52034" w:rsidP="00A52034" w:rsidRDefault="00A52034" w14:paraId="1BB7F561" w14:textId="4ABB939B">
            <w:pPr>
              <w:spacing w:before="100" w:beforeAutospacing="1"/>
              <w:rPr>
                <w:rFonts w:cstheme="minorHAnsi"/>
                <w:sz w:val="20"/>
              </w:rPr>
            </w:pPr>
            <w:r>
              <w:rPr>
                <w:rFonts w:cstheme="minorHAnsi"/>
                <w:color w:val="000000"/>
                <w:sz w:val="20"/>
              </w:rPr>
              <w:t>Academic and Leadership Institute Staff</w:t>
            </w:r>
          </w:p>
        </w:tc>
        <w:tc>
          <w:tcPr>
            <w:tcW w:w="2160" w:type="dxa"/>
            <w:shd w:val="clear" w:color="auto" w:fill="auto"/>
            <w:vAlign w:val="center"/>
          </w:tcPr>
          <w:p w:rsidRPr="008413E7" w:rsidR="00A52034" w:rsidP="00A52034" w:rsidRDefault="00A52034" w14:paraId="7B4D4F8B" w14:textId="1175DEEF">
            <w:pPr>
              <w:spacing w:before="100" w:beforeAutospacing="1"/>
              <w:jc w:val="center"/>
              <w:rPr>
                <w:rFonts w:cstheme="minorHAnsi"/>
                <w:sz w:val="20"/>
              </w:rPr>
            </w:pPr>
            <w:r>
              <w:rPr>
                <w:color w:val="000000"/>
                <w:sz w:val="20"/>
              </w:rPr>
              <w:t>Employer Cost: Junior colleges, colleges, and universities (state and local government)</w:t>
            </w:r>
          </w:p>
        </w:tc>
        <w:tc>
          <w:tcPr>
            <w:tcW w:w="1620" w:type="dxa"/>
            <w:shd w:val="clear" w:color="auto" w:fill="auto"/>
            <w:vAlign w:val="center"/>
          </w:tcPr>
          <w:p w:rsidRPr="00FC176E" w:rsidR="00A52034" w:rsidP="00A52034" w:rsidRDefault="00A52034" w14:paraId="5FF1885F" w14:textId="71F6261A">
            <w:pPr>
              <w:spacing w:before="100" w:beforeAutospacing="1"/>
              <w:jc w:val="center"/>
              <w:rPr>
                <w:rFonts w:cstheme="minorHAnsi"/>
                <w:sz w:val="20"/>
              </w:rPr>
            </w:pPr>
            <w:r>
              <w:rPr>
                <w:color w:val="000000"/>
                <w:sz w:val="20"/>
              </w:rPr>
              <w:t xml:space="preserve">$58.86 </w:t>
            </w:r>
          </w:p>
        </w:tc>
        <w:tc>
          <w:tcPr>
            <w:tcW w:w="1795" w:type="dxa"/>
            <w:shd w:val="clear" w:color="auto" w:fill="auto"/>
            <w:vAlign w:val="center"/>
          </w:tcPr>
          <w:p w:rsidRPr="00283DDF" w:rsidR="00A52034" w:rsidP="00A52034" w:rsidRDefault="00A52034" w14:paraId="50098E89" w14:textId="0B20A4E4">
            <w:pPr>
              <w:spacing w:before="100" w:beforeAutospacing="1"/>
              <w:jc w:val="center"/>
              <w:rPr>
                <w:rFonts w:cstheme="minorHAnsi"/>
                <w:b/>
                <w:sz w:val="20"/>
              </w:rPr>
            </w:pPr>
            <w:r>
              <w:rPr>
                <w:color w:val="000000"/>
                <w:sz w:val="20"/>
              </w:rPr>
              <w:t xml:space="preserve">$58.86 </w:t>
            </w:r>
          </w:p>
        </w:tc>
      </w:tr>
      <w:tr w:rsidR="00A52034" w:rsidTr="00F46EBA" w14:paraId="69B08044" w14:textId="77777777">
        <w:tc>
          <w:tcPr>
            <w:tcW w:w="3775" w:type="dxa"/>
            <w:vMerge w:val="restart"/>
            <w:shd w:val="clear" w:color="auto" w:fill="auto"/>
            <w:vAlign w:val="center"/>
          </w:tcPr>
          <w:p w:rsidRPr="00982943" w:rsidR="00A52034" w:rsidP="00A52034" w:rsidRDefault="00A52034" w14:paraId="42208BEC" w14:textId="5ED3CB3F">
            <w:pPr>
              <w:spacing w:before="100" w:beforeAutospacing="1"/>
              <w:rPr>
                <w:rFonts w:cstheme="minorHAnsi"/>
                <w:sz w:val="20"/>
              </w:rPr>
            </w:pPr>
            <w:r>
              <w:rPr>
                <w:rFonts w:cstheme="minorHAnsi"/>
                <w:color w:val="000000"/>
                <w:sz w:val="20"/>
              </w:rPr>
              <w:t>Professional Development Experience Representatives</w:t>
            </w:r>
          </w:p>
        </w:tc>
        <w:tc>
          <w:tcPr>
            <w:tcW w:w="2160" w:type="dxa"/>
            <w:shd w:val="clear" w:color="auto" w:fill="auto"/>
            <w:vAlign w:val="center"/>
          </w:tcPr>
          <w:p w:rsidRPr="00283DDF" w:rsidR="00A52034" w:rsidP="00A52034" w:rsidRDefault="00A52034" w14:paraId="75A4AF27" w14:textId="7E62729A">
            <w:pPr>
              <w:spacing w:before="100" w:beforeAutospacing="1"/>
              <w:jc w:val="center"/>
              <w:rPr>
                <w:rFonts w:cstheme="minorHAnsi"/>
                <w:sz w:val="20"/>
              </w:rPr>
            </w:pPr>
            <w:r>
              <w:rPr>
                <w:color w:val="000000"/>
                <w:sz w:val="20"/>
              </w:rPr>
              <w:t>Employer Cost: Management, business and financial (Private industry)</w:t>
            </w:r>
          </w:p>
        </w:tc>
        <w:tc>
          <w:tcPr>
            <w:tcW w:w="1620" w:type="dxa"/>
            <w:shd w:val="clear" w:color="auto" w:fill="auto"/>
            <w:vAlign w:val="center"/>
          </w:tcPr>
          <w:p w:rsidRPr="00283DDF" w:rsidR="00A52034" w:rsidP="00A52034" w:rsidRDefault="00A52034" w14:paraId="49E063E1" w14:textId="21D36B7E">
            <w:pPr>
              <w:spacing w:before="100" w:beforeAutospacing="1"/>
              <w:jc w:val="center"/>
              <w:rPr>
                <w:rFonts w:cstheme="minorHAnsi"/>
                <w:sz w:val="20"/>
              </w:rPr>
            </w:pPr>
            <w:r>
              <w:rPr>
                <w:color w:val="000000"/>
                <w:sz w:val="20"/>
              </w:rPr>
              <w:t xml:space="preserve">$66.61 </w:t>
            </w:r>
          </w:p>
        </w:tc>
        <w:tc>
          <w:tcPr>
            <w:tcW w:w="1795" w:type="dxa"/>
            <w:vMerge w:val="restart"/>
            <w:shd w:val="clear" w:color="auto" w:fill="auto"/>
            <w:vAlign w:val="center"/>
          </w:tcPr>
          <w:p w:rsidRPr="00283DDF" w:rsidR="00A52034" w:rsidP="00A52034" w:rsidRDefault="00A52034" w14:paraId="40647A31" w14:textId="46CF89D4">
            <w:pPr>
              <w:spacing w:before="100" w:beforeAutospacing="1"/>
              <w:jc w:val="center"/>
              <w:rPr>
                <w:rFonts w:cstheme="minorHAnsi"/>
                <w:b/>
                <w:sz w:val="20"/>
              </w:rPr>
            </w:pPr>
            <w:r>
              <w:rPr>
                <w:b/>
                <w:bCs/>
                <w:color w:val="000000"/>
                <w:sz w:val="20"/>
              </w:rPr>
              <w:t xml:space="preserve">$49.69 </w:t>
            </w:r>
          </w:p>
        </w:tc>
      </w:tr>
      <w:tr w:rsidR="00A52034" w:rsidTr="00EC21D8" w14:paraId="3EAC3BDE" w14:textId="77777777">
        <w:tc>
          <w:tcPr>
            <w:tcW w:w="3775" w:type="dxa"/>
            <w:vMerge/>
            <w:shd w:val="clear" w:color="auto" w:fill="auto"/>
            <w:vAlign w:val="center"/>
          </w:tcPr>
          <w:p w:rsidR="00A52034" w:rsidP="00A52034" w:rsidRDefault="00A52034" w14:paraId="42DB714D" w14:textId="77777777">
            <w:pPr>
              <w:spacing w:before="100" w:beforeAutospacing="1"/>
              <w:rPr>
                <w:rFonts w:cstheme="minorHAnsi"/>
                <w:sz w:val="20"/>
              </w:rPr>
            </w:pPr>
          </w:p>
        </w:tc>
        <w:tc>
          <w:tcPr>
            <w:tcW w:w="2160" w:type="dxa"/>
            <w:shd w:val="clear" w:color="auto" w:fill="auto"/>
            <w:vAlign w:val="center"/>
          </w:tcPr>
          <w:p w:rsidRPr="00283DDF" w:rsidR="00A52034" w:rsidP="00A52034" w:rsidRDefault="00A52034" w14:paraId="77968125" w14:textId="228133A3">
            <w:pPr>
              <w:spacing w:before="100" w:beforeAutospacing="1"/>
              <w:jc w:val="center"/>
              <w:rPr>
                <w:rFonts w:cstheme="minorHAnsi"/>
                <w:sz w:val="20"/>
              </w:rPr>
            </w:pPr>
            <w:r>
              <w:rPr>
                <w:color w:val="000000"/>
                <w:sz w:val="20"/>
              </w:rPr>
              <w:t>Employer Cost: Educational Services (Private industry)</w:t>
            </w:r>
          </w:p>
        </w:tc>
        <w:tc>
          <w:tcPr>
            <w:tcW w:w="1620" w:type="dxa"/>
            <w:shd w:val="clear" w:color="auto" w:fill="auto"/>
            <w:vAlign w:val="center"/>
          </w:tcPr>
          <w:p w:rsidRPr="00283DDF" w:rsidR="00A52034" w:rsidP="00A52034" w:rsidRDefault="00A52034" w14:paraId="63E5510A" w14:textId="51A6BB3F">
            <w:pPr>
              <w:spacing w:before="100" w:beforeAutospacing="1"/>
              <w:jc w:val="center"/>
              <w:rPr>
                <w:rFonts w:cstheme="minorHAnsi"/>
                <w:sz w:val="20"/>
              </w:rPr>
            </w:pPr>
            <w:r>
              <w:rPr>
                <w:color w:val="000000"/>
                <w:sz w:val="20"/>
              </w:rPr>
              <w:t xml:space="preserve">$46.71 </w:t>
            </w:r>
          </w:p>
        </w:tc>
        <w:tc>
          <w:tcPr>
            <w:tcW w:w="1795" w:type="dxa"/>
            <w:vMerge/>
            <w:shd w:val="clear" w:color="auto" w:fill="auto"/>
            <w:vAlign w:val="center"/>
          </w:tcPr>
          <w:p w:rsidRPr="00FC176E" w:rsidR="00A52034" w:rsidP="00A52034" w:rsidRDefault="00A52034" w14:paraId="6F62DC59" w14:textId="77777777">
            <w:pPr>
              <w:spacing w:before="100" w:beforeAutospacing="1"/>
              <w:jc w:val="center"/>
              <w:rPr>
                <w:rFonts w:cstheme="minorHAnsi"/>
                <w:sz w:val="20"/>
              </w:rPr>
            </w:pPr>
          </w:p>
        </w:tc>
      </w:tr>
      <w:tr w:rsidR="00A52034" w:rsidTr="00EC21D8" w14:paraId="3F2BB751" w14:textId="77777777">
        <w:tc>
          <w:tcPr>
            <w:tcW w:w="3775" w:type="dxa"/>
            <w:vMerge/>
            <w:shd w:val="clear" w:color="auto" w:fill="auto"/>
            <w:vAlign w:val="center"/>
          </w:tcPr>
          <w:p w:rsidR="00A52034" w:rsidP="00A52034" w:rsidRDefault="00A52034" w14:paraId="3E9225B4" w14:textId="77777777">
            <w:pPr>
              <w:spacing w:before="100" w:beforeAutospacing="1"/>
              <w:rPr>
                <w:rFonts w:cstheme="minorHAnsi"/>
                <w:sz w:val="20"/>
              </w:rPr>
            </w:pPr>
          </w:p>
        </w:tc>
        <w:tc>
          <w:tcPr>
            <w:tcW w:w="2160" w:type="dxa"/>
            <w:shd w:val="clear" w:color="auto" w:fill="auto"/>
            <w:vAlign w:val="center"/>
          </w:tcPr>
          <w:p w:rsidRPr="00283DDF" w:rsidR="00A52034" w:rsidP="00A52034" w:rsidRDefault="00A52034" w14:paraId="07BD3DCA" w14:textId="046A4139">
            <w:pPr>
              <w:spacing w:before="100" w:beforeAutospacing="1"/>
              <w:jc w:val="center"/>
              <w:rPr>
                <w:rFonts w:cstheme="minorHAnsi"/>
                <w:sz w:val="20"/>
              </w:rPr>
            </w:pPr>
            <w:r>
              <w:rPr>
                <w:color w:val="000000"/>
                <w:sz w:val="20"/>
              </w:rPr>
              <w:t>Employer Cost: Health care and social assistance</w:t>
            </w:r>
          </w:p>
        </w:tc>
        <w:tc>
          <w:tcPr>
            <w:tcW w:w="1620" w:type="dxa"/>
            <w:shd w:val="clear" w:color="auto" w:fill="auto"/>
            <w:vAlign w:val="center"/>
          </w:tcPr>
          <w:p w:rsidRPr="00283DDF" w:rsidR="00A52034" w:rsidP="00A52034" w:rsidRDefault="00A52034" w14:paraId="01F8283B" w14:textId="7B54D94E">
            <w:pPr>
              <w:spacing w:before="100" w:beforeAutospacing="1"/>
              <w:jc w:val="center"/>
              <w:rPr>
                <w:rFonts w:cstheme="minorHAnsi"/>
                <w:sz w:val="20"/>
              </w:rPr>
            </w:pPr>
            <w:r>
              <w:rPr>
                <w:color w:val="000000"/>
                <w:sz w:val="20"/>
              </w:rPr>
              <w:t xml:space="preserve">$35.75 </w:t>
            </w:r>
          </w:p>
        </w:tc>
        <w:tc>
          <w:tcPr>
            <w:tcW w:w="1795" w:type="dxa"/>
            <w:vMerge/>
            <w:shd w:val="clear" w:color="auto" w:fill="auto"/>
            <w:vAlign w:val="center"/>
          </w:tcPr>
          <w:p w:rsidRPr="00FC176E" w:rsidR="00A52034" w:rsidP="00A52034" w:rsidRDefault="00A52034" w14:paraId="282C1B9A" w14:textId="77777777">
            <w:pPr>
              <w:spacing w:before="100" w:beforeAutospacing="1"/>
              <w:jc w:val="center"/>
              <w:rPr>
                <w:rFonts w:cstheme="minorHAnsi"/>
                <w:sz w:val="20"/>
              </w:rPr>
            </w:pPr>
          </w:p>
        </w:tc>
      </w:tr>
      <w:tr w:rsidR="00A52034" w:rsidTr="00F46EBA" w14:paraId="39F0810B" w14:textId="77777777">
        <w:tc>
          <w:tcPr>
            <w:tcW w:w="3775" w:type="dxa"/>
            <w:vMerge w:val="restart"/>
            <w:shd w:val="clear" w:color="auto" w:fill="auto"/>
            <w:vAlign w:val="center"/>
          </w:tcPr>
          <w:p w:rsidRPr="00982943" w:rsidR="00A52034" w:rsidP="00A52034" w:rsidRDefault="00A52034" w14:paraId="3335A212" w14:textId="5A0A01C1">
            <w:pPr>
              <w:spacing w:before="100" w:beforeAutospacing="1"/>
              <w:rPr>
                <w:rFonts w:cstheme="minorHAnsi"/>
                <w:sz w:val="20"/>
              </w:rPr>
            </w:pPr>
            <w:r>
              <w:rPr>
                <w:rFonts w:cstheme="minorHAnsi"/>
                <w:color w:val="000000"/>
                <w:sz w:val="20"/>
              </w:rPr>
              <w:t>Reciprocal Exchange Alumni</w:t>
            </w:r>
          </w:p>
        </w:tc>
        <w:tc>
          <w:tcPr>
            <w:tcW w:w="2160" w:type="dxa"/>
            <w:shd w:val="clear" w:color="auto" w:fill="auto"/>
            <w:vAlign w:val="center"/>
          </w:tcPr>
          <w:p w:rsidRPr="00180951" w:rsidR="00A52034" w:rsidP="00A52034" w:rsidRDefault="00A52034" w14:paraId="2B975F90" w14:textId="01218EFC">
            <w:pPr>
              <w:spacing w:before="100" w:beforeAutospacing="1"/>
              <w:jc w:val="center"/>
              <w:rPr>
                <w:sz w:val="20"/>
              </w:rPr>
            </w:pPr>
            <w:r>
              <w:rPr>
                <w:color w:val="000000"/>
                <w:sz w:val="20"/>
              </w:rPr>
              <w:t>Employer Cost: Junior colleges, colleges, and universities (state and local government)</w:t>
            </w:r>
          </w:p>
        </w:tc>
        <w:tc>
          <w:tcPr>
            <w:tcW w:w="1620" w:type="dxa"/>
            <w:shd w:val="clear" w:color="auto" w:fill="auto"/>
            <w:vAlign w:val="center"/>
          </w:tcPr>
          <w:p w:rsidRPr="00180951" w:rsidR="00A52034" w:rsidP="00A52034" w:rsidRDefault="00A52034" w14:paraId="6939D4AD" w14:textId="7F770095">
            <w:pPr>
              <w:spacing w:before="100" w:beforeAutospacing="1"/>
              <w:jc w:val="center"/>
              <w:rPr>
                <w:sz w:val="20"/>
              </w:rPr>
            </w:pPr>
            <w:r>
              <w:rPr>
                <w:color w:val="000000"/>
                <w:sz w:val="20"/>
              </w:rPr>
              <w:t xml:space="preserve">$58.86 </w:t>
            </w:r>
          </w:p>
        </w:tc>
        <w:tc>
          <w:tcPr>
            <w:tcW w:w="1795" w:type="dxa"/>
            <w:vMerge w:val="restart"/>
            <w:shd w:val="clear" w:color="auto" w:fill="auto"/>
            <w:vAlign w:val="center"/>
          </w:tcPr>
          <w:p w:rsidRPr="00180951" w:rsidR="00A52034" w:rsidP="00A52034" w:rsidRDefault="00A52034" w14:paraId="6AA0E7FB" w14:textId="135E4653">
            <w:pPr>
              <w:spacing w:before="100" w:beforeAutospacing="1"/>
              <w:jc w:val="center"/>
              <w:rPr>
                <w:rFonts w:cstheme="minorHAnsi"/>
                <w:b/>
                <w:sz w:val="20"/>
              </w:rPr>
            </w:pPr>
            <w:r>
              <w:rPr>
                <w:b/>
                <w:bCs/>
                <w:color w:val="000000"/>
                <w:sz w:val="20"/>
              </w:rPr>
              <w:t xml:space="preserve">$50.17 </w:t>
            </w:r>
          </w:p>
        </w:tc>
      </w:tr>
      <w:tr w:rsidR="00A52034" w:rsidTr="00EC21D8" w14:paraId="760313F7" w14:textId="77777777">
        <w:tc>
          <w:tcPr>
            <w:tcW w:w="3775" w:type="dxa"/>
            <w:vMerge/>
            <w:shd w:val="clear" w:color="auto" w:fill="auto"/>
            <w:vAlign w:val="center"/>
          </w:tcPr>
          <w:p w:rsidRPr="00982943" w:rsidR="00A52034" w:rsidP="00A52034" w:rsidRDefault="00A52034" w14:paraId="07EE6B82" w14:textId="77777777">
            <w:pPr>
              <w:spacing w:before="100" w:beforeAutospacing="1"/>
              <w:rPr>
                <w:rFonts w:cstheme="minorHAnsi"/>
                <w:sz w:val="20"/>
              </w:rPr>
            </w:pPr>
          </w:p>
        </w:tc>
        <w:tc>
          <w:tcPr>
            <w:tcW w:w="2160" w:type="dxa"/>
            <w:shd w:val="clear" w:color="auto" w:fill="auto"/>
            <w:vAlign w:val="center"/>
          </w:tcPr>
          <w:p w:rsidRPr="00180951" w:rsidR="00A52034" w:rsidP="00A52034" w:rsidRDefault="00A52034" w14:paraId="609F0F20" w14:textId="37DDD725">
            <w:pPr>
              <w:spacing w:before="100" w:beforeAutospacing="1"/>
              <w:jc w:val="center"/>
              <w:rPr>
                <w:sz w:val="20"/>
              </w:rPr>
            </w:pPr>
            <w:r>
              <w:rPr>
                <w:color w:val="000000"/>
                <w:sz w:val="20"/>
              </w:rPr>
              <w:t>Employer Cost: Professional and business services (Private industry)</w:t>
            </w:r>
          </w:p>
        </w:tc>
        <w:tc>
          <w:tcPr>
            <w:tcW w:w="1620" w:type="dxa"/>
            <w:shd w:val="clear" w:color="auto" w:fill="auto"/>
            <w:vAlign w:val="center"/>
          </w:tcPr>
          <w:p w:rsidRPr="00180951" w:rsidR="00A52034" w:rsidP="00A52034" w:rsidRDefault="00A52034" w14:paraId="5114219B" w14:textId="54936681">
            <w:pPr>
              <w:spacing w:before="100" w:beforeAutospacing="1"/>
              <w:jc w:val="center"/>
              <w:rPr>
                <w:sz w:val="20"/>
              </w:rPr>
            </w:pPr>
            <w:r>
              <w:rPr>
                <w:color w:val="000000"/>
                <w:sz w:val="20"/>
              </w:rPr>
              <w:t xml:space="preserve">$41.48 </w:t>
            </w:r>
          </w:p>
        </w:tc>
        <w:tc>
          <w:tcPr>
            <w:tcW w:w="1795" w:type="dxa"/>
            <w:vMerge/>
            <w:shd w:val="clear" w:color="auto" w:fill="auto"/>
            <w:vAlign w:val="center"/>
          </w:tcPr>
          <w:p w:rsidRPr="00FC176E" w:rsidR="00A52034" w:rsidP="00A52034" w:rsidRDefault="00A52034" w14:paraId="0C5A0F21" w14:textId="77777777">
            <w:pPr>
              <w:spacing w:before="100" w:beforeAutospacing="1"/>
              <w:jc w:val="center"/>
              <w:rPr>
                <w:rFonts w:cstheme="minorHAnsi"/>
                <w:sz w:val="20"/>
              </w:rPr>
            </w:pPr>
          </w:p>
        </w:tc>
      </w:tr>
      <w:tr w:rsidR="00A52034" w:rsidTr="00F46EBA" w14:paraId="44574FD3" w14:textId="77777777">
        <w:tc>
          <w:tcPr>
            <w:tcW w:w="3775" w:type="dxa"/>
            <w:vMerge w:val="restart"/>
            <w:shd w:val="clear" w:color="auto" w:fill="auto"/>
            <w:vAlign w:val="center"/>
          </w:tcPr>
          <w:p w:rsidRPr="00982943" w:rsidR="00A52034" w:rsidP="00A52034" w:rsidRDefault="00A52034" w14:paraId="5A935C4F" w14:textId="6BF43ADA">
            <w:pPr>
              <w:spacing w:before="100" w:beforeAutospacing="1"/>
              <w:rPr>
                <w:rFonts w:cstheme="minorHAnsi"/>
                <w:sz w:val="20"/>
              </w:rPr>
            </w:pPr>
            <w:r>
              <w:rPr>
                <w:rFonts w:cstheme="minorHAnsi"/>
                <w:color w:val="000000"/>
                <w:sz w:val="20"/>
              </w:rPr>
              <w:lastRenderedPageBreak/>
              <w:t>U.S. Community Members</w:t>
            </w:r>
          </w:p>
        </w:tc>
        <w:tc>
          <w:tcPr>
            <w:tcW w:w="2160" w:type="dxa"/>
            <w:shd w:val="clear" w:color="auto" w:fill="auto"/>
            <w:vAlign w:val="center"/>
          </w:tcPr>
          <w:p w:rsidRPr="001B7404" w:rsidR="00A52034" w:rsidP="00A52034" w:rsidRDefault="00A52034" w14:paraId="62493051" w14:textId="35D04851">
            <w:pPr>
              <w:spacing w:before="100" w:beforeAutospacing="1"/>
              <w:jc w:val="center"/>
              <w:rPr>
                <w:sz w:val="20"/>
              </w:rPr>
            </w:pPr>
            <w:r>
              <w:rPr>
                <w:color w:val="000000"/>
                <w:sz w:val="20"/>
              </w:rPr>
              <w:t>Employer Cost: Junior colleges, colleges, and universities (state and local government)</w:t>
            </w:r>
          </w:p>
        </w:tc>
        <w:tc>
          <w:tcPr>
            <w:tcW w:w="1620" w:type="dxa"/>
            <w:shd w:val="clear" w:color="auto" w:fill="auto"/>
            <w:vAlign w:val="center"/>
          </w:tcPr>
          <w:p w:rsidRPr="001B7404" w:rsidR="00A52034" w:rsidP="00A52034" w:rsidRDefault="00A52034" w14:paraId="2CCF89AA" w14:textId="12732305">
            <w:pPr>
              <w:spacing w:before="100" w:beforeAutospacing="1"/>
              <w:jc w:val="center"/>
              <w:rPr>
                <w:sz w:val="20"/>
              </w:rPr>
            </w:pPr>
            <w:r>
              <w:rPr>
                <w:color w:val="000000"/>
                <w:sz w:val="20"/>
              </w:rPr>
              <w:t xml:space="preserve">$58.86 </w:t>
            </w:r>
          </w:p>
        </w:tc>
        <w:tc>
          <w:tcPr>
            <w:tcW w:w="1795" w:type="dxa"/>
            <w:vMerge w:val="restart"/>
            <w:shd w:val="clear" w:color="auto" w:fill="auto"/>
            <w:vAlign w:val="center"/>
          </w:tcPr>
          <w:p w:rsidRPr="001B7404" w:rsidR="00A52034" w:rsidP="00A52034" w:rsidRDefault="00A52034" w14:paraId="30E10A5D" w14:textId="66133741">
            <w:pPr>
              <w:spacing w:before="100" w:beforeAutospacing="1"/>
              <w:jc w:val="center"/>
              <w:rPr>
                <w:rFonts w:cstheme="minorHAnsi"/>
                <w:b/>
                <w:sz w:val="20"/>
              </w:rPr>
            </w:pPr>
            <w:r>
              <w:rPr>
                <w:b/>
                <w:bCs/>
                <w:color w:val="000000"/>
                <w:sz w:val="20"/>
              </w:rPr>
              <w:t xml:space="preserve">$51.17 </w:t>
            </w:r>
          </w:p>
        </w:tc>
      </w:tr>
      <w:tr w:rsidR="00A52034" w:rsidTr="00EC21D8" w14:paraId="4DA39E53" w14:textId="77777777">
        <w:tc>
          <w:tcPr>
            <w:tcW w:w="3775" w:type="dxa"/>
            <w:vMerge/>
            <w:shd w:val="clear" w:color="auto" w:fill="auto"/>
            <w:vAlign w:val="center"/>
          </w:tcPr>
          <w:p w:rsidR="00A52034" w:rsidP="00A52034" w:rsidRDefault="00A52034" w14:paraId="4137ADBC" w14:textId="77777777">
            <w:pPr>
              <w:spacing w:before="100" w:beforeAutospacing="1"/>
              <w:rPr>
                <w:rFonts w:cstheme="minorHAnsi"/>
                <w:sz w:val="20"/>
              </w:rPr>
            </w:pPr>
          </w:p>
        </w:tc>
        <w:tc>
          <w:tcPr>
            <w:tcW w:w="2160" w:type="dxa"/>
            <w:shd w:val="clear" w:color="auto" w:fill="auto"/>
            <w:vAlign w:val="center"/>
          </w:tcPr>
          <w:p w:rsidRPr="001B7404" w:rsidR="00A52034" w:rsidP="00A52034" w:rsidRDefault="00A52034" w14:paraId="1010D8D8" w14:textId="0A3B9A8C">
            <w:pPr>
              <w:spacing w:before="100" w:beforeAutospacing="1"/>
              <w:jc w:val="center"/>
              <w:rPr>
                <w:sz w:val="20"/>
              </w:rPr>
            </w:pPr>
            <w:r>
              <w:rPr>
                <w:color w:val="000000"/>
                <w:sz w:val="20"/>
              </w:rPr>
              <w:t>Employer Cost: Professional and business services (Private industry)</w:t>
            </w:r>
          </w:p>
        </w:tc>
        <w:tc>
          <w:tcPr>
            <w:tcW w:w="1620" w:type="dxa"/>
            <w:shd w:val="clear" w:color="auto" w:fill="auto"/>
            <w:vAlign w:val="center"/>
          </w:tcPr>
          <w:p w:rsidRPr="001B7404" w:rsidR="00A52034" w:rsidP="00A52034" w:rsidRDefault="00A52034" w14:paraId="715B9E3F" w14:textId="2BA4AFD9">
            <w:pPr>
              <w:spacing w:before="100" w:beforeAutospacing="1"/>
              <w:jc w:val="center"/>
              <w:rPr>
                <w:sz w:val="20"/>
              </w:rPr>
            </w:pPr>
            <w:r>
              <w:rPr>
                <w:color w:val="000000"/>
                <w:sz w:val="20"/>
              </w:rPr>
              <w:t xml:space="preserve">$41.48 </w:t>
            </w:r>
          </w:p>
        </w:tc>
        <w:tc>
          <w:tcPr>
            <w:tcW w:w="1795" w:type="dxa"/>
            <w:vMerge/>
            <w:shd w:val="clear" w:color="auto" w:fill="auto"/>
            <w:vAlign w:val="center"/>
          </w:tcPr>
          <w:p w:rsidRPr="00FC176E" w:rsidR="00A52034" w:rsidP="00A52034" w:rsidRDefault="00A52034" w14:paraId="62D2D789" w14:textId="77777777">
            <w:pPr>
              <w:spacing w:before="100" w:beforeAutospacing="1"/>
              <w:jc w:val="center"/>
              <w:rPr>
                <w:rFonts w:cstheme="minorHAnsi"/>
                <w:sz w:val="20"/>
              </w:rPr>
            </w:pPr>
          </w:p>
        </w:tc>
      </w:tr>
      <w:tr w:rsidR="00A52034" w:rsidTr="00EC21D8" w14:paraId="76F0402B" w14:textId="77777777">
        <w:tc>
          <w:tcPr>
            <w:tcW w:w="3775" w:type="dxa"/>
            <w:vMerge/>
            <w:shd w:val="clear" w:color="auto" w:fill="auto"/>
            <w:vAlign w:val="center"/>
          </w:tcPr>
          <w:p w:rsidR="00A52034" w:rsidP="00A52034" w:rsidRDefault="00A52034" w14:paraId="3FC0A194" w14:textId="77777777">
            <w:pPr>
              <w:spacing w:before="100" w:beforeAutospacing="1"/>
              <w:rPr>
                <w:rFonts w:cstheme="minorHAnsi"/>
                <w:sz w:val="20"/>
              </w:rPr>
            </w:pPr>
          </w:p>
        </w:tc>
        <w:tc>
          <w:tcPr>
            <w:tcW w:w="2160" w:type="dxa"/>
            <w:shd w:val="clear" w:color="auto" w:fill="auto"/>
            <w:vAlign w:val="center"/>
          </w:tcPr>
          <w:p w:rsidRPr="001B7404" w:rsidR="00A52034" w:rsidP="00A52034" w:rsidRDefault="00A52034" w14:paraId="5C037367" w14:textId="1D8F8DC4">
            <w:pPr>
              <w:spacing w:before="100" w:beforeAutospacing="1"/>
              <w:jc w:val="center"/>
              <w:rPr>
                <w:sz w:val="20"/>
              </w:rPr>
            </w:pPr>
            <w:r>
              <w:rPr>
                <w:color w:val="000000"/>
                <w:sz w:val="20"/>
              </w:rPr>
              <w:t>Employer Cost: Management, business and financial (Private industry)</w:t>
            </w:r>
          </w:p>
        </w:tc>
        <w:tc>
          <w:tcPr>
            <w:tcW w:w="1620" w:type="dxa"/>
            <w:shd w:val="clear" w:color="auto" w:fill="auto"/>
            <w:vAlign w:val="center"/>
          </w:tcPr>
          <w:p w:rsidRPr="001B7404" w:rsidR="00A52034" w:rsidP="00A52034" w:rsidRDefault="00A52034" w14:paraId="0B6F1FB2" w14:textId="273E6741">
            <w:pPr>
              <w:spacing w:before="100" w:beforeAutospacing="1"/>
              <w:jc w:val="center"/>
              <w:rPr>
                <w:sz w:val="20"/>
              </w:rPr>
            </w:pPr>
            <w:r>
              <w:rPr>
                <w:color w:val="000000"/>
                <w:sz w:val="20"/>
              </w:rPr>
              <w:t xml:space="preserve">$68.61 </w:t>
            </w:r>
          </w:p>
        </w:tc>
        <w:tc>
          <w:tcPr>
            <w:tcW w:w="1795" w:type="dxa"/>
            <w:vMerge/>
            <w:shd w:val="clear" w:color="auto" w:fill="auto"/>
            <w:vAlign w:val="center"/>
          </w:tcPr>
          <w:p w:rsidRPr="00FC176E" w:rsidR="00A52034" w:rsidP="00A52034" w:rsidRDefault="00A52034" w14:paraId="411FAB02" w14:textId="77777777">
            <w:pPr>
              <w:spacing w:before="100" w:beforeAutospacing="1"/>
              <w:jc w:val="center"/>
              <w:rPr>
                <w:rFonts w:cstheme="minorHAnsi"/>
                <w:sz w:val="20"/>
              </w:rPr>
            </w:pPr>
          </w:p>
        </w:tc>
      </w:tr>
      <w:tr w:rsidR="00A52034" w:rsidTr="00EC21D8" w14:paraId="5C19EAF6" w14:textId="77777777">
        <w:tc>
          <w:tcPr>
            <w:tcW w:w="3775" w:type="dxa"/>
            <w:vMerge/>
            <w:shd w:val="clear" w:color="auto" w:fill="auto"/>
            <w:vAlign w:val="center"/>
          </w:tcPr>
          <w:p w:rsidR="00A52034" w:rsidP="00A52034" w:rsidRDefault="00A52034" w14:paraId="377674CF" w14:textId="77777777">
            <w:pPr>
              <w:spacing w:before="100" w:beforeAutospacing="1"/>
              <w:rPr>
                <w:rFonts w:cstheme="minorHAnsi"/>
                <w:sz w:val="20"/>
              </w:rPr>
            </w:pPr>
          </w:p>
        </w:tc>
        <w:tc>
          <w:tcPr>
            <w:tcW w:w="2160" w:type="dxa"/>
            <w:shd w:val="clear" w:color="auto" w:fill="auto"/>
            <w:vAlign w:val="center"/>
          </w:tcPr>
          <w:p w:rsidRPr="001B7404" w:rsidR="00A52034" w:rsidP="00A52034" w:rsidRDefault="00A52034" w14:paraId="566BF746" w14:textId="200BF44B">
            <w:pPr>
              <w:spacing w:before="100" w:beforeAutospacing="1"/>
              <w:jc w:val="center"/>
              <w:rPr>
                <w:sz w:val="20"/>
              </w:rPr>
            </w:pPr>
            <w:r>
              <w:rPr>
                <w:color w:val="000000"/>
                <w:sz w:val="20"/>
              </w:rPr>
              <w:t>Employer Cost: Health care and social assistance</w:t>
            </w:r>
          </w:p>
        </w:tc>
        <w:tc>
          <w:tcPr>
            <w:tcW w:w="1620" w:type="dxa"/>
            <w:shd w:val="clear" w:color="auto" w:fill="auto"/>
            <w:vAlign w:val="center"/>
          </w:tcPr>
          <w:p w:rsidRPr="001B7404" w:rsidR="00A52034" w:rsidP="00A52034" w:rsidRDefault="00A52034" w14:paraId="06FA1C9D" w14:textId="05A7A642">
            <w:pPr>
              <w:spacing w:before="100" w:beforeAutospacing="1"/>
              <w:jc w:val="center"/>
              <w:rPr>
                <w:sz w:val="20"/>
              </w:rPr>
            </w:pPr>
            <w:r>
              <w:rPr>
                <w:color w:val="000000"/>
                <w:sz w:val="20"/>
              </w:rPr>
              <w:t xml:space="preserve">$35.75 </w:t>
            </w:r>
          </w:p>
        </w:tc>
        <w:tc>
          <w:tcPr>
            <w:tcW w:w="1795" w:type="dxa"/>
            <w:vMerge/>
            <w:shd w:val="clear" w:color="auto" w:fill="auto"/>
            <w:vAlign w:val="center"/>
          </w:tcPr>
          <w:p w:rsidRPr="00FC176E" w:rsidR="00A52034" w:rsidP="00A52034" w:rsidRDefault="00A52034" w14:paraId="442860E4" w14:textId="77777777">
            <w:pPr>
              <w:spacing w:before="100" w:beforeAutospacing="1"/>
              <w:jc w:val="center"/>
              <w:rPr>
                <w:rFonts w:cstheme="minorHAnsi"/>
                <w:sz w:val="20"/>
              </w:rPr>
            </w:pPr>
          </w:p>
        </w:tc>
      </w:tr>
      <w:tr w:rsidR="00A52034" w:rsidTr="00F46EBA" w14:paraId="2B738BB6" w14:textId="77777777">
        <w:tc>
          <w:tcPr>
            <w:tcW w:w="3775" w:type="dxa"/>
            <w:vMerge w:val="restart"/>
            <w:shd w:val="clear" w:color="auto" w:fill="auto"/>
            <w:vAlign w:val="center"/>
          </w:tcPr>
          <w:p w:rsidR="00A52034" w:rsidP="00A52034" w:rsidRDefault="00A52034" w14:paraId="12E35AA0" w14:textId="4730483D">
            <w:pPr>
              <w:spacing w:before="100" w:beforeAutospacing="1"/>
              <w:rPr>
                <w:rFonts w:cstheme="minorHAnsi"/>
                <w:sz w:val="20"/>
              </w:rPr>
            </w:pPr>
            <w:r>
              <w:rPr>
                <w:rFonts w:cstheme="minorHAnsi"/>
                <w:color w:val="000000"/>
                <w:sz w:val="20"/>
              </w:rPr>
              <w:t>Fellowship Experience Map Respondents</w:t>
            </w:r>
          </w:p>
        </w:tc>
        <w:tc>
          <w:tcPr>
            <w:tcW w:w="2160" w:type="dxa"/>
            <w:shd w:val="clear" w:color="auto" w:fill="auto"/>
            <w:vAlign w:val="center"/>
          </w:tcPr>
          <w:p w:rsidRPr="001B7404" w:rsidR="00A52034" w:rsidP="00A52034" w:rsidRDefault="00A52034" w14:paraId="37187807" w14:textId="0BA1F09F">
            <w:pPr>
              <w:spacing w:before="100" w:beforeAutospacing="1"/>
              <w:jc w:val="center"/>
              <w:rPr>
                <w:color w:val="000000"/>
                <w:sz w:val="20"/>
              </w:rPr>
            </w:pPr>
            <w:r>
              <w:rPr>
                <w:color w:val="000000"/>
                <w:sz w:val="20"/>
              </w:rPr>
              <w:t>Employer Cost: Junior colleges, colleges, and universities (state and local government)</w:t>
            </w:r>
          </w:p>
        </w:tc>
        <w:tc>
          <w:tcPr>
            <w:tcW w:w="1620" w:type="dxa"/>
            <w:shd w:val="clear" w:color="auto" w:fill="auto"/>
            <w:vAlign w:val="center"/>
          </w:tcPr>
          <w:p w:rsidRPr="001B7404" w:rsidR="00A52034" w:rsidP="00A52034" w:rsidRDefault="00A52034" w14:paraId="40C17E75" w14:textId="5E98B18B">
            <w:pPr>
              <w:spacing w:before="100" w:beforeAutospacing="1"/>
              <w:jc w:val="center"/>
              <w:rPr>
                <w:color w:val="000000"/>
                <w:sz w:val="20"/>
              </w:rPr>
            </w:pPr>
            <w:r>
              <w:rPr>
                <w:color w:val="000000"/>
                <w:sz w:val="20"/>
              </w:rPr>
              <w:t xml:space="preserve">$58.86 </w:t>
            </w:r>
          </w:p>
        </w:tc>
        <w:tc>
          <w:tcPr>
            <w:tcW w:w="1795" w:type="dxa"/>
            <w:vMerge w:val="restart"/>
            <w:shd w:val="clear" w:color="auto" w:fill="auto"/>
            <w:vAlign w:val="center"/>
          </w:tcPr>
          <w:p w:rsidRPr="00FC176E" w:rsidR="00A52034" w:rsidP="00A52034" w:rsidRDefault="00A52034" w14:paraId="5A1D2725" w14:textId="22DFFAAA">
            <w:pPr>
              <w:spacing w:before="100" w:beforeAutospacing="1"/>
              <w:jc w:val="center"/>
              <w:rPr>
                <w:rFonts w:cstheme="minorHAnsi"/>
                <w:sz w:val="20"/>
              </w:rPr>
            </w:pPr>
            <w:r>
              <w:rPr>
                <w:b/>
                <w:bCs/>
                <w:color w:val="000000"/>
                <w:sz w:val="20"/>
              </w:rPr>
              <w:t xml:space="preserve">$50.68 </w:t>
            </w:r>
          </w:p>
        </w:tc>
      </w:tr>
      <w:tr w:rsidR="00A52034" w:rsidTr="009F66EE" w14:paraId="0DDF7685" w14:textId="77777777">
        <w:tc>
          <w:tcPr>
            <w:tcW w:w="3775" w:type="dxa"/>
            <w:vMerge/>
            <w:shd w:val="clear" w:color="auto" w:fill="auto"/>
            <w:vAlign w:val="center"/>
          </w:tcPr>
          <w:p w:rsidR="00A52034" w:rsidP="00A52034" w:rsidRDefault="00A52034" w14:paraId="0AC393B8" w14:textId="77777777">
            <w:pPr>
              <w:spacing w:before="100" w:beforeAutospacing="1"/>
              <w:rPr>
                <w:rFonts w:cstheme="minorHAnsi"/>
                <w:sz w:val="20"/>
              </w:rPr>
            </w:pPr>
          </w:p>
        </w:tc>
        <w:tc>
          <w:tcPr>
            <w:tcW w:w="2160" w:type="dxa"/>
            <w:shd w:val="clear" w:color="auto" w:fill="auto"/>
            <w:vAlign w:val="center"/>
          </w:tcPr>
          <w:p w:rsidRPr="001B7404" w:rsidR="00A52034" w:rsidP="00A52034" w:rsidRDefault="00A52034" w14:paraId="0C06C214" w14:textId="21688797">
            <w:pPr>
              <w:spacing w:before="100" w:beforeAutospacing="1"/>
              <w:jc w:val="center"/>
              <w:rPr>
                <w:color w:val="000000"/>
                <w:sz w:val="20"/>
              </w:rPr>
            </w:pPr>
            <w:r>
              <w:rPr>
                <w:color w:val="000000"/>
                <w:sz w:val="20"/>
              </w:rPr>
              <w:t>Employer Cost: Professional and business services (Private industry)</w:t>
            </w:r>
          </w:p>
        </w:tc>
        <w:tc>
          <w:tcPr>
            <w:tcW w:w="1620" w:type="dxa"/>
            <w:shd w:val="clear" w:color="auto" w:fill="auto"/>
            <w:vAlign w:val="center"/>
          </w:tcPr>
          <w:p w:rsidRPr="001B7404" w:rsidR="00A52034" w:rsidP="00A52034" w:rsidRDefault="00A52034" w14:paraId="7A5030A2" w14:textId="42267177">
            <w:pPr>
              <w:spacing w:before="100" w:beforeAutospacing="1"/>
              <w:jc w:val="center"/>
              <w:rPr>
                <w:color w:val="000000"/>
                <w:sz w:val="20"/>
              </w:rPr>
            </w:pPr>
            <w:r>
              <w:rPr>
                <w:color w:val="000000"/>
                <w:sz w:val="20"/>
              </w:rPr>
              <w:t xml:space="preserve">$41.48 </w:t>
            </w:r>
          </w:p>
        </w:tc>
        <w:tc>
          <w:tcPr>
            <w:tcW w:w="1795" w:type="dxa"/>
            <w:vMerge/>
            <w:shd w:val="clear" w:color="auto" w:fill="auto"/>
            <w:vAlign w:val="center"/>
          </w:tcPr>
          <w:p w:rsidRPr="00FC176E" w:rsidR="00A52034" w:rsidP="00A52034" w:rsidRDefault="00A52034" w14:paraId="7166BFF8" w14:textId="77777777">
            <w:pPr>
              <w:spacing w:before="100" w:beforeAutospacing="1"/>
              <w:jc w:val="center"/>
              <w:rPr>
                <w:rFonts w:cstheme="minorHAnsi"/>
                <w:sz w:val="20"/>
              </w:rPr>
            </w:pPr>
          </w:p>
        </w:tc>
      </w:tr>
      <w:tr w:rsidR="00A52034" w:rsidTr="009F66EE" w14:paraId="43EEF82D" w14:textId="77777777">
        <w:tc>
          <w:tcPr>
            <w:tcW w:w="3775" w:type="dxa"/>
            <w:vMerge/>
            <w:shd w:val="clear" w:color="auto" w:fill="auto"/>
            <w:vAlign w:val="center"/>
          </w:tcPr>
          <w:p w:rsidR="00A52034" w:rsidP="00A52034" w:rsidRDefault="00A52034" w14:paraId="50D295AC" w14:textId="77777777">
            <w:pPr>
              <w:spacing w:before="100" w:beforeAutospacing="1"/>
              <w:rPr>
                <w:rFonts w:cstheme="minorHAnsi"/>
                <w:sz w:val="20"/>
              </w:rPr>
            </w:pPr>
          </w:p>
        </w:tc>
        <w:tc>
          <w:tcPr>
            <w:tcW w:w="2160" w:type="dxa"/>
            <w:shd w:val="clear" w:color="auto" w:fill="auto"/>
            <w:vAlign w:val="center"/>
          </w:tcPr>
          <w:p w:rsidRPr="001B7404" w:rsidR="00A52034" w:rsidP="00A52034" w:rsidRDefault="00A52034" w14:paraId="39C4BAA8" w14:textId="57DBB241">
            <w:pPr>
              <w:spacing w:before="100" w:beforeAutospacing="1"/>
              <w:jc w:val="center"/>
              <w:rPr>
                <w:color w:val="000000"/>
                <w:sz w:val="20"/>
              </w:rPr>
            </w:pPr>
            <w:r>
              <w:rPr>
                <w:color w:val="000000"/>
                <w:sz w:val="20"/>
              </w:rPr>
              <w:t>Employer Cost: Management, business, and financial (Private industry)</w:t>
            </w:r>
          </w:p>
        </w:tc>
        <w:tc>
          <w:tcPr>
            <w:tcW w:w="1620" w:type="dxa"/>
            <w:shd w:val="clear" w:color="auto" w:fill="auto"/>
            <w:vAlign w:val="center"/>
          </w:tcPr>
          <w:p w:rsidRPr="001B7404" w:rsidR="00A52034" w:rsidP="00A52034" w:rsidRDefault="00A52034" w14:paraId="4B398A55" w14:textId="22524128">
            <w:pPr>
              <w:spacing w:before="100" w:beforeAutospacing="1"/>
              <w:jc w:val="center"/>
              <w:rPr>
                <w:color w:val="000000"/>
                <w:sz w:val="20"/>
              </w:rPr>
            </w:pPr>
            <w:r>
              <w:rPr>
                <w:color w:val="000000"/>
                <w:sz w:val="20"/>
              </w:rPr>
              <w:t xml:space="preserve">$66.61 </w:t>
            </w:r>
          </w:p>
        </w:tc>
        <w:tc>
          <w:tcPr>
            <w:tcW w:w="1795" w:type="dxa"/>
            <w:vMerge/>
            <w:shd w:val="clear" w:color="auto" w:fill="auto"/>
            <w:vAlign w:val="center"/>
          </w:tcPr>
          <w:p w:rsidRPr="00FC176E" w:rsidR="00A52034" w:rsidP="00A52034" w:rsidRDefault="00A52034" w14:paraId="797CCDC5" w14:textId="77777777">
            <w:pPr>
              <w:spacing w:before="100" w:beforeAutospacing="1"/>
              <w:jc w:val="center"/>
              <w:rPr>
                <w:rFonts w:cstheme="minorHAnsi"/>
                <w:sz w:val="20"/>
              </w:rPr>
            </w:pPr>
          </w:p>
        </w:tc>
      </w:tr>
      <w:tr w:rsidR="00A52034" w:rsidTr="009F66EE" w14:paraId="171654FD" w14:textId="77777777">
        <w:tc>
          <w:tcPr>
            <w:tcW w:w="3775" w:type="dxa"/>
            <w:vMerge/>
            <w:shd w:val="clear" w:color="auto" w:fill="auto"/>
            <w:vAlign w:val="center"/>
          </w:tcPr>
          <w:p w:rsidR="00A52034" w:rsidP="00A52034" w:rsidRDefault="00A52034" w14:paraId="41B3A8B2" w14:textId="77777777">
            <w:pPr>
              <w:spacing w:before="100" w:beforeAutospacing="1"/>
              <w:rPr>
                <w:rFonts w:cstheme="minorHAnsi"/>
                <w:sz w:val="20"/>
              </w:rPr>
            </w:pPr>
          </w:p>
        </w:tc>
        <w:tc>
          <w:tcPr>
            <w:tcW w:w="2160" w:type="dxa"/>
            <w:shd w:val="clear" w:color="auto" w:fill="auto"/>
            <w:vAlign w:val="center"/>
          </w:tcPr>
          <w:p w:rsidRPr="001B7404" w:rsidR="00A52034" w:rsidP="00A52034" w:rsidRDefault="00A52034" w14:paraId="245B800B" w14:textId="489A5154">
            <w:pPr>
              <w:spacing w:before="100" w:beforeAutospacing="1"/>
              <w:jc w:val="center"/>
              <w:rPr>
                <w:color w:val="000000"/>
                <w:sz w:val="20"/>
              </w:rPr>
            </w:pPr>
            <w:r>
              <w:rPr>
                <w:color w:val="000000"/>
                <w:sz w:val="20"/>
              </w:rPr>
              <w:t>Employer Cost: Health care and social assistance</w:t>
            </w:r>
          </w:p>
        </w:tc>
        <w:tc>
          <w:tcPr>
            <w:tcW w:w="1620" w:type="dxa"/>
            <w:shd w:val="clear" w:color="auto" w:fill="auto"/>
            <w:vAlign w:val="center"/>
          </w:tcPr>
          <w:p w:rsidRPr="001B7404" w:rsidR="00A52034" w:rsidP="00A52034" w:rsidRDefault="00A52034" w14:paraId="654BF57E" w14:textId="632EED63">
            <w:pPr>
              <w:spacing w:before="100" w:beforeAutospacing="1"/>
              <w:jc w:val="center"/>
              <w:rPr>
                <w:color w:val="000000"/>
                <w:sz w:val="20"/>
              </w:rPr>
            </w:pPr>
            <w:r>
              <w:rPr>
                <w:color w:val="000000"/>
                <w:sz w:val="20"/>
              </w:rPr>
              <w:t xml:space="preserve">$35.75 </w:t>
            </w:r>
          </w:p>
        </w:tc>
        <w:tc>
          <w:tcPr>
            <w:tcW w:w="1795" w:type="dxa"/>
            <w:vMerge/>
            <w:shd w:val="clear" w:color="auto" w:fill="auto"/>
            <w:vAlign w:val="center"/>
          </w:tcPr>
          <w:p w:rsidRPr="00FC176E" w:rsidR="00A52034" w:rsidP="00A52034" w:rsidRDefault="00A52034" w14:paraId="2E15D843" w14:textId="77777777">
            <w:pPr>
              <w:spacing w:before="100" w:beforeAutospacing="1"/>
              <w:jc w:val="center"/>
              <w:rPr>
                <w:rFonts w:cstheme="minorHAnsi"/>
                <w:sz w:val="20"/>
              </w:rPr>
            </w:pPr>
          </w:p>
        </w:tc>
      </w:tr>
    </w:tbl>
    <w:p w:rsidRPr="00C17636" w:rsidR="001551C6" w:rsidP="00F4332D" w:rsidRDefault="001551C6" w14:paraId="56ACD8A6" w14:textId="77777777">
      <w:pPr>
        <w:numPr>
          <w:ilvl w:val="0"/>
          <w:numId w:val="1"/>
        </w:numPr>
        <w:spacing w:before="100" w:beforeAutospacing="1"/>
        <w:rPr>
          <w:i/>
          <w:color w:val="000000" w:themeColor="text1"/>
          <w:sz w:val="28"/>
          <w:szCs w:val="28"/>
        </w:rPr>
      </w:pPr>
      <w:r w:rsidRPr="00C17636">
        <w:rPr>
          <w:i/>
          <w:color w:val="000000" w:themeColor="text1"/>
          <w:sz w:val="28"/>
          <w:szCs w:val="28"/>
        </w:rPr>
        <w:t>Describe the monetary burden to respondents (out of pocket costs) needed to complete this collection.</w:t>
      </w:r>
    </w:p>
    <w:p w:rsidRPr="00AD5D9F" w:rsidR="00060225" w:rsidP="00F4332D" w:rsidRDefault="00C17636" w14:paraId="400031D8" w14:textId="42B83CA1">
      <w:pPr>
        <w:pStyle w:val="ListParagraph"/>
        <w:spacing w:before="100" w:beforeAutospacing="1" w:after="100" w:afterAutospacing="1"/>
        <w:ind w:left="360"/>
        <w:rPr>
          <w:i/>
          <w:color w:val="000000" w:themeColor="text1"/>
          <w:szCs w:val="24"/>
        </w:rPr>
      </w:pPr>
      <w:r w:rsidRPr="00AD5D9F">
        <w:t>There are n</w:t>
      </w:r>
      <w:r w:rsidR="00DE25A6">
        <w:t>o costs incurred by respondents.</w:t>
      </w:r>
    </w:p>
    <w:p w:rsidRPr="00AD5D9F" w:rsidR="001551C6" w:rsidP="00F4332D" w:rsidRDefault="001551C6" w14:paraId="628507A1" w14:textId="77777777">
      <w:pPr>
        <w:numPr>
          <w:ilvl w:val="0"/>
          <w:numId w:val="1"/>
        </w:numPr>
        <w:spacing w:before="100" w:beforeAutospacing="1"/>
        <w:rPr>
          <w:i/>
          <w:color w:val="000000" w:themeColor="text1"/>
          <w:sz w:val="28"/>
          <w:szCs w:val="28"/>
        </w:rPr>
      </w:pPr>
      <w:r w:rsidRPr="00AD5D9F">
        <w:rPr>
          <w:i/>
          <w:color w:val="000000" w:themeColor="text1"/>
          <w:sz w:val="28"/>
          <w:szCs w:val="28"/>
        </w:rPr>
        <w:t>Describe the cost incurred by the Federal Government to complete this collection.</w:t>
      </w:r>
    </w:p>
    <w:p w:rsidRPr="001A6A78" w:rsidR="005A1A2A" w:rsidP="00A208A6" w:rsidRDefault="001A6A78" w14:paraId="6940513D" w14:textId="63F716BD">
      <w:pPr>
        <w:pStyle w:val="ListParagraph"/>
        <w:ind w:left="360"/>
        <w:contextualSpacing w:val="0"/>
        <w:rPr>
          <w:rFonts w:cstheme="minorHAnsi"/>
          <w:szCs w:val="24"/>
        </w:rPr>
      </w:pPr>
      <w:r w:rsidRPr="001A6A78">
        <w:rPr>
          <w:rFonts w:cstheme="minorHAnsi"/>
          <w:szCs w:val="24"/>
        </w:rPr>
        <w:t xml:space="preserve">The estimated cost to the USG for the </w:t>
      </w:r>
      <w:r w:rsidR="00DE25A6">
        <w:rPr>
          <w:rFonts w:cstheme="minorHAnsi"/>
          <w:szCs w:val="24"/>
        </w:rPr>
        <w:t xml:space="preserve">Evaluation of the </w:t>
      </w:r>
      <w:r w:rsidR="00680ABE">
        <w:rPr>
          <w:rFonts w:cstheme="minorHAnsi"/>
          <w:szCs w:val="24"/>
        </w:rPr>
        <w:t>Mandela Washington Fellowship</w:t>
      </w:r>
      <w:r w:rsidRPr="001A6A78">
        <w:rPr>
          <w:rFonts w:cstheme="minorHAnsi"/>
          <w:szCs w:val="24"/>
        </w:rPr>
        <w:t xml:space="preserve"> </w:t>
      </w:r>
      <w:r w:rsidR="002462F8">
        <w:rPr>
          <w:rFonts w:cstheme="minorHAnsi"/>
          <w:szCs w:val="24"/>
        </w:rPr>
        <w:t xml:space="preserve">as related to this </w:t>
      </w:r>
      <w:r w:rsidRPr="006F4DA1" w:rsidR="002462F8">
        <w:rPr>
          <w:rFonts w:cstheme="minorHAnsi"/>
          <w:szCs w:val="24"/>
        </w:rPr>
        <w:t>collection</w:t>
      </w:r>
      <w:r w:rsidRPr="006F4DA1">
        <w:rPr>
          <w:rFonts w:cstheme="minorHAnsi"/>
          <w:szCs w:val="24"/>
        </w:rPr>
        <w:t xml:space="preserve"> is</w:t>
      </w:r>
      <w:r w:rsidRPr="006F4DA1" w:rsidR="00C73404">
        <w:rPr>
          <w:rFonts w:cstheme="minorHAnsi"/>
          <w:szCs w:val="24"/>
        </w:rPr>
        <w:t xml:space="preserve"> </w:t>
      </w:r>
      <w:r w:rsidRPr="006F4DA1" w:rsidR="00576486">
        <w:rPr>
          <w:rFonts w:cstheme="minorHAnsi"/>
          <w:szCs w:val="24"/>
        </w:rPr>
        <w:t>$</w:t>
      </w:r>
      <w:r w:rsidRPr="006F4DA1" w:rsidR="00A90615">
        <w:rPr>
          <w:rFonts w:cstheme="minorHAnsi"/>
          <w:szCs w:val="24"/>
        </w:rPr>
        <w:t>113,259</w:t>
      </w:r>
      <w:r w:rsidR="00A90615">
        <w:rPr>
          <w:rFonts w:cstheme="minorHAnsi"/>
          <w:szCs w:val="24"/>
        </w:rPr>
        <w:t>.60</w:t>
      </w:r>
      <w:r w:rsidR="00576486">
        <w:rPr>
          <w:rFonts w:cstheme="minorHAnsi"/>
          <w:szCs w:val="24"/>
        </w:rPr>
        <w:t>.</w:t>
      </w:r>
      <w:r w:rsidRPr="001A6A78">
        <w:rPr>
          <w:rFonts w:cstheme="minorHAnsi"/>
          <w:szCs w:val="24"/>
        </w:rPr>
        <w:t xml:space="preserve">  This estimate includes all direct and indirect costs of the design, data collec</w:t>
      </w:r>
      <w:r w:rsidR="004B1853">
        <w:rPr>
          <w:rFonts w:cstheme="minorHAnsi"/>
          <w:szCs w:val="24"/>
        </w:rPr>
        <w:t xml:space="preserve">tion, and analysis activities. </w:t>
      </w:r>
      <w:r w:rsidRPr="001A6A78">
        <w:rPr>
          <w:rFonts w:cstheme="minorHAnsi"/>
          <w:szCs w:val="24"/>
        </w:rPr>
        <w:t xml:space="preserve">In </w:t>
      </w:r>
      <w:r w:rsidR="00AB74A4">
        <w:rPr>
          <w:rFonts w:cstheme="minorHAnsi"/>
          <w:szCs w:val="24"/>
        </w:rPr>
        <w:t>Table 4</w:t>
      </w:r>
      <w:r w:rsidRPr="001A6A78">
        <w:rPr>
          <w:rFonts w:cstheme="minorHAnsi"/>
          <w:szCs w:val="24"/>
        </w:rPr>
        <w:t xml:space="preserve"> below, Personnel and Fringe </w:t>
      </w:r>
      <w:r w:rsidRPr="001A6A78">
        <w:rPr>
          <w:rFonts w:cstheme="minorHAnsi"/>
          <w:szCs w:val="24"/>
        </w:rPr>
        <w:lastRenderedPageBreak/>
        <w:t>Benefit costs are for the contractor (</w:t>
      </w:r>
      <w:r w:rsidR="008177F2">
        <w:rPr>
          <w:rFonts w:cstheme="minorHAnsi"/>
          <w:szCs w:val="24"/>
        </w:rPr>
        <w:t>Guidehouse</w:t>
      </w:r>
      <w:r w:rsidRPr="001A6A78">
        <w:rPr>
          <w:rFonts w:cstheme="minorHAnsi"/>
          <w:szCs w:val="24"/>
        </w:rPr>
        <w:t xml:space="preserve">) personnel who manage the evaluation. </w:t>
      </w:r>
      <w:r w:rsidR="005A1A2A">
        <w:rPr>
          <w:rFonts w:cstheme="minorHAnsi"/>
          <w:szCs w:val="24"/>
        </w:rPr>
        <w:t xml:space="preserve">The wage rates of Federal employees at DOS were estimated using Steps 1 for Grades 13 and 14 of the General Schedule in the Washington-Baltimore-Arlington, DC-MD-VA-WV-PA locality area. </w:t>
      </w:r>
      <w:r w:rsidR="005A1A2A">
        <w:rPr>
          <w:rStyle w:val="FootnoteReference"/>
          <w:rFonts w:cstheme="minorHAnsi"/>
          <w:szCs w:val="24"/>
        </w:rPr>
        <w:footnoteReference w:id="3"/>
      </w:r>
      <w:r w:rsidR="005A1A2A">
        <w:rPr>
          <w:rFonts w:cstheme="minorHAnsi"/>
          <w:szCs w:val="24"/>
        </w:rPr>
        <w:t xml:space="preserve"> The Department multiplied the hourly wage rate by 2 to account for a fringe benefits rate of 69 percent</w:t>
      </w:r>
      <w:r w:rsidR="005A1A2A">
        <w:rPr>
          <w:rStyle w:val="FootnoteReference"/>
          <w:rFonts w:cstheme="minorHAnsi"/>
          <w:szCs w:val="24"/>
        </w:rPr>
        <w:footnoteReference w:id="4"/>
      </w:r>
      <w:r w:rsidR="005A1A2A">
        <w:rPr>
          <w:rFonts w:cstheme="minorHAnsi"/>
          <w:szCs w:val="24"/>
        </w:rPr>
        <w:t xml:space="preserve"> and an overhead rate of 31 percent. </w:t>
      </w:r>
      <w:r w:rsidR="005A1A2A">
        <w:rPr>
          <w:rStyle w:val="FootnoteReference"/>
          <w:rFonts w:cstheme="minorHAnsi"/>
          <w:szCs w:val="24"/>
        </w:rPr>
        <w:footnoteReference w:id="5"/>
      </w:r>
    </w:p>
    <w:p w:rsidRPr="002B62BC" w:rsidR="001A6A78" w:rsidP="00A208A6" w:rsidRDefault="001A6A78" w14:paraId="40A8DD83" w14:textId="77777777">
      <w:pPr>
        <w:spacing w:after="0"/>
        <w:rPr>
          <w:rFonts w:cstheme="minorHAnsi"/>
          <w:szCs w:val="24"/>
        </w:rPr>
      </w:pPr>
      <w:r w:rsidRPr="002B62BC">
        <w:rPr>
          <w:rFonts w:cstheme="minorHAnsi"/>
          <w:szCs w:val="24"/>
        </w:rPr>
        <w:t xml:space="preserve">Table </w:t>
      </w:r>
      <w:r w:rsidRPr="002B62BC" w:rsidR="004814F4">
        <w:rPr>
          <w:rFonts w:cstheme="minorHAnsi"/>
          <w:szCs w:val="24"/>
        </w:rPr>
        <w:t>4</w:t>
      </w:r>
      <w:r w:rsidRPr="002B62BC">
        <w:rPr>
          <w:rFonts w:cstheme="minorHAnsi"/>
          <w:szCs w:val="24"/>
        </w:rPr>
        <w:t>. Total Cost to Federal Government</w:t>
      </w:r>
    </w:p>
    <w:tbl>
      <w:tblPr>
        <w:tblStyle w:val="TableGrid"/>
        <w:tblW w:w="0" w:type="auto"/>
        <w:tblLook w:val="04A0" w:firstRow="1" w:lastRow="0" w:firstColumn="1" w:lastColumn="0" w:noHBand="0" w:noVBand="1"/>
      </w:tblPr>
      <w:tblGrid>
        <w:gridCol w:w="7195"/>
        <w:gridCol w:w="2155"/>
      </w:tblGrid>
      <w:tr w:rsidR="001A6A78" w:rsidTr="003D0F05" w14:paraId="317BFD3E" w14:textId="77777777">
        <w:tc>
          <w:tcPr>
            <w:tcW w:w="7195" w:type="dxa"/>
            <w:shd w:val="clear" w:color="auto" w:fill="D9D9D9" w:themeFill="background1" w:themeFillShade="D9"/>
          </w:tcPr>
          <w:p w:rsidRPr="008A477A" w:rsidR="001A6A78" w:rsidP="00F4332D" w:rsidRDefault="001A6A78" w14:paraId="2946C46E" w14:textId="77777777">
            <w:pPr>
              <w:spacing w:before="100" w:beforeAutospacing="1"/>
              <w:rPr>
                <w:rFonts w:cstheme="minorHAnsi"/>
                <w:b/>
                <w:sz w:val="20"/>
                <w:szCs w:val="24"/>
              </w:rPr>
            </w:pPr>
            <w:r w:rsidRPr="008A477A">
              <w:rPr>
                <w:rFonts w:cstheme="minorHAnsi"/>
                <w:b/>
                <w:sz w:val="20"/>
                <w:szCs w:val="24"/>
              </w:rPr>
              <w:t>Cost Item</w:t>
            </w:r>
          </w:p>
        </w:tc>
        <w:tc>
          <w:tcPr>
            <w:tcW w:w="2155" w:type="dxa"/>
            <w:shd w:val="clear" w:color="auto" w:fill="D9D9D9" w:themeFill="background1" w:themeFillShade="D9"/>
          </w:tcPr>
          <w:p w:rsidRPr="008A477A" w:rsidR="001A6A78" w:rsidP="00F4332D" w:rsidRDefault="001A6A78" w14:paraId="1AEA81A3" w14:textId="77777777">
            <w:pPr>
              <w:spacing w:before="100" w:beforeAutospacing="1"/>
              <w:jc w:val="center"/>
              <w:rPr>
                <w:rFonts w:cstheme="minorHAnsi"/>
                <w:b/>
                <w:sz w:val="20"/>
                <w:szCs w:val="24"/>
              </w:rPr>
            </w:pPr>
            <w:r w:rsidRPr="008A477A">
              <w:rPr>
                <w:rFonts w:cstheme="minorHAnsi"/>
                <w:b/>
                <w:sz w:val="20"/>
                <w:szCs w:val="24"/>
              </w:rPr>
              <w:t>Total</w:t>
            </w:r>
          </w:p>
        </w:tc>
      </w:tr>
      <w:tr w:rsidR="001A6A78" w14:paraId="56A2A678" w14:textId="77777777">
        <w:tc>
          <w:tcPr>
            <w:tcW w:w="7195" w:type="dxa"/>
          </w:tcPr>
          <w:p w:rsidR="001A6A78" w:rsidP="00F4332D" w:rsidRDefault="001A6A78" w14:paraId="7CAF01BF" w14:textId="77777777">
            <w:pPr>
              <w:spacing w:before="100" w:beforeAutospacing="1"/>
              <w:rPr>
                <w:rFonts w:cstheme="minorHAnsi"/>
                <w:sz w:val="20"/>
                <w:szCs w:val="24"/>
              </w:rPr>
            </w:pPr>
            <w:r w:rsidRPr="00AD5D9F">
              <w:rPr>
                <w:rFonts w:cstheme="minorHAnsi"/>
                <w:sz w:val="20"/>
                <w:szCs w:val="24"/>
              </w:rPr>
              <w:t>Federal Staff Costs [indicate grade and step and percentage of time]</w:t>
            </w:r>
          </w:p>
          <w:p w:rsidRPr="00FC142A" w:rsidR="00AD5D9F" w:rsidP="00121A42" w:rsidRDefault="00AD5D9F" w14:paraId="36AD5216" w14:textId="07BD63E9">
            <w:pPr>
              <w:pStyle w:val="ListParagraph"/>
              <w:numPr>
                <w:ilvl w:val="0"/>
                <w:numId w:val="12"/>
              </w:numPr>
              <w:spacing w:before="100" w:beforeAutospacing="1"/>
              <w:rPr>
                <w:rFonts w:cstheme="minorHAnsi"/>
                <w:sz w:val="20"/>
                <w:szCs w:val="24"/>
              </w:rPr>
            </w:pPr>
            <w:r w:rsidRPr="00FC142A">
              <w:rPr>
                <w:rFonts w:cstheme="minorHAnsi"/>
                <w:sz w:val="20"/>
                <w:szCs w:val="24"/>
              </w:rPr>
              <w:t xml:space="preserve">GS-14, Step 1 equivalent </w:t>
            </w:r>
            <w:r w:rsidRPr="00FC142A" w:rsidR="005A1A2A">
              <w:rPr>
                <w:rFonts w:cstheme="minorHAnsi"/>
                <w:sz w:val="20"/>
                <w:szCs w:val="24"/>
              </w:rPr>
              <w:t>- $56.15/hour</w:t>
            </w:r>
            <w:r w:rsidR="00182D90">
              <w:rPr>
                <w:sz w:val="20"/>
                <w:szCs w:val="24"/>
              </w:rPr>
              <w:t>×</w:t>
            </w:r>
            <w:r w:rsidRPr="00FC142A" w:rsidR="00FC142A">
              <w:rPr>
                <w:rFonts w:cstheme="minorHAnsi"/>
                <w:sz w:val="20"/>
                <w:szCs w:val="24"/>
              </w:rPr>
              <w:t>2</w:t>
            </w:r>
            <w:r w:rsidRPr="00FC142A" w:rsidR="005A1A2A">
              <w:rPr>
                <w:rFonts w:cstheme="minorHAnsi"/>
                <w:sz w:val="20"/>
                <w:szCs w:val="24"/>
              </w:rPr>
              <w:t xml:space="preserve"> @ estimated 40 hours total</w:t>
            </w:r>
          </w:p>
          <w:p w:rsidRPr="00121A42" w:rsidR="005A1A2A" w:rsidP="00FC142A" w:rsidRDefault="005A1A2A" w14:paraId="7CE496E9" w14:textId="75AE51DF">
            <w:pPr>
              <w:pStyle w:val="ListParagraph"/>
              <w:numPr>
                <w:ilvl w:val="0"/>
                <w:numId w:val="12"/>
              </w:numPr>
              <w:spacing w:before="100" w:beforeAutospacing="1"/>
              <w:rPr>
                <w:rFonts w:cstheme="minorHAnsi"/>
                <w:sz w:val="20"/>
                <w:szCs w:val="24"/>
              </w:rPr>
            </w:pPr>
            <w:r w:rsidRPr="008902C3">
              <w:rPr>
                <w:rFonts w:cstheme="minorHAnsi"/>
                <w:sz w:val="20"/>
                <w:szCs w:val="24"/>
              </w:rPr>
              <w:t xml:space="preserve">GS-13, Step 1 equivalent - </w:t>
            </w:r>
            <w:r w:rsidRPr="008902C3" w:rsidR="00FC142A">
              <w:rPr>
                <w:rFonts w:cstheme="minorHAnsi"/>
                <w:sz w:val="20"/>
                <w:szCs w:val="24"/>
              </w:rPr>
              <w:t>$</w:t>
            </w:r>
            <w:r w:rsidRPr="008902C3">
              <w:rPr>
                <w:rFonts w:cstheme="minorHAnsi"/>
                <w:sz w:val="20"/>
                <w:szCs w:val="24"/>
              </w:rPr>
              <w:t>47.52</w:t>
            </w:r>
            <w:r w:rsidRPr="008902C3" w:rsidR="00FC142A">
              <w:rPr>
                <w:rFonts w:cstheme="minorHAnsi"/>
                <w:sz w:val="20"/>
                <w:szCs w:val="24"/>
              </w:rPr>
              <w:t>/hour</w:t>
            </w:r>
            <w:r w:rsidR="00182D90">
              <w:rPr>
                <w:sz w:val="20"/>
                <w:szCs w:val="24"/>
              </w:rPr>
              <w:t>×</w:t>
            </w:r>
            <w:r w:rsidRPr="008902C3" w:rsidR="00FC142A">
              <w:rPr>
                <w:rFonts w:cstheme="minorHAnsi"/>
                <w:sz w:val="20"/>
                <w:szCs w:val="24"/>
              </w:rPr>
              <w:t>2 @</w:t>
            </w:r>
            <w:r w:rsidRPr="008902C3">
              <w:rPr>
                <w:rFonts w:cstheme="minorHAnsi"/>
                <w:sz w:val="20"/>
                <w:szCs w:val="24"/>
              </w:rPr>
              <w:t xml:space="preserve"> estimated 120 hours</w:t>
            </w:r>
          </w:p>
        </w:tc>
        <w:tc>
          <w:tcPr>
            <w:tcW w:w="2155" w:type="dxa"/>
            <w:vAlign w:val="center"/>
          </w:tcPr>
          <w:p w:rsidRPr="008A477A" w:rsidR="001A6A78" w:rsidP="00FC142A" w:rsidRDefault="002462F8" w14:paraId="687E76DB" w14:textId="6498E856">
            <w:pPr>
              <w:spacing w:before="100" w:beforeAutospacing="1"/>
              <w:jc w:val="center"/>
              <w:rPr>
                <w:rFonts w:cstheme="minorHAnsi"/>
                <w:sz w:val="20"/>
                <w:szCs w:val="24"/>
              </w:rPr>
            </w:pPr>
            <w:r>
              <w:rPr>
                <w:rFonts w:cstheme="minorHAnsi"/>
                <w:sz w:val="20"/>
                <w:szCs w:val="24"/>
              </w:rPr>
              <w:t>$</w:t>
            </w:r>
            <w:r w:rsidR="00FC142A">
              <w:rPr>
                <w:rFonts w:cstheme="minorHAnsi"/>
                <w:sz w:val="20"/>
                <w:szCs w:val="24"/>
              </w:rPr>
              <w:t>13</w:t>
            </w:r>
            <w:r>
              <w:rPr>
                <w:rFonts w:cstheme="minorHAnsi"/>
                <w:sz w:val="20"/>
                <w:szCs w:val="24"/>
              </w:rPr>
              <w:t>,</w:t>
            </w:r>
            <w:r w:rsidR="00FC142A">
              <w:rPr>
                <w:rFonts w:cstheme="minorHAnsi"/>
                <w:sz w:val="20"/>
                <w:szCs w:val="24"/>
              </w:rPr>
              <w:t>650</w:t>
            </w:r>
            <w:r>
              <w:rPr>
                <w:rFonts w:cstheme="minorHAnsi"/>
                <w:sz w:val="20"/>
                <w:szCs w:val="24"/>
              </w:rPr>
              <w:t>.</w:t>
            </w:r>
            <w:r w:rsidR="00FC142A">
              <w:rPr>
                <w:rFonts w:cstheme="minorHAnsi"/>
                <w:sz w:val="20"/>
                <w:szCs w:val="24"/>
              </w:rPr>
              <w:t>8</w:t>
            </w:r>
            <w:r>
              <w:rPr>
                <w:rFonts w:cstheme="minorHAnsi"/>
                <w:sz w:val="20"/>
                <w:szCs w:val="24"/>
              </w:rPr>
              <w:t>0</w:t>
            </w:r>
          </w:p>
        </w:tc>
      </w:tr>
      <w:tr w:rsidR="001A6A78" w14:paraId="096D2945" w14:textId="77777777">
        <w:tc>
          <w:tcPr>
            <w:tcW w:w="7195" w:type="dxa"/>
          </w:tcPr>
          <w:p w:rsidRPr="008A477A" w:rsidR="001A6A78" w:rsidP="00F4332D" w:rsidRDefault="001A6A78" w14:paraId="38D92D8D" w14:textId="77777777">
            <w:pPr>
              <w:spacing w:before="100" w:beforeAutospacing="1"/>
              <w:rPr>
                <w:rFonts w:cstheme="minorHAnsi"/>
                <w:sz w:val="20"/>
                <w:szCs w:val="24"/>
              </w:rPr>
            </w:pPr>
            <w:r>
              <w:rPr>
                <w:rFonts w:cstheme="minorHAnsi"/>
                <w:sz w:val="20"/>
                <w:szCs w:val="24"/>
              </w:rPr>
              <w:t xml:space="preserve">Personnel </w:t>
            </w:r>
          </w:p>
        </w:tc>
        <w:tc>
          <w:tcPr>
            <w:tcW w:w="2155" w:type="dxa"/>
          </w:tcPr>
          <w:p w:rsidRPr="008A477A" w:rsidR="001A6A78" w:rsidP="003835BD" w:rsidRDefault="00092AF5" w14:paraId="7EB53989" w14:textId="3EFE7D3E">
            <w:pPr>
              <w:spacing w:before="100" w:beforeAutospacing="1"/>
              <w:jc w:val="center"/>
              <w:rPr>
                <w:rFonts w:cstheme="minorHAnsi"/>
                <w:sz w:val="20"/>
                <w:szCs w:val="24"/>
              </w:rPr>
            </w:pPr>
            <w:r w:rsidRPr="00092AF5">
              <w:rPr>
                <w:rFonts w:cstheme="minorHAnsi"/>
                <w:sz w:val="20"/>
                <w:szCs w:val="24"/>
              </w:rPr>
              <w:t>$</w:t>
            </w:r>
            <w:r w:rsidR="003F0539">
              <w:rPr>
                <w:rFonts w:cstheme="minorHAnsi"/>
                <w:sz w:val="20"/>
                <w:szCs w:val="24"/>
              </w:rPr>
              <w:t>86</w:t>
            </w:r>
            <w:r w:rsidR="003835BD">
              <w:rPr>
                <w:rFonts w:cstheme="minorHAnsi"/>
                <w:sz w:val="20"/>
                <w:szCs w:val="24"/>
              </w:rPr>
              <w:t>,</w:t>
            </w:r>
            <w:r w:rsidR="003F0539">
              <w:rPr>
                <w:rFonts w:cstheme="minorHAnsi"/>
                <w:sz w:val="20"/>
                <w:szCs w:val="24"/>
              </w:rPr>
              <w:t>838.8</w:t>
            </w:r>
            <w:r w:rsidR="003835BD">
              <w:rPr>
                <w:rFonts w:cstheme="minorHAnsi"/>
                <w:sz w:val="20"/>
                <w:szCs w:val="24"/>
              </w:rPr>
              <w:t>0</w:t>
            </w:r>
          </w:p>
        </w:tc>
      </w:tr>
      <w:tr w:rsidR="001A6A78" w14:paraId="66C68F22" w14:textId="77777777">
        <w:tc>
          <w:tcPr>
            <w:tcW w:w="7195" w:type="dxa"/>
          </w:tcPr>
          <w:p w:rsidRPr="008A477A" w:rsidR="001A6A78" w:rsidP="00F4332D" w:rsidRDefault="001A6A78" w14:paraId="3BD4F024" w14:textId="77777777">
            <w:pPr>
              <w:spacing w:before="100" w:beforeAutospacing="1"/>
              <w:rPr>
                <w:rFonts w:cstheme="minorHAnsi"/>
                <w:sz w:val="20"/>
                <w:szCs w:val="24"/>
              </w:rPr>
            </w:pPr>
            <w:r>
              <w:rPr>
                <w:rFonts w:cstheme="minorHAnsi"/>
                <w:sz w:val="20"/>
                <w:szCs w:val="24"/>
              </w:rPr>
              <w:t xml:space="preserve">Fringe Benefits </w:t>
            </w:r>
          </w:p>
        </w:tc>
        <w:tc>
          <w:tcPr>
            <w:tcW w:w="2155" w:type="dxa"/>
          </w:tcPr>
          <w:p w:rsidRPr="008A477A" w:rsidR="001A6A78" w:rsidP="00F4332D" w:rsidRDefault="001A6A78" w14:paraId="730D7821" w14:textId="77777777">
            <w:pPr>
              <w:spacing w:before="100" w:beforeAutospacing="1"/>
              <w:jc w:val="center"/>
              <w:rPr>
                <w:rFonts w:cstheme="minorHAnsi"/>
                <w:sz w:val="20"/>
                <w:szCs w:val="24"/>
              </w:rPr>
            </w:pPr>
            <w:r>
              <w:rPr>
                <w:rFonts w:cstheme="minorHAnsi"/>
                <w:sz w:val="20"/>
                <w:szCs w:val="24"/>
              </w:rPr>
              <w:t xml:space="preserve"> </w:t>
            </w:r>
            <w:r w:rsidR="00092AF5">
              <w:rPr>
                <w:rFonts w:cstheme="minorHAnsi"/>
                <w:sz w:val="20"/>
                <w:szCs w:val="24"/>
              </w:rPr>
              <w:t>NA</w:t>
            </w:r>
          </w:p>
        </w:tc>
      </w:tr>
      <w:tr w:rsidR="00787305" w14:paraId="6E5A4DD4" w14:textId="77777777">
        <w:tc>
          <w:tcPr>
            <w:tcW w:w="7195" w:type="dxa"/>
          </w:tcPr>
          <w:p w:rsidRPr="008A477A" w:rsidR="00787305" w:rsidP="00787305" w:rsidRDefault="00787305" w14:paraId="6A6E0303" w14:textId="77777777">
            <w:pPr>
              <w:spacing w:before="100" w:beforeAutospacing="1"/>
              <w:rPr>
                <w:rFonts w:cstheme="minorHAnsi"/>
                <w:sz w:val="20"/>
                <w:szCs w:val="24"/>
              </w:rPr>
            </w:pPr>
            <w:r>
              <w:rPr>
                <w:rFonts w:cstheme="minorHAnsi"/>
                <w:sz w:val="20"/>
                <w:szCs w:val="24"/>
              </w:rPr>
              <w:t>Travel</w:t>
            </w:r>
          </w:p>
        </w:tc>
        <w:tc>
          <w:tcPr>
            <w:tcW w:w="2155" w:type="dxa"/>
          </w:tcPr>
          <w:p w:rsidRPr="008A477A" w:rsidR="00787305" w:rsidP="00121A42" w:rsidRDefault="00314FE5" w14:paraId="19766701" w14:textId="46E98641">
            <w:pPr>
              <w:spacing w:before="100" w:beforeAutospacing="1"/>
              <w:jc w:val="center"/>
              <w:rPr>
                <w:rFonts w:cstheme="minorHAnsi"/>
                <w:sz w:val="20"/>
                <w:szCs w:val="24"/>
              </w:rPr>
            </w:pPr>
            <w:r w:rsidRPr="00314FE5">
              <w:rPr>
                <w:rFonts w:cstheme="minorHAnsi"/>
                <w:sz w:val="20"/>
                <w:szCs w:val="24"/>
              </w:rPr>
              <w:t>$</w:t>
            </w:r>
            <w:r w:rsidR="00121A42">
              <w:rPr>
                <w:rFonts w:cstheme="minorHAnsi"/>
                <w:sz w:val="20"/>
                <w:szCs w:val="24"/>
              </w:rPr>
              <w:t>12,770</w:t>
            </w:r>
            <w:r w:rsidRPr="00314FE5">
              <w:rPr>
                <w:rFonts w:cstheme="minorHAnsi"/>
                <w:sz w:val="20"/>
                <w:szCs w:val="24"/>
              </w:rPr>
              <w:t>.00</w:t>
            </w:r>
          </w:p>
        </w:tc>
      </w:tr>
      <w:tr w:rsidR="00787305" w14:paraId="60B8E3DF" w14:textId="77777777">
        <w:tc>
          <w:tcPr>
            <w:tcW w:w="7195" w:type="dxa"/>
          </w:tcPr>
          <w:p w:rsidRPr="008A477A" w:rsidR="00787305" w:rsidP="00787305" w:rsidRDefault="00787305" w14:paraId="1968AE43" w14:textId="77777777">
            <w:pPr>
              <w:spacing w:before="100" w:beforeAutospacing="1"/>
              <w:rPr>
                <w:rFonts w:cstheme="minorHAnsi"/>
                <w:sz w:val="20"/>
                <w:szCs w:val="24"/>
              </w:rPr>
            </w:pPr>
            <w:r>
              <w:rPr>
                <w:rFonts w:cstheme="minorHAnsi"/>
                <w:sz w:val="20"/>
                <w:szCs w:val="24"/>
              </w:rPr>
              <w:t>Equipment</w:t>
            </w:r>
          </w:p>
        </w:tc>
        <w:tc>
          <w:tcPr>
            <w:tcW w:w="2155" w:type="dxa"/>
          </w:tcPr>
          <w:p w:rsidRPr="008A477A" w:rsidR="00787305" w:rsidP="00787305" w:rsidRDefault="00092AF5" w14:paraId="5FF1F7B6" w14:textId="77777777">
            <w:pPr>
              <w:spacing w:before="100" w:beforeAutospacing="1"/>
              <w:jc w:val="center"/>
              <w:rPr>
                <w:rFonts w:cstheme="minorHAnsi"/>
                <w:sz w:val="20"/>
                <w:szCs w:val="24"/>
              </w:rPr>
            </w:pPr>
            <w:r>
              <w:rPr>
                <w:rFonts w:cstheme="minorHAnsi"/>
                <w:sz w:val="20"/>
                <w:szCs w:val="24"/>
              </w:rPr>
              <w:t>NA</w:t>
            </w:r>
          </w:p>
        </w:tc>
      </w:tr>
      <w:tr w:rsidR="00787305" w14:paraId="21413284" w14:textId="77777777">
        <w:tc>
          <w:tcPr>
            <w:tcW w:w="7195" w:type="dxa"/>
          </w:tcPr>
          <w:p w:rsidRPr="008A477A" w:rsidR="00787305" w:rsidP="00787305" w:rsidRDefault="00787305" w14:paraId="300ACB4A" w14:textId="77777777">
            <w:pPr>
              <w:spacing w:before="100" w:beforeAutospacing="1"/>
              <w:rPr>
                <w:rFonts w:cstheme="minorHAnsi"/>
                <w:sz w:val="20"/>
                <w:szCs w:val="24"/>
              </w:rPr>
            </w:pPr>
            <w:r>
              <w:rPr>
                <w:rFonts w:cstheme="minorHAnsi"/>
                <w:sz w:val="20"/>
                <w:szCs w:val="24"/>
              </w:rPr>
              <w:t>Supplies</w:t>
            </w:r>
          </w:p>
        </w:tc>
        <w:tc>
          <w:tcPr>
            <w:tcW w:w="2155" w:type="dxa"/>
          </w:tcPr>
          <w:p w:rsidRPr="008A477A" w:rsidR="00787305" w:rsidP="00456938" w:rsidRDefault="003835BD" w14:paraId="2925913A" w14:textId="70252F8E">
            <w:pPr>
              <w:spacing w:before="100" w:beforeAutospacing="1"/>
              <w:jc w:val="center"/>
              <w:rPr>
                <w:rFonts w:cstheme="minorHAnsi"/>
                <w:sz w:val="20"/>
                <w:szCs w:val="24"/>
              </w:rPr>
            </w:pPr>
            <w:r>
              <w:rPr>
                <w:rFonts w:cstheme="minorHAnsi"/>
                <w:sz w:val="20"/>
                <w:szCs w:val="24"/>
              </w:rPr>
              <w:t>NA</w:t>
            </w:r>
            <w:r w:rsidRPr="00A921ED" w:rsidR="00787305">
              <w:rPr>
                <w:rFonts w:cstheme="minorHAnsi"/>
                <w:sz w:val="20"/>
                <w:szCs w:val="24"/>
              </w:rPr>
              <w:t xml:space="preserve"> </w:t>
            </w:r>
          </w:p>
        </w:tc>
      </w:tr>
      <w:tr w:rsidR="00787305" w14:paraId="03B5CC8E" w14:textId="77777777">
        <w:tc>
          <w:tcPr>
            <w:tcW w:w="7195" w:type="dxa"/>
          </w:tcPr>
          <w:p w:rsidRPr="008A477A" w:rsidR="00787305" w:rsidP="00787305" w:rsidRDefault="00787305" w14:paraId="5D3BC0A0" w14:textId="77777777">
            <w:pPr>
              <w:spacing w:before="100" w:beforeAutospacing="1"/>
              <w:rPr>
                <w:rFonts w:cstheme="minorHAnsi"/>
                <w:sz w:val="20"/>
                <w:szCs w:val="24"/>
              </w:rPr>
            </w:pPr>
            <w:r>
              <w:rPr>
                <w:rFonts w:cstheme="minorHAnsi"/>
                <w:sz w:val="20"/>
                <w:szCs w:val="24"/>
              </w:rPr>
              <w:tab/>
              <w:t>Total Direct Costs</w:t>
            </w:r>
          </w:p>
        </w:tc>
        <w:tc>
          <w:tcPr>
            <w:tcW w:w="2155" w:type="dxa"/>
          </w:tcPr>
          <w:p w:rsidRPr="008A477A" w:rsidR="00787305" w:rsidP="00456938" w:rsidRDefault="00A90615" w14:paraId="5859AFB0" w14:textId="61EB5053">
            <w:pPr>
              <w:spacing w:before="100" w:beforeAutospacing="1"/>
              <w:jc w:val="center"/>
              <w:rPr>
                <w:rFonts w:cstheme="minorHAnsi"/>
                <w:sz w:val="20"/>
                <w:szCs w:val="24"/>
              </w:rPr>
            </w:pPr>
            <w:r>
              <w:rPr>
                <w:rFonts w:cstheme="minorHAnsi"/>
                <w:sz w:val="20"/>
                <w:szCs w:val="24"/>
              </w:rPr>
              <w:t>$12,770.00</w:t>
            </w:r>
          </w:p>
        </w:tc>
      </w:tr>
      <w:tr w:rsidR="00787305" w14:paraId="02D5C308" w14:textId="77777777">
        <w:trPr>
          <w:trHeight w:val="476"/>
        </w:trPr>
        <w:tc>
          <w:tcPr>
            <w:tcW w:w="7195" w:type="dxa"/>
            <w:tcBorders>
              <w:bottom w:val="single" w:color="auto" w:sz="12" w:space="0"/>
            </w:tcBorders>
          </w:tcPr>
          <w:p w:rsidRPr="008A477A" w:rsidR="00787305" w:rsidP="00787305" w:rsidRDefault="00787305" w14:paraId="7075205A" w14:textId="77777777">
            <w:pPr>
              <w:spacing w:before="100" w:beforeAutospacing="1"/>
              <w:rPr>
                <w:rFonts w:cstheme="minorHAnsi"/>
                <w:sz w:val="20"/>
                <w:szCs w:val="24"/>
              </w:rPr>
            </w:pPr>
            <w:r>
              <w:rPr>
                <w:rFonts w:cstheme="minorHAnsi"/>
                <w:sz w:val="20"/>
                <w:szCs w:val="24"/>
              </w:rPr>
              <w:tab/>
              <w:t xml:space="preserve">Indirect Charges [include </w:t>
            </w:r>
            <w:r w:rsidR="000B781D">
              <w:rPr>
                <w:rFonts w:cstheme="minorHAnsi"/>
                <w:sz w:val="20"/>
                <w:szCs w:val="24"/>
              </w:rPr>
              <w:t>O</w:t>
            </w:r>
            <w:r>
              <w:rPr>
                <w:rFonts w:cstheme="minorHAnsi"/>
                <w:sz w:val="20"/>
                <w:szCs w:val="24"/>
              </w:rPr>
              <w:t>verhead</w:t>
            </w:r>
            <w:r w:rsidR="000B781D">
              <w:rPr>
                <w:rFonts w:cstheme="minorHAnsi"/>
                <w:sz w:val="20"/>
                <w:szCs w:val="24"/>
              </w:rPr>
              <w:t>, Fee,</w:t>
            </w:r>
            <w:r>
              <w:rPr>
                <w:rFonts w:cstheme="minorHAnsi"/>
                <w:sz w:val="20"/>
                <w:szCs w:val="24"/>
              </w:rPr>
              <w:t xml:space="preserve"> and G&amp;A]</w:t>
            </w:r>
          </w:p>
        </w:tc>
        <w:tc>
          <w:tcPr>
            <w:tcW w:w="2155" w:type="dxa"/>
            <w:tcBorders>
              <w:bottom w:val="single" w:color="auto" w:sz="12" w:space="0"/>
            </w:tcBorders>
          </w:tcPr>
          <w:p w:rsidRPr="008A477A" w:rsidR="00787305" w:rsidP="00456938" w:rsidRDefault="00787305" w14:paraId="58670272" w14:textId="33DBF0E9">
            <w:pPr>
              <w:spacing w:after="0"/>
              <w:jc w:val="center"/>
              <w:rPr>
                <w:rFonts w:cstheme="minorHAnsi"/>
                <w:sz w:val="20"/>
                <w:szCs w:val="24"/>
              </w:rPr>
            </w:pPr>
            <w:r w:rsidRPr="00A921ED">
              <w:rPr>
                <w:rFonts w:cstheme="minorHAnsi"/>
                <w:sz w:val="20"/>
                <w:szCs w:val="24"/>
              </w:rPr>
              <w:t xml:space="preserve"> </w:t>
            </w:r>
            <w:r w:rsidR="00006CCC">
              <w:rPr>
                <w:rFonts w:cstheme="minorHAnsi"/>
                <w:sz w:val="20"/>
                <w:szCs w:val="24"/>
              </w:rPr>
              <w:t>NA</w:t>
            </w:r>
            <w:r w:rsidRPr="00A921ED">
              <w:rPr>
                <w:rFonts w:cstheme="minorHAnsi"/>
                <w:sz w:val="20"/>
                <w:szCs w:val="24"/>
              </w:rPr>
              <w:t xml:space="preserve"> </w:t>
            </w:r>
          </w:p>
        </w:tc>
      </w:tr>
      <w:tr w:rsidR="00787305" w:rsidTr="003D0F05" w14:paraId="4BB32EA0" w14:textId="77777777">
        <w:tc>
          <w:tcPr>
            <w:tcW w:w="7195" w:type="dxa"/>
            <w:tcBorders>
              <w:top w:val="single" w:color="auto" w:sz="12" w:space="0"/>
            </w:tcBorders>
            <w:shd w:val="clear" w:color="auto" w:fill="D9D9D9" w:themeFill="background1" w:themeFillShade="D9"/>
          </w:tcPr>
          <w:p w:rsidRPr="008A477A" w:rsidR="00787305" w:rsidP="00787305" w:rsidRDefault="00787305" w14:paraId="5DA7C7CC" w14:textId="77777777">
            <w:pPr>
              <w:spacing w:before="100" w:beforeAutospacing="1"/>
              <w:rPr>
                <w:rFonts w:cstheme="minorHAnsi"/>
                <w:b/>
                <w:sz w:val="20"/>
                <w:szCs w:val="24"/>
              </w:rPr>
            </w:pPr>
            <w:r w:rsidRPr="008A477A">
              <w:rPr>
                <w:rFonts w:cstheme="minorHAnsi"/>
                <w:b/>
                <w:sz w:val="20"/>
                <w:szCs w:val="24"/>
              </w:rPr>
              <w:t xml:space="preserve">Total </w:t>
            </w:r>
          </w:p>
        </w:tc>
        <w:tc>
          <w:tcPr>
            <w:tcW w:w="2155" w:type="dxa"/>
            <w:tcBorders>
              <w:top w:val="single" w:color="auto" w:sz="12" w:space="0"/>
            </w:tcBorders>
            <w:shd w:val="clear" w:color="auto" w:fill="D9D9D9" w:themeFill="background1" w:themeFillShade="D9"/>
          </w:tcPr>
          <w:p w:rsidRPr="008A477A" w:rsidR="00787305" w:rsidP="007F6E49" w:rsidRDefault="00C73404" w14:paraId="08A8B84E" w14:textId="56FFC242">
            <w:pPr>
              <w:spacing w:before="100" w:beforeAutospacing="1"/>
              <w:jc w:val="center"/>
              <w:rPr>
                <w:rFonts w:cstheme="minorHAnsi"/>
                <w:b/>
                <w:sz w:val="20"/>
                <w:szCs w:val="24"/>
              </w:rPr>
            </w:pPr>
            <w:r w:rsidRPr="006F4DA1">
              <w:rPr>
                <w:rFonts w:cstheme="minorHAnsi"/>
                <w:b/>
                <w:sz w:val="20"/>
                <w:szCs w:val="24"/>
              </w:rPr>
              <w:t>$</w:t>
            </w:r>
            <w:r w:rsidRPr="006F4DA1" w:rsidR="007F6E49">
              <w:rPr>
                <w:rFonts w:cstheme="minorHAnsi"/>
                <w:b/>
                <w:sz w:val="20"/>
                <w:szCs w:val="24"/>
              </w:rPr>
              <w:t>113</w:t>
            </w:r>
            <w:r w:rsidR="007F6E49">
              <w:rPr>
                <w:rFonts w:cstheme="minorHAnsi"/>
                <w:b/>
                <w:sz w:val="20"/>
                <w:szCs w:val="24"/>
              </w:rPr>
              <w:t>,259.60</w:t>
            </w:r>
          </w:p>
        </w:tc>
      </w:tr>
    </w:tbl>
    <w:p w:rsidR="001551C6" w:rsidP="00F4332D" w:rsidRDefault="001551C6" w14:paraId="341082FF" w14:textId="77777777">
      <w:pPr>
        <w:numPr>
          <w:ilvl w:val="0"/>
          <w:numId w:val="1"/>
        </w:numPr>
        <w:spacing w:before="100" w:beforeAutospacing="1"/>
        <w:rPr>
          <w:i/>
          <w:color w:val="000000" w:themeColor="text1"/>
          <w:sz w:val="28"/>
          <w:szCs w:val="28"/>
        </w:rPr>
      </w:pPr>
      <w:r w:rsidRPr="007F6199">
        <w:rPr>
          <w:i/>
          <w:color w:val="000000" w:themeColor="text1"/>
          <w:sz w:val="28"/>
          <w:szCs w:val="28"/>
        </w:rPr>
        <w:t>Explain any changes/adjustments to this collection since the previous submission</w:t>
      </w:r>
    </w:p>
    <w:p w:rsidRPr="00F4332D" w:rsidR="00060225" w:rsidP="00F4332D" w:rsidRDefault="00041832" w14:paraId="787E466D" w14:textId="13D66E20">
      <w:pPr>
        <w:spacing w:before="100" w:beforeAutospacing="1"/>
        <w:ind w:left="360"/>
      </w:pPr>
      <w:r>
        <w:t xml:space="preserve">This is a new collection. </w:t>
      </w:r>
    </w:p>
    <w:p w:rsidR="001551C6" w:rsidP="00F4332D" w:rsidRDefault="001551C6" w14:paraId="1F60C2FA" w14:textId="77777777">
      <w:pPr>
        <w:numPr>
          <w:ilvl w:val="0"/>
          <w:numId w:val="1"/>
        </w:numPr>
        <w:spacing w:before="100" w:beforeAutospacing="1"/>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AD5D2E" w:rsidP="00F4332D" w:rsidRDefault="00AD5D2E" w14:paraId="5E24C291" w14:textId="16D082F0">
      <w:pPr>
        <w:spacing w:before="100" w:beforeAutospacing="1"/>
        <w:ind w:left="360"/>
        <w:rPr>
          <w:rFonts w:cstheme="minorHAnsi"/>
          <w:szCs w:val="24"/>
        </w:rPr>
      </w:pPr>
      <w:r>
        <w:rPr>
          <w:rFonts w:cstheme="minorHAnsi"/>
          <w:szCs w:val="24"/>
        </w:rPr>
        <w:t xml:space="preserve">Once data have been collected and analyzed, the evaluation contractor will produce a final report for </w:t>
      </w:r>
      <w:r w:rsidR="00EF1ABF">
        <w:rPr>
          <w:rFonts w:cstheme="minorHAnsi"/>
          <w:szCs w:val="24"/>
        </w:rPr>
        <w:t xml:space="preserve">internal </w:t>
      </w:r>
      <w:r w:rsidR="00626A4A">
        <w:rPr>
          <w:rFonts w:cstheme="minorHAnsi"/>
          <w:szCs w:val="24"/>
        </w:rPr>
        <w:t xml:space="preserve">and external </w:t>
      </w:r>
      <w:r>
        <w:rPr>
          <w:rFonts w:cstheme="minorHAnsi"/>
          <w:szCs w:val="24"/>
        </w:rPr>
        <w:t>publication, and to supplement that, a summary briefing and infographic for ECA’s use.</w:t>
      </w:r>
      <w:r w:rsidR="00D932DF">
        <w:rPr>
          <w:rFonts w:cstheme="minorHAnsi"/>
          <w:szCs w:val="24"/>
        </w:rPr>
        <w:t xml:space="preserve"> The ECA Evaluation Division will publish the external version of the report, and infographic on its website (</w:t>
      </w:r>
      <w:hyperlink w:history="1" r:id="rId10">
        <w:r w:rsidR="00D932DF">
          <w:rPr>
            <w:rStyle w:val="Hyperlink"/>
          </w:rPr>
          <w:t>https://eca.state.gov/impact/eca-evaluation-</w:t>
        </w:r>
        <w:r w:rsidR="00D932DF">
          <w:rPr>
            <w:rStyle w:val="Hyperlink"/>
          </w:rPr>
          <w:lastRenderedPageBreak/>
          <w:t>division</w:t>
        </w:r>
      </w:hyperlink>
      <w:r w:rsidR="00D932DF">
        <w:t xml:space="preserve">). </w:t>
      </w:r>
      <w:r>
        <w:rPr>
          <w:rFonts w:cstheme="minorHAnsi"/>
          <w:szCs w:val="24"/>
        </w:rPr>
        <w:t xml:space="preserve"> However, the raw data </w:t>
      </w:r>
      <w:r w:rsidR="00BF259B">
        <w:rPr>
          <w:rFonts w:cstheme="minorHAnsi"/>
          <w:szCs w:val="24"/>
        </w:rPr>
        <w:t xml:space="preserve">or those of individual respondents </w:t>
      </w:r>
      <w:r>
        <w:rPr>
          <w:rFonts w:cstheme="minorHAnsi"/>
          <w:szCs w:val="24"/>
        </w:rPr>
        <w:t>will not be published in any way</w:t>
      </w:r>
      <w:r w:rsidR="00BF259B">
        <w:rPr>
          <w:rFonts w:cstheme="minorHAnsi"/>
          <w:szCs w:val="24"/>
        </w:rPr>
        <w:t xml:space="preserve"> with attribution.</w:t>
      </w:r>
    </w:p>
    <w:p w:rsidRPr="00F4332D" w:rsidR="0006433C" w:rsidP="00F4332D" w:rsidRDefault="008F49F5" w14:paraId="583BEAA8" w14:textId="4928B172">
      <w:pPr>
        <w:spacing w:before="100" w:beforeAutospacing="1"/>
        <w:ind w:left="360"/>
        <w:rPr>
          <w:rFonts w:cstheme="minorHAnsi"/>
          <w:szCs w:val="24"/>
        </w:rPr>
      </w:pPr>
      <w:r>
        <w:rPr>
          <w:rFonts w:cstheme="minorHAnsi"/>
          <w:szCs w:val="24"/>
        </w:rPr>
        <w:t xml:space="preserve">The results of this evaluation are specific to the Mandela Washington Fellowship program. As such, the data, findings, and conclusions should be considered specific to the context of this program rather than for comparison with/against other programs operated by ECA or the Department. </w:t>
      </w:r>
    </w:p>
    <w:p w:rsidR="001551C6" w:rsidP="00F4332D" w:rsidRDefault="001551C6" w14:paraId="43491509" w14:textId="77777777">
      <w:pPr>
        <w:numPr>
          <w:ilvl w:val="0"/>
          <w:numId w:val="1"/>
        </w:numPr>
        <w:spacing w:before="100" w:beforeAutospacing="1"/>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Pr="00F4332D" w:rsidR="001472AE" w:rsidP="00F4332D" w:rsidRDefault="001472AE" w14:paraId="65B8C45F" w14:textId="77777777">
      <w:pPr>
        <w:pStyle w:val="ListParagraph"/>
        <w:spacing w:before="100" w:beforeAutospacing="1"/>
        <w:ind w:left="360"/>
      </w:pPr>
      <w:r>
        <w:t xml:space="preserve">The Department will display the OMB expiration date. </w:t>
      </w:r>
    </w:p>
    <w:p w:rsidR="001551C6" w:rsidP="00F4332D" w:rsidRDefault="001551C6" w14:paraId="7C526300" w14:textId="77777777">
      <w:pPr>
        <w:numPr>
          <w:ilvl w:val="0"/>
          <w:numId w:val="1"/>
        </w:numPr>
        <w:spacing w:before="100" w:beforeAutospacing="1"/>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Pr="00F4332D" w:rsidR="001472AE" w:rsidP="00F4332D" w:rsidRDefault="001472AE" w14:paraId="7FACE5D1" w14:textId="77777777">
      <w:pPr>
        <w:pStyle w:val="ListParagraph"/>
        <w:spacing w:before="100" w:beforeAutospacing="1"/>
        <w:ind w:left="360"/>
      </w:pPr>
      <w:r>
        <w:t xml:space="preserve">The Department is not seeking exceptions to the certification statement. </w:t>
      </w:r>
    </w:p>
    <w:p w:rsidR="001551C6" w:rsidP="00F4332D" w:rsidRDefault="001551C6" w14:paraId="26F975A5" w14:textId="77777777">
      <w:pPr>
        <w:pStyle w:val="Heading1"/>
        <w:spacing w:before="100" w:beforeAutospacing="1"/>
      </w:pPr>
      <w:r>
        <w:t>B.</w:t>
      </w:r>
      <w:r>
        <w:tab/>
        <w:t>COLLECTION OF INFORMATION EMPLOYING STATISTICAL METHODS</w:t>
      </w:r>
    </w:p>
    <w:p w:rsidR="00625B32" w:rsidP="00F4332D" w:rsidRDefault="001551C6" w14:paraId="4B22F203" w14:textId="1C3F0D5C">
      <w:pPr>
        <w:spacing w:before="100" w:beforeAutospacing="1"/>
      </w:pPr>
      <w:r>
        <w:t xml:space="preserve">This collection </w:t>
      </w:r>
      <w:r w:rsidR="00625B32">
        <w:t xml:space="preserve">will employ statistical methods for </w:t>
      </w:r>
      <w:r w:rsidR="005A2B73">
        <w:t>each survey and interview</w:t>
      </w:r>
      <w:r w:rsidR="003528E6">
        <w:t xml:space="preserve">. </w:t>
      </w:r>
    </w:p>
    <w:p w:rsidR="00FA282D" w:rsidP="00F4332D" w:rsidRDefault="00340867" w14:paraId="444F98A3" w14:textId="070C4243">
      <w:pPr>
        <w:spacing w:before="100" w:beforeAutospacing="1" w:after="0"/>
        <w:rPr>
          <w:szCs w:val="24"/>
        </w:rPr>
      </w:pPr>
      <w:r>
        <w:rPr>
          <w:szCs w:val="24"/>
        </w:rPr>
        <w:t xml:space="preserve">For the U.S. Reciprocal Exchange Alumni, Professional Development Experience host organizations, and representatives from </w:t>
      </w:r>
      <w:r w:rsidRPr="00D10D73">
        <w:rPr>
          <w:szCs w:val="24"/>
        </w:rPr>
        <w:t>50 A</w:t>
      </w:r>
      <w:r>
        <w:rPr>
          <w:szCs w:val="24"/>
        </w:rPr>
        <w:t xml:space="preserve">cademic and Leadership Institutes, a census will be taken as we anticipate that a portion of the existing contact data may be out of date and it may not be possible to update it prior to data collection. </w:t>
      </w:r>
      <w:r w:rsidRPr="00AC4D01" w:rsidR="00FA282D">
        <w:rPr>
          <w:szCs w:val="24"/>
        </w:rPr>
        <w:t xml:space="preserve">The respondent </w:t>
      </w:r>
      <w:r w:rsidR="009F552F">
        <w:rPr>
          <w:szCs w:val="24"/>
        </w:rPr>
        <w:t>population</w:t>
      </w:r>
      <w:r w:rsidRPr="00AC4D01" w:rsidR="00FA282D">
        <w:rPr>
          <w:szCs w:val="24"/>
        </w:rPr>
        <w:t xml:space="preserve"> for this evaluation in</w:t>
      </w:r>
      <w:r w:rsidR="005A2B73">
        <w:rPr>
          <w:szCs w:val="24"/>
        </w:rPr>
        <w:t xml:space="preserve">cludes the following: 172 U.S. Reciprocal Exchange Alumni, representatives </w:t>
      </w:r>
      <w:r w:rsidR="009F552F">
        <w:rPr>
          <w:szCs w:val="24"/>
        </w:rPr>
        <w:t xml:space="preserve">from </w:t>
      </w:r>
      <w:r w:rsidRPr="00D10D73" w:rsidR="00D10D73">
        <w:rPr>
          <w:szCs w:val="24"/>
        </w:rPr>
        <w:t>50 A</w:t>
      </w:r>
      <w:r w:rsidR="005A2B73">
        <w:rPr>
          <w:szCs w:val="24"/>
        </w:rPr>
        <w:t>cademic and Leadership Insti</w:t>
      </w:r>
      <w:r w:rsidR="00D10D73">
        <w:rPr>
          <w:szCs w:val="24"/>
        </w:rPr>
        <w:t>tutes, and 407 P</w:t>
      </w:r>
      <w:r w:rsidR="005A2B73">
        <w:rPr>
          <w:szCs w:val="24"/>
        </w:rPr>
        <w:t xml:space="preserve">rofessional Development </w:t>
      </w:r>
      <w:r w:rsidR="00D10D73">
        <w:rPr>
          <w:szCs w:val="24"/>
        </w:rPr>
        <w:t xml:space="preserve">Experience </w:t>
      </w:r>
      <w:r w:rsidR="005A2B73">
        <w:rPr>
          <w:szCs w:val="24"/>
        </w:rPr>
        <w:t xml:space="preserve">host organizations. </w:t>
      </w:r>
      <w:r w:rsidR="00392FD7">
        <w:rPr>
          <w:szCs w:val="24"/>
        </w:rPr>
        <w:t xml:space="preserve">Surveys will be sent to </w:t>
      </w:r>
      <w:r w:rsidR="00A17F2A">
        <w:rPr>
          <w:szCs w:val="24"/>
        </w:rPr>
        <w:t>the respondent population</w:t>
      </w:r>
      <w:r w:rsidR="00392FD7">
        <w:rPr>
          <w:szCs w:val="24"/>
        </w:rPr>
        <w:t xml:space="preserve">. Interviews will sample a subset of the overall population of these stakeholders. </w:t>
      </w:r>
      <w:r w:rsidR="005A2B73">
        <w:rPr>
          <w:szCs w:val="24"/>
        </w:rPr>
        <w:t>The evaluation team will also survey and interview U.S. community members who interacted with Fellows as home stay hosts, peer collaborato</w:t>
      </w:r>
      <w:r w:rsidR="00A9114D">
        <w:rPr>
          <w:szCs w:val="24"/>
        </w:rPr>
        <w:t xml:space="preserve">rs/professional mentors, and </w:t>
      </w:r>
      <w:r w:rsidR="005A2B73">
        <w:rPr>
          <w:szCs w:val="24"/>
        </w:rPr>
        <w:t>site visit and/or community service organizations.</w:t>
      </w:r>
      <w:r w:rsidRPr="00AC4D01" w:rsidR="00FA282D">
        <w:rPr>
          <w:szCs w:val="24"/>
        </w:rPr>
        <w:t xml:space="preserve"> </w:t>
      </w:r>
      <w:r w:rsidR="009F552F">
        <w:rPr>
          <w:szCs w:val="24"/>
        </w:rPr>
        <w:t xml:space="preserve">The specific numbers of these will depend on Academic and Leadership Institute recommendations. </w:t>
      </w:r>
      <w:r w:rsidR="003528E6">
        <w:rPr>
          <w:szCs w:val="24"/>
        </w:rPr>
        <w:t>Additional information on methods and techniques are discussed below</w:t>
      </w:r>
      <w:r>
        <w:rPr>
          <w:szCs w:val="24"/>
        </w:rPr>
        <w:t>.</w:t>
      </w:r>
    </w:p>
    <w:p w:rsidR="00C541F7" w:rsidP="00C541F7" w:rsidRDefault="00C541F7" w14:paraId="01D63FA9" w14:textId="77777777">
      <w:pPr>
        <w:pStyle w:val="Heading2"/>
        <w:spacing w:before="0"/>
        <w:rPr>
          <w:rFonts w:ascii="Times New Roman" w:hAnsi="Times New Roman" w:cs="Times New Roman"/>
          <w:sz w:val="24"/>
          <w:szCs w:val="24"/>
        </w:rPr>
      </w:pPr>
      <w:bookmarkStart w:name="_Toc532291120" w:id="4"/>
    </w:p>
    <w:p w:rsidRPr="00C541F7" w:rsidR="00C541F7" w:rsidP="00C541F7" w:rsidRDefault="00C541F7" w14:paraId="3A47D9A0" w14:textId="4F657214">
      <w:pPr>
        <w:pStyle w:val="Heading2"/>
        <w:spacing w:before="0"/>
        <w:rPr>
          <w:rFonts w:ascii="Times New Roman" w:hAnsi="Times New Roman" w:cs="Times New Roman"/>
          <w:b/>
          <w:sz w:val="24"/>
          <w:szCs w:val="24"/>
        </w:rPr>
      </w:pPr>
      <w:r w:rsidRPr="00C541F7">
        <w:rPr>
          <w:rFonts w:ascii="Times New Roman" w:hAnsi="Times New Roman" w:cs="Times New Roman"/>
          <w:b/>
          <w:sz w:val="24"/>
          <w:szCs w:val="24"/>
        </w:rPr>
        <w:t>Data Collection Methods and Techniques</w:t>
      </w:r>
      <w:bookmarkEnd w:id="4"/>
    </w:p>
    <w:p w:rsidRPr="00C541F7" w:rsidR="00C541F7" w:rsidP="00C541F7" w:rsidRDefault="00C541F7" w14:paraId="7174B28D" w14:textId="77777777">
      <w:pPr>
        <w:spacing w:after="0" w:line="259" w:lineRule="auto"/>
        <w:rPr>
          <w:szCs w:val="24"/>
        </w:rPr>
      </w:pPr>
      <w:r w:rsidRPr="00C541F7">
        <w:rPr>
          <w:szCs w:val="24"/>
        </w:rPr>
        <w:t xml:space="preserve">A variety of information gathering methods will be used to collect multiple lines of evidence which include: </w:t>
      </w:r>
    </w:p>
    <w:p w:rsidRPr="00C541F7" w:rsidR="00C541F7" w:rsidP="00C541F7" w:rsidRDefault="00C541F7" w14:paraId="24F2CCDA" w14:textId="77777777">
      <w:pPr>
        <w:numPr>
          <w:ilvl w:val="0"/>
          <w:numId w:val="25"/>
        </w:numPr>
        <w:spacing w:after="0" w:line="259" w:lineRule="auto"/>
        <w:rPr>
          <w:szCs w:val="24"/>
        </w:rPr>
      </w:pPr>
      <w:r w:rsidRPr="00C541F7">
        <w:rPr>
          <w:szCs w:val="24"/>
        </w:rPr>
        <w:t>Document and records review</w:t>
      </w:r>
    </w:p>
    <w:p w:rsidRPr="00C541F7" w:rsidR="00C541F7" w:rsidP="00C541F7" w:rsidRDefault="00C541F7" w14:paraId="11A983F7" w14:textId="77777777">
      <w:pPr>
        <w:numPr>
          <w:ilvl w:val="0"/>
          <w:numId w:val="25"/>
        </w:numPr>
        <w:spacing w:after="0" w:line="259" w:lineRule="auto"/>
        <w:rPr>
          <w:szCs w:val="24"/>
        </w:rPr>
      </w:pPr>
      <w:r w:rsidRPr="00C541F7">
        <w:rPr>
          <w:szCs w:val="24"/>
        </w:rPr>
        <w:t>Online surveys with key actors and stakeholders</w:t>
      </w:r>
    </w:p>
    <w:p w:rsidRPr="00C541F7" w:rsidR="00C541F7" w:rsidP="00C541F7" w:rsidRDefault="00C541F7" w14:paraId="2F385A1F" w14:textId="77777777">
      <w:pPr>
        <w:numPr>
          <w:ilvl w:val="0"/>
          <w:numId w:val="25"/>
        </w:numPr>
        <w:spacing w:after="0" w:line="259" w:lineRule="auto"/>
        <w:rPr>
          <w:szCs w:val="24"/>
        </w:rPr>
      </w:pPr>
      <w:r w:rsidRPr="00C541F7">
        <w:rPr>
          <w:szCs w:val="24"/>
        </w:rPr>
        <w:t>One on One Interviews (remote and in-person)</w:t>
      </w:r>
    </w:p>
    <w:p w:rsidRPr="00C541F7" w:rsidR="00C541F7" w:rsidP="00C541F7" w:rsidRDefault="00C541F7" w14:paraId="1FE6245D" w14:textId="4A34A735">
      <w:pPr>
        <w:numPr>
          <w:ilvl w:val="0"/>
          <w:numId w:val="25"/>
        </w:numPr>
        <w:spacing w:after="0" w:line="259" w:lineRule="auto"/>
        <w:rPr>
          <w:szCs w:val="24"/>
        </w:rPr>
      </w:pPr>
      <w:r w:rsidRPr="00C541F7">
        <w:rPr>
          <w:szCs w:val="24"/>
        </w:rPr>
        <w:t>Focus group discussions (in-person)</w:t>
      </w:r>
      <w:r w:rsidR="008177F2">
        <w:rPr>
          <w:szCs w:val="24"/>
        </w:rPr>
        <w:t>, and</w:t>
      </w:r>
    </w:p>
    <w:p w:rsidRPr="00C541F7" w:rsidR="00C541F7" w:rsidP="00C541F7" w:rsidRDefault="00C541F7" w14:paraId="3D74FAE0" w14:textId="77777777">
      <w:pPr>
        <w:numPr>
          <w:ilvl w:val="0"/>
          <w:numId w:val="25"/>
        </w:numPr>
        <w:spacing w:after="0" w:line="259" w:lineRule="auto"/>
        <w:rPr>
          <w:szCs w:val="24"/>
        </w:rPr>
      </w:pPr>
      <w:r w:rsidRPr="00C541F7">
        <w:rPr>
          <w:szCs w:val="24"/>
        </w:rPr>
        <w:t>Fellowship Experience Maps</w:t>
      </w:r>
    </w:p>
    <w:p w:rsidRPr="00C541F7" w:rsidR="00C541F7" w:rsidP="00C541F7" w:rsidRDefault="00C541F7" w14:paraId="4BC93EA3" w14:textId="77777777">
      <w:pPr>
        <w:spacing w:after="0" w:line="259" w:lineRule="auto"/>
        <w:rPr>
          <w:szCs w:val="24"/>
        </w:rPr>
      </w:pPr>
    </w:p>
    <w:p w:rsidRPr="00C541F7" w:rsidR="00C541F7" w:rsidP="00C541F7" w:rsidRDefault="00ED6E66" w14:paraId="45097471" w14:textId="2F42B350">
      <w:pPr>
        <w:spacing w:after="0" w:line="259" w:lineRule="auto"/>
        <w:rPr>
          <w:szCs w:val="24"/>
        </w:rPr>
      </w:pPr>
      <w:r>
        <w:rPr>
          <w:szCs w:val="24"/>
        </w:rPr>
        <w:t>Domestic d</w:t>
      </w:r>
      <w:r w:rsidRPr="00C541F7" w:rsidR="00C541F7">
        <w:rPr>
          <w:szCs w:val="24"/>
        </w:rPr>
        <w:t xml:space="preserve">ata collection </w:t>
      </w:r>
      <w:r>
        <w:rPr>
          <w:szCs w:val="24"/>
        </w:rPr>
        <w:t>will leverage both</w:t>
      </w:r>
      <w:r w:rsidRPr="00C541F7" w:rsidR="00C541F7">
        <w:rPr>
          <w:szCs w:val="24"/>
        </w:rPr>
        <w:t xml:space="preserve"> online and remote techniques. Domestic fieldwork will include site visits to collect data from various stakeholders throu</w:t>
      </w:r>
      <w:r>
        <w:rPr>
          <w:szCs w:val="24"/>
        </w:rPr>
        <w:t xml:space="preserve">gh interviews and focus groups. </w:t>
      </w:r>
      <w:r w:rsidR="00061F3B">
        <w:rPr>
          <w:szCs w:val="24"/>
        </w:rPr>
        <w:t>Both q</w:t>
      </w:r>
      <w:r w:rsidRPr="00C541F7" w:rsidR="00C541F7">
        <w:rPr>
          <w:szCs w:val="24"/>
        </w:rPr>
        <w:t>ualitative</w:t>
      </w:r>
      <w:r w:rsidR="00061F3B">
        <w:rPr>
          <w:szCs w:val="24"/>
        </w:rPr>
        <w:t xml:space="preserve"> and quantitative (survey)</w:t>
      </w:r>
      <w:r w:rsidRPr="00C541F7" w:rsidR="00C541F7">
        <w:rPr>
          <w:szCs w:val="24"/>
        </w:rPr>
        <w:t xml:space="preserve"> data will be de-identified </w:t>
      </w:r>
      <w:r w:rsidR="00061F3B">
        <w:rPr>
          <w:szCs w:val="24"/>
        </w:rPr>
        <w:t>before</w:t>
      </w:r>
      <w:r w:rsidRPr="00C541F7" w:rsidR="00061F3B">
        <w:rPr>
          <w:szCs w:val="24"/>
        </w:rPr>
        <w:t xml:space="preserve"> </w:t>
      </w:r>
      <w:r w:rsidRPr="00C541F7" w:rsidR="00C541F7">
        <w:rPr>
          <w:szCs w:val="24"/>
        </w:rPr>
        <w:t>be</w:t>
      </w:r>
      <w:r w:rsidR="00061F3B">
        <w:rPr>
          <w:szCs w:val="24"/>
        </w:rPr>
        <w:t>ing</w:t>
      </w:r>
      <w:r w:rsidRPr="00C541F7" w:rsidR="00C541F7">
        <w:rPr>
          <w:szCs w:val="24"/>
        </w:rPr>
        <w:t xml:space="preserve"> provided to ECA following completion of the evaluation.  </w:t>
      </w:r>
    </w:p>
    <w:p w:rsidRPr="00C541F7" w:rsidR="00C541F7" w:rsidP="00C541F7" w:rsidRDefault="00C541F7" w14:paraId="16270075" w14:textId="275FE7CB">
      <w:pPr>
        <w:spacing w:after="0" w:line="259" w:lineRule="auto"/>
        <w:rPr>
          <w:szCs w:val="24"/>
        </w:rPr>
      </w:pPr>
    </w:p>
    <w:p w:rsidRPr="00C541F7" w:rsidR="00C541F7" w:rsidP="0075404E" w:rsidRDefault="00C541F7" w14:paraId="5D223A17" w14:textId="77921B74">
      <w:pPr>
        <w:pStyle w:val="GHBodytext"/>
        <w:spacing w:after="0"/>
        <w:rPr>
          <w:rFonts w:ascii="Times New Roman" w:hAnsi="Times New Roman"/>
          <w:b/>
          <w:i/>
        </w:rPr>
      </w:pPr>
      <w:r w:rsidRPr="00C541F7">
        <w:rPr>
          <w:rFonts w:ascii="Times New Roman" w:hAnsi="Times New Roman"/>
          <w:b/>
          <w:i/>
        </w:rPr>
        <w:t>Online Surveys</w:t>
      </w:r>
    </w:p>
    <w:p w:rsidR="0051497D" w:rsidP="00C541F7" w:rsidRDefault="0075404E" w14:paraId="58D3489D" w14:textId="2CE5D49D">
      <w:pPr>
        <w:spacing w:after="0" w:line="259" w:lineRule="auto"/>
      </w:pPr>
      <w:r>
        <w:rPr>
          <w:szCs w:val="24"/>
        </w:rPr>
        <w:t xml:space="preserve">The evaluation team </w:t>
      </w:r>
      <w:r w:rsidRPr="00C541F7" w:rsidR="00C541F7">
        <w:rPr>
          <w:szCs w:val="24"/>
        </w:rPr>
        <w:t>will utilize surveys as a means for data collection using the Qualtrics survey tool.</w:t>
      </w:r>
      <w:r w:rsidRPr="0075404E">
        <w:rPr>
          <w:szCs w:val="24"/>
        </w:rPr>
        <w:t xml:space="preserve"> </w:t>
      </w:r>
      <w:r>
        <w:rPr>
          <w:szCs w:val="24"/>
        </w:rPr>
        <w:t>The evaluation team</w:t>
      </w:r>
      <w:r w:rsidRPr="00C541F7" w:rsidR="00C541F7">
        <w:rPr>
          <w:szCs w:val="24"/>
        </w:rPr>
        <w:t xml:space="preserve"> </w:t>
      </w:r>
      <w:r>
        <w:rPr>
          <w:szCs w:val="24"/>
        </w:rPr>
        <w:t xml:space="preserve">will customize electronic surveys for each </w:t>
      </w:r>
      <w:r w:rsidRPr="00C541F7" w:rsidR="00C541F7">
        <w:rPr>
          <w:szCs w:val="24"/>
        </w:rPr>
        <w:t>key stakeho</w:t>
      </w:r>
      <w:r>
        <w:rPr>
          <w:szCs w:val="24"/>
        </w:rPr>
        <w:t>lder groups</w:t>
      </w:r>
      <w:r w:rsidRPr="00C541F7" w:rsidR="00C541F7">
        <w:rPr>
          <w:szCs w:val="24"/>
        </w:rPr>
        <w:t xml:space="preserve">. </w:t>
      </w:r>
      <w:r w:rsidR="00466282">
        <w:t xml:space="preserve">Wherever possible, questions and scales were </w:t>
      </w:r>
      <w:r w:rsidR="0051497D">
        <w:t>designed</w:t>
      </w:r>
      <w:r w:rsidR="00466282">
        <w:t xml:space="preserve"> for </w:t>
      </w:r>
      <w:r w:rsidR="0051497D">
        <w:t xml:space="preserve">simplicity and </w:t>
      </w:r>
      <w:r w:rsidR="00466282">
        <w:t xml:space="preserve">parsimoniousness.  As much as possible, response categories were limited to multiple choice and no more than five-point scale options to reduce the time required to respond to the questions.  </w:t>
      </w:r>
    </w:p>
    <w:p w:rsidR="0051497D" w:rsidP="00C541F7" w:rsidRDefault="0051497D" w14:paraId="0E7E9003" w14:textId="77777777">
      <w:pPr>
        <w:spacing w:after="0" w:line="259" w:lineRule="auto"/>
      </w:pPr>
    </w:p>
    <w:p w:rsidR="00466282" w:rsidP="00C541F7" w:rsidRDefault="0051497D" w14:paraId="02429A68" w14:textId="0E452A90">
      <w:pPr>
        <w:spacing w:after="0" w:line="259" w:lineRule="auto"/>
      </w:pPr>
      <w:r>
        <w:t xml:space="preserve">The invitation to complete the survey will include an estimated completion time, which should encourage participation.  </w:t>
      </w:r>
    </w:p>
    <w:p w:rsidRPr="00C541F7" w:rsidR="00466282" w:rsidP="00C541F7" w:rsidRDefault="00466282" w14:paraId="5DBAE346" w14:textId="77777777">
      <w:pPr>
        <w:spacing w:after="0" w:line="259" w:lineRule="auto"/>
        <w:rPr>
          <w:szCs w:val="24"/>
        </w:rPr>
      </w:pPr>
    </w:p>
    <w:p w:rsidRPr="00C541F7" w:rsidR="00C541F7" w:rsidP="00C541F7" w:rsidRDefault="00C541F7" w14:paraId="5995CC01" w14:textId="081A48A1">
      <w:pPr>
        <w:spacing w:after="0" w:line="259" w:lineRule="auto"/>
        <w:rPr>
          <w:szCs w:val="24"/>
        </w:rPr>
      </w:pPr>
      <w:r w:rsidRPr="00C541F7">
        <w:rPr>
          <w:szCs w:val="24"/>
        </w:rPr>
        <w:t xml:space="preserve">The surveys </w:t>
      </w:r>
      <w:r w:rsidR="00A9114D">
        <w:rPr>
          <w:szCs w:val="24"/>
        </w:rPr>
        <w:t>will be developed in Qualtrics,</w:t>
      </w:r>
      <w:r w:rsidRPr="00C541F7">
        <w:rPr>
          <w:szCs w:val="24"/>
        </w:rPr>
        <w:t xml:space="preserve"> a sophisticated electronic survey tool. Each target key group will have its own survey structure that follows a logic based on the key group and sub-group</w:t>
      </w:r>
      <w:r w:rsidR="0075404E">
        <w:rPr>
          <w:szCs w:val="24"/>
        </w:rPr>
        <w:t xml:space="preserve">. </w:t>
      </w:r>
      <w:r w:rsidRPr="00C541F7">
        <w:rPr>
          <w:szCs w:val="24"/>
        </w:rPr>
        <w:t xml:space="preserve">Each survey will be open for a period of </w:t>
      </w:r>
      <w:r w:rsidR="00626A4A">
        <w:rPr>
          <w:szCs w:val="24"/>
        </w:rPr>
        <w:t xml:space="preserve">4 – </w:t>
      </w:r>
      <w:r w:rsidR="0051497D">
        <w:rPr>
          <w:szCs w:val="24"/>
        </w:rPr>
        <w:t>6</w:t>
      </w:r>
      <w:r w:rsidRPr="00C541F7" w:rsidR="0051497D">
        <w:rPr>
          <w:szCs w:val="24"/>
        </w:rPr>
        <w:t xml:space="preserve"> </w:t>
      </w:r>
      <w:r w:rsidRPr="00C541F7">
        <w:rPr>
          <w:szCs w:val="24"/>
        </w:rPr>
        <w:t>weeks.</w:t>
      </w:r>
    </w:p>
    <w:p w:rsidR="00C541F7" w:rsidP="00C541F7" w:rsidRDefault="00C541F7" w14:paraId="62C024AB" w14:textId="7C67799B">
      <w:pPr>
        <w:spacing w:after="0" w:line="259" w:lineRule="auto"/>
      </w:pPr>
    </w:p>
    <w:p w:rsidR="00466282" w:rsidP="004E353A" w:rsidRDefault="005D0931" w14:paraId="23F8CD33" w14:textId="224C4509">
      <w:pPr>
        <w:spacing w:after="0" w:line="259" w:lineRule="auto"/>
        <w:rPr>
          <w:szCs w:val="24"/>
        </w:rPr>
      </w:pPr>
      <w:r>
        <w:rPr>
          <w:szCs w:val="24"/>
        </w:rPr>
        <w:t>The evaluation team</w:t>
      </w:r>
      <w:r w:rsidRPr="00C541F7" w:rsidR="00C541F7">
        <w:rPr>
          <w:szCs w:val="24"/>
        </w:rPr>
        <w:t xml:space="preserve"> will track diagnostics through our Qualtrics tool to confirm adequate survey coverage of key groups (e.g., at least </w:t>
      </w:r>
      <w:r w:rsidR="00B9625D">
        <w:rPr>
          <w:szCs w:val="24"/>
        </w:rPr>
        <w:t>3</w:t>
      </w:r>
      <w:r w:rsidRPr="00C541F7" w:rsidR="00C541F7">
        <w:rPr>
          <w:szCs w:val="24"/>
        </w:rPr>
        <w:t xml:space="preserve">0% response for each survey stakeholder group). The study population requires </w:t>
      </w:r>
      <w:proofErr w:type="gramStart"/>
      <w:r w:rsidRPr="00C541F7" w:rsidR="00C541F7">
        <w:rPr>
          <w:szCs w:val="24"/>
        </w:rPr>
        <w:t>sufficient</w:t>
      </w:r>
      <w:proofErr w:type="gramEnd"/>
      <w:r w:rsidRPr="00C541F7" w:rsidR="00C541F7">
        <w:rPr>
          <w:szCs w:val="24"/>
        </w:rPr>
        <w:t xml:space="preserve"> coverage from each of the Alumni cohorts and the key groups. </w:t>
      </w:r>
      <w:r w:rsidR="005E2DF8">
        <w:rPr>
          <w:szCs w:val="24"/>
        </w:rPr>
        <w:t>The evaluation team</w:t>
      </w:r>
      <w:r w:rsidRPr="00C541F7" w:rsidR="00C541F7">
        <w:rPr>
          <w:szCs w:val="24"/>
        </w:rPr>
        <w:t xml:space="preserve"> will use the Qualtrics diagnostics to track response rates and develop customized targeted outreach efforts to facilitate </w:t>
      </w:r>
      <w:proofErr w:type="gramStart"/>
      <w:r w:rsidRPr="00C541F7" w:rsidR="00C541F7">
        <w:rPr>
          <w:szCs w:val="24"/>
        </w:rPr>
        <w:t>sufficient</w:t>
      </w:r>
      <w:proofErr w:type="gramEnd"/>
      <w:r w:rsidRPr="00C541F7" w:rsidR="00C541F7">
        <w:rPr>
          <w:szCs w:val="24"/>
        </w:rPr>
        <w:t xml:space="preserve"> survey participation. </w:t>
      </w:r>
    </w:p>
    <w:p w:rsidRPr="0051497D" w:rsidR="0051497D" w:rsidP="004E353A" w:rsidRDefault="0051497D" w14:paraId="63013918" w14:textId="77777777">
      <w:pPr>
        <w:spacing w:after="0" w:line="259" w:lineRule="auto"/>
        <w:rPr>
          <w:szCs w:val="24"/>
        </w:rPr>
      </w:pPr>
    </w:p>
    <w:p w:rsidR="00CB6002" w:rsidP="00466282" w:rsidRDefault="00466282" w14:paraId="67BBF0A8" w14:textId="081693EE">
      <w:pPr>
        <w:spacing w:after="0" w:line="259" w:lineRule="auto"/>
        <w:rPr>
          <w:szCs w:val="24"/>
        </w:rPr>
      </w:pPr>
      <w:r>
        <w:t>The survey</w:t>
      </w:r>
      <w:r w:rsidR="00CB6002">
        <w:t>s</w:t>
      </w:r>
      <w:r>
        <w:t xml:space="preserve"> will be open for </w:t>
      </w:r>
      <w:r w:rsidR="0051497D">
        <w:t>4-6</w:t>
      </w:r>
      <w:r>
        <w:t xml:space="preserve"> weeks, and after the initial invitation, anyone who has not completed the survey will receive email reminders at two weeks, one week, four days, and one day to the survey closing to encourage additional responses.  Those who have completed the surveys will not receive the reminders.</w:t>
      </w:r>
      <w:r w:rsidR="0051497D">
        <w:t xml:space="preserve"> </w:t>
      </w:r>
      <w:r w:rsidR="005E2DF8">
        <w:rPr>
          <w:szCs w:val="24"/>
        </w:rPr>
        <w:t>S</w:t>
      </w:r>
      <w:r w:rsidRPr="00C541F7" w:rsidR="00C541F7">
        <w:rPr>
          <w:szCs w:val="24"/>
        </w:rPr>
        <w:t>urvey data will yield quantitative and some qualitative data to include insights to relationships formed, skills developed, knowledge gained, professional and business opportunities for Alumni</w:t>
      </w:r>
      <w:r w:rsidR="002873C3">
        <w:rPr>
          <w:szCs w:val="24"/>
        </w:rPr>
        <w:t xml:space="preserve"> and U.S. participants, benefits to communities, and </w:t>
      </w:r>
      <w:r w:rsidR="00F4668C">
        <w:rPr>
          <w:szCs w:val="24"/>
        </w:rPr>
        <w:t xml:space="preserve">program </w:t>
      </w:r>
      <w:r w:rsidR="002873C3">
        <w:rPr>
          <w:szCs w:val="24"/>
        </w:rPr>
        <w:t>components</w:t>
      </w:r>
      <w:r w:rsidRPr="00C541F7" w:rsidR="00C541F7">
        <w:rPr>
          <w:szCs w:val="24"/>
        </w:rPr>
        <w:t xml:space="preserve"> worked or did not work. </w:t>
      </w:r>
    </w:p>
    <w:p w:rsidR="0054183E" w:rsidP="00CB6002" w:rsidRDefault="00507CBC" w14:paraId="3722ADC2" w14:textId="1EBC016A">
      <w:pPr>
        <w:spacing w:before="100" w:beforeAutospacing="1"/>
      </w:pPr>
      <w:r>
        <w:t xml:space="preserve">The survey will be sent to those available contacts for the following stakeholder groups: Academic and Leadership </w:t>
      </w:r>
      <w:r w:rsidR="00367246">
        <w:t xml:space="preserve">Institute </w:t>
      </w:r>
      <w:r>
        <w:t>staff, Reciprocal Exchange Awardees/Alumni, Professional Development Experience hosts</w:t>
      </w:r>
      <w:r w:rsidR="00CB6002">
        <w:t xml:space="preserve">, </w:t>
      </w:r>
      <w:r>
        <w:t xml:space="preserve">the invitation to participate will include a request to distribute to peers (for Academic and Leadership </w:t>
      </w:r>
      <w:r w:rsidR="00367246">
        <w:t xml:space="preserve">Institute </w:t>
      </w:r>
      <w:r>
        <w:t xml:space="preserve">staff and Professional Development Experience hosts, only one point of contact is available). </w:t>
      </w:r>
      <w:r w:rsidR="0054183E">
        <w:t xml:space="preserve">To preserve anonymity and confidentiality, the survey requests that participants </w:t>
      </w:r>
      <w:r w:rsidR="00EC24D8">
        <w:t xml:space="preserve">only </w:t>
      </w:r>
      <w:r w:rsidR="0054183E">
        <w:t xml:space="preserve">provide </w:t>
      </w:r>
      <w:r w:rsidR="00EC24D8">
        <w:t xml:space="preserve">their </w:t>
      </w:r>
      <w:r w:rsidR="0054183E">
        <w:t xml:space="preserve">name and contact information if they would like to participate in a follow-up interview. Due to this, the evaluation team will have limited ability to validate respondents against known persons associated with the Fellowship. </w:t>
      </w:r>
    </w:p>
    <w:p w:rsidR="00507CBC" w:rsidP="00CB6002" w:rsidRDefault="00507CBC" w14:paraId="67130095" w14:textId="1A79363E">
      <w:pPr>
        <w:spacing w:before="100" w:beforeAutospacing="1"/>
      </w:pPr>
      <w:r>
        <w:lastRenderedPageBreak/>
        <w:t xml:space="preserve">For U.S. community members, the survey will be shared with </w:t>
      </w:r>
      <w:r w:rsidR="00367246">
        <w:t>Academic and Leadership Institute staff, with a request that these be shared with their point of contacts within the community, in which the Academic and Leadership Institute is located. Thus, it is likely that the distribution of responses will be uneven.  The evaluation contractor will conduct a nonresponse analysis during the data analysis phase to determine the extent to which the respondents represent the universe of stakeholder group from 2014 to 2018.  If necessary, responses may be weighted in the data analysis phase to adjust for nonresponse, and any adjustments to the analysis will be discussed in the methodology section of the report.</w:t>
      </w:r>
    </w:p>
    <w:p w:rsidR="00507CBC" w:rsidP="00507CBC" w:rsidRDefault="00507CBC" w14:paraId="345FDA80" w14:textId="77777777">
      <w:pPr>
        <w:spacing w:before="100" w:beforeAutospacing="1"/>
      </w:pPr>
      <w:r>
        <w:t>4.</w:t>
      </w:r>
      <w:r>
        <w:tab/>
        <w:t>Tests of Procedures or Methods to be Undertaken</w:t>
      </w:r>
    </w:p>
    <w:p w:rsidR="00507CBC" w:rsidP="00507CBC" w:rsidRDefault="00507CBC" w14:paraId="5C4E2788" w14:textId="77777777">
      <w:pPr>
        <w:spacing w:after="0" w:line="259" w:lineRule="auto"/>
      </w:pPr>
      <w:r>
        <w:t xml:space="preserve">To ensure maximum clarity and accuracy in data collection, the evaluation team is currently scheduling pilot testing for each of the instruments with a small number of respondents representing various categories of respondents (i.e., Academic and Leadership Institute staff, Reciprocal Exchange Awardees/Alumni, Professional Development Hosts, U.S. community members).  </w:t>
      </w:r>
    </w:p>
    <w:p w:rsidR="00507CBC" w:rsidP="00507CBC" w:rsidRDefault="00507CBC" w14:paraId="3D4F6DBD" w14:textId="77777777">
      <w:pPr>
        <w:spacing w:after="0" w:line="259" w:lineRule="auto"/>
      </w:pPr>
    </w:p>
    <w:p w:rsidRPr="00507CBC" w:rsidR="00507CBC" w:rsidP="00EA3E11" w:rsidRDefault="00507CBC" w14:paraId="4840A829" w14:textId="6D6D6CB0">
      <w:pPr>
        <w:spacing w:after="0" w:line="259" w:lineRule="auto"/>
        <w:rPr>
          <w:szCs w:val="24"/>
        </w:rPr>
      </w:pPr>
      <w:r>
        <w:t xml:space="preserve">Survey pilot test respondents will utilize electronic drafts of the instruments in Qualtrics.  Qualtrics platform automatically generates the amount of time taken to complete the survey, and then the team will review each section with the respondent, identifying any concepts or questions that were misunderstood or unclear, additional guidance or response parameters that should be included in the response instructions to assist with clarity and recall, how burdensome the questions were, and any additional response categories needed.  Feedback from these interviews will be used to </w:t>
      </w:r>
      <w:proofErr w:type="gramStart"/>
      <w:r>
        <w:t>make revisions to</w:t>
      </w:r>
      <w:proofErr w:type="gramEnd"/>
      <w:r>
        <w:t xml:space="preserve"> the survey instruments. </w:t>
      </w:r>
    </w:p>
    <w:p w:rsidRPr="00C541F7" w:rsidR="00C541F7" w:rsidP="00C541F7" w:rsidRDefault="00C541F7" w14:paraId="6F5DD358" w14:textId="77777777">
      <w:pPr>
        <w:spacing w:after="0" w:line="259" w:lineRule="auto"/>
        <w:rPr>
          <w:szCs w:val="24"/>
        </w:rPr>
      </w:pPr>
    </w:p>
    <w:p w:rsidRPr="00C541F7" w:rsidR="00C541F7" w:rsidP="00C541F7" w:rsidRDefault="00C541F7" w14:paraId="6C92E897" w14:textId="77777777">
      <w:pPr>
        <w:pStyle w:val="GHBodytext"/>
        <w:rPr>
          <w:rFonts w:ascii="Times New Roman" w:hAnsi="Times New Roman"/>
          <w:b/>
          <w:i/>
        </w:rPr>
      </w:pPr>
      <w:r w:rsidRPr="00C541F7">
        <w:rPr>
          <w:rFonts w:ascii="Times New Roman" w:hAnsi="Times New Roman"/>
          <w:b/>
          <w:i/>
        </w:rPr>
        <w:t>Focus Group Discussions (in-person)</w:t>
      </w:r>
    </w:p>
    <w:p w:rsidR="00C541F7" w:rsidP="00C541F7" w:rsidRDefault="00C602FA" w14:paraId="20883424" w14:textId="7A7A7B7D">
      <w:pPr>
        <w:spacing w:after="0" w:line="259" w:lineRule="auto"/>
        <w:rPr>
          <w:szCs w:val="24"/>
        </w:rPr>
      </w:pPr>
      <w:r>
        <w:rPr>
          <w:szCs w:val="24"/>
        </w:rPr>
        <w:t xml:space="preserve">The Focus Group Discussions </w:t>
      </w:r>
      <w:r w:rsidRPr="00C541F7" w:rsidR="00C541F7">
        <w:rPr>
          <w:szCs w:val="24"/>
        </w:rPr>
        <w:t xml:space="preserve">will occur in person to provide or verify background information, help to generate new ideas and explore innovations for improving future programs. Our team will develop customized structured and semi-structured questions for each key group in consultation with ECA using several sources, including information from the document review, survey results, and our expertise and understanding of the program. </w:t>
      </w:r>
      <w:r w:rsidR="005B2001">
        <w:rPr>
          <w:szCs w:val="24"/>
        </w:rPr>
        <w:t xml:space="preserve">Focus Groups will be used in contexts where group discussions will yield more robust data, such as with U.S. Community Members. </w:t>
      </w:r>
      <w:r w:rsidRPr="00C541F7" w:rsidR="00C541F7">
        <w:rPr>
          <w:szCs w:val="24"/>
        </w:rPr>
        <w:t xml:space="preserve">Each group will be run and monitored by two members of the </w:t>
      </w:r>
      <w:r w:rsidR="0036015C">
        <w:rPr>
          <w:szCs w:val="24"/>
        </w:rPr>
        <w:t xml:space="preserve">evaluation </w:t>
      </w:r>
      <w:r w:rsidRPr="00C541F7" w:rsidR="00C541F7">
        <w:rPr>
          <w:szCs w:val="24"/>
        </w:rPr>
        <w:t xml:space="preserve">team and will be moderated by one of the team members while the other takes detailed notes. After a brief introduction, the moderator will explain the purpose of the meeting and stress the informal format so participants can express their views candidly. </w:t>
      </w:r>
    </w:p>
    <w:p w:rsidR="004F41B2" w:rsidP="00C541F7" w:rsidRDefault="004F41B2" w14:paraId="47E0581B" w14:textId="6C6C51E8">
      <w:pPr>
        <w:spacing w:after="0" w:line="259" w:lineRule="auto"/>
        <w:rPr>
          <w:szCs w:val="24"/>
        </w:rPr>
      </w:pPr>
    </w:p>
    <w:p w:rsidR="004F41B2" w:rsidP="004F41B2" w:rsidRDefault="004F41B2" w14:paraId="5421ADC3" w14:textId="77777777">
      <w:pPr>
        <w:spacing w:after="0"/>
        <w:rPr>
          <w:szCs w:val="24"/>
        </w:rPr>
      </w:pPr>
      <w:r>
        <w:rPr>
          <w:szCs w:val="24"/>
        </w:rPr>
        <w:t>Sampling/Selection:</w:t>
      </w:r>
    </w:p>
    <w:p w:rsidRPr="00C541F7" w:rsidR="004F41B2" w:rsidP="004F41B2" w:rsidRDefault="004F41B2" w14:paraId="2B13EAC8" w14:textId="60B69045">
      <w:pPr>
        <w:spacing w:after="0"/>
        <w:rPr>
          <w:szCs w:val="24"/>
        </w:rPr>
      </w:pPr>
      <w:r>
        <w:rPr>
          <w:szCs w:val="24"/>
        </w:rPr>
        <w:t>Surveys to the different stakeholder groups include a question that allows participants to ‘opt in’ to the U.S. – based interviews</w:t>
      </w:r>
      <w:r w:rsidR="00215E0F">
        <w:rPr>
          <w:szCs w:val="24"/>
        </w:rPr>
        <w:t xml:space="preserve"> and focus group discussions</w:t>
      </w:r>
      <w:r>
        <w:rPr>
          <w:szCs w:val="24"/>
        </w:rPr>
        <w:t>. Focus group participants will be selected from a pool of survey respondents who have ‘opted in</w:t>
      </w:r>
      <w:r w:rsidR="00507CBC">
        <w:rPr>
          <w:szCs w:val="24"/>
        </w:rPr>
        <w:t>.</w:t>
      </w:r>
      <w:r>
        <w:rPr>
          <w:szCs w:val="24"/>
        </w:rPr>
        <w:t>’</w:t>
      </w:r>
      <w:r w:rsidR="00507CBC">
        <w:rPr>
          <w:szCs w:val="24"/>
        </w:rPr>
        <w:t xml:space="preserve"> </w:t>
      </w:r>
      <w:r w:rsidR="00215E0F">
        <w:rPr>
          <w:szCs w:val="24"/>
        </w:rPr>
        <w:t xml:space="preserve">In cases where there is not a </w:t>
      </w:r>
      <w:proofErr w:type="gramStart"/>
      <w:r w:rsidR="00215E0F">
        <w:rPr>
          <w:szCs w:val="24"/>
        </w:rPr>
        <w:t>sufficient number of</w:t>
      </w:r>
      <w:proofErr w:type="gramEnd"/>
      <w:r w:rsidR="00215E0F">
        <w:rPr>
          <w:szCs w:val="24"/>
        </w:rPr>
        <w:t xml:space="preserve"> individuals </w:t>
      </w:r>
      <w:r w:rsidR="006F7BFB">
        <w:rPr>
          <w:szCs w:val="24"/>
        </w:rPr>
        <w:t xml:space="preserve">from a particular stakeholder group </w:t>
      </w:r>
      <w:r w:rsidR="00215E0F">
        <w:rPr>
          <w:szCs w:val="24"/>
        </w:rPr>
        <w:t>for a focus group (at least 3)</w:t>
      </w:r>
      <w:r w:rsidR="006F7BFB">
        <w:rPr>
          <w:szCs w:val="24"/>
        </w:rPr>
        <w:t xml:space="preserve"> in any location</w:t>
      </w:r>
      <w:r w:rsidR="00215E0F">
        <w:rPr>
          <w:szCs w:val="24"/>
        </w:rPr>
        <w:t xml:space="preserve">, the interviewer will </w:t>
      </w:r>
      <w:r w:rsidR="006F7BFB">
        <w:rPr>
          <w:szCs w:val="24"/>
        </w:rPr>
        <w:t>revert to conducting</w:t>
      </w:r>
      <w:r w:rsidR="00215E0F">
        <w:rPr>
          <w:szCs w:val="24"/>
        </w:rPr>
        <w:t xml:space="preserve"> </w:t>
      </w:r>
      <w:r w:rsidR="00C23B24">
        <w:rPr>
          <w:szCs w:val="24"/>
        </w:rPr>
        <w:t>individual semi-structured</w:t>
      </w:r>
      <w:r w:rsidR="00215E0F">
        <w:rPr>
          <w:szCs w:val="24"/>
        </w:rPr>
        <w:t xml:space="preserve"> interviews using the same instrument. </w:t>
      </w:r>
    </w:p>
    <w:p w:rsidRPr="00C541F7" w:rsidR="004F41B2" w:rsidP="00C541F7" w:rsidRDefault="004F41B2" w14:paraId="128F2BB8" w14:textId="77777777">
      <w:pPr>
        <w:spacing w:after="0" w:line="259" w:lineRule="auto"/>
        <w:rPr>
          <w:szCs w:val="24"/>
        </w:rPr>
      </w:pPr>
    </w:p>
    <w:p w:rsidRPr="00C541F7" w:rsidR="004F41B2" w:rsidP="004F41B2" w:rsidRDefault="004F41B2" w14:paraId="1B2CB222" w14:textId="77777777">
      <w:pPr>
        <w:pStyle w:val="GHBodytext"/>
      </w:pPr>
      <w:r w:rsidRPr="00C541F7">
        <w:rPr>
          <w:rFonts w:ascii="Times New Roman" w:hAnsi="Times New Roman"/>
          <w:b/>
          <w:i/>
        </w:rPr>
        <w:lastRenderedPageBreak/>
        <w:t>Interviews (remote and in-person)</w:t>
      </w:r>
      <w:r w:rsidRPr="00C541F7">
        <w:t xml:space="preserve"> </w:t>
      </w:r>
    </w:p>
    <w:p w:rsidR="004F41B2" w:rsidP="004F41B2" w:rsidRDefault="004F41B2" w14:paraId="1CBA7D2C" w14:textId="535EEFBF">
      <w:pPr>
        <w:spacing w:after="0"/>
        <w:rPr>
          <w:szCs w:val="24"/>
        </w:rPr>
      </w:pPr>
      <w:r w:rsidRPr="00C541F7">
        <w:rPr>
          <w:szCs w:val="24"/>
        </w:rPr>
        <w:t xml:space="preserve">For U.S.-based interviews, </w:t>
      </w:r>
      <w:r>
        <w:rPr>
          <w:szCs w:val="24"/>
        </w:rPr>
        <w:t xml:space="preserve">in-person and </w:t>
      </w:r>
      <w:r w:rsidRPr="00C541F7">
        <w:rPr>
          <w:szCs w:val="24"/>
        </w:rPr>
        <w:t xml:space="preserve">telephone </w:t>
      </w:r>
      <w:r>
        <w:rPr>
          <w:szCs w:val="24"/>
        </w:rPr>
        <w:t xml:space="preserve">interviews will be conducted. </w:t>
      </w:r>
      <w:r w:rsidRPr="00C541F7">
        <w:rPr>
          <w:szCs w:val="24"/>
        </w:rPr>
        <w:t xml:space="preserve">Such interviews and virtual meetings can provide the team a critical optic on those features perceived to contribute most effectively to program goals. </w:t>
      </w:r>
      <w:r w:rsidR="000D503D">
        <w:rPr>
          <w:szCs w:val="24"/>
        </w:rPr>
        <w:t xml:space="preserve">The evaluation team will visit up to five sites to conduct in-person interviews. This may be supplemented by virtual </w:t>
      </w:r>
      <w:r w:rsidR="00D44F7D">
        <w:rPr>
          <w:szCs w:val="24"/>
        </w:rPr>
        <w:t>interviews</w:t>
      </w:r>
      <w:r w:rsidR="000D503D">
        <w:rPr>
          <w:szCs w:val="24"/>
        </w:rPr>
        <w:t>, depending on the availability of key stakeholders</w:t>
      </w:r>
      <w:r w:rsidR="008039B6">
        <w:rPr>
          <w:szCs w:val="24"/>
        </w:rPr>
        <w:t xml:space="preserve">. </w:t>
      </w:r>
    </w:p>
    <w:p w:rsidR="004F41B2" w:rsidP="00C541F7" w:rsidRDefault="004F41B2" w14:paraId="6515B795" w14:textId="2473991A">
      <w:pPr>
        <w:spacing w:after="0" w:line="259" w:lineRule="auto"/>
        <w:rPr>
          <w:szCs w:val="24"/>
        </w:rPr>
      </w:pPr>
    </w:p>
    <w:p w:rsidR="00507CBC" w:rsidP="00507CBC" w:rsidRDefault="00507CBC" w14:paraId="5AB4C2FF" w14:textId="77777777">
      <w:pPr>
        <w:spacing w:after="0"/>
        <w:rPr>
          <w:szCs w:val="24"/>
        </w:rPr>
      </w:pPr>
      <w:r>
        <w:rPr>
          <w:szCs w:val="24"/>
        </w:rPr>
        <w:t>Sampling/Selection:</w:t>
      </w:r>
    </w:p>
    <w:p w:rsidR="00507CBC" w:rsidP="00507CBC" w:rsidRDefault="00507CBC" w14:paraId="11007BEF" w14:textId="27F47B03">
      <w:pPr>
        <w:spacing w:after="0"/>
        <w:rPr>
          <w:szCs w:val="24"/>
        </w:rPr>
      </w:pPr>
      <w:r>
        <w:rPr>
          <w:szCs w:val="24"/>
        </w:rPr>
        <w:t>Surveys to the different stakeholder groups include a question that allows participants to ‘opt in’ to the U.S. – based interviews and focus group discussions. The sampling approach of interviewees will from a pool of survey respondents who have ‘opted in.’ For some stakeholder groups (such as U.S. community members) for which contacts are not directly available to the evaluation team</w:t>
      </w:r>
      <w:r w:rsidR="00367246">
        <w:rPr>
          <w:szCs w:val="24"/>
        </w:rPr>
        <w:t xml:space="preserve"> and may result in a low response rate, </w:t>
      </w:r>
      <w:r>
        <w:rPr>
          <w:szCs w:val="24"/>
        </w:rPr>
        <w:t xml:space="preserve">the sample may be expanded using a snowball approach, with a question asking interviewees if they can refer the </w:t>
      </w:r>
      <w:r w:rsidR="00367246">
        <w:rPr>
          <w:szCs w:val="24"/>
        </w:rPr>
        <w:t xml:space="preserve">evaluation </w:t>
      </w:r>
      <w:r>
        <w:rPr>
          <w:szCs w:val="24"/>
        </w:rPr>
        <w:t xml:space="preserve">team to others within the </w:t>
      </w:r>
      <w:r w:rsidR="00367246">
        <w:rPr>
          <w:szCs w:val="24"/>
        </w:rPr>
        <w:t xml:space="preserve">community who have interacted with the Fellow. </w:t>
      </w:r>
    </w:p>
    <w:p w:rsidRPr="00C541F7" w:rsidR="00507CBC" w:rsidP="00507CBC" w:rsidRDefault="00507CBC" w14:paraId="63A98993" w14:textId="3A9C15E3">
      <w:pPr>
        <w:spacing w:after="0"/>
        <w:rPr>
          <w:szCs w:val="24"/>
        </w:rPr>
      </w:pPr>
      <w:r>
        <w:rPr>
          <w:szCs w:val="24"/>
        </w:rPr>
        <w:t xml:space="preserve"> </w:t>
      </w:r>
    </w:p>
    <w:p w:rsidRPr="00C541F7" w:rsidR="00C541F7" w:rsidP="00C541F7" w:rsidRDefault="00C541F7" w14:paraId="426894E8" w14:textId="77777777">
      <w:pPr>
        <w:pStyle w:val="GHBodytext"/>
        <w:rPr>
          <w:rFonts w:ascii="Times New Roman" w:hAnsi="Times New Roman"/>
          <w:b/>
          <w:i/>
        </w:rPr>
      </w:pPr>
      <w:r w:rsidRPr="00C541F7">
        <w:rPr>
          <w:rFonts w:ascii="Times New Roman" w:hAnsi="Times New Roman"/>
          <w:b/>
          <w:i/>
        </w:rPr>
        <w:t xml:space="preserve">Fellowship Experience Maps </w:t>
      </w:r>
    </w:p>
    <w:p w:rsidR="00C541F7" w:rsidP="00C541F7" w:rsidRDefault="00C541F7" w14:paraId="1C99F6A5" w14:textId="0AF18563">
      <w:pPr>
        <w:spacing w:after="0" w:line="259" w:lineRule="auto"/>
        <w:rPr>
          <w:szCs w:val="24"/>
        </w:rPr>
      </w:pPr>
      <w:r w:rsidRPr="00C541F7">
        <w:rPr>
          <w:szCs w:val="24"/>
        </w:rPr>
        <w:t>To understand the variety of impacts of the Mandela Washington Fellowship program, it is important to balance the broad sweeping macro-level impacts of the program as a whole, with deeper micro-level analysis that illuminates the experience of individual Fellows and U.S. c</w:t>
      </w:r>
      <w:r w:rsidR="00662DBB">
        <w:rPr>
          <w:szCs w:val="24"/>
        </w:rPr>
        <w:t>ommunity members such as the Professional Development Experience, Academic and Leadership Institute</w:t>
      </w:r>
      <w:r w:rsidRPr="00C541F7">
        <w:rPr>
          <w:szCs w:val="24"/>
        </w:rPr>
        <w:t xml:space="preserve"> staff, and Reciprocal Exchange Awardees. To better understand the complex system of stakeholders and dynamics that influence the decisions made by Fellowship Alumni and their resulting outcomes, </w:t>
      </w:r>
      <w:r w:rsidR="0036015C">
        <w:rPr>
          <w:szCs w:val="24"/>
        </w:rPr>
        <w:t>the evaluation team</w:t>
      </w:r>
      <w:r w:rsidRPr="00C541F7">
        <w:rPr>
          <w:szCs w:val="24"/>
        </w:rPr>
        <w:t xml:space="preserve"> will prepare six detailed Fellowship Experience Maps for select Mandela Washington Fellowship Alumni (at least four) and Reciprocal Exchange Awardee(s) (one), and potentially one American community member (such as a host family member) depending on survey results and available information. </w:t>
      </w:r>
      <w:r w:rsidR="0036015C">
        <w:rPr>
          <w:szCs w:val="24"/>
        </w:rPr>
        <w:t>The evaluation team and</w:t>
      </w:r>
      <w:r w:rsidRPr="00C541F7">
        <w:rPr>
          <w:szCs w:val="24"/>
        </w:rPr>
        <w:t xml:space="preserve"> ECA will review the list of potential candidates for Fellowship Experience Maps before making final decisions. Maps would identify those individuals who played key roles in the lives of Alumni/Community Member before, during and after the Mandela Washington Fellowship experience, to reveal their personal narrative or “Fellowship Experience</w:t>
      </w:r>
      <w:r w:rsidR="0036015C">
        <w:rPr>
          <w:szCs w:val="24"/>
        </w:rPr>
        <w:t>”.</w:t>
      </w:r>
      <w:r w:rsidRPr="00C541F7">
        <w:rPr>
          <w:szCs w:val="24"/>
        </w:rPr>
        <w:t xml:space="preserve"> </w:t>
      </w:r>
    </w:p>
    <w:p w:rsidR="00625B32" w:rsidP="00F4332D" w:rsidRDefault="00625B32" w14:paraId="6326EC41" w14:textId="77777777">
      <w:pPr>
        <w:spacing w:before="100" w:beforeAutospacing="1"/>
      </w:pPr>
      <w:r>
        <w:t>5.</w:t>
      </w:r>
      <w:r>
        <w:tab/>
        <w:t xml:space="preserve">Relevant Contacts </w:t>
      </w:r>
    </w:p>
    <w:p w:rsidRPr="0030578F" w:rsidR="00C32EFD" w:rsidP="00F4332D" w:rsidRDefault="00625B32" w14:paraId="7ACCA9AA" w14:textId="6D09BABC">
      <w:pPr>
        <w:spacing w:before="100" w:beforeAutospacing="1"/>
        <w:rPr>
          <w:color w:val="000000" w:themeColor="text1"/>
        </w:rPr>
      </w:pPr>
      <w:r w:rsidRPr="004D3559">
        <w:t xml:space="preserve">This evaluation was contracted through </w:t>
      </w:r>
      <w:r w:rsidR="00D3166E">
        <w:t xml:space="preserve">a competitive process. </w:t>
      </w:r>
      <w:proofErr w:type="gramStart"/>
      <w:r w:rsidRPr="004D3559">
        <w:t>A number of</w:t>
      </w:r>
      <w:proofErr w:type="gramEnd"/>
      <w:r w:rsidRPr="004D3559">
        <w:t xml:space="preserve"> ECA staff reviewed and approved the proposed methodology: Natalie Donahue, Chi</w:t>
      </w:r>
      <w:r w:rsidR="00D3166E">
        <w:t>ef of Evaluation (202-632-6193)</w:t>
      </w:r>
      <w:r w:rsidRPr="004D3559">
        <w:t xml:space="preserve"> </w:t>
      </w:r>
      <w:r w:rsidR="00D3166E">
        <w:t>and Marie-Ellen Ehounou (202-632-2847</w:t>
      </w:r>
      <w:r w:rsidRPr="004D3559">
        <w:t xml:space="preserve">).  </w:t>
      </w:r>
      <w:r w:rsidRPr="004D3559" w:rsidR="004D3559">
        <w:t xml:space="preserve">Guidehouse LLP </w:t>
      </w:r>
      <w:r w:rsidRPr="004D3559">
        <w:t xml:space="preserve">is the contractor that was selected to carry out the evaluation.  </w:t>
      </w:r>
      <w:r w:rsidRPr="004D3559" w:rsidR="004D3559">
        <w:t xml:space="preserve">Guidehouse’s </w:t>
      </w:r>
      <w:r w:rsidRPr="004D3559">
        <w:t xml:space="preserve">technical evaluation experts developed the original design in response to the solicitation, </w:t>
      </w:r>
      <w:r w:rsidRPr="004D3559" w:rsidR="00456938">
        <w:t xml:space="preserve">contact names and numbers for </w:t>
      </w:r>
      <w:r w:rsidR="001930EB">
        <w:t>ECA</w:t>
      </w:r>
      <w:r w:rsidR="005D2611">
        <w:t>’s Evaluation Division</w:t>
      </w:r>
      <w:r w:rsidR="001930EB">
        <w:t>, which</w:t>
      </w:r>
      <w:r w:rsidRPr="004D3559" w:rsidR="00456938">
        <w:t xml:space="preserve"> </w:t>
      </w:r>
      <w:r w:rsidRPr="004D3559">
        <w:t xml:space="preserve">provided review and refinement of the proposed design upon receipt of the project files. </w:t>
      </w:r>
      <w:r w:rsidRPr="004D3559" w:rsidR="004D3559">
        <w:t>Guidehouse’s</w:t>
      </w:r>
      <w:r w:rsidRPr="004D3559">
        <w:t xml:space="preserve"> evaluation team will collect and analyze the data on behalf of ECA.</w:t>
      </w:r>
      <w:r>
        <w:t xml:space="preserve">  </w:t>
      </w:r>
    </w:p>
    <w:sectPr w:rsidRPr="0030578F" w:rsidR="00C32EFD" w:rsidSect="001B3EC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FFDA7" w14:textId="77777777" w:rsidR="007B7522" w:rsidRDefault="007B7522" w:rsidP="008C6B47">
      <w:pPr>
        <w:spacing w:after="0"/>
      </w:pPr>
      <w:r>
        <w:separator/>
      </w:r>
    </w:p>
  </w:endnote>
  <w:endnote w:type="continuationSeparator" w:id="0">
    <w:p w14:paraId="274A6BC4" w14:textId="77777777" w:rsidR="007B7522" w:rsidRDefault="007B7522" w:rsidP="008C6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207079"/>
      <w:docPartObj>
        <w:docPartGallery w:val="Page Numbers (Bottom of Page)"/>
        <w:docPartUnique/>
      </w:docPartObj>
    </w:sdtPr>
    <w:sdtEndPr>
      <w:rPr>
        <w:noProof/>
      </w:rPr>
    </w:sdtEndPr>
    <w:sdtContent>
      <w:p w14:paraId="51013104" w14:textId="34E46021" w:rsidR="00D15FC4" w:rsidRDefault="00317910" w:rsidP="00FA282D">
        <w:pPr>
          <w:pStyle w:val="Footer"/>
          <w:jc w:val="center"/>
        </w:pPr>
        <w:r>
          <w:rPr>
            <w:noProof/>
          </w:rPr>
          <mc:AlternateContent>
            <mc:Choice Requires="wps">
              <w:drawing>
                <wp:anchor distT="0" distB="0" distL="114300" distR="114300" simplePos="0" relativeHeight="251659264" behindDoc="0" locked="0" layoutInCell="0" allowOverlap="1" wp14:anchorId="2E6B3D46" wp14:editId="12F8411F">
                  <wp:simplePos x="0" y="0"/>
                  <wp:positionH relativeFrom="page">
                    <wp:posOffset>0</wp:posOffset>
                  </wp:positionH>
                  <wp:positionV relativeFrom="page">
                    <wp:posOffset>9601200</wp:posOffset>
                  </wp:positionV>
                  <wp:extent cx="7772400" cy="266700"/>
                  <wp:effectExtent l="0" t="0" r="0" b="0"/>
                  <wp:wrapNone/>
                  <wp:docPr id="1" name="MSIPCM641849ef8e05ab0e0926609e"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E22E8C" w14:textId="060EE3E0" w:rsidR="00317910" w:rsidRPr="00317910" w:rsidRDefault="00317910" w:rsidP="00317910">
                              <w:pPr>
                                <w:spacing w:after="0"/>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6B3D46" id="_x0000_t202" coordsize="21600,21600" o:spt="202" path="m,l,21600r21600,l21600,xe">
                  <v:stroke joinstyle="miter"/>
                  <v:path gradientshapeok="t" o:connecttype="rect"/>
                </v:shapetype>
                <v:shape id="MSIPCM641849ef8e05ab0e0926609e" o:spid="_x0000_s1026" type="#_x0000_t202" alt="{&quot;HashCode&quot;:549228713,&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" o:allowincell="f" filled="f" stroked="f" strokeweight=".5pt">
                  <v:textbox inset=",0,,0">
                    <w:txbxContent>
                      <w:p w14:paraId="25E22E8C" w14:textId="060EE3E0" w:rsidR="00317910" w:rsidRPr="00317910" w:rsidRDefault="00317910" w:rsidP="00317910">
                        <w:pPr>
                          <w:spacing w:after="0"/>
                          <w:jc w:val="center"/>
                          <w:rPr>
                            <w:color w:val="000000"/>
                            <w:sz w:val="20"/>
                          </w:rPr>
                        </w:pPr>
                      </w:p>
                    </w:txbxContent>
                  </v:textbox>
                  <w10:wrap anchorx="page" anchory="page"/>
                </v:shape>
              </w:pict>
            </mc:Fallback>
          </mc:AlternateContent>
        </w:r>
        <w:r w:rsidR="00C62ACF">
          <w:fldChar w:fldCharType="begin"/>
        </w:r>
        <w:r w:rsidR="00C62ACF">
          <w:instrText xml:space="preserve"> PAGE   \* MERGEFORMAT </w:instrText>
        </w:r>
        <w:r w:rsidR="00C62ACF">
          <w:fldChar w:fldCharType="separate"/>
        </w:r>
        <w:r w:rsidR="00661642">
          <w:rPr>
            <w:noProof/>
          </w:rPr>
          <w:t>13</w:t>
        </w:r>
        <w:r w:rsidR="00C62AC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C17D3" w14:textId="77777777" w:rsidR="007B7522" w:rsidRDefault="007B7522" w:rsidP="008C6B47">
      <w:pPr>
        <w:spacing w:after="0"/>
      </w:pPr>
      <w:r>
        <w:separator/>
      </w:r>
    </w:p>
  </w:footnote>
  <w:footnote w:type="continuationSeparator" w:id="0">
    <w:p w14:paraId="15D5E447" w14:textId="77777777" w:rsidR="007B7522" w:rsidRDefault="007B7522" w:rsidP="008C6B47">
      <w:pPr>
        <w:spacing w:after="0"/>
      </w:pPr>
      <w:r>
        <w:continuationSeparator/>
      </w:r>
    </w:p>
  </w:footnote>
  <w:footnote w:id="1">
    <w:p w14:paraId="120407EC" w14:textId="5FFAAC1B" w:rsidR="009043EA" w:rsidRDefault="009043EA" w:rsidP="009043EA">
      <w:pPr>
        <w:pStyle w:val="FootnoteText"/>
      </w:pPr>
      <w:r w:rsidRPr="00FA282D">
        <w:rPr>
          <w:rStyle w:val="FootnoteReference"/>
          <w:rFonts w:ascii="Times New Roman" w:hAnsi="Times New Roman" w:cs="Times New Roman"/>
        </w:rPr>
        <w:footnoteRef/>
      </w:r>
      <w:r w:rsidRPr="00FA282D">
        <w:rPr>
          <w:rFonts w:ascii="Times New Roman" w:hAnsi="Times New Roman" w:cs="Times New Roman"/>
        </w:rPr>
        <w:t xml:space="preserve"> USDOL Bureau of Labor Statistics, Employer Costs for Employee Compensation, </w:t>
      </w:r>
      <w:hyperlink r:id="rId1" w:history="1">
        <w:r w:rsidRPr="00FA282D">
          <w:rPr>
            <w:rStyle w:val="Hyperlink"/>
            <w:rFonts w:ascii="Times New Roman" w:hAnsi="Times New Roman" w:cs="Times New Roman"/>
          </w:rPr>
          <w:t>https://www.bls.gov/news.release/ecec.toc.htm</w:t>
        </w:r>
      </w:hyperlink>
      <w:r w:rsidRPr="00FA282D">
        <w:rPr>
          <w:rFonts w:ascii="Times New Roman" w:hAnsi="Times New Roman" w:cs="Times New Roman"/>
        </w:rPr>
        <w:t xml:space="preserve">, last </w:t>
      </w:r>
      <w:r w:rsidRPr="00787E5F">
        <w:rPr>
          <w:rFonts w:ascii="Times New Roman" w:hAnsi="Times New Roman" w:cs="Times New Roman"/>
        </w:rPr>
        <w:t xml:space="preserve">modified </w:t>
      </w:r>
      <w:r w:rsidR="00462227">
        <w:rPr>
          <w:rFonts w:ascii="Times New Roman" w:hAnsi="Times New Roman" w:cs="Times New Roman"/>
        </w:rPr>
        <w:t>March</w:t>
      </w:r>
      <w:r w:rsidR="00462227" w:rsidRPr="00787E5F">
        <w:rPr>
          <w:rFonts w:ascii="Times New Roman" w:hAnsi="Times New Roman" w:cs="Times New Roman"/>
        </w:rPr>
        <w:t xml:space="preserve"> </w:t>
      </w:r>
      <w:r w:rsidRPr="00787E5F">
        <w:rPr>
          <w:rFonts w:ascii="Times New Roman" w:hAnsi="Times New Roman" w:cs="Times New Roman"/>
        </w:rPr>
        <w:t>1</w:t>
      </w:r>
      <w:r w:rsidR="00462227">
        <w:rPr>
          <w:rFonts w:ascii="Times New Roman" w:hAnsi="Times New Roman" w:cs="Times New Roman"/>
        </w:rPr>
        <w:t>9</w:t>
      </w:r>
      <w:r w:rsidRPr="00787E5F">
        <w:rPr>
          <w:rFonts w:ascii="Times New Roman" w:hAnsi="Times New Roman" w:cs="Times New Roman"/>
        </w:rPr>
        <w:t>, 201</w:t>
      </w:r>
      <w:r w:rsidR="00462227">
        <w:rPr>
          <w:rFonts w:ascii="Times New Roman" w:hAnsi="Times New Roman" w:cs="Times New Roman"/>
        </w:rPr>
        <w:t>9</w:t>
      </w:r>
      <w:r w:rsidRPr="00787E5F">
        <w:rPr>
          <w:rFonts w:ascii="Times New Roman" w:hAnsi="Times New Roman" w:cs="Times New Roman"/>
        </w:rPr>
        <w:t xml:space="preserve">, accessed </w:t>
      </w:r>
      <w:r w:rsidR="00462227">
        <w:rPr>
          <w:rFonts w:ascii="Times New Roman" w:hAnsi="Times New Roman" w:cs="Times New Roman"/>
        </w:rPr>
        <w:t>June 28</w:t>
      </w:r>
      <w:r w:rsidRPr="00787E5F">
        <w:rPr>
          <w:rFonts w:ascii="Times New Roman" w:hAnsi="Times New Roman" w:cs="Times New Roman"/>
        </w:rPr>
        <w:t>, 2019.</w:t>
      </w:r>
      <w:r>
        <w:t xml:space="preserve"> </w:t>
      </w:r>
    </w:p>
  </w:footnote>
  <w:footnote w:id="2">
    <w:p w14:paraId="6ABC514C" w14:textId="2EA963F9" w:rsidR="00787E5F" w:rsidRPr="00787E5F" w:rsidRDefault="00787E5F">
      <w:pPr>
        <w:pStyle w:val="FootnoteText"/>
        <w:rPr>
          <w:rFonts w:ascii="Times New Roman" w:hAnsi="Times New Roman" w:cs="Times New Roman"/>
        </w:rPr>
      </w:pPr>
      <w:r w:rsidRPr="00787E5F">
        <w:rPr>
          <w:rStyle w:val="FootnoteReference"/>
          <w:rFonts w:ascii="Times New Roman" w:hAnsi="Times New Roman" w:cs="Times New Roman"/>
        </w:rPr>
        <w:footnoteRef/>
      </w:r>
      <w:r w:rsidRPr="00787E5F">
        <w:rPr>
          <w:rFonts w:ascii="Times New Roman" w:hAnsi="Times New Roman" w:cs="Times New Roman"/>
        </w:rPr>
        <w:t xml:space="preserve">USDOL Bureau of Labor Statistics, Employer Costs for Employee Compensation, Table 4. State and local government, by occupational and industry group, </w:t>
      </w:r>
      <w:hyperlink r:id="rId2" w:history="1">
        <w:r w:rsidRPr="00787E5F">
          <w:rPr>
            <w:rStyle w:val="Hyperlink"/>
            <w:rFonts w:ascii="Times New Roman" w:hAnsi="Times New Roman" w:cs="Times New Roman"/>
          </w:rPr>
          <w:t>https://www.bls.gov/news.release/ecec.t04.htm</w:t>
        </w:r>
      </w:hyperlink>
      <w:r w:rsidRPr="00787E5F">
        <w:rPr>
          <w:rFonts w:ascii="Times New Roman" w:hAnsi="Times New Roman" w:cs="Times New Roman"/>
        </w:rPr>
        <w:t xml:space="preserve">, last modified March 19, 2019, accessed June </w:t>
      </w:r>
      <w:r w:rsidR="00462227">
        <w:rPr>
          <w:rFonts w:ascii="Times New Roman" w:hAnsi="Times New Roman" w:cs="Times New Roman"/>
        </w:rPr>
        <w:t>28</w:t>
      </w:r>
      <w:r w:rsidRPr="00787E5F">
        <w:rPr>
          <w:rFonts w:ascii="Times New Roman" w:hAnsi="Times New Roman" w:cs="Times New Roman"/>
        </w:rPr>
        <w:t>, 2019.</w:t>
      </w:r>
    </w:p>
  </w:footnote>
  <w:footnote w:id="3">
    <w:p w14:paraId="504B9656" w14:textId="095C3CB3" w:rsidR="005A1A2A" w:rsidRPr="005A1A2A" w:rsidRDefault="005A1A2A">
      <w:pPr>
        <w:pStyle w:val="FootnoteText"/>
        <w:rPr>
          <w:rFonts w:ascii="Times New Roman" w:hAnsi="Times New Roman" w:cs="Times New Roman"/>
        </w:rPr>
      </w:pPr>
      <w:r w:rsidRPr="005A1A2A">
        <w:rPr>
          <w:rStyle w:val="FootnoteReference"/>
          <w:rFonts w:ascii="Times New Roman" w:hAnsi="Times New Roman" w:cs="Times New Roman"/>
        </w:rPr>
        <w:footnoteRef/>
      </w:r>
      <w:r w:rsidRPr="005A1A2A">
        <w:rPr>
          <w:rFonts w:ascii="Times New Roman" w:hAnsi="Times New Roman" w:cs="Times New Roman"/>
        </w:rPr>
        <w:t xml:space="preserve"> Source: Office of Personnel Management, “2019 General Schedule (GS) Locality Pay Tables,” </w:t>
      </w:r>
      <w:hyperlink r:id="rId3" w:history="1">
        <w:r w:rsidRPr="005A1A2A">
          <w:rPr>
            <w:rStyle w:val="Hyperlink"/>
            <w:rFonts w:ascii="Times New Roman" w:hAnsi="Times New Roman" w:cs="Times New Roman"/>
          </w:rPr>
          <w:t>https://www.opm.gov/policy-data-oversight/pay-leave/salaries-wages/2019/general-schedule/</w:t>
        </w:r>
      </w:hyperlink>
      <w:r w:rsidRPr="005A1A2A">
        <w:rPr>
          <w:rFonts w:ascii="Times New Roman" w:hAnsi="Times New Roman" w:cs="Times New Roman"/>
        </w:rPr>
        <w:t xml:space="preserve"> </w:t>
      </w:r>
    </w:p>
  </w:footnote>
  <w:footnote w:id="4">
    <w:p w14:paraId="216AD18D" w14:textId="35A0E5A9" w:rsidR="005A1A2A" w:rsidRPr="005A1A2A" w:rsidRDefault="005A1A2A">
      <w:pPr>
        <w:pStyle w:val="FootnoteText"/>
        <w:rPr>
          <w:rFonts w:ascii="Times New Roman" w:hAnsi="Times New Roman" w:cs="Times New Roman"/>
        </w:rPr>
      </w:pPr>
      <w:r w:rsidRPr="005A1A2A">
        <w:rPr>
          <w:rStyle w:val="FootnoteReference"/>
          <w:rFonts w:ascii="Times New Roman" w:hAnsi="Times New Roman" w:cs="Times New Roman"/>
        </w:rPr>
        <w:footnoteRef/>
      </w:r>
      <w:r w:rsidRPr="005A1A2A">
        <w:rPr>
          <w:rFonts w:ascii="Times New Roman" w:hAnsi="Times New Roman" w:cs="Times New Roman"/>
        </w:rPr>
        <w:t xml:space="preserve"> Source: Congressional Budget Office, “Comparing the Compensation of Federal and Private-Sector Employees, 2011 to 2015” (April 2017), </w:t>
      </w:r>
      <w:hyperlink r:id="rId4" w:history="1">
        <w:r w:rsidRPr="005A1A2A">
          <w:rPr>
            <w:rStyle w:val="Hyperlink"/>
            <w:rFonts w:ascii="Times New Roman" w:hAnsi="Times New Roman" w:cs="Times New Roman"/>
          </w:rPr>
          <w:t>https://www.cbo.gov/publication/52637</w:t>
        </w:r>
      </w:hyperlink>
      <w:r w:rsidRPr="005A1A2A">
        <w:rPr>
          <w:rFonts w:ascii="Times New Roman" w:hAnsi="Times New Roman" w:cs="Times New Roman"/>
        </w:rPr>
        <w:t>. The wages of Federal workers averaged $38.30 per hour over the study period, while the benefits averaged $26.50 per hour, which is a benefits rate of 69 percent.</w:t>
      </w:r>
    </w:p>
  </w:footnote>
  <w:footnote w:id="5">
    <w:p w14:paraId="14B398C8" w14:textId="05AF5C87" w:rsidR="005A1A2A" w:rsidRDefault="005A1A2A" w:rsidP="005A1A2A">
      <w:pPr>
        <w:pStyle w:val="FootnoteText"/>
      </w:pPr>
      <w:r w:rsidRPr="005A1A2A">
        <w:rPr>
          <w:rStyle w:val="FootnoteReference"/>
          <w:rFonts w:ascii="Times New Roman" w:hAnsi="Times New Roman" w:cs="Times New Roman"/>
        </w:rPr>
        <w:footnoteRef/>
      </w:r>
      <w:r w:rsidRPr="005A1A2A">
        <w:rPr>
          <w:rFonts w:ascii="Times New Roman" w:hAnsi="Times New Roman" w:cs="Times New Roman"/>
        </w:rPr>
        <w:t xml:space="preserve"> Source: U.S. Department of Health and Human Services, “Guidelines for Regulatory Impact Analysis” (2016), </w:t>
      </w:r>
      <w:hyperlink r:id="rId5" w:history="1">
        <w:r w:rsidRPr="005A1A2A">
          <w:rPr>
            <w:rStyle w:val="Hyperlink"/>
            <w:rFonts w:ascii="Times New Roman" w:hAnsi="Times New Roman" w:cs="Times New Roman"/>
          </w:rPr>
          <w:t>https://aspe.hhs.gov/system/files/pdf/242926/HHS_RIAGuidance.pdf</w:t>
        </w:r>
      </w:hyperlink>
      <w:r w:rsidRPr="005A1A2A">
        <w:rPr>
          <w:rFonts w:ascii="Times New Roman" w:hAnsi="Times New Roman" w:cs="Times New Roman"/>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0568" w14:textId="77777777" w:rsidR="00D15FC4" w:rsidRDefault="00D15FC4">
    <w:pPr>
      <w:pStyle w:val="Header"/>
      <w:jc w:val="right"/>
    </w:pPr>
  </w:p>
  <w:p w14:paraId="3FE75D05" w14:textId="77777777" w:rsidR="00D15FC4" w:rsidRDefault="00D1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F1257"/>
    <w:multiLevelType w:val="multilevel"/>
    <w:tmpl w:val="6FFC93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4CB5F30"/>
    <w:multiLevelType w:val="hybridMultilevel"/>
    <w:tmpl w:val="20AE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E4606"/>
    <w:multiLevelType w:val="hybridMultilevel"/>
    <w:tmpl w:val="31D63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947A3A"/>
    <w:multiLevelType w:val="hybridMultilevel"/>
    <w:tmpl w:val="8E3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02B2C"/>
    <w:multiLevelType w:val="hybridMultilevel"/>
    <w:tmpl w:val="CFF6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65651C"/>
    <w:multiLevelType w:val="hybridMultilevel"/>
    <w:tmpl w:val="82FE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347D"/>
    <w:multiLevelType w:val="hybridMultilevel"/>
    <w:tmpl w:val="2B5E00FA"/>
    <w:lvl w:ilvl="0" w:tplc="040900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9758F4"/>
    <w:multiLevelType w:val="hybridMultilevel"/>
    <w:tmpl w:val="9BAE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E025D"/>
    <w:multiLevelType w:val="hybridMultilevel"/>
    <w:tmpl w:val="0AFC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64D17A9C"/>
    <w:multiLevelType w:val="hybridMultilevel"/>
    <w:tmpl w:val="26D6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E2D75"/>
    <w:multiLevelType w:val="hybridMultilevel"/>
    <w:tmpl w:val="2142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56B7B"/>
    <w:multiLevelType w:val="multilevel"/>
    <w:tmpl w:val="1B7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2600E"/>
    <w:multiLevelType w:val="hybridMultilevel"/>
    <w:tmpl w:val="0CC8BED4"/>
    <w:lvl w:ilvl="0" w:tplc="CD7800A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E3102"/>
    <w:multiLevelType w:val="hybridMultilevel"/>
    <w:tmpl w:val="BE68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50B51"/>
    <w:multiLevelType w:val="hybridMultilevel"/>
    <w:tmpl w:val="C7A6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C1528"/>
    <w:multiLevelType w:val="hybridMultilevel"/>
    <w:tmpl w:val="B7E8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F767B"/>
    <w:multiLevelType w:val="hybridMultilevel"/>
    <w:tmpl w:val="5B16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19"/>
  </w:num>
  <w:num w:numId="4">
    <w:abstractNumId w:val="7"/>
  </w:num>
  <w:num w:numId="5">
    <w:abstractNumId w:val="1"/>
  </w:num>
  <w:num w:numId="6">
    <w:abstractNumId w:val="24"/>
  </w:num>
  <w:num w:numId="7">
    <w:abstractNumId w:val="12"/>
  </w:num>
  <w:num w:numId="8">
    <w:abstractNumId w:val="14"/>
  </w:num>
  <w:num w:numId="9">
    <w:abstractNumId w:val="20"/>
  </w:num>
  <w:num w:numId="10">
    <w:abstractNumId w:val="2"/>
  </w:num>
  <w:num w:numId="11">
    <w:abstractNumId w:val="16"/>
  </w:num>
  <w:num w:numId="12">
    <w:abstractNumId w:val="18"/>
  </w:num>
  <w:num w:numId="13">
    <w:abstractNumId w:val="8"/>
  </w:num>
  <w:num w:numId="14">
    <w:abstractNumId w:val="17"/>
  </w:num>
  <w:num w:numId="15">
    <w:abstractNumId w:val="9"/>
  </w:num>
  <w:num w:numId="16">
    <w:abstractNumId w:val="4"/>
  </w:num>
  <w:num w:numId="17">
    <w:abstractNumId w:val="5"/>
  </w:num>
  <w:num w:numId="18">
    <w:abstractNumId w:val="22"/>
  </w:num>
  <w:num w:numId="19">
    <w:abstractNumId w:val="21"/>
  </w:num>
  <w:num w:numId="20">
    <w:abstractNumId w:val="23"/>
  </w:num>
  <w:num w:numId="21">
    <w:abstractNumId w:val="10"/>
  </w:num>
  <w:num w:numId="22">
    <w:abstractNumId w:val="3"/>
  </w:num>
  <w:num w:numId="23">
    <w:abstractNumId w:val="6"/>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04E46"/>
    <w:rsid w:val="00006CCC"/>
    <w:rsid w:val="00012F93"/>
    <w:rsid w:val="000224A2"/>
    <w:rsid w:val="00025D0E"/>
    <w:rsid w:val="000270CC"/>
    <w:rsid w:val="00030797"/>
    <w:rsid w:val="00031E54"/>
    <w:rsid w:val="00032A5E"/>
    <w:rsid w:val="00034E98"/>
    <w:rsid w:val="00041832"/>
    <w:rsid w:val="000456ED"/>
    <w:rsid w:val="00051665"/>
    <w:rsid w:val="00056DC8"/>
    <w:rsid w:val="00060225"/>
    <w:rsid w:val="00061089"/>
    <w:rsid w:val="00061F3B"/>
    <w:rsid w:val="0006433C"/>
    <w:rsid w:val="00092AF5"/>
    <w:rsid w:val="000B781D"/>
    <w:rsid w:val="000B79AF"/>
    <w:rsid w:val="000C3F3F"/>
    <w:rsid w:val="000C7A8A"/>
    <w:rsid w:val="000D503D"/>
    <w:rsid w:val="000E24F9"/>
    <w:rsid w:val="00104B9C"/>
    <w:rsid w:val="00110870"/>
    <w:rsid w:val="001148C5"/>
    <w:rsid w:val="00117F55"/>
    <w:rsid w:val="00121A42"/>
    <w:rsid w:val="0012623E"/>
    <w:rsid w:val="00126EBC"/>
    <w:rsid w:val="00137238"/>
    <w:rsid w:val="001401A1"/>
    <w:rsid w:val="001472AE"/>
    <w:rsid w:val="001551C6"/>
    <w:rsid w:val="00160974"/>
    <w:rsid w:val="00171772"/>
    <w:rsid w:val="00180951"/>
    <w:rsid w:val="00182D90"/>
    <w:rsid w:val="001930EB"/>
    <w:rsid w:val="001932E0"/>
    <w:rsid w:val="001A1BB5"/>
    <w:rsid w:val="001A6A78"/>
    <w:rsid w:val="001B3ECD"/>
    <w:rsid w:val="001B7404"/>
    <w:rsid w:val="001B7CDC"/>
    <w:rsid w:val="001C7D50"/>
    <w:rsid w:val="001D47CB"/>
    <w:rsid w:val="001E15D7"/>
    <w:rsid w:val="001E1A23"/>
    <w:rsid w:val="001E33F5"/>
    <w:rsid w:val="001E6AA2"/>
    <w:rsid w:val="0021113A"/>
    <w:rsid w:val="00213C98"/>
    <w:rsid w:val="00215E0F"/>
    <w:rsid w:val="00224096"/>
    <w:rsid w:val="00226ADC"/>
    <w:rsid w:val="00230A8D"/>
    <w:rsid w:val="002429D9"/>
    <w:rsid w:val="00243589"/>
    <w:rsid w:val="002462F8"/>
    <w:rsid w:val="00257AB2"/>
    <w:rsid w:val="0026413B"/>
    <w:rsid w:val="002652A7"/>
    <w:rsid w:val="002659EE"/>
    <w:rsid w:val="00271310"/>
    <w:rsid w:val="002731C0"/>
    <w:rsid w:val="00274A46"/>
    <w:rsid w:val="00275A79"/>
    <w:rsid w:val="00277E64"/>
    <w:rsid w:val="00280265"/>
    <w:rsid w:val="00283DDF"/>
    <w:rsid w:val="002873C3"/>
    <w:rsid w:val="002908E9"/>
    <w:rsid w:val="002B62BC"/>
    <w:rsid w:val="002C4CC9"/>
    <w:rsid w:val="002C5FC5"/>
    <w:rsid w:val="002D083D"/>
    <w:rsid w:val="002F7D52"/>
    <w:rsid w:val="00304B3F"/>
    <w:rsid w:val="0030578F"/>
    <w:rsid w:val="00314FE5"/>
    <w:rsid w:val="00317910"/>
    <w:rsid w:val="00320D31"/>
    <w:rsid w:val="0032327D"/>
    <w:rsid w:val="00330B72"/>
    <w:rsid w:val="00331981"/>
    <w:rsid w:val="0033249A"/>
    <w:rsid w:val="00333164"/>
    <w:rsid w:val="00334D12"/>
    <w:rsid w:val="00337293"/>
    <w:rsid w:val="00340867"/>
    <w:rsid w:val="003528E6"/>
    <w:rsid w:val="003551A1"/>
    <w:rsid w:val="0036015C"/>
    <w:rsid w:val="003664C6"/>
    <w:rsid w:val="003670E7"/>
    <w:rsid w:val="00367246"/>
    <w:rsid w:val="00372264"/>
    <w:rsid w:val="003774AE"/>
    <w:rsid w:val="00377BC9"/>
    <w:rsid w:val="00380A0C"/>
    <w:rsid w:val="003835BD"/>
    <w:rsid w:val="00390104"/>
    <w:rsid w:val="00390D71"/>
    <w:rsid w:val="00392FD7"/>
    <w:rsid w:val="00394F3A"/>
    <w:rsid w:val="003956A8"/>
    <w:rsid w:val="003A09F4"/>
    <w:rsid w:val="003A17D6"/>
    <w:rsid w:val="003A2294"/>
    <w:rsid w:val="003C0CB8"/>
    <w:rsid w:val="003C4550"/>
    <w:rsid w:val="003C45B5"/>
    <w:rsid w:val="003C5EB4"/>
    <w:rsid w:val="003D0F05"/>
    <w:rsid w:val="003D2EAA"/>
    <w:rsid w:val="003D3E09"/>
    <w:rsid w:val="003D4774"/>
    <w:rsid w:val="003D587C"/>
    <w:rsid w:val="003F0539"/>
    <w:rsid w:val="003F63C6"/>
    <w:rsid w:val="003F7D22"/>
    <w:rsid w:val="004027D7"/>
    <w:rsid w:val="00403400"/>
    <w:rsid w:val="00404AA2"/>
    <w:rsid w:val="004140CB"/>
    <w:rsid w:val="00417864"/>
    <w:rsid w:val="00423001"/>
    <w:rsid w:val="004321D0"/>
    <w:rsid w:val="004329FE"/>
    <w:rsid w:val="00432B73"/>
    <w:rsid w:val="00434008"/>
    <w:rsid w:val="00454623"/>
    <w:rsid w:val="00456938"/>
    <w:rsid w:val="004613BA"/>
    <w:rsid w:val="00462227"/>
    <w:rsid w:val="00466282"/>
    <w:rsid w:val="00472167"/>
    <w:rsid w:val="004802D8"/>
    <w:rsid w:val="004814F4"/>
    <w:rsid w:val="00486801"/>
    <w:rsid w:val="004873D3"/>
    <w:rsid w:val="00493701"/>
    <w:rsid w:val="004A623C"/>
    <w:rsid w:val="004B1853"/>
    <w:rsid w:val="004D1BD2"/>
    <w:rsid w:val="004D3559"/>
    <w:rsid w:val="004D523A"/>
    <w:rsid w:val="004D5B1B"/>
    <w:rsid w:val="004E353A"/>
    <w:rsid w:val="004E7122"/>
    <w:rsid w:val="004E7354"/>
    <w:rsid w:val="004F2C5D"/>
    <w:rsid w:val="004F4135"/>
    <w:rsid w:val="004F41B2"/>
    <w:rsid w:val="00501ACA"/>
    <w:rsid w:val="00507CBC"/>
    <w:rsid w:val="005120D1"/>
    <w:rsid w:val="005131B8"/>
    <w:rsid w:val="0051497D"/>
    <w:rsid w:val="005155E4"/>
    <w:rsid w:val="00524744"/>
    <w:rsid w:val="00535A49"/>
    <w:rsid w:val="0054183E"/>
    <w:rsid w:val="00544048"/>
    <w:rsid w:val="0056189F"/>
    <w:rsid w:val="00565285"/>
    <w:rsid w:val="005664BE"/>
    <w:rsid w:val="0056769E"/>
    <w:rsid w:val="00576486"/>
    <w:rsid w:val="005852A8"/>
    <w:rsid w:val="00585B29"/>
    <w:rsid w:val="00587CD5"/>
    <w:rsid w:val="005910E7"/>
    <w:rsid w:val="005921BC"/>
    <w:rsid w:val="00597AB4"/>
    <w:rsid w:val="005A0514"/>
    <w:rsid w:val="005A06FD"/>
    <w:rsid w:val="005A1A2A"/>
    <w:rsid w:val="005A29D3"/>
    <w:rsid w:val="005A2B73"/>
    <w:rsid w:val="005A6D58"/>
    <w:rsid w:val="005B2001"/>
    <w:rsid w:val="005D000F"/>
    <w:rsid w:val="005D0931"/>
    <w:rsid w:val="005D2611"/>
    <w:rsid w:val="005D4222"/>
    <w:rsid w:val="005D42E5"/>
    <w:rsid w:val="005D5629"/>
    <w:rsid w:val="005E1F88"/>
    <w:rsid w:val="005E2DF8"/>
    <w:rsid w:val="005E36CE"/>
    <w:rsid w:val="005E51D9"/>
    <w:rsid w:val="0060204F"/>
    <w:rsid w:val="00606FD8"/>
    <w:rsid w:val="00620046"/>
    <w:rsid w:val="00625B32"/>
    <w:rsid w:val="00626A4A"/>
    <w:rsid w:val="00650ABA"/>
    <w:rsid w:val="00655CB3"/>
    <w:rsid w:val="00657E69"/>
    <w:rsid w:val="00661642"/>
    <w:rsid w:val="00662DBB"/>
    <w:rsid w:val="006638E6"/>
    <w:rsid w:val="00675039"/>
    <w:rsid w:val="00680ABE"/>
    <w:rsid w:val="0068744D"/>
    <w:rsid w:val="006B044B"/>
    <w:rsid w:val="006B2817"/>
    <w:rsid w:val="006B32E7"/>
    <w:rsid w:val="006B5909"/>
    <w:rsid w:val="006C1E41"/>
    <w:rsid w:val="006C482D"/>
    <w:rsid w:val="006E4502"/>
    <w:rsid w:val="006E5711"/>
    <w:rsid w:val="006F2D12"/>
    <w:rsid w:val="006F4DA1"/>
    <w:rsid w:val="006F7BFB"/>
    <w:rsid w:val="00702C7F"/>
    <w:rsid w:val="0070598A"/>
    <w:rsid w:val="00720D0A"/>
    <w:rsid w:val="007210F5"/>
    <w:rsid w:val="00736EA0"/>
    <w:rsid w:val="0073729F"/>
    <w:rsid w:val="00743A15"/>
    <w:rsid w:val="00750E5E"/>
    <w:rsid w:val="00753CCC"/>
    <w:rsid w:val="0075404E"/>
    <w:rsid w:val="00765257"/>
    <w:rsid w:val="00781EEE"/>
    <w:rsid w:val="00787007"/>
    <w:rsid w:val="00787305"/>
    <w:rsid w:val="007879B9"/>
    <w:rsid w:val="00787E5F"/>
    <w:rsid w:val="007968B5"/>
    <w:rsid w:val="00796916"/>
    <w:rsid w:val="007A2BC0"/>
    <w:rsid w:val="007A77D1"/>
    <w:rsid w:val="007B2135"/>
    <w:rsid w:val="007B5393"/>
    <w:rsid w:val="007B7522"/>
    <w:rsid w:val="007C2631"/>
    <w:rsid w:val="007E409D"/>
    <w:rsid w:val="007F6E49"/>
    <w:rsid w:val="008039B6"/>
    <w:rsid w:val="008177F2"/>
    <w:rsid w:val="00830835"/>
    <w:rsid w:val="00834920"/>
    <w:rsid w:val="008413E7"/>
    <w:rsid w:val="00846815"/>
    <w:rsid w:val="00864CC9"/>
    <w:rsid w:val="008902C3"/>
    <w:rsid w:val="00897605"/>
    <w:rsid w:val="008A708C"/>
    <w:rsid w:val="008C6B47"/>
    <w:rsid w:val="008D062C"/>
    <w:rsid w:val="008F084E"/>
    <w:rsid w:val="008F39DF"/>
    <w:rsid w:val="008F49F5"/>
    <w:rsid w:val="008F58DB"/>
    <w:rsid w:val="009043EA"/>
    <w:rsid w:val="00914428"/>
    <w:rsid w:val="0092012C"/>
    <w:rsid w:val="00927BD2"/>
    <w:rsid w:val="0094164F"/>
    <w:rsid w:val="00956E75"/>
    <w:rsid w:val="00980B69"/>
    <w:rsid w:val="00982943"/>
    <w:rsid w:val="009874B8"/>
    <w:rsid w:val="00987792"/>
    <w:rsid w:val="00990900"/>
    <w:rsid w:val="00991B62"/>
    <w:rsid w:val="009A013A"/>
    <w:rsid w:val="009A0BBE"/>
    <w:rsid w:val="009A3A15"/>
    <w:rsid w:val="009B36E0"/>
    <w:rsid w:val="009C60AF"/>
    <w:rsid w:val="009E3E39"/>
    <w:rsid w:val="009E76F3"/>
    <w:rsid w:val="009F0B38"/>
    <w:rsid w:val="009F50B1"/>
    <w:rsid w:val="009F552F"/>
    <w:rsid w:val="009F6538"/>
    <w:rsid w:val="009F66EE"/>
    <w:rsid w:val="00A00BEA"/>
    <w:rsid w:val="00A07E4B"/>
    <w:rsid w:val="00A13268"/>
    <w:rsid w:val="00A17F2A"/>
    <w:rsid w:val="00A208A6"/>
    <w:rsid w:val="00A20FFC"/>
    <w:rsid w:val="00A2112B"/>
    <w:rsid w:val="00A52034"/>
    <w:rsid w:val="00A56722"/>
    <w:rsid w:val="00A62A6E"/>
    <w:rsid w:val="00A62B8B"/>
    <w:rsid w:val="00A7066C"/>
    <w:rsid w:val="00A71B8F"/>
    <w:rsid w:val="00A90615"/>
    <w:rsid w:val="00A9114D"/>
    <w:rsid w:val="00AA0AF8"/>
    <w:rsid w:val="00AA5E68"/>
    <w:rsid w:val="00AB1B05"/>
    <w:rsid w:val="00AB74A4"/>
    <w:rsid w:val="00AC0A06"/>
    <w:rsid w:val="00AC318F"/>
    <w:rsid w:val="00AC4D01"/>
    <w:rsid w:val="00AC73EE"/>
    <w:rsid w:val="00AD5D2E"/>
    <w:rsid w:val="00AD5D9F"/>
    <w:rsid w:val="00AF4452"/>
    <w:rsid w:val="00B1332C"/>
    <w:rsid w:val="00B13FAA"/>
    <w:rsid w:val="00B27D54"/>
    <w:rsid w:val="00B30A40"/>
    <w:rsid w:val="00B32D0D"/>
    <w:rsid w:val="00B414A0"/>
    <w:rsid w:val="00B55B1A"/>
    <w:rsid w:val="00B613D4"/>
    <w:rsid w:val="00B66541"/>
    <w:rsid w:val="00B760D9"/>
    <w:rsid w:val="00B80B66"/>
    <w:rsid w:val="00B84610"/>
    <w:rsid w:val="00B9625D"/>
    <w:rsid w:val="00BA3B19"/>
    <w:rsid w:val="00BA7194"/>
    <w:rsid w:val="00BB0620"/>
    <w:rsid w:val="00BC02CF"/>
    <w:rsid w:val="00BC048D"/>
    <w:rsid w:val="00BC1861"/>
    <w:rsid w:val="00BC24D6"/>
    <w:rsid w:val="00BC2645"/>
    <w:rsid w:val="00BC2C56"/>
    <w:rsid w:val="00BC5DE4"/>
    <w:rsid w:val="00BD3BB9"/>
    <w:rsid w:val="00BE2E99"/>
    <w:rsid w:val="00BE3EF2"/>
    <w:rsid w:val="00BE5A5B"/>
    <w:rsid w:val="00BE7419"/>
    <w:rsid w:val="00BF259B"/>
    <w:rsid w:val="00C01CAE"/>
    <w:rsid w:val="00C12F1A"/>
    <w:rsid w:val="00C17636"/>
    <w:rsid w:val="00C209D0"/>
    <w:rsid w:val="00C23B24"/>
    <w:rsid w:val="00C3102C"/>
    <w:rsid w:val="00C32EFD"/>
    <w:rsid w:val="00C541F7"/>
    <w:rsid w:val="00C602FA"/>
    <w:rsid w:val="00C62ACF"/>
    <w:rsid w:val="00C702FF"/>
    <w:rsid w:val="00C73404"/>
    <w:rsid w:val="00C7781D"/>
    <w:rsid w:val="00C918FF"/>
    <w:rsid w:val="00C920ED"/>
    <w:rsid w:val="00CA3CE9"/>
    <w:rsid w:val="00CA62B8"/>
    <w:rsid w:val="00CB6002"/>
    <w:rsid w:val="00CC0A7C"/>
    <w:rsid w:val="00CC5EDD"/>
    <w:rsid w:val="00CC5F8B"/>
    <w:rsid w:val="00CD3853"/>
    <w:rsid w:val="00D00987"/>
    <w:rsid w:val="00D10D73"/>
    <w:rsid w:val="00D15FC4"/>
    <w:rsid w:val="00D17FC9"/>
    <w:rsid w:val="00D22142"/>
    <w:rsid w:val="00D22C31"/>
    <w:rsid w:val="00D2312A"/>
    <w:rsid w:val="00D26206"/>
    <w:rsid w:val="00D3166E"/>
    <w:rsid w:val="00D43DDC"/>
    <w:rsid w:val="00D44F7D"/>
    <w:rsid w:val="00D501BD"/>
    <w:rsid w:val="00D61207"/>
    <w:rsid w:val="00D66CCA"/>
    <w:rsid w:val="00D75415"/>
    <w:rsid w:val="00D76C24"/>
    <w:rsid w:val="00D8289D"/>
    <w:rsid w:val="00D932DF"/>
    <w:rsid w:val="00D97743"/>
    <w:rsid w:val="00DB166D"/>
    <w:rsid w:val="00DE1BC3"/>
    <w:rsid w:val="00DE25A6"/>
    <w:rsid w:val="00DE415B"/>
    <w:rsid w:val="00DF1DD8"/>
    <w:rsid w:val="00DF23EF"/>
    <w:rsid w:val="00DF61D4"/>
    <w:rsid w:val="00E03362"/>
    <w:rsid w:val="00E222A6"/>
    <w:rsid w:val="00E41DAA"/>
    <w:rsid w:val="00E62F89"/>
    <w:rsid w:val="00E646B3"/>
    <w:rsid w:val="00E73EC6"/>
    <w:rsid w:val="00E92187"/>
    <w:rsid w:val="00E92A76"/>
    <w:rsid w:val="00E95361"/>
    <w:rsid w:val="00EA11E8"/>
    <w:rsid w:val="00EA3131"/>
    <w:rsid w:val="00EA3E11"/>
    <w:rsid w:val="00EA4CC0"/>
    <w:rsid w:val="00EB2575"/>
    <w:rsid w:val="00EB7E11"/>
    <w:rsid w:val="00EC24D8"/>
    <w:rsid w:val="00ED6E66"/>
    <w:rsid w:val="00EE4552"/>
    <w:rsid w:val="00EF1ABF"/>
    <w:rsid w:val="00F00D10"/>
    <w:rsid w:val="00F01952"/>
    <w:rsid w:val="00F03D87"/>
    <w:rsid w:val="00F25889"/>
    <w:rsid w:val="00F33A2D"/>
    <w:rsid w:val="00F4332D"/>
    <w:rsid w:val="00F4607F"/>
    <w:rsid w:val="00F4668C"/>
    <w:rsid w:val="00F538B8"/>
    <w:rsid w:val="00F60E62"/>
    <w:rsid w:val="00F616E9"/>
    <w:rsid w:val="00F916DD"/>
    <w:rsid w:val="00F91A05"/>
    <w:rsid w:val="00FA00A6"/>
    <w:rsid w:val="00FA282D"/>
    <w:rsid w:val="00FA3152"/>
    <w:rsid w:val="00FB4DFF"/>
    <w:rsid w:val="00FC142A"/>
    <w:rsid w:val="00FC14BF"/>
    <w:rsid w:val="00FC28DA"/>
    <w:rsid w:val="00FC6FF6"/>
    <w:rsid w:val="00FE5818"/>
    <w:rsid w:val="00FF193E"/>
    <w:rsid w:val="00FF6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CE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2">
    <w:name w:val="heading 2"/>
    <w:basedOn w:val="Normal"/>
    <w:next w:val="Normal"/>
    <w:link w:val="Heading2Char"/>
    <w:uiPriority w:val="9"/>
    <w:semiHidden/>
    <w:unhideWhenUsed/>
    <w:qFormat/>
    <w:rsid w:val="00C541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C6B47"/>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C6B47"/>
    <w:pPr>
      <w:spacing w:after="0"/>
    </w:pPr>
    <w:rPr>
      <w:rFonts w:ascii="Segoe UI" w:hAnsi="Segoe UI" w:cs="Segoe UI"/>
      <w:sz w:val="18"/>
      <w:szCs w:val="18"/>
    </w:rPr>
  </w:style>
  <w:style w:type="character" w:customStyle="1" w:styleId="BalloonTextChar">
    <w:name w:val="Balloon Text Char"/>
    <w:basedOn w:val="DefaultParagraphFont"/>
    <w:uiPriority w:val="99"/>
    <w:semiHidden/>
    <w:rsid w:val="001D567D"/>
    <w:rPr>
      <w:rFonts w:ascii="Lucida Grande" w:hAnsi="Lucida Grande"/>
      <w:sz w:val="18"/>
      <w:szCs w:val="18"/>
    </w:rPr>
  </w:style>
  <w:style w:type="character" w:customStyle="1" w:styleId="BalloonTextChar0">
    <w:name w:val="Balloon Text Char"/>
    <w:basedOn w:val="DefaultParagraphFont"/>
    <w:uiPriority w:val="99"/>
    <w:semiHidden/>
    <w:rsid w:val="001D567D"/>
    <w:rPr>
      <w:rFonts w:ascii="Lucida Grande" w:hAnsi="Lucida Grande"/>
      <w:sz w:val="18"/>
      <w:szCs w:val="18"/>
    </w:rPr>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uiPriority w:val="99"/>
    <w:rsid w:val="001C7D50"/>
    <w:rPr>
      <w:color w:val="0000FF"/>
      <w:u w:val="single"/>
    </w:rPr>
  </w:style>
  <w:style w:type="paragraph" w:customStyle="1" w:styleId="paragraph">
    <w:name w:val="paragraph"/>
    <w:basedOn w:val="Normal"/>
    <w:rsid w:val="00EA4CC0"/>
    <w:pPr>
      <w:spacing w:before="100" w:beforeAutospacing="1" w:after="100" w:afterAutospacing="1"/>
    </w:pPr>
    <w:rPr>
      <w:szCs w:val="24"/>
    </w:r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spacing w:after="0"/>
    </w:pPr>
    <w:rPr>
      <w:szCs w:val="24"/>
    </w:r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C6B47"/>
    <w:rPr>
      <w:sz w:val="20"/>
      <w:szCs w:val="20"/>
    </w:rPr>
  </w:style>
  <w:style w:type="character" w:customStyle="1" w:styleId="BalloonTextChar1">
    <w:name w:val="Balloon Text Char1"/>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rPr>
      <w:szCs w:val="24"/>
    </w:r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C6B47"/>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8C6B47"/>
    <w:rPr>
      <w:sz w:val="20"/>
      <w:szCs w:val="20"/>
    </w:rPr>
  </w:style>
  <w:style w:type="character" w:styleId="FootnoteReference">
    <w:name w:val="footnote reference"/>
    <w:basedOn w:val="DefaultParagraphFont"/>
    <w:uiPriority w:val="99"/>
    <w:semiHidden/>
    <w:unhideWhenUsed/>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character" w:customStyle="1" w:styleId="Heading2Char">
    <w:name w:val="Heading 2 Char"/>
    <w:basedOn w:val="DefaultParagraphFont"/>
    <w:link w:val="Heading2"/>
    <w:uiPriority w:val="9"/>
    <w:semiHidden/>
    <w:rsid w:val="00C541F7"/>
    <w:rPr>
      <w:rFonts w:asciiTheme="majorHAnsi" w:eastAsiaTheme="majorEastAsia" w:hAnsiTheme="majorHAnsi" w:cstheme="majorBidi"/>
      <w:color w:val="365F91" w:themeColor="accent1" w:themeShade="BF"/>
      <w:sz w:val="26"/>
      <w:szCs w:val="26"/>
    </w:rPr>
  </w:style>
  <w:style w:type="paragraph" w:customStyle="1" w:styleId="GHBodytext">
    <w:name w:val="GH_Bodytext"/>
    <w:basedOn w:val="Normal"/>
    <w:link w:val="GHBodytextChar"/>
    <w:qFormat/>
    <w:rsid w:val="00C541F7"/>
    <w:rPr>
      <w:rFonts w:ascii="Arial" w:hAnsi="Arial"/>
      <w:szCs w:val="24"/>
    </w:rPr>
  </w:style>
  <w:style w:type="character" w:customStyle="1" w:styleId="GHBodytextChar">
    <w:name w:val="GH_Bodytext Char"/>
    <w:basedOn w:val="DefaultParagraphFont"/>
    <w:link w:val="GHBodytext"/>
    <w:locked/>
    <w:rsid w:val="00C541F7"/>
    <w:rPr>
      <w:rFonts w:ascii="Arial" w:eastAsia="Times New Roman" w:hAnsi="Arial" w:cs="Times New Roman"/>
      <w:sz w:val="24"/>
      <w:szCs w:val="24"/>
    </w:rPr>
  </w:style>
  <w:style w:type="table" w:customStyle="1" w:styleId="GridTable5Dark1">
    <w:name w:val="Grid Table 5 Dark1"/>
    <w:basedOn w:val="TableNormal"/>
    <w:uiPriority w:val="50"/>
    <w:rsid w:val="00C541F7"/>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FollowedHyperlink">
    <w:name w:val="FollowedHyperlink"/>
    <w:basedOn w:val="DefaultParagraphFont"/>
    <w:uiPriority w:val="99"/>
    <w:semiHidden/>
    <w:unhideWhenUsed/>
    <w:rsid w:val="00006CCC"/>
    <w:rPr>
      <w:color w:val="800080" w:themeColor="followedHyperlink"/>
      <w:u w:val="single"/>
    </w:rPr>
  </w:style>
  <w:style w:type="paragraph" w:styleId="Revision">
    <w:name w:val="Revision"/>
    <w:hidden/>
    <w:uiPriority w:val="99"/>
    <w:semiHidden/>
    <w:rsid w:val="0070598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0126">
      <w:bodyDiv w:val="1"/>
      <w:marLeft w:val="0"/>
      <w:marRight w:val="0"/>
      <w:marTop w:val="0"/>
      <w:marBottom w:val="0"/>
      <w:divBdr>
        <w:top w:val="none" w:sz="0" w:space="0" w:color="auto"/>
        <w:left w:val="none" w:sz="0" w:space="0" w:color="auto"/>
        <w:bottom w:val="none" w:sz="0" w:space="0" w:color="auto"/>
        <w:right w:val="none" w:sz="0" w:space="0" w:color="auto"/>
      </w:divBdr>
    </w:div>
    <w:div w:id="309942137">
      <w:bodyDiv w:val="1"/>
      <w:marLeft w:val="0"/>
      <w:marRight w:val="0"/>
      <w:marTop w:val="0"/>
      <w:marBottom w:val="0"/>
      <w:divBdr>
        <w:top w:val="none" w:sz="0" w:space="0" w:color="auto"/>
        <w:left w:val="none" w:sz="0" w:space="0" w:color="auto"/>
        <w:bottom w:val="none" w:sz="0" w:space="0" w:color="auto"/>
        <w:right w:val="none" w:sz="0" w:space="0" w:color="auto"/>
      </w:divBdr>
    </w:div>
    <w:div w:id="584925215">
      <w:bodyDiv w:val="1"/>
      <w:marLeft w:val="0"/>
      <w:marRight w:val="0"/>
      <w:marTop w:val="0"/>
      <w:marBottom w:val="0"/>
      <w:divBdr>
        <w:top w:val="none" w:sz="0" w:space="0" w:color="auto"/>
        <w:left w:val="none" w:sz="0" w:space="0" w:color="auto"/>
        <w:bottom w:val="none" w:sz="0" w:space="0" w:color="auto"/>
        <w:right w:val="none" w:sz="0" w:space="0" w:color="auto"/>
      </w:divBdr>
    </w:div>
    <w:div w:id="855769656">
      <w:bodyDiv w:val="1"/>
      <w:marLeft w:val="0"/>
      <w:marRight w:val="0"/>
      <w:marTop w:val="0"/>
      <w:marBottom w:val="0"/>
      <w:divBdr>
        <w:top w:val="none" w:sz="0" w:space="0" w:color="auto"/>
        <w:left w:val="none" w:sz="0" w:space="0" w:color="auto"/>
        <w:bottom w:val="none" w:sz="0" w:space="0" w:color="auto"/>
        <w:right w:val="none" w:sz="0" w:space="0" w:color="auto"/>
      </w:divBdr>
    </w:div>
    <w:div w:id="1012951004">
      <w:bodyDiv w:val="1"/>
      <w:marLeft w:val="0"/>
      <w:marRight w:val="0"/>
      <w:marTop w:val="0"/>
      <w:marBottom w:val="0"/>
      <w:divBdr>
        <w:top w:val="none" w:sz="0" w:space="0" w:color="auto"/>
        <w:left w:val="none" w:sz="0" w:space="0" w:color="auto"/>
        <w:bottom w:val="none" w:sz="0" w:space="0" w:color="auto"/>
        <w:right w:val="none" w:sz="0" w:space="0" w:color="auto"/>
      </w:divBdr>
    </w:div>
    <w:div w:id="1126503268">
      <w:bodyDiv w:val="1"/>
      <w:marLeft w:val="0"/>
      <w:marRight w:val="0"/>
      <w:marTop w:val="0"/>
      <w:marBottom w:val="0"/>
      <w:divBdr>
        <w:top w:val="none" w:sz="0" w:space="0" w:color="auto"/>
        <w:left w:val="none" w:sz="0" w:space="0" w:color="auto"/>
        <w:bottom w:val="none" w:sz="0" w:space="0" w:color="auto"/>
        <w:right w:val="none" w:sz="0" w:space="0" w:color="auto"/>
      </w:divBdr>
    </w:div>
    <w:div w:id="1204437579">
      <w:bodyDiv w:val="1"/>
      <w:marLeft w:val="0"/>
      <w:marRight w:val="0"/>
      <w:marTop w:val="0"/>
      <w:marBottom w:val="0"/>
      <w:divBdr>
        <w:top w:val="none" w:sz="0" w:space="0" w:color="auto"/>
        <w:left w:val="none" w:sz="0" w:space="0" w:color="auto"/>
        <w:bottom w:val="none" w:sz="0" w:space="0" w:color="auto"/>
        <w:right w:val="none" w:sz="0" w:space="0" w:color="auto"/>
      </w:divBdr>
    </w:div>
    <w:div w:id="1302614014">
      <w:bodyDiv w:val="1"/>
      <w:marLeft w:val="0"/>
      <w:marRight w:val="0"/>
      <w:marTop w:val="0"/>
      <w:marBottom w:val="0"/>
      <w:divBdr>
        <w:top w:val="none" w:sz="0" w:space="0" w:color="auto"/>
        <w:left w:val="none" w:sz="0" w:space="0" w:color="auto"/>
        <w:bottom w:val="none" w:sz="0" w:space="0" w:color="auto"/>
        <w:right w:val="none" w:sz="0" w:space="0" w:color="auto"/>
      </w:divBdr>
    </w:div>
    <w:div w:id="160380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a.state.gov/impact/eca-evaluation-division" TargetMode="External"/><Relationship Id="rId4" Type="http://schemas.openxmlformats.org/officeDocument/2006/relationships/settings" Target="settings.xml"/><Relationship Id="rId9" Type="http://schemas.openxmlformats.org/officeDocument/2006/relationships/hyperlink" Target="mailto:fellowshipevaluation@guidehouse.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2019/general-schedule/" TargetMode="External"/><Relationship Id="rId2" Type="http://schemas.openxmlformats.org/officeDocument/2006/relationships/hyperlink" Target="https://www.bls.gov/news.release/ecec.t04.htm" TargetMode="External"/><Relationship Id="rId1" Type="http://schemas.openxmlformats.org/officeDocument/2006/relationships/hyperlink" Target="https://www.bls.gov/news.release/ecec.toc.htm" TargetMode="External"/><Relationship Id="rId5" Type="http://schemas.openxmlformats.org/officeDocument/2006/relationships/hyperlink" Target="https://aspe.hhs.gov/system/files/pdf/242926/HHS_RIAGuidance.pdf" TargetMode="External"/><Relationship Id="rId4" Type="http://schemas.openxmlformats.org/officeDocument/2006/relationships/hyperlink" Target="https://www.cbo.gov/publication/52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5862-2594-4FF9-BF45-E7B52DAA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4525</Words>
  <Characters>25796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2020-02-24T16:38:00Z</dcterms:created>
  <dcterms:modified xsi:type="dcterms:W3CDTF">2020-02-24T16:38:00Z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2020-02-18T19:13:04.8188686Z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e58878b1-85e0-4b86-9f2b-c0aa104883f7</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