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3BBA5"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AB2948B" w14:textId="77777777" w:rsidR="007E3AFD" w:rsidRDefault="007E3AFD" w:rsidP="007E3AFD">
      <w:pPr>
        <w:jc w:val="center"/>
        <w:rPr>
          <w:rFonts w:ascii="Times New Roman" w:hAnsi="Times New Roman"/>
          <w:b/>
          <w:bCs/>
          <w:color w:val="FF0000"/>
        </w:rPr>
      </w:pPr>
      <w:r>
        <w:rPr>
          <w:rFonts w:ascii="Times New Roman" w:hAnsi="Times New Roman"/>
          <w:b/>
        </w:rPr>
        <w:t>Application for Relief under Former Section 212(c) of the Immigration and Nationality Act</w:t>
      </w:r>
    </w:p>
    <w:p w14:paraId="7FF945AD"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7E3AFD" w:rsidRPr="007E3AFD">
        <w:rPr>
          <w:rFonts w:ascii="Times New Roman" w:hAnsi="Times New Roman"/>
          <w:b/>
          <w:bCs/>
        </w:rPr>
        <w:t>0016</w:t>
      </w:r>
    </w:p>
    <w:p w14:paraId="18F2EBFF"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7E3AFD">
        <w:rPr>
          <w:rFonts w:ascii="Times New Roman" w:hAnsi="Times New Roman"/>
          <w:b/>
          <w:bCs/>
        </w:rPr>
        <w:t>I-191</w:t>
      </w:r>
    </w:p>
    <w:p w14:paraId="3A5449B6" w14:textId="77777777" w:rsidR="002A4A73" w:rsidRDefault="007312F9">
      <w:pPr>
        <w:jc w:val="center"/>
        <w:rPr>
          <w:rFonts w:ascii="Times New Roman" w:hAnsi="Times New Roman"/>
          <w:b/>
          <w:bCs/>
        </w:rPr>
      </w:pPr>
      <w:r>
        <w:rPr>
          <w:rFonts w:ascii="Times New Roman" w:hAnsi="Times New Roman"/>
          <w:b/>
          <w:bCs/>
        </w:rPr>
        <w:t xml:space="preserve"> </w:t>
      </w:r>
    </w:p>
    <w:p w14:paraId="4E9CAE2C" w14:textId="77777777" w:rsidR="00B27061" w:rsidRPr="00B7349D" w:rsidRDefault="00B27061">
      <w:pPr>
        <w:jc w:val="both"/>
        <w:rPr>
          <w:rFonts w:ascii="Times New Roman" w:hAnsi="Times New Roman"/>
        </w:rPr>
      </w:pPr>
    </w:p>
    <w:p w14:paraId="6BD2ACC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C3AD2CB" w14:textId="77777777" w:rsidR="00B27061" w:rsidRPr="000B00D2" w:rsidRDefault="00B27061" w:rsidP="00914A5D">
      <w:pPr>
        <w:rPr>
          <w:rFonts w:ascii="Times New Roman" w:hAnsi="Times New Roman"/>
        </w:rPr>
      </w:pPr>
    </w:p>
    <w:p w14:paraId="47B56553"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4FD081B" w14:textId="77777777" w:rsidR="007312F9" w:rsidRPr="0029577A" w:rsidRDefault="007312F9" w:rsidP="00914A5D">
      <w:pPr>
        <w:tabs>
          <w:tab w:val="left" w:pos="-1440"/>
        </w:tabs>
        <w:ind w:left="720"/>
        <w:rPr>
          <w:rFonts w:ascii="Times New Roman" w:hAnsi="Times New Roman"/>
        </w:rPr>
      </w:pPr>
    </w:p>
    <w:p w14:paraId="4A2CBD50" w14:textId="77777777" w:rsidR="007E3AFD" w:rsidRDefault="007E3AFD" w:rsidP="007E3AFD">
      <w:pPr>
        <w:tabs>
          <w:tab w:val="left" w:pos="-1440"/>
        </w:tabs>
        <w:ind w:left="720"/>
        <w:rPr>
          <w:rFonts w:ascii="Times New Roman" w:hAnsi="Times New Roman"/>
        </w:rPr>
      </w:pPr>
      <w:r>
        <w:rPr>
          <w:rFonts w:ascii="Times New Roman" w:hAnsi="Times New Roman"/>
        </w:rPr>
        <w:t>Before November 29, 1990, former section 212(c) of the Immigration and Nationality Act</w:t>
      </w:r>
      <w:r w:rsidR="00EF1C96">
        <w:rPr>
          <w:rFonts w:ascii="Times New Roman" w:hAnsi="Times New Roman"/>
        </w:rPr>
        <w:t xml:space="preserve"> (INA)</w:t>
      </w:r>
      <w:r>
        <w:rPr>
          <w:rFonts w:ascii="Times New Roman" w:hAnsi="Times New Roman"/>
        </w:rPr>
        <w:t xml:space="preserve"> provided:</w:t>
      </w:r>
    </w:p>
    <w:p w14:paraId="3167872C" w14:textId="77777777" w:rsidR="007E3AFD" w:rsidRDefault="007E3AFD" w:rsidP="007E3AFD">
      <w:pPr>
        <w:tabs>
          <w:tab w:val="left" w:pos="-1440"/>
        </w:tabs>
        <w:ind w:left="720"/>
        <w:rPr>
          <w:rFonts w:ascii="Times New Roman" w:hAnsi="Times New Roman"/>
        </w:rPr>
      </w:pPr>
    </w:p>
    <w:p w14:paraId="6BB9660B" w14:textId="77777777" w:rsidR="007E3AFD" w:rsidRDefault="007E3AFD" w:rsidP="007E3AFD">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14:paraId="428CA3A4" w14:textId="77777777" w:rsidR="007E3AFD" w:rsidRDefault="007E3AFD" w:rsidP="007E3AFD">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14:paraId="286E96EF" w14:textId="77777777" w:rsidR="007E3AFD" w:rsidRDefault="007E3AFD" w:rsidP="007E3AFD">
      <w:pPr>
        <w:tabs>
          <w:tab w:val="left" w:pos="-1440"/>
        </w:tabs>
        <w:ind w:left="720"/>
        <w:rPr>
          <w:rFonts w:ascii="Times New Roman" w:hAnsi="Times New Roman"/>
        </w:rPr>
      </w:pPr>
    </w:p>
    <w:p w14:paraId="35A105D3" w14:textId="77777777" w:rsidR="007E3AFD" w:rsidRDefault="007E3AFD" w:rsidP="007E3AFD">
      <w:pPr>
        <w:tabs>
          <w:tab w:val="left" w:pos="-1440"/>
        </w:tabs>
        <w:ind w:left="720"/>
        <w:rPr>
          <w:rFonts w:ascii="Times New Roman" w:hAnsi="Times New Roman"/>
        </w:rPr>
      </w:pPr>
      <w:r>
        <w:rPr>
          <w:rFonts w:ascii="Times New Roman" w:hAnsi="Times New Roman"/>
        </w:rPr>
        <w:t xml:space="preserve">However, in 2001, the U.S. Supreme Court decided in </w:t>
      </w:r>
      <w:r>
        <w:rPr>
          <w:rFonts w:ascii="Times New Roman" w:hAnsi="Times New Roman"/>
          <w:i/>
        </w:rPr>
        <w:t>INS v. St. Cyr</w:t>
      </w:r>
      <w:r>
        <w:rPr>
          <w:rFonts w:ascii="Times New Roman" w:hAnsi="Times New Roman"/>
        </w:rPr>
        <w:t xml:space="preserve">, 533 U.S. 289 (2001) that the repeal does not apply to lawful permanent residents </w:t>
      </w:r>
      <w:r w:rsidR="00EF1C96">
        <w:rPr>
          <w:rFonts w:ascii="Times New Roman" w:hAnsi="Times New Roman"/>
        </w:rPr>
        <w:t xml:space="preserve">(LPR) </w:t>
      </w:r>
      <w:r>
        <w:rPr>
          <w:rFonts w:ascii="Times New Roman" w:hAnsi="Times New Roman"/>
        </w:rPr>
        <w:t>who pled guilty to a crime before April 1, 1997.</w:t>
      </w:r>
      <w:r>
        <w:rPr>
          <w:rFonts w:ascii="Times New Roman" w:hAnsi="Times New Roman"/>
          <w:i/>
        </w:rPr>
        <w:t xml:space="preserve">  </w:t>
      </w:r>
      <w:r>
        <w:rPr>
          <w:rFonts w:ascii="Times New Roman" w:hAnsi="Times New Roman"/>
        </w:rPr>
        <w:t xml:space="preserve">In </w:t>
      </w:r>
      <w:r>
        <w:rPr>
          <w:rFonts w:ascii="Times New Roman" w:hAnsi="Times New Roman"/>
          <w:i/>
        </w:rPr>
        <w:t>Matter of Abdelghany</w:t>
      </w:r>
      <w:r>
        <w:rPr>
          <w:rFonts w:ascii="Times New Roman" w:hAnsi="Times New Roman"/>
        </w:rPr>
        <w:t xml:space="preserve">, 26 I&amp;N Dec. 254 (BIA 2014), the Board of Immigration Appeals held that relief under former INA section 212(c) is also available to an otherwise eligible LPR, even if they were convicted after a trial before April 1, 1997. Therefore, relief under former section 212(c) remains available to certain aliens under these decisions. </w:t>
      </w:r>
    </w:p>
    <w:p w14:paraId="7D692F90" w14:textId="77777777" w:rsidR="007E3AFD" w:rsidRDefault="007E3AFD" w:rsidP="007E3AFD">
      <w:pPr>
        <w:tabs>
          <w:tab w:val="left" w:pos="-1440"/>
        </w:tabs>
        <w:ind w:left="720"/>
        <w:rPr>
          <w:rFonts w:ascii="Times New Roman" w:hAnsi="Times New Roman"/>
        </w:rPr>
      </w:pPr>
    </w:p>
    <w:p w14:paraId="4752A531" w14:textId="77777777" w:rsidR="007E3AFD" w:rsidRDefault="007E3AFD" w:rsidP="007E3AFD">
      <w:pPr>
        <w:tabs>
          <w:tab w:val="left" w:pos="-1440"/>
        </w:tabs>
        <w:ind w:left="720"/>
        <w:rPr>
          <w:rFonts w:ascii="Times New Roman" w:hAnsi="Times New Roman"/>
        </w:rPr>
      </w:pPr>
      <w:r>
        <w:rPr>
          <w:rFonts w:ascii="Times New Roman" w:hAnsi="Times New Roman"/>
        </w:rPr>
        <w:t xml:space="preserve">An individual seeking relief under former section 212(c) files Form I-191 to apply for the relief.  The individual files with U. S. Citizenship and Immigration Services (USCIS) if the individual is not in removal proceedings, or with the Department of Justice, Executive Office for Immigration Review (EOIR) if the individual is in removal proceedings.  USCIS and EOIR use the information from the Form I-191 to decide whether to grant or deny relief under former section 212(c).  </w:t>
      </w:r>
    </w:p>
    <w:p w14:paraId="489828A2" w14:textId="77777777" w:rsidR="007E3AFD" w:rsidRDefault="007E3AFD" w:rsidP="007E3AFD">
      <w:pPr>
        <w:tabs>
          <w:tab w:val="left" w:pos="-1440"/>
        </w:tabs>
        <w:ind w:left="720"/>
        <w:rPr>
          <w:rFonts w:ascii="Times New Roman" w:hAnsi="Times New Roman"/>
        </w:rPr>
      </w:pPr>
    </w:p>
    <w:p w14:paraId="2937EAE5" w14:textId="0775E55E" w:rsidR="00A3466A" w:rsidRPr="00D80E94" w:rsidRDefault="00A3466A" w:rsidP="00914A5D">
      <w:pPr>
        <w:tabs>
          <w:tab w:val="left" w:pos="-1440"/>
        </w:tabs>
        <w:ind w:left="720"/>
        <w:rPr>
          <w:rFonts w:ascii="Times New Roman" w:hAnsi="Times New Roman"/>
        </w:rPr>
      </w:pPr>
    </w:p>
    <w:p w14:paraId="613B190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3BE01C" w14:textId="77777777" w:rsidR="00B27061" w:rsidRPr="00914A5D" w:rsidRDefault="00B27061" w:rsidP="00914A5D">
      <w:pPr>
        <w:ind w:left="720"/>
        <w:rPr>
          <w:rFonts w:ascii="Times New Roman" w:hAnsi="Times New Roman"/>
        </w:rPr>
      </w:pPr>
    </w:p>
    <w:p w14:paraId="1B115F5A" w14:textId="77777777" w:rsidR="00EF1C96" w:rsidRDefault="00EF1C96" w:rsidP="00EF1C96">
      <w:pPr>
        <w:ind w:left="720"/>
        <w:rPr>
          <w:rFonts w:ascii="Times New Roman" w:hAnsi="Times New Roman"/>
        </w:rPr>
      </w:pPr>
      <w:r>
        <w:rPr>
          <w:rFonts w:ascii="Times New Roman" w:hAnsi="Times New Roman"/>
        </w:rPr>
        <w:t>USCIS and EOIR use the information on the form to properly assess and determine whether the applicant is eligible for a waiver under former section 212(c) of INA.</w:t>
      </w:r>
    </w:p>
    <w:p w14:paraId="0483B69F" w14:textId="77777777" w:rsidR="00590B61" w:rsidRPr="00914A5D" w:rsidRDefault="00590B61" w:rsidP="00914A5D">
      <w:pPr>
        <w:ind w:left="720"/>
        <w:rPr>
          <w:rFonts w:ascii="Times New Roman" w:hAnsi="Times New Roman"/>
        </w:rPr>
      </w:pPr>
    </w:p>
    <w:p w14:paraId="4C01AAB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6FEBD63" w14:textId="77777777" w:rsidR="00EF1C96" w:rsidRDefault="00EF1C96" w:rsidP="00EF1C9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14:paraId="25B484CA" w14:textId="77777777" w:rsidR="00EF1C96" w:rsidRDefault="00EF1C96" w:rsidP="00EF1C9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 I-191 is currently available on the USCIS Forms website at </w:t>
      </w:r>
      <w:hyperlink r:id="rId11" w:history="1">
        <w:r w:rsidR="00F75224" w:rsidRPr="00B55D80">
          <w:rPr>
            <w:rStyle w:val="Hyperlink"/>
            <w:rFonts w:ascii="Times New Roman" w:hAnsi="Times New Roman"/>
            <w:snapToGrid w:val="0"/>
          </w:rPr>
          <w:t>http://www.uscis.gov/i-191</w:t>
        </w:r>
      </w:hyperlink>
      <w:r w:rsidR="00F75224">
        <w:rPr>
          <w:rFonts w:ascii="Times New Roman" w:hAnsi="Times New Roman"/>
          <w:snapToGrid w:val="0"/>
        </w:rPr>
        <w:t xml:space="preserve">. This information collection is partially </w:t>
      </w:r>
      <w:r>
        <w:rPr>
          <w:rFonts w:ascii="Times New Roman" w:hAnsi="Times New Roman"/>
          <w:snapToGrid w:val="0"/>
        </w:rPr>
        <w:t xml:space="preserve">Government Paperwork </w:t>
      </w:r>
      <w:r w:rsidR="00F75224">
        <w:rPr>
          <w:rFonts w:ascii="Times New Roman" w:hAnsi="Times New Roman"/>
          <w:snapToGrid w:val="0"/>
        </w:rPr>
        <w:t xml:space="preserve">Elimination Act (GPEA) compliant: it can be </w:t>
      </w:r>
      <w:r>
        <w:rPr>
          <w:rFonts w:ascii="Times New Roman" w:hAnsi="Times New Roman"/>
          <w:snapToGrid w:val="0"/>
        </w:rPr>
        <w:t>accessed, completed</w:t>
      </w:r>
      <w:r w:rsidR="00F75224">
        <w:rPr>
          <w:rFonts w:ascii="Times New Roman" w:hAnsi="Times New Roman"/>
          <w:snapToGrid w:val="0"/>
        </w:rPr>
        <w:t>,</w:t>
      </w:r>
      <w:r>
        <w:rPr>
          <w:rFonts w:ascii="Times New Roman" w:hAnsi="Times New Roman"/>
          <w:snapToGrid w:val="0"/>
        </w:rPr>
        <w:t xml:space="preserve"> and saved electronically but </w:t>
      </w:r>
      <w:r w:rsidR="00F75224">
        <w:rPr>
          <w:rFonts w:ascii="Times New Roman" w:hAnsi="Times New Roman"/>
          <w:snapToGrid w:val="0"/>
        </w:rPr>
        <w:t>must be submitted to USCIS via postal mail.</w:t>
      </w:r>
    </w:p>
    <w:p w14:paraId="1956FCBF" w14:textId="77777777" w:rsidR="007312F9" w:rsidRPr="00914A5D" w:rsidRDefault="007312F9" w:rsidP="00914A5D">
      <w:pPr>
        <w:tabs>
          <w:tab w:val="left" w:pos="-1440"/>
        </w:tabs>
        <w:ind w:left="720"/>
        <w:rPr>
          <w:rFonts w:ascii="Times New Roman" w:hAnsi="Times New Roman"/>
        </w:rPr>
      </w:pPr>
    </w:p>
    <w:p w14:paraId="392AEA2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E66A26E" w14:textId="77777777" w:rsidR="007312F9" w:rsidRPr="00914A5D" w:rsidRDefault="007312F9" w:rsidP="00914A5D">
      <w:pPr>
        <w:tabs>
          <w:tab w:val="left" w:pos="-1440"/>
        </w:tabs>
        <w:ind w:left="720"/>
        <w:rPr>
          <w:rFonts w:ascii="Times New Roman" w:hAnsi="Times New Roman"/>
        </w:rPr>
      </w:pPr>
    </w:p>
    <w:p w14:paraId="027226E3" w14:textId="77777777" w:rsidR="00EF1C96" w:rsidRDefault="00EF1C96" w:rsidP="00EF1C96">
      <w:pPr>
        <w:tabs>
          <w:tab w:val="left" w:pos="-1440"/>
        </w:tabs>
        <w:ind w:left="720"/>
        <w:rPr>
          <w:rFonts w:ascii="Times New Roman" w:hAnsi="Times New Roman"/>
          <w:color w:val="FF0000"/>
        </w:rPr>
      </w:pPr>
      <w:r>
        <w:rPr>
          <w:rFonts w:ascii="Times New Roman" w:hAnsi="Times New Roman"/>
        </w:rPr>
        <w:t>USCIS uses the information collected on Form I-191 to grant or deny a request by a lawful permanent resident for relief under former section 212(c).  This information is not collected in any</w:t>
      </w:r>
      <w:r w:rsidR="00BD3D3C">
        <w:rPr>
          <w:rFonts w:ascii="Times New Roman" w:hAnsi="Times New Roman"/>
        </w:rPr>
        <w:t xml:space="preserve"> other </w:t>
      </w:r>
      <w:r>
        <w:rPr>
          <w:rFonts w:ascii="Times New Roman" w:hAnsi="Times New Roman"/>
        </w:rPr>
        <w:t xml:space="preserve">form, and </w:t>
      </w:r>
      <w:r w:rsidR="00BD3D3C">
        <w:rPr>
          <w:rFonts w:ascii="Times New Roman" w:hAnsi="Times New Roman"/>
        </w:rPr>
        <w:t xml:space="preserve">is </w:t>
      </w:r>
      <w:r>
        <w:rPr>
          <w:rFonts w:ascii="Times New Roman" w:hAnsi="Times New Roman"/>
        </w:rPr>
        <w:t xml:space="preserve">therefore not duplicated elsewhere.    </w:t>
      </w:r>
    </w:p>
    <w:p w14:paraId="704A8C88"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6FE34D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13E218E" w14:textId="77777777" w:rsidR="00EF1C96" w:rsidRDefault="00EF1C96" w:rsidP="00914A5D">
      <w:pPr>
        <w:tabs>
          <w:tab w:val="left" w:pos="-1440"/>
        </w:tabs>
        <w:ind w:left="720"/>
        <w:rPr>
          <w:rFonts w:ascii="Times New Roman" w:hAnsi="Times New Roman"/>
        </w:rPr>
      </w:pPr>
    </w:p>
    <w:p w14:paraId="179A0B65" w14:textId="77777777" w:rsidR="00EF1C96" w:rsidRDefault="00EF1C96" w:rsidP="00914A5D">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14:paraId="0BB3EE1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0C2D93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E14683B" w14:textId="77777777" w:rsidR="007312F9" w:rsidRPr="00914A5D" w:rsidRDefault="007312F9" w:rsidP="00914A5D">
      <w:pPr>
        <w:tabs>
          <w:tab w:val="left" w:pos="-1440"/>
        </w:tabs>
        <w:ind w:left="720"/>
        <w:rPr>
          <w:rFonts w:ascii="Times New Roman" w:hAnsi="Times New Roman"/>
        </w:rPr>
      </w:pPr>
    </w:p>
    <w:p w14:paraId="0FEF50F7" w14:textId="77777777" w:rsidR="00EF1C96" w:rsidRDefault="00EF1C96" w:rsidP="00EF1C96">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p>
    <w:p w14:paraId="6B01C9AD" w14:textId="77777777" w:rsidR="00494557" w:rsidRPr="00914A5D" w:rsidRDefault="00494557" w:rsidP="00914A5D">
      <w:pPr>
        <w:tabs>
          <w:tab w:val="left" w:pos="-1440"/>
        </w:tabs>
        <w:ind w:left="720"/>
        <w:rPr>
          <w:rFonts w:ascii="Times New Roman" w:hAnsi="Times New Roman"/>
        </w:rPr>
      </w:pPr>
    </w:p>
    <w:p w14:paraId="3EA2E9A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AEABCF5" w14:textId="77777777" w:rsidR="006049A7" w:rsidRPr="00B1471A" w:rsidRDefault="006049A7" w:rsidP="00914A5D">
      <w:pPr>
        <w:tabs>
          <w:tab w:val="left" w:pos="-1440"/>
        </w:tabs>
        <w:ind w:left="720"/>
        <w:rPr>
          <w:rFonts w:ascii="Times New Roman" w:hAnsi="Times New Roman"/>
          <w:b/>
        </w:rPr>
      </w:pPr>
    </w:p>
    <w:p w14:paraId="6A5FBE3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lastRenderedPageBreak/>
        <w:t>quarterly;</w:t>
      </w:r>
    </w:p>
    <w:p w14:paraId="76107108" w14:textId="77777777" w:rsidR="00494557" w:rsidRPr="00AF45F2" w:rsidRDefault="00494557" w:rsidP="00914A5D">
      <w:pPr>
        <w:tabs>
          <w:tab w:val="left" w:pos="-1440"/>
          <w:tab w:val="left" w:pos="1080"/>
        </w:tabs>
        <w:ind w:left="1080" w:hanging="360"/>
        <w:rPr>
          <w:rFonts w:ascii="Times New Roman" w:hAnsi="Times New Roman"/>
          <w:b/>
        </w:rPr>
      </w:pPr>
    </w:p>
    <w:p w14:paraId="6FCD3D2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FB128E4" w14:textId="77777777" w:rsidR="00494557" w:rsidRPr="00B1471A" w:rsidRDefault="00494557" w:rsidP="00914A5D">
      <w:pPr>
        <w:tabs>
          <w:tab w:val="left" w:pos="-1440"/>
          <w:tab w:val="left" w:pos="1080"/>
        </w:tabs>
        <w:ind w:left="1080" w:hanging="360"/>
        <w:rPr>
          <w:rFonts w:ascii="Times New Roman" w:hAnsi="Times New Roman"/>
          <w:b/>
        </w:rPr>
      </w:pPr>
    </w:p>
    <w:p w14:paraId="3A7A6D3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5BC041D" w14:textId="77777777" w:rsidR="007312F9" w:rsidRPr="00B1471A" w:rsidRDefault="007312F9" w:rsidP="00914A5D">
      <w:pPr>
        <w:tabs>
          <w:tab w:val="left" w:pos="-1440"/>
          <w:tab w:val="left" w:pos="1080"/>
        </w:tabs>
        <w:ind w:left="1080" w:hanging="360"/>
        <w:rPr>
          <w:rFonts w:ascii="Times New Roman" w:hAnsi="Times New Roman"/>
          <w:b/>
        </w:rPr>
      </w:pPr>
    </w:p>
    <w:p w14:paraId="18F6840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434FDC7" w14:textId="77777777" w:rsidR="00494557" w:rsidRPr="00B1471A" w:rsidRDefault="00494557" w:rsidP="00914A5D">
      <w:pPr>
        <w:tabs>
          <w:tab w:val="left" w:pos="-1440"/>
          <w:tab w:val="left" w:pos="1080"/>
        </w:tabs>
        <w:ind w:left="1080" w:hanging="360"/>
        <w:rPr>
          <w:rFonts w:ascii="Times New Roman" w:hAnsi="Times New Roman"/>
          <w:b/>
        </w:rPr>
      </w:pPr>
    </w:p>
    <w:p w14:paraId="3FF89C53"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F91FE9C" w14:textId="77777777" w:rsidR="00494557" w:rsidRPr="008A4764" w:rsidRDefault="00494557" w:rsidP="00914A5D">
      <w:pPr>
        <w:tabs>
          <w:tab w:val="left" w:pos="-1440"/>
          <w:tab w:val="left" w:pos="1080"/>
        </w:tabs>
        <w:ind w:left="1080" w:hanging="360"/>
        <w:rPr>
          <w:rFonts w:ascii="Times New Roman" w:hAnsi="Times New Roman"/>
          <w:b/>
        </w:rPr>
      </w:pPr>
    </w:p>
    <w:p w14:paraId="5EE1741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A2EC8BC" w14:textId="77777777" w:rsidR="00494557" w:rsidRPr="00B1471A" w:rsidRDefault="00494557" w:rsidP="00914A5D">
      <w:pPr>
        <w:tabs>
          <w:tab w:val="left" w:pos="-1440"/>
          <w:tab w:val="left" w:pos="1080"/>
        </w:tabs>
        <w:ind w:left="1080" w:hanging="360"/>
        <w:rPr>
          <w:rFonts w:ascii="Times New Roman" w:hAnsi="Times New Roman"/>
          <w:b/>
        </w:rPr>
      </w:pPr>
    </w:p>
    <w:p w14:paraId="3FD780E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781480" w14:textId="77777777" w:rsidR="00494557" w:rsidRPr="000B00D2" w:rsidRDefault="00494557" w:rsidP="00914A5D">
      <w:pPr>
        <w:tabs>
          <w:tab w:val="left" w:pos="-1440"/>
          <w:tab w:val="left" w:pos="1080"/>
        </w:tabs>
        <w:ind w:left="1080" w:hanging="360"/>
        <w:rPr>
          <w:rFonts w:ascii="Times New Roman" w:hAnsi="Times New Roman"/>
          <w:b/>
        </w:rPr>
      </w:pPr>
    </w:p>
    <w:p w14:paraId="1EB7476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83ABFCF" w14:textId="77777777" w:rsidR="007312F9" w:rsidRPr="00B1471A" w:rsidRDefault="007312F9" w:rsidP="00914A5D">
      <w:pPr>
        <w:tabs>
          <w:tab w:val="left" w:pos="-1440"/>
        </w:tabs>
        <w:ind w:left="1440" w:hanging="720"/>
        <w:rPr>
          <w:rFonts w:ascii="Times New Roman" w:hAnsi="Times New Roman"/>
        </w:rPr>
      </w:pPr>
    </w:p>
    <w:p w14:paraId="00DD6B6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96E03FE" w14:textId="77777777" w:rsidR="00494557" w:rsidRPr="00AF45F2" w:rsidRDefault="00494557" w:rsidP="00B1471A">
      <w:pPr>
        <w:ind w:left="720"/>
        <w:rPr>
          <w:rFonts w:ascii="Times New Roman" w:hAnsi="Times New Roman"/>
          <w:bCs/>
        </w:rPr>
      </w:pPr>
    </w:p>
    <w:p w14:paraId="1C9BFC3F"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728BB14" w14:textId="77777777" w:rsidR="008F233F" w:rsidRDefault="008F233F" w:rsidP="008F233F">
      <w:pPr>
        <w:tabs>
          <w:tab w:val="left" w:pos="-1440"/>
        </w:tabs>
        <w:ind w:left="720"/>
        <w:rPr>
          <w:rFonts w:ascii="Times New Roman" w:hAnsi="Times New Roman"/>
          <w:b/>
        </w:rPr>
      </w:pPr>
    </w:p>
    <w:p w14:paraId="609DBEF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EB3D543" w14:textId="77777777" w:rsidR="008F233F" w:rsidRPr="008F233F" w:rsidRDefault="008F233F" w:rsidP="008F233F">
      <w:pPr>
        <w:widowControl/>
        <w:ind w:left="720"/>
        <w:rPr>
          <w:rFonts w:ascii="Times New Roman" w:eastAsia="Calibri" w:hAnsi="Times New Roman"/>
          <w:b/>
        </w:rPr>
      </w:pPr>
    </w:p>
    <w:p w14:paraId="7409226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D7A0364" w14:textId="77777777" w:rsidR="006049A7" w:rsidRPr="008A4764" w:rsidRDefault="006049A7" w:rsidP="00914A5D">
      <w:pPr>
        <w:tabs>
          <w:tab w:val="left" w:pos="-1440"/>
        </w:tabs>
        <w:ind w:left="720"/>
        <w:rPr>
          <w:rFonts w:ascii="Times New Roman" w:hAnsi="Times New Roman"/>
          <w:b/>
        </w:rPr>
      </w:pPr>
    </w:p>
    <w:p w14:paraId="15ADE730" w14:textId="77777777" w:rsidR="00A32628" w:rsidRDefault="00A32628" w:rsidP="00A32628">
      <w:pPr>
        <w:ind w:left="720"/>
        <w:rPr>
          <w:rFonts w:ascii="Times New Roman" w:hAnsi="Times New Roman"/>
          <w:sz w:val="22"/>
          <w:szCs w:val="22"/>
        </w:rPr>
      </w:pPr>
      <w:r>
        <w:rPr>
          <w:rFonts w:ascii="Times New Roman" w:hAnsi="Times New Roman"/>
        </w:rPr>
        <w:t xml:space="preserve">On November 14, 2019, USCIS published a Notice of Proposed Rulemaking in the Federal Register at 84 FR 62280. </w:t>
      </w:r>
    </w:p>
    <w:p w14:paraId="10D39725" w14:textId="50F454DE" w:rsidR="00B27061" w:rsidRPr="00914A5D" w:rsidRDefault="00902F2B" w:rsidP="00777F80">
      <w:pPr>
        <w:pStyle w:val="NormalWeb"/>
        <w:spacing w:before="0" w:beforeAutospacing="0" w:after="0" w:afterAutospacing="0"/>
        <w:ind w:left="720"/>
      </w:pPr>
      <w:r>
        <w:t> </w:t>
      </w:r>
      <w:r w:rsidR="007312F9" w:rsidRPr="00914A5D">
        <w:tab/>
      </w:r>
    </w:p>
    <w:p w14:paraId="205A0F5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A0BD047" w14:textId="77777777" w:rsidR="00B27061" w:rsidRPr="00914A5D" w:rsidRDefault="00B27061" w:rsidP="00914A5D">
      <w:pPr>
        <w:ind w:left="720"/>
        <w:rPr>
          <w:rFonts w:ascii="Times New Roman" w:hAnsi="Times New Roman"/>
        </w:rPr>
      </w:pPr>
    </w:p>
    <w:p w14:paraId="724212CD"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w:t>
      </w:r>
      <w:r w:rsidR="00EF1C96">
        <w:rPr>
          <w:rFonts w:ascii="Times New Roman" w:hAnsi="Times New Roman"/>
        </w:rPr>
        <w:t>s or gifts to respondents in exchange</w:t>
      </w:r>
      <w:r w:rsidRPr="00914A5D">
        <w:rPr>
          <w:rFonts w:ascii="Times New Roman" w:hAnsi="Times New Roman"/>
        </w:rPr>
        <w:t xml:space="preserve"> for benefit sought.</w:t>
      </w:r>
    </w:p>
    <w:p w14:paraId="6BD82899" w14:textId="77777777" w:rsidR="00921351" w:rsidRPr="00914A5D" w:rsidRDefault="00921351" w:rsidP="00914A5D">
      <w:pPr>
        <w:ind w:left="720"/>
        <w:rPr>
          <w:rFonts w:ascii="Times New Roman" w:hAnsi="Times New Roman"/>
        </w:rPr>
      </w:pPr>
    </w:p>
    <w:p w14:paraId="5E9A6599"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4388DB3" w14:textId="77777777" w:rsidR="001A595D" w:rsidRPr="00914A5D" w:rsidRDefault="001A595D" w:rsidP="00914A5D">
      <w:pPr>
        <w:tabs>
          <w:tab w:val="left" w:pos="-1440"/>
        </w:tabs>
        <w:ind w:left="720"/>
        <w:rPr>
          <w:rFonts w:ascii="Times New Roman" w:hAnsi="Times New Roman"/>
        </w:rPr>
      </w:pPr>
    </w:p>
    <w:p w14:paraId="68A0F42D" w14:textId="77777777" w:rsidR="00EB4EDB" w:rsidRDefault="00EF1C96" w:rsidP="00EF1C96">
      <w:pPr>
        <w:pStyle w:val="Default"/>
        <w:ind w:left="720"/>
      </w:pPr>
      <w:r>
        <w:t>There is no assurance of confidentiality.  The privacy impact assessment associated with this information collection is</w:t>
      </w:r>
      <w:r w:rsidR="00EB4EDB">
        <w:t>:</w:t>
      </w:r>
    </w:p>
    <w:p w14:paraId="01C44EA0" w14:textId="77777777" w:rsidR="00EB4EDB" w:rsidRDefault="00EF1C96" w:rsidP="00EB4EDB">
      <w:pPr>
        <w:pStyle w:val="Default"/>
        <w:numPr>
          <w:ilvl w:val="0"/>
          <w:numId w:val="10"/>
        </w:numPr>
        <w:rPr>
          <w:sz w:val="22"/>
          <w:szCs w:val="22"/>
        </w:rPr>
      </w:pPr>
      <w:r w:rsidRPr="00EB4EDB">
        <w:t>DHS/USCIS/PIA-016(a) Computer Linked Application Information Management System (CLAIMS 3) and Associated Systems</w:t>
      </w:r>
      <w:r>
        <w:t>.</w:t>
      </w:r>
    </w:p>
    <w:p w14:paraId="6308EF4B" w14:textId="77777777" w:rsidR="00EB4EDB" w:rsidRDefault="00EB4EDB" w:rsidP="00EB4EDB">
      <w:pPr>
        <w:pStyle w:val="Default"/>
        <w:ind w:left="720"/>
        <w:rPr>
          <w:color w:val="1F1F1F"/>
        </w:rPr>
      </w:pPr>
    </w:p>
    <w:p w14:paraId="68D0FFAA" w14:textId="77777777" w:rsidR="00EB4EDB" w:rsidRDefault="00EF1C96" w:rsidP="00EB4EDB">
      <w:pPr>
        <w:pStyle w:val="Default"/>
        <w:ind w:left="720"/>
        <w:rPr>
          <w:color w:val="1F1F1F"/>
        </w:rPr>
      </w:pPr>
      <w:r w:rsidRPr="00EB4EDB">
        <w:rPr>
          <w:color w:val="1F1F1F"/>
        </w:rPr>
        <w:t>The associated system of records notic</w:t>
      </w:r>
      <w:r w:rsidR="00EB4EDB">
        <w:rPr>
          <w:color w:val="1F1F1F"/>
        </w:rPr>
        <w:t>es are:</w:t>
      </w:r>
    </w:p>
    <w:p w14:paraId="34ED116C" w14:textId="77777777" w:rsidR="00EB4EDB" w:rsidRPr="00EB4EDB" w:rsidRDefault="00EF1C96" w:rsidP="00EB4EDB">
      <w:pPr>
        <w:pStyle w:val="Default"/>
        <w:numPr>
          <w:ilvl w:val="0"/>
          <w:numId w:val="10"/>
        </w:numPr>
        <w:rPr>
          <w:sz w:val="22"/>
          <w:szCs w:val="22"/>
        </w:rPr>
      </w:pPr>
      <w:r w:rsidRPr="00EB4EDB">
        <w:t>DHS/USCIS/ICE/CBP-001 – Alien File, Index, and National File Tracking System of Records, November 21, 2013, 78 FR 69864</w:t>
      </w:r>
      <w:r w:rsidR="00BD3D3C">
        <w:t>,</w:t>
      </w:r>
      <w:r w:rsidRPr="00EB4EDB">
        <w:rPr>
          <w:color w:val="1F1F1F"/>
        </w:rPr>
        <w:t xml:space="preserve"> and</w:t>
      </w:r>
    </w:p>
    <w:p w14:paraId="05C22EF6" w14:textId="77777777" w:rsidR="00EF1C96" w:rsidRPr="00EB4EDB" w:rsidRDefault="00EF1C96" w:rsidP="00EB4EDB">
      <w:pPr>
        <w:pStyle w:val="Default"/>
        <w:numPr>
          <w:ilvl w:val="0"/>
          <w:numId w:val="10"/>
        </w:numPr>
        <w:rPr>
          <w:sz w:val="22"/>
          <w:szCs w:val="22"/>
        </w:rPr>
      </w:pPr>
      <w:r w:rsidRPr="00EB4EDB">
        <w:t>DHS/USCIS-007 - Benefits Information System, September 29, 2008, 73 FR 56596</w:t>
      </w:r>
    </w:p>
    <w:p w14:paraId="059034DD" w14:textId="77777777" w:rsidR="001A595D" w:rsidRPr="00914A5D" w:rsidRDefault="001A595D" w:rsidP="00914A5D">
      <w:pPr>
        <w:tabs>
          <w:tab w:val="left" w:pos="-1440"/>
        </w:tabs>
        <w:ind w:left="720"/>
        <w:rPr>
          <w:rFonts w:ascii="Times New Roman" w:hAnsi="Times New Roman"/>
        </w:rPr>
      </w:pPr>
    </w:p>
    <w:p w14:paraId="0848BD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98E5EB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5D42D28" w14:textId="77777777" w:rsidR="00EF1C96" w:rsidRDefault="00EF1C96" w:rsidP="00EF1C96">
      <w:pPr>
        <w:widowControl/>
        <w:ind w:left="720"/>
        <w:rPr>
          <w:rFonts w:ascii="Times New Roman" w:hAnsi="Times New Roman"/>
          <w:sz w:val="20"/>
          <w:szCs w:val="2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 former section 212(c) relief depends on the nature of the applicant’s criminal history - applicants with certain convictions are statutorily ineligible for relief under former section 212(c).  Section 212(c) relief is discretionary in nature, and therefore, even if an applicant is statutorily eligible for relief, USCIS may still deny relief as a matter of discretion depending on the nature/severity of the criminal history and balancing that with other factors.  Therefore, collecting criminal history information is necessary for adjudicating this application as a matter of law and discretion.</w:t>
      </w:r>
    </w:p>
    <w:p w14:paraId="07D5247D" w14:textId="77777777" w:rsidR="00494557" w:rsidRPr="008A4764" w:rsidRDefault="00494557" w:rsidP="00914A5D">
      <w:pPr>
        <w:tabs>
          <w:tab w:val="left" w:pos="-1440"/>
        </w:tabs>
        <w:ind w:left="720"/>
        <w:rPr>
          <w:rFonts w:ascii="Times New Roman" w:hAnsi="Times New Roman"/>
        </w:rPr>
      </w:pPr>
    </w:p>
    <w:p w14:paraId="16E5716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B3D4E44" w14:textId="77777777" w:rsidR="006C79B6" w:rsidRPr="0029577A" w:rsidRDefault="006C79B6" w:rsidP="00914A5D">
      <w:pPr>
        <w:tabs>
          <w:tab w:val="left" w:pos="-1440"/>
        </w:tabs>
        <w:ind w:left="1440" w:hanging="720"/>
        <w:rPr>
          <w:rFonts w:ascii="Times New Roman" w:hAnsi="Times New Roman"/>
          <w:b/>
        </w:rPr>
      </w:pPr>
    </w:p>
    <w:p w14:paraId="79F0879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B8E22CB" w14:textId="77777777" w:rsidR="00B27061" w:rsidRPr="00914A5D" w:rsidRDefault="00B27061" w:rsidP="00914A5D">
      <w:pPr>
        <w:tabs>
          <w:tab w:val="left" w:pos="1080"/>
        </w:tabs>
        <w:ind w:left="1080" w:hanging="360"/>
        <w:rPr>
          <w:rFonts w:ascii="Times New Roman" w:hAnsi="Times New Roman"/>
          <w:b/>
        </w:rPr>
      </w:pPr>
    </w:p>
    <w:p w14:paraId="36D97A1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02ECFD4" w14:textId="77777777" w:rsidR="00B27061" w:rsidRPr="00914A5D" w:rsidRDefault="00B27061" w:rsidP="00914A5D">
      <w:pPr>
        <w:tabs>
          <w:tab w:val="left" w:pos="1080"/>
        </w:tabs>
        <w:ind w:left="1080" w:hanging="360"/>
        <w:rPr>
          <w:rFonts w:ascii="Times New Roman" w:hAnsi="Times New Roman"/>
          <w:b/>
        </w:rPr>
      </w:pPr>
    </w:p>
    <w:p w14:paraId="2EE7C65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559DCDB" w14:textId="77777777" w:rsidR="00A57B4D" w:rsidRDefault="00A57B4D" w:rsidP="00A57B4D">
      <w:pPr>
        <w:ind w:left="720"/>
        <w:jc w:val="both"/>
        <w:rPr>
          <w:i/>
          <w:iCs/>
          <w:sz w:val="20"/>
          <w:szCs w:val="20"/>
        </w:rPr>
      </w:pPr>
    </w:p>
    <w:tbl>
      <w:tblPr>
        <w:tblW w:w="11000" w:type="dxa"/>
        <w:tblInd w:w="-542" w:type="dxa"/>
        <w:tblLayout w:type="fixed"/>
        <w:tblLook w:val="04A0" w:firstRow="1" w:lastRow="0" w:firstColumn="1" w:lastColumn="0" w:noHBand="0" w:noVBand="1"/>
      </w:tblPr>
      <w:tblGrid>
        <w:gridCol w:w="1360"/>
        <w:gridCol w:w="1216"/>
        <w:gridCol w:w="1443"/>
        <w:gridCol w:w="1350"/>
        <w:gridCol w:w="1311"/>
        <w:gridCol w:w="1136"/>
        <w:gridCol w:w="1120"/>
        <w:gridCol w:w="960"/>
        <w:gridCol w:w="1104"/>
      </w:tblGrid>
      <w:tr w:rsidR="00A57B4D" w:rsidRPr="009556EE" w14:paraId="70C904C1" w14:textId="77777777" w:rsidTr="00D54FCB">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AB37E"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14:paraId="4544E53B"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443" w:type="dxa"/>
            <w:tcBorders>
              <w:top w:val="single" w:sz="8" w:space="0" w:color="auto"/>
              <w:left w:val="nil"/>
              <w:bottom w:val="single" w:sz="8" w:space="0" w:color="auto"/>
              <w:right w:val="single" w:sz="8" w:space="0" w:color="auto"/>
            </w:tcBorders>
            <w:shd w:val="clear" w:color="auto" w:fill="auto"/>
            <w:noWrap/>
            <w:vAlign w:val="bottom"/>
            <w:hideMark/>
          </w:tcPr>
          <w:p w14:paraId="7F1AD708"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A</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43B83C80"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B</w:t>
            </w:r>
          </w:p>
        </w:tc>
        <w:tc>
          <w:tcPr>
            <w:tcW w:w="1311" w:type="dxa"/>
            <w:tcBorders>
              <w:top w:val="single" w:sz="8" w:space="0" w:color="auto"/>
              <w:left w:val="nil"/>
              <w:bottom w:val="single" w:sz="8" w:space="0" w:color="auto"/>
              <w:right w:val="single" w:sz="8" w:space="0" w:color="auto"/>
            </w:tcBorders>
            <w:shd w:val="clear" w:color="auto" w:fill="auto"/>
            <w:noWrap/>
            <w:vAlign w:val="bottom"/>
            <w:hideMark/>
          </w:tcPr>
          <w:p w14:paraId="0DF5D83D"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C (=AxB)</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14:paraId="2B75588E"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4FD3027F"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D13A3D7"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F</w:t>
            </w:r>
          </w:p>
        </w:tc>
        <w:tc>
          <w:tcPr>
            <w:tcW w:w="1104" w:type="dxa"/>
            <w:tcBorders>
              <w:top w:val="single" w:sz="8" w:space="0" w:color="auto"/>
              <w:left w:val="nil"/>
              <w:bottom w:val="single" w:sz="8" w:space="0" w:color="auto"/>
              <w:right w:val="single" w:sz="8" w:space="0" w:color="auto"/>
            </w:tcBorders>
            <w:shd w:val="clear" w:color="auto" w:fill="auto"/>
            <w:noWrap/>
            <w:vAlign w:val="bottom"/>
            <w:hideMark/>
          </w:tcPr>
          <w:p w14:paraId="258169EA"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(=ExF)</w:t>
            </w:r>
          </w:p>
        </w:tc>
      </w:tr>
      <w:tr w:rsidR="00A57B4D" w:rsidRPr="009556EE" w14:paraId="63E44F56" w14:textId="77777777" w:rsidTr="00D54FCB">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6AC85CA4"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Type of Respondent</w:t>
            </w:r>
          </w:p>
        </w:tc>
        <w:tc>
          <w:tcPr>
            <w:tcW w:w="1216" w:type="dxa"/>
            <w:tcBorders>
              <w:top w:val="nil"/>
              <w:left w:val="nil"/>
              <w:bottom w:val="single" w:sz="8" w:space="0" w:color="auto"/>
              <w:right w:val="single" w:sz="8" w:space="0" w:color="auto"/>
            </w:tcBorders>
            <w:shd w:val="clear" w:color="auto" w:fill="auto"/>
            <w:vAlign w:val="center"/>
            <w:hideMark/>
          </w:tcPr>
          <w:p w14:paraId="2396FB96"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Form Name / Form Number</w:t>
            </w:r>
          </w:p>
        </w:tc>
        <w:tc>
          <w:tcPr>
            <w:tcW w:w="1443" w:type="dxa"/>
            <w:tcBorders>
              <w:top w:val="nil"/>
              <w:left w:val="nil"/>
              <w:bottom w:val="single" w:sz="8" w:space="0" w:color="auto"/>
              <w:right w:val="single" w:sz="8" w:space="0" w:color="auto"/>
            </w:tcBorders>
            <w:shd w:val="clear" w:color="auto" w:fill="auto"/>
            <w:vAlign w:val="center"/>
            <w:hideMark/>
          </w:tcPr>
          <w:p w14:paraId="723E74A4"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Respondents</w:t>
            </w:r>
          </w:p>
        </w:tc>
        <w:tc>
          <w:tcPr>
            <w:tcW w:w="1350" w:type="dxa"/>
            <w:tcBorders>
              <w:top w:val="nil"/>
              <w:left w:val="nil"/>
              <w:bottom w:val="single" w:sz="8" w:space="0" w:color="auto"/>
              <w:right w:val="single" w:sz="8" w:space="0" w:color="auto"/>
            </w:tcBorders>
            <w:shd w:val="clear" w:color="auto" w:fill="auto"/>
            <w:vAlign w:val="center"/>
            <w:hideMark/>
          </w:tcPr>
          <w:p w14:paraId="610DBEE6"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Responses per Respondent</w:t>
            </w:r>
          </w:p>
        </w:tc>
        <w:tc>
          <w:tcPr>
            <w:tcW w:w="1311" w:type="dxa"/>
            <w:tcBorders>
              <w:top w:val="nil"/>
              <w:left w:val="nil"/>
              <w:bottom w:val="single" w:sz="8" w:space="0" w:color="auto"/>
              <w:right w:val="single" w:sz="8" w:space="0" w:color="auto"/>
            </w:tcBorders>
            <w:shd w:val="clear" w:color="auto" w:fill="auto"/>
            <w:vAlign w:val="center"/>
            <w:hideMark/>
          </w:tcPr>
          <w:p w14:paraId="67615931"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of Responses</w:t>
            </w:r>
          </w:p>
        </w:tc>
        <w:tc>
          <w:tcPr>
            <w:tcW w:w="1136" w:type="dxa"/>
            <w:tcBorders>
              <w:top w:val="nil"/>
              <w:left w:val="nil"/>
              <w:bottom w:val="single" w:sz="8" w:space="0" w:color="auto"/>
              <w:right w:val="single" w:sz="8" w:space="0" w:color="auto"/>
            </w:tcBorders>
            <w:shd w:val="clear" w:color="auto" w:fill="auto"/>
            <w:vAlign w:val="center"/>
            <w:hideMark/>
          </w:tcPr>
          <w:p w14:paraId="1CA78C43"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Burden per Response (in hours)</w:t>
            </w:r>
          </w:p>
        </w:tc>
        <w:tc>
          <w:tcPr>
            <w:tcW w:w="1120" w:type="dxa"/>
            <w:tcBorders>
              <w:top w:val="nil"/>
              <w:left w:val="nil"/>
              <w:bottom w:val="single" w:sz="8" w:space="0" w:color="auto"/>
              <w:right w:val="single" w:sz="8" w:space="0" w:color="auto"/>
            </w:tcBorders>
            <w:shd w:val="clear" w:color="auto" w:fill="auto"/>
            <w:vAlign w:val="center"/>
            <w:hideMark/>
          </w:tcPr>
          <w:p w14:paraId="62BCA98C"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7AC15D70"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Hourly Wage Rate*</w:t>
            </w:r>
          </w:p>
        </w:tc>
        <w:tc>
          <w:tcPr>
            <w:tcW w:w="1104" w:type="dxa"/>
            <w:tcBorders>
              <w:top w:val="nil"/>
              <w:left w:val="nil"/>
              <w:bottom w:val="single" w:sz="8" w:space="0" w:color="auto"/>
              <w:right w:val="single" w:sz="8" w:space="0" w:color="auto"/>
            </w:tcBorders>
            <w:shd w:val="clear" w:color="auto" w:fill="auto"/>
            <w:vAlign w:val="center"/>
            <w:hideMark/>
          </w:tcPr>
          <w:p w14:paraId="672A7C02"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Respondent Cost</w:t>
            </w:r>
          </w:p>
        </w:tc>
      </w:tr>
      <w:tr w:rsidR="00A57B4D" w:rsidRPr="009556EE" w14:paraId="33BF70A6" w14:textId="77777777" w:rsidTr="00D54FC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48C484B0"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Individuals or Households</w:t>
            </w:r>
          </w:p>
        </w:tc>
        <w:tc>
          <w:tcPr>
            <w:tcW w:w="1216" w:type="dxa"/>
            <w:tcBorders>
              <w:top w:val="nil"/>
              <w:left w:val="nil"/>
              <w:bottom w:val="single" w:sz="8" w:space="0" w:color="auto"/>
              <w:right w:val="single" w:sz="8" w:space="0" w:color="auto"/>
            </w:tcBorders>
            <w:shd w:val="clear" w:color="auto" w:fill="auto"/>
            <w:vAlign w:val="center"/>
            <w:hideMark/>
          </w:tcPr>
          <w:p w14:paraId="362323BD" w14:textId="77777777" w:rsidR="00A57B4D" w:rsidRPr="0007341E" w:rsidRDefault="00A57B4D" w:rsidP="00D54FCB">
            <w:pPr>
              <w:widowControl/>
              <w:autoSpaceDE/>
              <w:autoSpaceDN/>
              <w:adjustRightInd/>
              <w:jc w:val="center"/>
              <w:rPr>
                <w:rFonts w:ascii="Times New Roman" w:hAnsi="Times New Roman"/>
                <w:color w:val="000000"/>
                <w:sz w:val="20"/>
                <w:szCs w:val="22"/>
              </w:rPr>
            </w:pPr>
            <w:r w:rsidRPr="0007341E">
              <w:rPr>
                <w:rFonts w:ascii="Times New Roman" w:hAnsi="Times New Roman"/>
                <w:color w:val="000000"/>
                <w:sz w:val="20"/>
                <w:szCs w:val="22"/>
              </w:rPr>
              <w:t>Application for Relief under Former Section 212(c) of the Immigration and Nationality Act (Form I-191)</w:t>
            </w:r>
          </w:p>
        </w:tc>
        <w:tc>
          <w:tcPr>
            <w:tcW w:w="1443" w:type="dxa"/>
            <w:tcBorders>
              <w:top w:val="nil"/>
              <w:left w:val="nil"/>
              <w:bottom w:val="single" w:sz="8" w:space="0" w:color="auto"/>
              <w:right w:val="single" w:sz="8" w:space="0" w:color="auto"/>
            </w:tcBorders>
            <w:shd w:val="clear" w:color="auto" w:fill="auto"/>
            <w:vAlign w:val="center"/>
            <w:hideMark/>
          </w:tcPr>
          <w:p w14:paraId="7D1ECE4B"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240</w:t>
            </w:r>
          </w:p>
        </w:tc>
        <w:tc>
          <w:tcPr>
            <w:tcW w:w="1350" w:type="dxa"/>
            <w:tcBorders>
              <w:top w:val="nil"/>
              <w:left w:val="nil"/>
              <w:bottom w:val="single" w:sz="8" w:space="0" w:color="auto"/>
              <w:right w:val="single" w:sz="8" w:space="0" w:color="auto"/>
            </w:tcBorders>
            <w:shd w:val="clear" w:color="auto" w:fill="auto"/>
            <w:vAlign w:val="center"/>
            <w:hideMark/>
          </w:tcPr>
          <w:p w14:paraId="21DCFBC6"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sz="8" w:space="0" w:color="auto"/>
              <w:right w:val="single" w:sz="8" w:space="0" w:color="auto"/>
            </w:tcBorders>
            <w:shd w:val="clear" w:color="auto" w:fill="auto"/>
            <w:vAlign w:val="center"/>
            <w:hideMark/>
          </w:tcPr>
          <w:p w14:paraId="35B39D64"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sz="8" w:space="0" w:color="auto"/>
              <w:right w:val="single" w:sz="8" w:space="0" w:color="auto"/>
            </w:tcBorders>
            <w:shd w:val="clear" w:color="auto" w:fill="auto"/>
            <w:vAlign w:val="center"/>
            <w:hideMark/>
          </w:tcPr>
          <w:p w14:paraId="46A9E396"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xml:space="preserve">  1.5</w:t>
            </w:r>
          </w:p>
        </w:tc>
        <w:tc>
          <w:tcPr>
            <w:tcW w:w="1120" w:type="dxa"/>
            <w:tcBorders>
              <w:top w:val="nil"/>
              <w:left w:val="nil"/>
              <w:bottom w:val="single" w:sz="8" w:space="0" w:color="auto"/>
              <w:right w:val="single" w:sz="8" w:space="0" w:color="auto"/>
            </w:tcBorders>
            <w:shd w:val="clear" w:color="auto" w:fill="auto"/>
            <w:vAlign w:val="center"/>
            <w:hideMark/>
          </w:tcPr>
          <w:p w14:paraId="7E8CDEA9"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sz="8" w:space="0" w:color="auto"/>
              <w:right w:val="single" w:sz="8" w:space="0" w:color="auto"/>
            </w:tcBorders>
            <w:shd w:val="clear" w:color="auto" w:fill="auto"/>
            <w:vAlign w:val="center"/>
            <w:hideMark/>
          </w:tcPr>
          <w:p w14:paraId="7D46EC2E"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sz w:val="22"/>
                <w:szCs w:val="22"/>
              </w:rPr>
              <w:t>$34.84</w:t>
            </w:r>
          </w:p>
        </w:tc>
        <w:tc>
          <w:tcPr>
            <w:tcW w:w="1104" w:type="dxa"/>
            <w:tcBorders>
              <w:top w:val="nil"/>
              <w:left w:val="nil"/>
              <w:bottom w:val="single" w:sz="8" w:space="0" w:color="auto"/>
              <w:right w:val="single" w:sz="8" w:space="0" w:color="auto"/>
            </w:tcBorders>
            <w:shd w:val="clear" w:color="auto" w:fill="auto"/>
            <w:vAlign w:val="center"/>
            <w:hideMark/>
          </w:tcPr>
          <w:p w14:paraId="24DFAB68"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$12,542</w:t>
            </w:r>
          </w:p>
        </w:tc>
      </w:tr>
      <w:tr w:rsidR="00A57B4D" w:rsidRPr="009556EE" w14:paraId="01C2A499" w14:textId="77777777" w:rsidTr="00D54FC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52516F2A"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w:t>
            </w:r>
          </w:p>
        </w:tc>
        <w:tc>
          <w:tcPr>
            <w:tcW w:w="1216" w:type="dxa"/>
            <w:tcBorders>
              <w:top w:val="nil"/>
              <w:left w:val="nil"/>
              <w:bottom w:val="single" w:sz="8" w:space="0" w:color="auto"/>
              <w:right w:val="single" w:sz="8" w:space="0" w:color="auto"/>
            </w:tcBorders>
            <w:shd w:val="clear" w:color="auto" w:fill="auto"/>
            <w:vAlign w:val="center"/>
            <w:hideMark/>
          </w:tcPr>
          <w:p w14:paraId="19227673"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w:t>
            </w:r>
          </w:p>
        </w:tc>
        <w:tc>
          <w:tcPr>
            <w:tcW w:w="1443" w:type="dxa"/>
            <w:tcBorders>
              <w:top w:val="nil"/>
              <w:left w:val="nil"/>
              <w:bottom w:val="single" w:sz="8" w:space="0" w:color="auto"/>
              <w:right w:val="single" w:sz="8" w:space="0" w:color="auto"/>
            </w:tcBorders>
            <w:shd w:val="clear" w:color="auto" w:fill="auto"/>
            <w:vAlign w:val="center"/>
            <w:hideMark/>
          </w:tcPr>
          <w:p w14:paraId="5A26EB99"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240</w:t>
            </w:r>
          </w:p>
        </w:tc>
        <w:tc>
          <w:tcPr>
            <w:tcW w:w="1350" w:type="dxa"/>
            <w:tcBorders>
              <w:top w:val="nil"/>
              <w:left w:val="nil"/>
              <w:bottom w:val="single" w:sz="8" w:space="0" w:color="auto"/>
              <w:right w:val="single" w:sz="8" w:space="0" w:color="auto"/>
            </w:tcBorders>
            <w:shd w:val="clear" w:color="auto" w:fill="auto"/>
            <w:vAlign w:val="center"/>
            <w:hideMark/>
          </w:tcPr>
          <w:p w14:paraId="222933E9"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sz="8" w:space="0" w:color="auto"/>
              <w:right w:val="single" w:sz="8" w:space="0" w:color="auto"/>
            </w:tcBorders>
            <w:shd w:val="clear" w:color="auto" w:fill="auto"/>
            <w:vAlign w:val="center"/>
            <w:hideMark/>
          </w:tcPr>
          <w:p w14:paraId="21B937A1"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sz="8" w:space="0" w:color="auto"/>
              <w:right w:val="single" w:sz="8" w:space="0" w:color="auto"/>
            </w:tcBorders>
            <w:shd w:val="clear" w:color="auto" w:fill="auto"/>
            <w:vAlign w:val="center"/>
            <w:hideMark/>
          </w:tcPr>
          <w:p w14:paraId="5997E7FD"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1.5</w:t>
            </w:r>
          </w:p>
        </w:tc>
        <w:tc>
          <w:tcPr>
            <w:tcW w:w="1120" w:type="dxa"/>
            <w:tcBorders>
              <w:top w:val="nil"/>
              <w:left w:val="nil"/>
              <w:bottom w:val="single" w:sz="8" w:space="0" w:color="auto"/>
              <w:right w:val="single" w:sz="8" w:space="0" w:color="auto"/>
            </w:tcBorders>
            <w:shd w:val="clear" w:color="auto" w:fill="auto"/>
            <w:vAlign w:val="center"/>
            <w:hideMark/>
          </w:tcPr>
          <w:p w14:paraId="33ABC035"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sz="8" w:space="0" w:color="auto"/>
              <w:right w:val="single" w:sz="8" w:space="0" w:color="auto"/>
            </w:tcBorders>
            <w:shd w:val="clear" w:color="auto" w:fill="auto"/>
            <w:vAlign w:val="center"/>
            <w:hideMark/>
          </w:tcPr>
          <w:p w14:paraId="5EF98F4A"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$34.84</w:t>
            </w:r>
          </w:p>
        </w:tc>
        <w:tc>
          <w:tcPr>
            <w:tcW w:w="1104" w:type="dxa"/>
            <w:tcBorders>
              <w:top w:val="nil"/>
              <w:left w:val="nil"/>
              <w:bottom w:val="single" w:sz="8" w:space="0" w:color="auto"/>
              <w:right w:val="single" w:sz="8" w:space="0" w:color="auto"/>
            </w:tcBorders>
            <w:shd w:val="clear" w:color="auto" w:fill="auto"/>
            <w:vAlign w:val="center"/>
            <w:hideMark/>
          </w:tcPr>
          <w:p w14:paraId="26FAE226" w14:textId="77777777" w:rsidR="00A57B4D" w:rsidRPr="0007341E" w:rsidRDefault="00A57B4D" w:rsidP="00D54FCB">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$12,542</w:t>
            </w:r>
          </w:p>
        </w:tc>
      </w:tr>
    </w:tbl>
    <w:p w14:paraId="23313E6D" w14:textId="77777777" w:rsidR="00A57B4D" w:rsidRDefault="00A57B4D" w:rsidP="00A57B4D">
      <w:pPr>
        <w:ind w:left="720"/>
        <w:jc w:val="both"/>
        <w:rPr>
          <w:i/>
          <w:iCs/>
          <w:sz w:val="20"/>
          <w:szCs w:val="20"/>
        </w:rPr>
      </w:pPr>
    </w:p>
    <w:p w14:paraId="3334A1F5" w14:textId="77777777" w:rsidR="00A57B4D" w:rsidRPr="00BA5E44" w:rsidRDefault="00A57B4D" w:rsidP="00A57B4D">
      <w:pPr>
        <w:ind w:left="720"/>
        <w:jc w:val="both"/>
        <w:rPr>
          <w:rFonts w:ascii="Times New Roman" w:hAnsi="Times New Roman"/>
          <w:i/>
          <w:iCs/>
          <w:sz w:val="20"/>
          <w:szCs w:val="20"/>
        </w:rPr>
      </w:pPr>
      <w:r w:rsidRPr="00BA5E44">
        <w:rPr>
          <w:i/>
          <w:iCs/>
          <w:sz w:val="20"/>
          <w:szCs w:val="20"/>
        </w:rPr>
        <w:t xml:space="preserve">*  </w:t>
      </w:r>
      <w:r w:rsidRPr="00BA5E44">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59E10FE9" w14:textId="77777777" w:rsidR="00080CE0" w:rsidRDefault="00080CE0" w:rsidP="006049A7">
      <w:pPr>
        <w:tabs>
          <w:tab w:val="left" w:pos="-1440"/>
        </w:tabs>
        <w:ind w:left="720" w:hanging="720"/>
        <w:jc w:val="both"/>
        <w:rPr>
          <w:rFonts w:ascii="Times New Roman" w:hAnsi="Times New Roman"/>
        </w:rPr>
      </w:pPr>
    </w:p>
    <w:p w14:paraId="2A2C351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CFD65DB" w14:textId="77777777" w:rsidR="00B27061" w:rsidRPr="00AF45F2" w:rsidRDefault="00B27061" w:rsidP="00914A5D">
      <w:pPr>
        <w:ind w:left="720"/>
        <w:rPr>
          <w:rFonts w:ascii="Times New Roman" w:hAnsi="Times New Roman"/>
          <w:b/>
        </w:rPr>
      </w:pPr>
    </w:p>
    <w:p w14:paraId="20396CB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60D2A9B" w14:textId="77777777" w:rsidR="00B27061" w:rsidRPr="00914A5D" w:rsidRDefault="00B27061" w:rsidP="00914A5D">
      <w:pPr>
        <w:tabs>
          <w:tab w:val="left" w:pos="1080"/>
        </w:tabs>
        <w:ind w:left="1080" w:hanging="360"/>
        <w:rPr>
          <w:rFonts w:ascii="Times New Roman" w:hAnsi="Times New Roman"/>
          <w:b/>
        </w:rPr>
      </w:pPr>
    </w:p>
    <w:p w14:paraId="522872F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D06FAF" w14:textId="77777777" w:rsidR="00B27061" w:rsidRPr="00914A5D" w:rsidRDefault="00B27061" w:rsidP="00914A5D">
      <w:pPr>
        <w:tabs>
          <w:tab w:val="left" w:pos="1080"/>
        </w:tabs>
        <w:ind w:left="1080" w:hanging="360"/>
        <w:rPr>
          <w:rFonts w:ascii="Times New Roman" w:hAnsi="Times New Roman"/>
          <w:b/>
        </w:rPr>
      </w:pPr>
    </w:p>
    <w:p w14:paraId="7B597E9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5B388F" w14:textId="77777777" w:rsidR="001A595D" w:rsidRDefault="001A595D" w:rsidP="00914A5D">
      <w:pPr>
        <w:tabs>
          <w:tab w:val="left" w:pos="-1440"/>
        </w:tabs>
        <w:ind w:left="1440" w:hanging="720"/>
        <w:rPr>
          <w:rFonts w:ascii="Times New Roman" w:hAnsi="Times New Roman"/>
        </w:rPr>
      </w:pPr>
    </w:p>
    <w:p w14:paraId="4F70892A" w14:textId="72EE21F0" w:rsidR="00A57B4D" w:rsidRPr="00BA5E44" w:rsidRDefault="00A57B4D" w:rsidP="00A57B4D">
      <w:pPr>
        <w:tabs>
          <w:tab w:val="left" w:pos="-1440"/>
        </w:tabs>
        <w:ind w:left="720"/>
        <w:rPr>
          <w:rFonts w:ascii="Times New Roman" w:hAnsi="Times New Roman"/>
          <w:iCs/>
          <w:szCs w:val="22"/>
        </w:rPr>
      </w:pPr>
      <w:r w:rsidRPr="00BA5E44">
        <w:rPr>
          <w:rFonts w:ascii="Times New Roman" w:hAnsi="Times New Roman"/>
          <w:iCs/>
          <w:szCs w:val="22"/>
        </w:rPr>
        <w:t>There are no start-up, maintenance, and operating costs associated with this collection of information. For inform</w:t>
      </w:r>
      <w:r>
        <w:rPr>
          <w:rFonts w:ascii="Times New Roman" w:hAnsi="Times New Roman"/>
          <w:iCs/>
          <w:szCs w:val="22"/>
        </w:rPr>
        <w:t>ational purposes, there is a $80</w:t>
      </w:r>
      <w:r w:rsidRPr="00BA5E44">
        <w:rPr>
          <w:rFonts w:ascii="Times New Roman" w:hAnsi="Times New Roman"/>
          <w:iCs/>
          <w:szCs w:val="22"/>
        </w:rPr>
        <w:t>0 fee associated with the filing of this information collection.</w:t>
      </w:r>
    </w:p>
    <w:p w14:paraId="2B4AFC15" w14:textId="77777777" w:rsidR="00A57B4D" w:rsidRPr="00BA5E44" w:rsidRDefault="00A57B4D" w:rsidP="00A57B4D">
      <w:pPr>
        <w:tabs>
          <w:tab w:val="left" w:pos="-1440"/>
        </w:tabs>
        <w:ind w:left="720"/>
        <w:rPr>
          <w:rFonts w:ascii="Times New Roman" w:hAnsi="Times New Roman"/>
          <w:iCs/>
          <w:szCs w:val="22"/>
        </w:rPr>
      </w:pPr>
    </w:p>
    <w:p w14:paraId="76B573B6" w14:textId="77777777" w:rsidR="00A57B4D" w:rsidRPr="00BA5E44" w:rsidRDefault="00A57B4D" w:rsidP="00A57B4D">
      <w:pPr>
        <w:tabs>
          <w:tab w:val="left" w:pos="-1440"/>
        </w:tabs>
        <w:ind w:left="720"/>
        <w:rPr>
          <w:rFonts w:ascii="Times New Roman" w:hAnsi="Times New Roman"/>
          <w:iCs/>
          <w:szCs w:val="22"/>
        </w:rPr>
      </w:pPr>
      <w:r w:rsidRPr="00BA5E44">
        <w:rPr>
          <w:rFonts w:ascii="Times New Roman" w:hAnsi="Times New Roman"/>
          <w:iCs/>
          <w:szCs w:val="22"/>
        </w:rPr>
        <w:t xml:space="preserve">This information collection may impose some out-of-pocket costs on respondents in addition to the time burden for the form’s preparation.  </w:t>
      </w:r>
    </w:p>
    <w:p w14:paraId="2A251543" w14:textId="77777777" w:rsidR="00A57B4D" w:rsidRPr="00BA5E44" w:rsidRDefault="00A57B4D" w:rsidP="00A57B4D">
      <w:pPr>
        <w:tabs>
          <w:tab w:val="left" w:pos="-1440"/>
        </w:tabs>
        <w:ind w:left="720"/>
        <w:rPr>
          <w:rFonts w:ascii="Times New Roman" w:hAnsi="Times New Roman"/>
          <w:iCs/>
          <w:szCs w:val="22"/>
        </w:rPr>
      </w:pPr>
    </w:p>
    <w:p w14:paraId="6BAD86D3" w14:textId="77777777" w:rsidR="00A57B4D" w:rsidRDefault="00A57B4D" w:rsidP="00A57B4D">
      <w:pPr>
        <w:tabs>
          <w:tab w:val="left" w:pos="-1440"/>
        </w:tabs>
        <w:ind w:left="720"/>
        <w:rPr>
          <w:rFonts w:ascii="Times New Roman" w:hAnsi="Times New Roman"/>
          <w:iCs/>
          <w:szCs w:val="22"/>
        </w:rPr>
      </w:pPr>
      <w:r w:rsidRPr="00BA5E44">
        <w:rPr>
          <w:rFonts w:ascii="Times New Roman" w:hAnsi="Times New Roman"/>
          <w:iCs/>
          <w:szCs w:val="22"/>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szCs w:val="22"/>
        </w:rPr>
        <w:t>240</w:t>
      </w:r>
      <w:r w:rsidRPr="00BA5E44">
        <w:rPr>
          <w:rFonts w:ascii="Times New Roman" w:hAnsi="Times New Roman"/>
          <w:iCs/>
          <w:szCs w:val="22"/>
        </w:rPr>
        <w:t xml:space="preserve"> respondents x 25% of the population = </w:t>
      </w:r>
      <w:r>
        <w:rPr>
          <w:rFonts w:ascii="Times New Roman" w:hAnsi="Times New Roman"/>
          <w:iCs/>
          <w:szCs w:val="22"/>
        </w:rPr>
        <w:t>60,</w:t>
      </w:r>
      <w:r w:rsidRPr="00BA5E44">
        <w:rPr>
          <w:rFonts w:ascii="Times New Roman" w:hAnsi="Times New Roman"/>
          <w:iCs/>
          <w:szCs w:val="22"/>
        </w:rPr>
        <w:t xml:space="preserve"> multiplied by the average cost per response of $490 = $</w:t>
      </w:r>
      <w:r>
        <w:rPr>
          <w:rFonts w:ascii="Times New Roman" w:hAnsi="Times New Roman"/>
          <w:iCs/>
          <w:szCs w:val="22"/>
        </w:rPr>
        <w:t>29,400</w:t>
      </w:r>
      <w:r w:rsidRPr="00BA5E44">
        <w:rPr>
          <w:rFonts w:ascii="Times New Roman" w:hAnsi="Times New Roman"/>
          <w:iCs/>
          <w:szCs w:val="22"/>
        </w:rPr>
        <w:t>.</w:t>
      </w:r>
    </w:p>
    <w:p w14:paraId="7B1A4489" w14:textId="77777777" w:rsidR="00A57B4D" w:rsidRDefault="00A57B4D" w:rsidP="00A57B4D">
      <w:pPr>
        <w:tabs>
          <w:tab w:val="left" w:pos="-1440"/>
        </w:tabs>
        <w:ind w:left="720"/>
        <w:rPr>
          <w:rFonts w:ascii="Times New Roman" w:hAnsi="Times New Roman"/>
          <w:iCs/>
          <w:szCs w:val="22"/>
        </w:rPr>
      </w:pPr>
    </w:p>
    <w:p w14:paraId="39C42D96" w14:textId="77777777" w:rsidR="00A57B4D" w:rsidRPr="00864191" w:rsidRDefault="00A57B4D" w:rsidP="00A57B4D">
      <w:pPr>
        <w:tabs>
          <w:tab w:val="left" w:pos="-1440"/>
        </w:tabs>
        <w:ind w:left="720"/>
        <w:rPr>
          <w:rFonts w:ascii="Times New Roman" w:hAnsi="Times New Roman"/>
          <w:iCs/>
          <w:szCs w:val="22"/>
        </w:rPr>
      </w:pPr>
      <w:r w:rsidRPr="00864191">
        <w:rPr>
          <w:rFonts w:ascii="Times New Roman" w:hAnsi="Times New Roman"/>
          <w:iCs/>
          <w:szCs w:val="22"/>
        </w:rPr>
        <w:t xml:space="preserve">In addition, USCIS estimates that respondents will incur an estimated cost of </w:t>
      </w:r>
    </w:p>
    <w:p w14:paraId="3615AA09" w14:textId="77777777" w:rsidR="00A57B4D" w:rsidRDefault="00A57B4D" w:rsidP="00A57B4D">
      <w:pPr>
        <w:tabs>
          <w:tab w:val="left" w:pos="-1440"/>
        </w:tabs>
        <w:ind w:left="720"/>
        <w:rPr>
          <w:rFonts w:ascii="Times New Roman" w:hAnsi="Times New Roman"/>
          <w:iCs/>
          <w:szCs w:val="22"/>
        </w:rPr>
      </w:pPr>
      <w:r w:rsidRPr="00864191">
        <w:rPr>
          <w:rFonts w:ascii="Times New Roman" w:hAnsi="Times New Roman"/>
          <w:iCs/>
          <w:szCs w:val="22"/>
        </w:rPr>
        <w:t>$3.75 average postage cost to each respondent to submit the completed package to USCIS. Postage to mail completed package (</w:t>
      </w:r>
      <w:r>
        <w:rPr>
          <w:rFonts w:ascii="Times New Roman" w:hAnsi="Times New Roman"/>
          <w:iCs/>
          <w:szCs w:val="22"/>
        </w:rPr>
        <w:t>240</w:t>
      </w:r>
      <w:r w:rsidRPr="00864191">
        <w:rPr>
          <w:rFonts w:ascii="Times New Roman" w:hAnsi="Times New Roman"/>
          <w:iCs/>
          <w:szCs w:val="22"/>
        </w:rPr>
        <w:t xml:space="preserve"> x $3.75 average postage) = $900.</w:t>
      </w:r>
    </w:p>
    <w:p w14:paraId="7828ED3D" w14:textId="77777777" w:rsidR="00A57B4D" w:rsidRDefault="00A57B4D" w:rsidP="00A57B4D">
      <w:pPr>
        <w:tabs>
          <w:tab w:val="left" w:pos="-1440"/>
        </w:tabs>
        <w:ind w:left="720"/>
        <w:rPr>
          <w:rFonts w:ascii="Times New Roman" w:hAnsi="Times New Roman"/>
          <w:iCs/>
          <w:szCs w:val="22"/>
        </w:rPr>
      </w:pPr>
    </w:p>
    <w:p w14:paraId="5522326C" w14:textId="77777777" w:rsidR="00A57B4D" w:rsidRPr="00BA5E44" w:rsidRDefault="00A57B4D" w:rsidP="00A57B4D">
      <w:pPr>
        <w:tabs>
          <w:tab w:val="left" w:pos="-1440"/>
        </w:tabs>
        <w:ind w:left="720"/>
        <w:rPr>
          <w:rFonts w:ascii="Times New Roman" w:hAnsi="Times New Roman"/>
          <w:iCs/>
          <w:szCs w:val="22"/>
        </w:rPr>
      </w:pPr>
      <w:r>
        <w:rPr>
          <w:rFonts w:ascii="Times New Roman" w:hAnsi="Times New Roman"/>
        </w:rPr>
        <w:t xml:space="preserve">The estimated total cost to respondents is $29,400 plus $900, which equals </w:t>
      </w:r>
      <w:r w:rsidRPr="00864191">
        <w:rPr>
          <w:rFonts w:ascii="Times New Roman" w:hAnsi="Times New Roman"/>
          <w:b/>
        </w:rPr>
        <w:t>$30,300</w:t>
      </w:r>
      <w:r>
        <w:rPr>
          <w:rFonts w:ascii="Times New Roman" w:hAnsi="Times New Roman"/>
        </w:rPr>
        <w:t xml:space="preserve">. The estimated cost per respondent is $30,300 divided by 240, which equals </w:t>
      </w:r>
      <w:r w:rsidRPr="00864191">
        <w:rPr>
          <w:rFonts w:ascii="Times New Roman" w:hAnsi="Times New Roman"/>
          <w:b/>
        </w:rPr>
        <w:t>$126.25</w:t>
      </w:r>
      <w:r>
        <w:rPr>
          <w:rFonts w:ascii="Times New Roman" w:hAnsi="Times New Roman"/>
        </w:rPr>
        <w:t>.</w:t>
      </w:r>
    </w:p>
    <w:p w14:paraId="1BF53D6B" w14:textId="77777777" w:rsidR="00A57B4D" w:rsidRPr="00AF45F2" w:rsidRDefault="00A57B4D" w:rsidP="00A57B4D">
      <w:pPr>
        <w:ind w:left="1440" w:hanging="720"/>
        <w:rPr>
          <w:rFonts w:ascii="Times New Roman" w:hAnsi="Times New Roman"/>
        </w:rPr>
      </w:pPr>
    </w:p>
    <w:p w14:paraId="18BE148E" w14:textId="77777777" w:rsidR="00B27061" w:rsidRPr="00AF45F2" w:rsidRDefault="00B27061" w:rsidP="001B1203">
      <w:pPr>
        <w:ind w:left="1440" w:hanging="720"/>
        <w:rPr>
          <w:rFonts w:ascii="Times New Roman" w:hAnsi="Times New Roman"/>
        </w:rPr>
      </w:pPr>
    </w:p>
    <w:p w14:paraId="4F274F8C" w14:textId="77777777" w:rsidR="001B1203" w:rsidRDefault="00B27061" w:rsidP="00BA5E44">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1B1203">
        <w:rPr>
          <w:rFonts w:ascii="Times New Roman" w:hAnsi="Times New Roman"/>
        </w:rPr>
        <w:tab/>
        <w:t xml:space="preserve"> </w:t>
      </w:r>
    </w:p>
    <w:p w14:paraId="32237E09" w14:textId="77777777" w:rsidR="001B1203" w:rsidRDefault="001B1203" w:rsidP="001B1203">
      <w:pPr>
        <w:tabs>
          <w:tab w:val="left" w:pos="-1440"/>
        </w:tabs>
        <w:ind w:left="720"/>
        <w:rPr>
          <w:rFonts w:ascii="Times New Roman" w:hAnsi="Times New Roman"/>
        </w:rPr>
      </w:pPr>
    </w:p>
    <w:p w14:paraId="16A6E063" w14:textId="2952352D" w:rsidR="00902F2B" w:rsidRPr="00914A5D" w:rsidRDefault="00902F2B" w:rsidP="00902F2B">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240</w:t>
      </w:r>
      <w:r>
        <w:rPr>
          <w:rFonts w:ascii="Times New Roman" w:hAnsi="Times New Roman"/>
          <w:bCs/>
          <w:color w:val="FF0000"/>
        </w:rPr>
        <w:t xml:space="preserve"> </w:t>
      </w:r>
      <w:r>
        <w:rPr>
          <w:rFonts w:ascii="Times New Roman" w:hAnsi="Times New Roman"/>
        </w:rPr>
        <w:t xml:space="preserve">x $800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Pr>
          <w:rFonts w:ascii="Times New Roman" w:hAnsi="Times New Roman"/>
          <w:b/>
        </w:rPr>
        <w:t>192,000.00</w:t>
      </w:r>
      <w:r w:rsidRPr="0071391D">
        <w:rPr>
          <w:rFonts w:ascii="Times New Roman" w:hAnsi="Times New Roman"/>
        </w:rPr>
        <w:t>.</w:t>
      </w:r>
    </w:p>
    <w:p w14:paraId="25F74FF1" w14:textId="77777777" w:rsidR="006C79B6" w:rsidRPr="00914A5D" w:rsidRDefault="006C79B6" w:rsidP="00914A5D">
      <w:pPr>
        <w:tabs>
          <w:tab w:val="left" w:pos="-1440"/>
        </w:tabs>
        <w:ind w:left="720"/>
        <w:rPr>
          <w:rFonts w:ascii="Times New Roman" w:hAnsi="Times New Roman"/>
        </w:rPr>
      </w:pPr>
    </w:p>
    <w:p w14:paraId="1BC2963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30A52CB"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BE9FD17"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E16E4CE" w14:textId="77777777" w:rsidR="00F45973"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14:paraId="1F546903" w14:textId="77777777" w:rsidR="008A4764" w:rsidRPr="00920D27" w:rsidRDefault="00F45973"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008A4764"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44D58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638D5C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D6D027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A044F4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262D5C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4AFEB7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02F2B" w:rsidRPr="00920D27" w14:paraId="17554CF9" w14:textId="77777777" w:rsidTr="00F4576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A9F3DAA" w14:textId="77777777" w:rsidR="00902F2B" w:rsidRPr="00920D27"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sz="8" w:space="0" w:color="auto"/>
              <w:right w:val="single" w:sz="8" w:space="0" w:color="auto"/>
            </w:tcBorders>
            <w:shd w:val="clear" w:color="auto" w:fill="auto"/>
            <w:vAlign w:val="center"/>
            <w:hideMark/>
          </w:tcPr>
          <w:p w14:paraId="1A0D623A"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E7DF8C8"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1BDBC7E"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6F4EB37" w14:textId="77777777" w:rsidR="00902F2B" w:rsidRPr="00920D27"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360</w:t>
            </w:r>
          </w:p>
        </w:tc>
        <w:tc>
          <w:tcPr>
            <w:tcW w:w="1430" w:type="dxa"/>
            <w:tcBorders>
              <w:top w:val="nil"/>
              <w:left w:val="nil"/>
              <w:bottom w:val="single" w:sz="8" w:space="0" w:color="auto"/>
              <w:right w:val="single" w:sz="8" w:space="0" w:color="auto"/>
            </w:tcBorders>
            <w:shd w:val="clear" w:color="auto" w:fill="auto"/>
            <w:vAlign w:val="center"/>
          </w:tcPr>
          <w:p w14:paraId="6CF074B8" w14:textId="77777777" w:rsidR="00902F2B" w:rsidRPr="00920D27"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360</w:t>
            </w:r>
          </w:p>
        </w:tc>
        <w:tc>
          <w:tcPr>
            <w:tcW w:w="1282" w:type="dxa"/>
            <w:tcBorders>
              <w:top w:val="nil"/>
              <w:left w:val="nil"/>
              <w:bottom w:val="single" w:sz="8" w:space="0" w:color="auto"/>
              <w:right w:val="single" w:sz="8" w:space="0" w:color="auto"/>
            </w:tcBorders>
            <w:shd w:val="clear" w:color="auto" w:fill="auto"/>
            <w:vAlign w:val="center"/>
          </w:tcPr>
          <w:p w14:paraId="5FBAAB95" w14:textId="77777777" w:rsidR="00902F2B" w:rsidRPr="00920D27"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0</w:t>
            </w:r>
          </w:p>
        </w:tc>
      </w:tr>
      <w:tr w:rsidR="00902F2B" w:rsidRPr="00920D27" w14:paraId="6125BC98" w14:textId="77777777" w:rsidTr="00F4576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7697C4"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6A91397"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F617C71"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9EFED2A"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46A56AC" w14:textId="77777777" w:rsidR="00902F2B" w:rsidRPr="00920D27" w:rsidRDefault="00902F2B" w:rsidP="00902F2B">
            <w:pPr>
              <w:widowControl/>
              <w:autoSpaceDE/>
              <w:autoSpaceDN/>
              <w:adjustRightInd/>
              <w:jc w:val="center"/>
              <w:rPr>
                <w:rFonts w:ascii="Times New Roman" w:hAnsi="Times New Roman"/>
                <w:b/>
                <w:bCs/>
                <w:color w:val="000000"/>
              </w:rPr>
            </w:pPr>
            <w:r>
              <w:rPr>
                <w:rFonts w:ascii="Times New Roman" w:hAnsi="Times New Roman"/>
                <w:b/>
                <w:bCs/>
                <w:color w:val="000000"/>
              </w:rPr>
              <w:t>360</w:t>
            </w:r>
          </w:p>
        </w:tc>
        <w:tc>
          <w:tcPr>
            <w:tcW w:w="1430" w:type="dxa"/>
            <w:tcBorders>
              <w:top w:val="nil"/>
              <w:left w:val="nil"/>
              <w:bottom w:val="single" w:sz="8" w:space="0" w:color="auto"/>
              <w:right w:val="single" w:sz="8" w:space="0" w:color="auto"/>
            </w:tcBorders>
            <w:shd w:val="clear" w:color="auto" w:fill="auto"/>
            <w:vAlign w:val="center"/>
          </w:tcPr>
          <w:p w14:paraId="5E8BEC55" w14:textId="77777777" w:rsidR="00902F2B" w:rsidRPr="00920D27" w:rsidRDefault="00902F2B" w:rsidP="00902F2B">
            <w:pPr>
              <w:widowControl/>
              <w:autoSpaceDE/>
              <w:autoSpaceDN/>
              <w:adjustRightInd/>
              <w:jc w:val="center"/>
              <w:rPr>
                <w:rFonts w:ascii="Times New Roman" w:hAnsi="Times New Roman"/>
                <w:b/>
                <w:bCs/>
                <w:color w:val="000000"/>
              </w:rPr>
            </w:pPr>
            <w:r>
              <w:rPr>
                <w:rFonts w:ascii="Times New Roman" w:hAnsi="Times New Roman"/>
                <w:b/>
                <w:bCs/>
                <w:color w:val="000000"/>
              </w:rPr>
              <w:t>360</w:t>
            </w:r>
          </w:p>
        </w:tc>
        <w:tc>
          <w:tcPr>
            <w:tcW w:w="1282" w:type="dxa"/>
            <w:tcBorders>
              <w:top w:val="nil"/>
              <w:left w:val="nil"/>
              <w:bottom w:val="single" w:sz="8" w:space="0" w:color="auto"/>
              <w:right w:val="single" w:sz="8" w:space="0" w:color="auto"/>
            </w:tcBorders>
            <w:shd w:val="clear" w:color="auto" w:fill="auto"/>
            <w:vAlign w:val="center"/>
          </w:tcPr>
          <w:p w14:paraId="38F66FA4" w14:textId="77777777" w:rsidR="00902F2B" w:rsidRPr="00920D27" w:rsidRDefault="00902F2B" w:rsidP="00902F2B">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7FC10123" w14:textId="77777777" w:rsidR="00F45973" w:rsidRDefault="00F45973" w:rsidP="007A3F01">
      <w:pPr>
        <w:tabs>
          <w:tab w:val="left" w:pos="-1440"/>
        </w:tabs>
        <w:ind w:left="720"/>
        <w:rPr>
          <w:rFonts w:ascii="Times New Roman" w:hAnsi="Times New Roman"/>
        </w:rPr>
      </w:pPr>
    </w:p>
    <w:p w14:paraId="2E3A9B80" w14:textId="4414428A" w:rsidR="00B27061" w:rsidRDefault="00902F2B" w:rsidP="00914A5D">
      <w:pPr>
        <w:ind w:left="720"/>
        <w:rPr>
          <w:rFonts w:ascii="Times New Roman" w:hAnsi="Times New Roman"/>
        </w:rPr>
      </w:pPr>
      <w:r w:rsidRPr="00902F2B">
        <w:rPr>
          <w:rFonts w:ascii="Times New Roman" w:hAnsi="Times New Roman"/>
        </w:rPr>
        <w:t>There is no change to the estimated annual time burden to respondents for this collection of information</w:t>
      </w:r>
      <w:r w:rsidR="00A57B4D">
        <w:rPr>
          <w:rFonts w:ascii="Times New Roman" w:hAnsi="Times New Roman"/>
        </w:rPr>
        <w:t>.</w:t>
      </w:r>
    </w:p>
    <w:p w14:paraId="16488FD7" w14:textId="77777777" w:rsidR="00A57B4D" w:rsidRDefault="00A57B4D"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75846763" w14:textId="77777777" w:rsidTr="00F4597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6C4AFB" w14:textId="77777777" w:rsidR="00F45973" w:rsidRDefault="005B6129" w:rsidP="00F4597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14:paraId="6A852B9D" w14:textId="77777777" w:rsidR="005B6129" w:rsidRPr="00920D27" w:rsidRDefault="005B6129" w:rsidP="00F4597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1E71B3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A0C36D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1A0CDD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0594F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E31665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2F9C1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02F2B" w:rsidRPr="00920D27" w14:paraId="068AC26F" w14:textId="77777777" w:rsidTr="00F4597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37F27EA" w14:textId="77777777" w:rsidR="00902F2B" w:rsidRPr="00920D27"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sz="8" w:space="0" w:color="auto"/>
              <w:right w:val="single" w:sz="8" w:space="0" w:color="auto"/>
            </w:tcBorders>
            <w:shd w:val="clear" w:color="auto" w:fill="auto"/>
            <w:vAlign w:val="center"/>
            <w:hideMark/>
          </w:tcPr>
          <w:p w14:paraId="702B2C06"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344D14C"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21E38D6" w14:textId="77777777" w:rsidR="00902F2B" w:rsidRPr="00920D27" w:rsidRDefault="00902F2B" w:rsidP="00902F2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C77369F" w14:textId="77777777" w:rsidR="00902F2B" w:rsidRPr="00F45761" w:rsidRDefault="00902F2B" w:rsidP="00902F2B">
            <w:pPr>
              <w:widowControl/>
              <w:autoSpaceDE/>
              <w:autoSpaceDN/>
              <w:adjustRightInd/>
              <w:jc w:val="center"/>
              <w:rPr>
                <w:rFonts w:ascii="Times New Roman" w:hAnsi="Times New Roman"/>
                <w:color w:val="000000"/>
              </w:rPr>
            </w:pPr>
            <w:r w:rsidRPr="00F45761">
              <w:rPr>
                <w:rFonts w:ascii="Times New Roman" w:hAnsi="Times New Roman"/>
                <w:bCs/>
              </w:rPr>
              <w:t>$</w:t>
            </w:r>
            <w:r w:rsidRPr="00F45973">
              <w:rPr>
                <w:rFonts w:ascii="Times New Roman" w:hAnsi="Times New Roman"/>
                <w:bCs/>
              </w:rPr>
              <w:t>30,300</w:t>
            </w:r>
          </w:p>
        </w:tc>
        <w:tc>
          <w:tcPr>
            <w:tcW w:w="1430" w:type="dxa"/>
            <w:tcBorders>
              <w:top w:val="nil"/>
              <w:left w:val="nil"/>
              <w:bottom w:val="single" w:sz="8" w:space="0" w:color="auto"/>
              <w:right w:val="single" w:sz="8" w:space="0" w:color="auto"/>
            </w:tcBorders>
            <w:shd w:val="clear" w:color="auto" w:fill="auto"/>
            <w:vAlign w:val="center"/>
          </w:tcPr>
          <w:p w14:paraId="2477332D" w14:textId="77777777" w:rsidR="00902F2B" w:rsidRPr="00F45761"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$30,900</w:t>
            </w:r>
          </w:p>
        </w:tc>
        <w:tc>
          <w:tcPr>
            <w:tcW w:w="1282" w:type="dxa"/>
            <w:tcBorders>
              <w:top w:val="nil"/>
              <w:left w:val="nil"/>
              <w:bottom w:val="single" w:sz="8" w:space="0" w:color="auto"/>
              <w:right w:val="single" w:sz="8" w:space="0" w:color="auto"/>
            </w:tcBorders>
            <w:shd w:val="clear" w:color="auto" w:fill="auto"/>
            <w:vAlign w:val="center"/>
          </w:tcPr>
          <w:p w14:paraId="0BF30EC8" w14:textId="77777777" w:rsidR="00902F2B" w:rsidRPr="00F45761" w:rsidRDefault="00902F2B" w:rsidP="00902F2B">
            <w:pPr>
              <w:widowControl/>
              <w:autoSpaceDE/>
              <w:autoSpaceDN/>
              <w:adjustRightInd/>
              <w:jc w:val="center"/>
              <w:rPr>
                <w:rFonts w:ascii="Times New Roman" w:hAnsi="Times New Roman"/>
                <w:color w:val="000000"/>
              </w:rPr>
            </w:pPr>
            <w:r>
              <w:rPr>
                <w:rFonts w:ascii="Times New Roman" w:hAnsi="Times New Roman"/>
                <w:color w:val="000000"/>
              </w:rPr>
              <w:t>$600</w:t>
            </w:r>
          </w:p>
        </w:tc>
      </w:tr>
      <w:tr w:rsidR="00902F2B" w:rsidRPr="00920D27" w14:paraId="78EDF6ED" w14:textId="77777777" w:rsidTr="00F4597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451E382"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491BB22"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5C4D714"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B7BD7EE" w14:textId="77777777" w:rsidR="00902F2B" w:rsidRPr="00920D27" w:rsidRDefault="00902F2B" w:rsidP="00902F2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917B21C" w14:textId="77777777" w:rsidR="00902F2B" w:rsidRPr="00920D27" w:rsidRDefault="00902F2B" w:rsidP="00902F2B">
            <w:pPr>
              <w:widowControl/>
              <w:autoSpaceDE/>
              <w:autoSpaceDN/>
              <w:adjustRightInd/>
              <w:jc w:val="center"/>
              <w:rPr>
                <w:rFonts w:ascii="Times New Roman" w:hAnsi="Times New Roman"/>
                <w:b/>
                <w:bCs/>
                <w:color w:val="000000"/>
              </w:rPr>
            </w:pPr>
            <w:r w:rsidRPr="00F45761">
              <w:rPr>
                <w:rFonts w:ascii="Times New Roman" w:hAnsi="Times New Roman"/>
                <w:b/>
                <w:bCs/>
              </w:rPr>
              <w:t>$</w:t>
            </w:r>
            <w:r w:rsidRPr="00864191">
              <w:rPr>
                <w:rFonts w:ascii="Times New Roman" w:hAnsi="Times New Roman"/>
                <w:b/>
              </w:rPr>
              <w:t>30,300</w:t>
            </w:r>
          </w:p>
        </w:tc>
        <w:tc>
          <w:tcPr>
            <w:tcW w:w="1430" w:type="dxa"/>
            <w:tcBorders>
              <w:top w:val="nil"/>
              <w:left w:val="nil"/>
              <w:bottom w:val="single" w:sz="8" w:space="0" w:color="auto"/>
              <w:right w:val="single" w:sz="8" w:space="0" w:color="auto"/>
            </w:tcBorders>
            <w:shd w:val="clear" w:color="auto" w:fill="auto"/>
            <w:vAlign w:val="center"/>
          </w:tcPr>
          <w:p w14:paraId="6D189E55" w14:textId="77777777" w:rsidR="00902F2B" w:rsidRPr="00920D27" w:rsidRDefault="00902F2B" w:rsidP="00902F2B">
            <w:pPr>
              <w:widowControl/>
              <w:autoSpaceDE/>
              <w:autoSpaceDN/>
              <w:adjustRightInd/>
              <w:jc w:val="center"/>
              <w:rPr>
                <w:rFonts w:ascii="Times New Roman" w:hAnsi="Times New Roman"/>
                <w:b/>
                <w:bCs/>
                <w:color w:val="000000"/>
              </w:rPr>
            </w:pPr>
            <w:r>
              <w:rPr>
                <w:rFonts w:ascii="Times New Roman" w:hAnsi="Times New Roman"/>
                <w:b/>
                <w:bCs/>
                <w:color w:val="000000"/>
              </w:rPr>
              <w:t>$30,900</w:t>
            </w:r>
          </w:p>
        </w:tc>
        <w:tc>
          <w:tcPr>
            <w:tcW w:w="1282" w:type="dxa"/>
            <w:tcBorders>
              <w:top w:val="nil"/>
              <w:left w:val="nil"/>
              <w:bottom w:val="single" w:sz="8" w:space="0" w:color="auto"/>
              <w:right w:val="single" w:sz="8" w:space="0" w:color="auto"/>
            </w:tcBorders>
            <w:shd w:val="clear" w:color="auto" w:fill="auto"/>
            <w:vAlign w:val="center"/>
          </w:tcPr>
          <w:p w14:paraId="647F0BA0" w14:textId="77777777" w:rsidR="00902F2B" w:rsidRPr="00920D27" w:rsidRDefault="00902F2B" w:rsidP="00902F2B">
            <w:pPr>
              <w:widowControl/>
              <w:autoSpaceDE/>
              <w:autoSpaceDN/>
              <w:adjustRightInd/>
              <w:jc w:val="center"/>
              <w:rPr>
                <w:rFonts w:ascii="Times New Roman" w:hAnsi="Times New Roman"/>
                <w:b/>
                <w:bCs/>
                <w:color w:val="000000"/>
              </w:rPr>
            </w:pPr>
            <w:r>
              <w:rPr>
                <w:rFonts w:ascii="Times New Roman" w:hAnsi="Times New Roman"/>
                <w:b/>
                <w:bCs/>
                <w:color w:val="000000"/>
              </w:rPr>
              <w:t>$600</w:t>
            </w:r>
          </w:p>
        </w:tc>
      </w:tr>
    </w:tbl>
    <w:p w14:paraId="5C26E153" w14:textId="77777777" w:rsidR="005A56B3" w:rsidRDefault="005A56B3" w:rsidP="005A56B3">
      <w:pPr>
        <w:ind w:left="720"/>
        <w:rPr>
          <w:rFonts w:ascii="Times New Roman" w:hAnsi="Times New Roman"/>
        </w:rPr>
      </w:pPr>
    </w:p>
    <w:p w14:paraId="5A9F1779" w14:textId="0B68E734" w:rsidR="00F45761" w:rsidRPr="00F45973" w:rsidRDefault="00902F2B" w:rsidP="00F45761">
      <w:pPr>
        <w:tabs>
          <w:tab w:val="left" w:pos="-1440"/>
        </w:tabs>
        <w:ind w:left="720"/>
        <w:rPr>
          <w:rFonts w:ascii="Times New Roman" w:hAnsi="Times New Roman"/>
        </w:rPr>
      </w:pPr>
      <w:r w:rsidRPr="00902F2B">
        <w:rPr>
          <w:rFonts w:ascii="Times New Roman" w:hAnsi="Times New Roman"/>
        </w:rPr>
        <w:t>USCIS corrected the cost burden for this information collection to accurately reflect the estimated cost.</w:t>
      </w:r>
    </w:p>
    <w:p w14:paraId="2454737F" w14:textId="77777777" w:rsidR="005B6129" w:rsidRPr="0029577A" w:rsidRDefault="005B6129" w:rsidP="00914A5D">
      <w:pPr>
        <w:ind w:left="720"/>
        <w:rPr>
          <w:rFonts w:ascii="Times New Roman" w:hAnsi="Times New Roman"/>
        </w:rPr>
      </w:pPr>
    </w:p>
    <w:p w14:paraId="56DF904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9ADBB2B" w14:textId="77777777" w:rsidR="001A595D" w:rsidRPr="00914A5D" w:rsidRDefault="001A595D" w:rsidP="00914A5D">
      <w:pPr>
        <w:tabs>
          <w:tab w:val="left" w:pos="-1440"/>
        </w:tabs>
        <w:ind w:left="720"/>
        <w:rPr>
          <w:rFonts w:ascii="Times New Roman" w:hAnsi="Times New Roman"/>
        </w:rPr>
      </w:pPr>
    </w:p>
    <w:p w14:paraId="78F24B3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23D7593" w14:textId="77777777" w:rsidR="00B27061" w:rsidRPr="000B00D2" w:rsidRDefault="00B27061" w:rsidP="00914A5D">
      <w:pPr>
        <w:ind w:left="720"/>
        <w:rPr>
          <w:rFonts w:ascii="Times New Roman" w:hAnsi="Times New Roman"/>
        </w:rPr>
      </w:pPr>
    </w:p>
    <w:p w14:paraId="0AD4392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AA27D12" w14:textId="77777777" w:rsidR="006C79B6" w:rsidRPr="008A4764" w:rsidRDefault="006C79B6" w:rsidP="00914A5D">
      <w:pPr>
        <w:tabs>
          <w:tab w:val="left" w:pos="-1440"/>
        </w:tabs>
        <w:ind w:left="720"/>
        <w:rPr>
          <w:rFonts w:ascii="Times New Roman" w:hAnsi="Times New Roman"/>
        </w:rPr>
      </w:pPr>
    </w:p>
    <w:p w14:paraId="16A4E077"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E440402" w14:textId="77777777" w:rsidR="00B27061" w:rsidRPr="000B00D2" w:rsidRDefault="00B27061" w:rsidP="00914A5D">
      <w:pPr>
        <w:ind w:left="720"/>
        <w:rPr>
          <w:rFonts w:ascii="Times New Roman" w:hAnsi="Times New Roman"/>
        </w:rPr>
      </w:pPr>
    </w:p>
    <w:p w14:paraId="225A9E5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97837E3" w14:textId="77777777" w:rsidR="006C79B6" w:rsidRPr="000B00D2" w:rsidRDefault="006C79B6" w:rsidP="00914A5D">
      <w:pPr>
        <w:tabs>
          <w:tab w:val="left" w:pos="-1440"/>
        </w:tabs>
        <w:ind w:left="720"/>
        <w:rPr>
          <w:rFonts w:ascii="Times New Roman" w:hAnsi="Times New Roman"/>
        </w:rPr>
      </w:pPr>
    </w:p>
    <w:p w14:paraId="6404A441"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11E3293" w14:textId="77777777" w:rsidR="006C79B6" w:rsidRPr="000B00D2" w:rsidRDefault="006C79B6" w:rsidP="00914A5D">
      <w:pPr>
        <w:ind w:left="720"/>
        <w:rPr>
          <w:rFonts w:ascii="Times New Roman" w:hAnsi="Times New Roman"/>
        </w:rPr>
      </w:pPr>
    </w:p>
    <w:p w14:paraId="1E86E68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8469A9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7A4782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BA1607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C9DAE" w14:textId="77777777" w:rsidR="00FD4FDD" w:rsidRDefault="00FD4FDD">
      <w:r>
        <w:separator/>
      </w:r>
    </w:p>
  </w:endnote>
  <w:endnote w:type="continuationSeparator" w:id="0">
    <w:p w14:paraId="2C0D3937" w14:textId="77777777" w:rsidR="00FD4FDD" w:rsidRDefault="00FD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47BC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FC663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107FE" w14:textId="77777777" w:rsidR="006049A7" w:rsidRDefault="006049A7">
    <w:pPr>
      <w:spacing w:line="240" w:lineRule="exact"/>
    </w:pPr>
  </w:p>
  <w:p w14:paraId="47DC6C6C" w14:textId="52B9CEB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02082">
      <w:rPr>
        <w:rFonts w:ascii="Times New Roman" w:hAnsi="Times New Roman"/>
        <w:noProof/>
      </w:rPr>
      <w:t>1</w:t>
    </w:r>
    <w:r w:rsidRPr="000712DA">
      <w:rPr>
        <w:rFonts w:ascii="Times New Roman" w:hAnsi="Times New Roman"/>
      </w:rPr>
      <w:fldChar w:fldCharType="end"/>
    </w:r>
  </w:p>
  <w:p w14:paraId="6E383A35" w14:textId="77777777" w:rsidR="006049A7" w:rsidRDefault="006049A7" w:rsidP="007F5988">
    <w:pPr>
      <w:ind w:right="360"/>
    </w:pPr>
  </w:p>
  <w:p w14:paraId="7E1DEE53" w14:textId="77777777" w:rsidR="00EB4EDB" w:rsidRDefault="00EB4EDB"/>
  <w:p w14:paraId="5D4CD5B8" w14:textId="77777777" w:rsidR="00EB4EDB" w:rsidRDefault="00EB4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731A4" w14:textId="77777777" w:rsidR="00FD4FDD" w:rsidRDefault="00FD4FDD">
      <w:r>
        <w:separator/>
      </w:r>
    </w:p>
  </w:footnote>
  <w:footnote w:type="continuationSeparator" w:id="0">
    <w:p w14:paraId="54DCBBBF" w14:textId="77777777" w:rsidR="00FD4FDD" w:rsidRDefault="00FD4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C4770"/>
    <w:multiLevelType w:val="hybridMultilevel"/>
    <w:tmpl w:val="747A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28FA"/>
    <w:rsid w:val="0007341E"/>
    <w:rsid w:val="00080CE0"/>
    <w:rsid w:val="00093DB1"/>
    <w:rsid w:val="000A42FA"/>
    <w:rsid w:val="000B00D2"/>
    <w:rsid w:val="000F1A9A"/>
    <w:rsid w:val="0010769F"/>
    <w:rsid w:val="0019320E"/>
    <w:rsid w:val="001A595D"/>
    <w:rsid w:val="001A6D21"/>
    <w:rsid w:val="001B1203"/>
    <w:rsid w:val="001E2E5D"/>
    <w:rsid w:val="0020110E"/>
    <w:rsid w:val="00215244"/>
    <w:rsid w:val="0029577A"/>
    <w:rsid w:val="002A4A73"/>
    <w:rsid w:val="002E199D"/>
    <w:rsid w:val="002E7594"/>
    <w:rsid w:val="003A0DC7"/>
    <w:rsid w:val="003A0F52"/>
    <w:rsid w:val="00494557"/>
    <w:rsid w:val="004F3779"/>
    <w:rsid w:val="00524FC5"/>
    <w:rsid w:val="00525E40"/>
    <w:rsid w:val="00526476"/>
    <w:rsid w:val="0054585A"/>
    <w:rsid w:val="005543AD"/>
    <w:rsid w:val="00590B61"/>
    <w:rsid w:val="005A56B3"/>
    <w:rsid w:val="005B6129"/>
    <w:rsid w:val="005C3DD7"/>
    <w:rsid w:val="00603702"/>
    <w:rsid w:val="006049A7"/>
    <w:rsid w:val="006169F1"/>
    <w:rsid w:val="00662686"/>
    <w:rsid w:val="006A0CC6"/>
    <w:rsid w:val="006B0B31"/>
    <w:rsid w:val="006B38F6"/>
    <w:rsid w:val="006C79B6"/>
    <w:rsid w:val="006E606E"/>
    <w:rsid w:val="006F083F"/>
    <w:rsid w:val="00703B09"/>
    <w:rsid w:val="007258AC"/>
    <w:rsid w:val="007312F9"/>
    <w:rsid w:val="00764FA1"/>
    <w:rsid w:val="00765E88"/>
    <w:rsid w:val="00777F80"/>
    <w:rsid w:val="00792B9D"/>
    <w:rsid w:val="007A3F01"/>
    <w:rsid w:val="007B32A5"/>
    <w:rsid w:val="007C03A1"/>
    <w:rsid w:val="007E3AFD"/>
    <w:rsid w:val="007E6F17"/>
    <w:rsid w:val="007F5988"/>
    <w:rsid w:val="00807BA2"/>
    <w:rsid w:val="008255EE"/>
    <w:rsid w:val="00833B6C"/>
    <w:rsid w:val="00847763"/>
    <w:rsid w:val="00864191"/>
    <w:rsid w:val="008A4764"/>
    <w:rsid w:val="008C4D74"/>
    <w:rsid w:val="008D3CEA"/>
    <w:rsid w:val="008D7291"/>
    <w:rsid w:val="008F233F"/>
    <w:rsid w:val="008F74F4"/>
    <w:rsid w:val="00902F2B"/>
    <w:rsid w:val="009147A2"/>
    <w:rsid w:val="00914A5D"/>
    <w:rsid w:val="00921351"/>
    <w:rsid w:val="009556EE"/>
    <w:rsid w:val="00974223"/>
    <w:rsid w:val="009D1DF6"/>
    <w:rsid w:val="009D5D2B"/>
    <w:rsid w:val="009F15D0"/>
    <w:rsid w:val="00A05B27"/>
    <w:rsid w:val="00A32628"/>
    <w:rsid w:val="00A3466A"/>
    <w:rsid w:val="00A447D7"/>
    <w:rsid w:val="00A5237F"/>
    <w:rsid w:val="00A56B2D"/>
    <w:rsid w:val="00A57B4D"/>
    <w:rsid w:val="00AC0A30"/>
    <w:rsid w:val="00AF45F2"/>
    <w:rsid w:val="00B0571D"/>
    <w:rsid w:val="00B1471A"/>
    <w:rsid w:val="00B27061"/>
    <w:rsid w:val="00B31EBB"/>
    <w:rsid w:val="00B635A9"/>
    <w:rsid w:val="00B7349D"/>
    <w:rsid w:val="00BA5E44"/>
    <w:rsid w:val="00BD3260"/>
    <w:rsid w:val="00BD3D3C"/>
    <w:rsid w:val="00BE3C63"/>
    <w:rsid w:val="00C04531"/>
    <w:rsid w:val="00C62A1F"/>
    <w:rsid w:val="00C9224C"/>
    <w:rsid w:val="00CD6D53"/>
    <w:rsid w:val="00D10638"/>
    <w:rsid w:val="00D141E3"/>
    <w:rsid w:val="00D15779"/>
    <w:rsid w:val="00D22B13"/>
    <w:rsid w:val="00D80E94"/>
    <w:rsid w:val="00DA2D6B"/>
    <w:rsid w:val="00DE08FF"/>
    <w:rsid w:val="00DE6D7D"/>
    <w:rsid w:val="00E15619"/>
    <w:rsid w:val="00E25ABD"/>
    <w:rsid w:val="00E61E1B"/>
    <w:rsid w:val="00E85D6D"/>
    <w:rsid w:val="00E91139"/>
    <w:rsid w:val="00EA1FB2"/>
    <w:rsid w:val="00EB4EDB"/>
    <w:rsid w:val="00EC3504"/>
    <w:rsid w:val="00EF1C96"/>
    <w:rsid w:val="00F02082"/>
    <w:rsid w:val="00F10E9C"/>
    <w:rsid w:val="00F45761"/>
    <w:rsid w:val="00F45973"/>
    <w:rsid w:val="00F75224"/>
    <w:rsid w:val="00FB3097"/>
    <w:rsid w:val="00FD21A4"/>
    <w:rsid w:val="00FD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133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7E3AFD"/>
    <w:rPr>
      <w:sz w:val="16"/>
      <w:szCs w:val="16"/>
    </w:rPr>
  </w:style>
  <w:style w:type="paragraph" w:styleId="CommentText">
    <w:name w:val="annotation text"/>
    <w:basedOn w:val="Normal"/>
    <w:link w:val="CommentTextChar"/>
    <w:rsid w:val="007E3AFD"/>
    <w:rPr>
      <w:sz w:val="20"/>
      <w:szCs w:val="20"/>
    </w:rPr>
  </w:style>
  <w:style w:type="character" w:customStyle="1" w:styleId="CommentTextChar">
    <w:name w:val="Comment Text Char"/>
    <w:basedOn w:val="DefaultParagraphFont"/>
    <w:link w:val="CommentText"/>
    <w:rsid w:val="007E3AFD"/>
    <w:rPr>
      <w:rFonts w:ascii="Courier" w:hAnsi="Courier"/>
    </w:rPr>
  </w:style>
  <w:style w:type="paragraph" w:styleId="CommentSubject">
    <w:name w:val="annotation subject"/>
    <w:basedOn w:val="CommentText"/>
    <w:next w:val="CommentText"/>
    <w:link w:val="CommentSubjectChar"/>
    <w:rsid w:val="007E3AFD"/>
    <w:rPr>
      <w:b/>
      <w:bCs/>
    </w:rPr>
  </w:style>
  <w:style w:type="character" w:customStyle="1" w:styleId="CommentSubjectChar">
    <w:name w:val="Comment Subject Char"/>
    <w:basedOn w:val="CommentTextChar"/>
    <w:link w:val="CommentSubject"/>
    <w:rsid w:val="007E3AFD"/>
    <w:rPr>
      <w:rFonts w:ascii="Courier" w:hAnsi="Courier"/>
      <w:b/>
      <w:bCs/>
    </w:rPr>
  </w:style>
  <w:style w:type="paragraph" w:customStyle="1" w:styleId="Default">
    <w:name w:val="Default"/>
    <w:rsid w:val="00EF1C96"/>
    <w:pPr>
      <w:autoSpaceDE w:val="0"/>
      <w:autoSpaceDN w:val="0"/>
      <w:adjustRightInd w:val="0"/>
    </w:pPr>
    <w:rPr>
      <w:color w:val="000000"/>
      <w:sz w:val="24"/>
      <w:szCs w:val="24"/>
    </w:rPr>
  </w:style>
  <w:style w:type="paragraph" w:styleId="NormalWeb">
    <w:name w:val="Normal (Web)"/>
    <w:basedOn w:val="Normal"/>
    <w:uiPriority w:val="99"/>
    <w:unhideWhenUsed/>
    <w:rsid w:val="00902F2B"/>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7E3AFD"/>
    <w:rPr>
      <w:sz w:val="16"/>
      <w:szCs w:val="16"/>
    </w:rPr>
  </w:style>
  <w:style w:type="paragraph" w:styleId="CommentText">
    <w:name w:val="annotation text"/>
    <w:basedOn w:val="Normal"/>
    <w:link w:val="CommentTextChar"/>
    <w:rsid w:val="007E3AFD"/>
    <w:rPr>
      <w:sz w:val="20"/>
      <w:szCs w:val="20"/>
    </w:rPr>
  </w:style>
  <w:style w:type="character" w:customStyle="1" w:styleId="CommentTextChar">
    <w:name w:val="Comment Text Char"/>
    <w:basedOn w:val="DefaultParagraphFont"/>
    <w:link w:val="CommentText"/>
    <w:rsid w:val="007E3AFD"/>
    <w:rPr>
      <w:rFonts w:ascii="Courier" w:hAnsi="Courier"/>
    </w:rPr>
  </w:style>
  <w:style w:type="paragraph" w:styleId="CommentSubject">
    <w:name w:val="annotation subject"/>
    <w:basedOn w:val="CommentText"/>
    <w:next w:val="CommentText"/>
    <w:link w:val="CommentSubjectChar"/>
    <w:rsid w:val="007E3AFD"/>
    <w:rPr>
      <w:b/>
      <w:bCs/>
    </w:rPr>
  </w:style>
  <w:style w:type="character" w:customStyle="1" w:styleId="CommentSubjectChar">
    <w:name w:val="Comment Subject Char"/>
    <w:basedOn w:val="CommentTextChar"/>
    <w:link w:val="CommentSubject"/>
    <w:rsid w:val="007E3AFD"/>
    <w:rPr>
      <w:rFonts w:ascii="Courier" w:hAnsi="Courier"/>
      <w:b/>
      <w:bCs/>
    </w:rPr>
  </w:style>
  <w:style w:type="paragraph" w:customStyle="1" w:styleId="Default">
    <w:name w:val="Default"/>
    <w:rsid w:val="00EF1C96"/>
    <w:pPr>
      <w:autoSpaceDE w:val="0"/>
      <w:autoSpaceDN w:val="0"/>
      <w:adjustRightInd w:val="0"/>
    </w:pPr>
    <w:rPr>
      <w:color w:val="000000"/>
      <w:sz w:val="24"/>
      <w:szCs w:val="24"/>
    </w:rPr>
  </w:style>
  <w:style w:type="paragraph" w:styleId="NormalWeb">
    <w:name w:val="Normal (Web)"/>
    <w:basedOn w:val="Normal"/>
    <w:uiPriority w:val="99"/>
    <w:unhideWhenUsed/>
    <w:rsid w:val="00902F2B"/>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3159">
      <w:bodyDiv w:val="1"/>
      <w:marLeft w:val="0"/>
      <w:marRight w:val="0"/>
      <w:marTop w:val="0"/>
      <w:marBottom w:val="0"/>
      <w:divBdr>
        <w:top w:val="none" w:sz="0" w:space="0" w:color="auto"/>
        <w:left w:val="none" w:sz="0" w:space="0" w:color="auto"/>
        <w:bottom w:val="none" w:sz="0" w:space="0" w:color="auto"/>
        <w:right w:val="none" w:sz="0" w:space="0" w:color="auto"/>
      </w:divBdr>
    </w:div>
    <w:div w:id="347606185">
      <w:bodyDiv w:val="1"/>
      <w:marLeft w:val="0"/>
      <w:marRight w:val="0"/>
      <w:marTop w:val="0"/>
      <w:marBottom w:val="0"/>
      <w:divBdr>
        <w:top w:val="none" w:sz="0" w:space="0" w:color="auto"/>
        <w:left w:val="none" w:sz="0" w:space="0" w:color="auto"/>
        <w:bottom w:val="none" w:sz="0" w:space="0" w:color="auto"/>
        <w:right w:val="none" w:sz="0" w:space="0" w:color="auto"/>
      </w:divBdr>
    </w:div>
    <w:div w:id="441655388">
      <w:bodyDiv w:val="1"/>
      <w:marLeft w:val="0"/>
      <w:marRight w:val="0"/>
      <w:marTop w:val="0"/>
      <w:marBottom w:val="0"/>
      <w:divBdr>
        <w:top w:val="none" w:sz="0" w:space="0" w:color="auto"/>
        <w:left w:val="none" w:sz="0" w:space="0" w:color="auto"/>
        <w:bottom w:val="none" w:sz="0" w:space="0" w:color="auto"/>
        <w:right w:val="none" w:sz="0" w:space="0" w:color="auto"/>
      </w:divBdr>
    </w:div>
    <w:div w:id="455103150">
      <w:bodyDiv w:val="1"/>
      <w:marLeft w:val="0"/>
      <w:marRight w:val="0"/>
      <w:marTop w:val="0"/>
      <w:marBottom w:val="0"/>
      <w:divBdr>
        <w:top w:val="none" w:sz="0" w:space="0" w:color="auto"/>
        <w:left w:val="none" w:sz="0" w:space="0" w:color="auto"/>
        <w:bottom w:val="none" w:sz="0" w:space="0" w:color="auto"/>
        <w:right w:val="none" w:sz="0" w:space="0" w:color="auto"/>
      </w:divBdr>
    </w:div>
    <w:div w:id="457258019">
      <w:bodyDiv w:val="1"/>
      <w:marLeft w:val="0"/>
      <w:marRight w:val="0"/>
      <w:marTop w:val="0"/>
      <w:marBottom w:val="0"/>
      <w:divBdr>
        <w:top w:val="none" w:sz="0" w:space="0" w:color="auto"/>
        <w:left w:val="none" w:sz="0" w:space="0" w:color="auto"/>
        <w:bottom w:val="none" w:sz="0" w:space="0" w:color="auto"/>
        <w:right w:val="none" w:sz="0" w:space="0" w:color="auto"/>
      </w:divBdr>
    </w:div>
    <w:div w:id="632756624">
      <w:bodyDiv w:val="1"/>
      <w:marLeft w:val="0"/>
      <w:marRight w:val="0"/>
      <w:marTop w:val="0"/>
      <w:marBottom w:val="0"/>
      <w:divBdr>
        <w:top w:val="none" w:sz="0" w:space="0" w:color="auto"/>
        <w:left w:val="none" w:sz="0" w:space="0" w:color="auto"/>
        <w:bottom w:val="none" w:sz="0" w:space="0" w:color="auto"/>
        <w:right w:val="none" w:sz="0" w:space="0" w:color="auto"/>
      </w:divBdr>
    </w:div>
    <w:div w:id="670453942">
      <w:bodyDiv w:val="1"/>
      <w:marLeft w:val="0"/>
      <w:marRight w:val="0"/>
      <w:marTop w:val="0"/>
      <w:marBottom w:val="0"/>
      <w:divBdr>
        <w:top w:val="none" w:sz="0" w:space="0" w:color="auto"/>
        <w:left w:val="none" w:sz="0" w:space="0" w:color="auto"/>
        <w:bottom w:val="none" w:sz="0" w:space="0" w:color="auto"/>
        <w:right w:val="none" w:sz="0" w:space="0" w:color="auto"/>
      </w:divBdr>
    </w:div>
    <w:div w:id="69029993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61712012">
      <w:bodyDiv w:val="1"/>
      <w:marLeft w:val="0"/>
      <w:marRight w:val="0"/>
      <w:marTop w:val="0"/>
      <w:marBottom w:val="0"/>
      <w:divBdr>
        <w:top w:val="none" w:sz="0" w:space="0" w:color="auto"/>
        <w:left w:val="none" w:sz="0" w:space="0" w:color="auto"/>
        <w:bottom w:val="none" w:sz="0" w:space="0" w:color="auto"/>
        <w:right w:val="none" w:sz="0" w:space="0" w:color="auto"/>
      </w:divBdr>
    </w:div>
    <w:div w:id="1144813257">
      <w:bodyDiv w:val="1"/>
      <w:marLeft w:val="0"/>
      <w:marRight w:val="0"/>
      <w:marTop w:val="0"/>
      <w:marBottom w:val="0"/>
      <w:divBdr>
        <w:top w:val="none" w:sz="0" w:space="0" w:color="auto"/>
        <w:left w:val="none" w:sz="0" w:space="0" w:color="auto"/>
        <w:bottom w:val="none" w:sz="0" w:space="0" w:color="auto"/>
        <w:right w:val="none" w:sz="0" w:space="0" w:color="auto"/>
      </w:divBdr>
    </w:div>
    <w:div w:id="1480338318">
      <w:bodyDiv w:val="1"/>
      <w:marLeft w:val="0"/>
      <w:marRight w:val="0"/>
      <w:marTop w:val="0"/>
      <w:marBottom w:val="0"/>
      <w:divBdr>
        <w:top w:val="none" w:sz="0" w:space="0" w:color="auto"/>
        <w:left w:val="none" w:sz="0" w:space="0" w:color="auto"/>
        <w:bottom w:val="none" w:sz="0" w:space="0" w:color="auto"/>
        <w:right w:val="none" w:sz="0" w:space="0" w:color="auto"/>
      </w:divBdr>
    </w:div>
    <w:div w:id="1580481624">
      <w:bodyDiv w:val="1"/>
      <w:marLeft w:val="0"/>
      <w:marRight w:val="0"/>
      <w:marTop w:val="0"/>
      <w:marBottom w:val="0"/>
      <w:divBdr>
        <w:top w:val="none" w:sz="0" w:space="0" w:color="auto"/>
        <w:left w:val="none" w:sz="0" w:space="0" w:color="auto"/>
        <w:bottom w:val="none" w:sz="0" w:space="0" w:color="auto"/>
        <w:right w:val="none" w:sz="0" w:space="0" w:color="auto"/>
      </w:divBdr>
    </w:div>
    <w:div w:id="1733115258">
      <w:bodyDiv w:val="1"/>
      <w:marLeft w:val="0"/>
      <w:marRight w:val="0"/>
      <w:marTop w:val="0"/>
      <w:marBottom w:val="0"/>
      <w:divBdr>
        <w:top w:val="none" w:sz="0" w:space="0" w:color="auto"/>
        <w:left w:val="none" w:sz="0" w:space="0" w:color="auto"/>
        <w:bottom w:val="none" w:sz="0" w:space="0" w:color="auto"/>
        <w:right w:val="none" w:sz="0" w:space="0" w:color="auto"/>
      </w:divBdr>
    </w:div>
    <w:div w:id="1763840161">
      <w:bodyDiv w:val="1"/>
      <w:marLeft w:val="0"/>
      <w:marRight w:val="0"/>
      <w:marTop w:val="0"/>
      <w:marBottom w:val="0"/>
      <w:divBdr>
        <w:top w:val="none" w:sz="0" w:space="0" w:color="auto"/>
        <w:left w:val="none" w:sz="0" w:space="0" w:color="auto"/>
        <w:bottom w:val="none" w:sz="0" w:space="0" w:color="auto"/>
        <w:right w:val="none" w:sz="0" w:space="0" w:color="auto"/>
      </w:divBdr>
    </w:div>
    <w:div w:id="1778721170">
      <w:bodyDiv w:val="1"/>
      <w:marLeft w:val="0"/>
      <w:marRight w:val="0"/>
      <w:marTop w:val="0"/>
      <w:marBottom w:val="0"/>
      <w:divBdr>
        <w:top w:val="none" w:sz="0" w:space="0" w:color="auto"/>
        <w:left w:val="none" w:sz="0" w:space="0" w:color="auto"/>
        <w:bottom w:val="none" w:sz="0" w:space="0" w:color="auto"/>
        <w:right w:val="none" w:sz="0" w:space="0" w:color="auto"/>
      </w:divBdr>
    </w:div>
    <w:div w:id="1909803961">
      <w:bodyDiv w:val="1"/>
      <w:marLeft w:val="0"/>
      <w:marRight w:val="0"/>
      <w:marTop w:val="0"/>
      <w:marBottom w:val="0"/>
      <w:divBdr>
        <w:top w:val="none" w:sz="0" w:space="0" w:color="auto"/>
        <w:left w:val="none" w:sz="0" w:space="0" w:color="auto"/>
        <w:bottom w:val="none" w:sz="0" w:space="0" w:color="auto"/>
        <w:right w:val="none" w:sz="0" w:space="0" w:color="auto"/>
      </w:divBdr>
    </w:div>
    <w:div w:id="191289097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66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9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Did not use draft Kerstin started on 1/2/19.
2/13/19: Updated again after postage and multiplier discussions
SS Base File: I-191-SS DHS PRA 20180904
ICR Ref: 201808-1615-001 (I-191-005)
3/8/19: Fee confirmed and updated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E354C-76A2-4BD3-8AC9-5EED1B47FD9A}">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1113BA5C-F973-479C-AB6D-252DFEB2EDFF}">
  <ds:schemaRefs>
    <ds:schemaRef ds:uri="http://schemas.microsoft.com/sharepoint/v3/contenttype/forms"/>
  </ds:schemaRefs>
</ds:datastoreItem>
</file>

<file path=customXml/itemProps3.xml><?xml version="1.0" encoding="utf-8"?>
<ds:datastoreItem xmlns:ds="http://schemas.openxmlformats.org/officeDocument/2006/customXml" ds:itemID="{619F2512-C4EC-422F-9F67-B9842F5F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17541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2019-11-27T20:23:00Z</dcterms:created>
  <dcterms:modified xsi:type="dcterms:W3CDTF">2019-11-27T20:23:00Z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