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56" w:rsidRDefault="005E0656" w:rsidP="005E0656">
      <w:pPr>
        <w:rPr>
          <w:b/>
          <w:bCs/>
          <w:color w:val="FF0000"/>
        </w:rPr>
      </w:pPr>
      <w:bookmarkStart w:id="0" w:name="_GoBack"/>
      <w:bookmarkEnd w:id="0"/>
      <w:r>
        <w:rPr>
          <w:b/>
          <w:bCs/>
          <w:color w:val="FF0000"/>
        </w:rPr>
        <w:t xml:space="preserve">INA: ACT 336 - HEARINGS ON DENIALS OF APPLICATIONS FOR NATURALIZATION </w:t>
      </w:r>
    </w:p>
    <w:p w:rsidR="005E0656" w:rsidRDefault="005E0656" w:rsidP="005E0656">
      <w:pPr>
        <w:rPr>
          <w:rFonts w:ascii="Arial" w:hAnsi="Arial" w:cs="Arial"/>
          <w:sz w:val="22"/>
          <w:szCs w:val="22"/>
        </w:rPr>
      </w:pPr>
    </w:p>
    <w:p w:rsidR="005E0656" w:rsidRDefault="005E0656" w:rsidP="005E0656">
      <w:pPr>
        <w:rPr>
          <w:rFonts w:ascii="Arial" w:hAnsi="Arial" w:cs="Arial"/>
          <w:sz w:val="22"/>
          <w:szCs w:val="22"/>
        </w:rPr>
      </w:pPr>
      <w:r>
        <w:rPr>
          <w:rFonts w:ascii="Arial" w:hAnsi="Arial" w:cs="Arial"/>
          <w:sz w:val="22"/>
          <w:szCs w:val="22"/>
        </w:rPr>
        <w:br/>
        <w:t xml:space="preserve">Sec. 336. [8 U.S.C. 1447] </w:t>
      </w:r>
    </w:p>
    <w:p w:rsidR="005E0656" w:rsidRDefault="005E0656" w:rsidP="005E0656">
      <w:pPr>
        <w:rPr>
          <w:rFonts w:ascii="Arial" w:hAnsi="Arial" w:cs="Arial"/>
          <w:sz w:val="22"/>
          <w:szCs w:val="22"/>
        </w:rPr>
      </w:pPr>
      <w:r>
        <w:rPr>
          <w:rFonts w:ascii="Arial" w:hAnsi="Arial" w:cs="Arial"/>
          <w:sz w:val="22"/>
          <w:szCs w:val="22"/>
        </w:rPr>
        <w:br/>
      </w:r>
      <w:bookmarkStart w:id="1" w:name="0-0-0-7623"/>
      <w:bookmarkEnd w:id="1"/>
      <w:r>
        <w:rPr>
          <w:rFonts w:ascii="Arial" w:hAnsi="Arial" w:cs="Arial"/>
          <w:sz w:val="22"/>
          <w:szCs w:val="22"/>
        </w:rPr>
        <w:t xml:space="preserve">(a) If, after an examination under section </w:t>
      </w:r>
      <w:hyperlink r:id="rId5" w:anchor="0-0-0-445" w:history="1">
        <w:r>
          <w:rPr>
            <w:rStyle w:val="Hyperlink"/>
            <w:rFonts w:ascii="Arial" w:hAnsi="Arial" w:cs="Arial"/>
            <w:b/>
            <w:bCs/>
            <w:color w:val="008000"/>
            <w:sz w:val="22"/>
            <w:szCs w:val="22"/>
          </w:rPr>
          <w:t xml:space="preserve">335 </w:t>
        </w:r>
      </w:hyperlink>
      <w:r>
        <w:rPr>
          <w:rFonts w:ascii="Arial" w:hAnsi="Arial" w:cs="Arial"/>
          <w:sz w:val="22"/>
          <w:szCs w:val="22"/>
        </w:rPr>
        <w:t xml:space="preserve">, an application for naturalization is denied, the applicant may request a hearing before an immigration officer. </w:t>
      </w:r>
    </w:p>
    <w:p w:rsidR="005E0656" w:rsidRDefault="005E0656" w:rsidP="005E0656">
      <w:pPr>
        <w:rPr>
          <w:rFonts w:ascii="Arial" w:hAnsi="Arial" w:cs="Arial"/>
          <w:sz w:val="22"/>
          <w:szCs w:val="22"/>
        </w:rPr>
      </w:pPr>
      <w:r>
        <w:rPr>
          <w:rFonts w:ascii="Arial" w:hAnsi="Arial" w:cs="Arial"/>
          <w:sz w:val="22"/>
          <w:szCs w:val="22"/>
        </w:rPr>
        <w:br/>
      </w:r>
      <w:bookmarkStart w:id="2" w:name="0-0-0-7987"/>
      <w:bookmarkEnd w:id="2"/>
      <w:r>
        <w:rPr>
          <w:rFonts w:ascii="Arial" w:hAnsi="Arial" w:cs="Arial"/>
          <w:sz w:val="22"/>
          <w:szCs w:val="22"/>
        </w:rPr>
        <w:t xml:space="preserve">(b) If there is a failure to make a determination under section 335 before the end of the 120-day period after the date on which the examination is conducted under such section, the applicant may apply to the </w:t>
      </w:r>
      <w:smartTag w:uri="urn:schemas-microsoft-com:office:smarttags" w:element="country-region">
        <w:smartTag w:uri="urn:schemas-microsoft-com:office:smarttags" w:element="place">
          <w:r>
            <w:rPr>
              <w:rFonts w:ascii="Arial" w:hAnsi="Arial" w:cs="Arial"/>
              <w:sz w:val="22"/>
              <w:szCs w:val="22"/>
            </w:rPr>
            <w:t>United States</w:t>
          </w:r>
        </w:smartTag>
      </w:smartTag>
      <w:r>
        <w:rPr>
          <w:rFonts w:ascii="Arial" w:hAnsi="Arial" w:cs="Arial"/>
          <w:sz w:val="22"/>
          <w:szCs w:val="22"/>
        </w:rPr>
        <w:t xml:space="preserve"> district court for the district in which the applicant resides for a hearing on the matter. Such court has jurisdiction over the matter and may either determine the matter or remand the matter, with appropriate instructions, to the Service to determine the matter. </w:t>
      </w:r>
    </w:p>
    <w:p w:rsidR="005E0656" w:rsidRDefault="005E0656" w:rsidP="005E0656">
      <w:pPr>
        <w:rPr>
          <w:rFonts w:ascii="Arial" w:hAnsi="Arial" w:cs="Arial"/>
          <w:sz w:val="22"/>
          <w:szCs w:val="22"/>
        </w:rPr>
      </w:pPr>
      <w:r>
        <w:rPr>
          <w:rFonts w:ascii="Arial" w:hAnsi="Arial" w:cs="Arial"/>
          <w:sz w:val="22"/>
          <w:szCs w:val="22"/>
        </w:rPr>
        <w:br/>
      </w:r>
      <w:bookmarkStart w:id="3" w:name="0-0-0-7989"/>
      <w:bookmarkEnd w:id="3"/>
      <w:r>
        <w:rPr>
          <w:rFonts w:ascii="Arial" w:hAnsi="Arial" w:cs="Arial"/>
          <w:sz w:val="22"/>
          <w:szCs w:val="22"/>
        </w:rPr>
        <w:t xml:space="preserve">(c) The Attorney General shall have the right to appear before any immigration officer in any naturalization proceedings for the purpose of cross-examining the applicant and the witnesses produced in support of the application concerning any matter touching or in any way affecting the applicant's right to admission to citizenship, and shall have the right to call witnesses, including the applicant, produce evidence, and be heard in opposition to, or in favor of, the granting of any application in naturalization proceedings. </w:t>
      </w:r>
    </w:p>
    <w:p w:rsidR="005E0656" w:rsidRDefault="005E0656" w:rsidP="005E0656">
      <w:pPr>
        <w:rPr>
          <w:rFonts w:ascii="Arial" w:hAnsi="Arial" w:cs="Arial"/>
          <w:sz w:val="22"/>
          <w:szCs w:val="22"/>
        </w:rPr>
      </w:pPr>
      <w:r>
        <w:rPr>
          <w:rFonts w:ascii="Arial" w:hAnsi="Arial" w:cs="Arial"/>
          <w:sz w:val="22"/>
          <w:szCs w:val="22"/>
        </w:rPr>
        <w:br/>
      </w:r>
      <w:bookmarkStart w:id="4" w:name="0-0-0-7991"/>
      <w:bookmarkEnd w:id="4"/>
      <w:r>
        <w:rPr>
          <w:rFonts w:ascii="Arial" w:hAnsi="Arial" w:cs="Arial"/>
          <w:sz w:val="22"/>
          <w:szCs w:val="22"/>
        </w:rPr>
        <w:t xml:space="preserve">(d) The immigration officer shall, if the applicant requests it at the time of filing the request for the hearing, issue a subpoena for the witnesses named by such applicant to appear upon the day set for the hearing, but in case such witnesses cannot be produced upon the hearing other witnesses may be summoned upon notice to the Attorney General, in such manner and at such time as the Attorney General may by regulation prescribe. Such subpoenas may be enforced in the same manner as subpoenas under section </w:t>
      </w:r>
      <w:hyperlink r:id="rId6" w:anchor="0-0-0-7977" w:history="1">
        <w:r>
          <w:rPr>
            <w:rStyle w:val="Hyperlink"/>
            <w:rFonts w:ascii="Arial" w:hAnsi="Arial" w:cs="Arial"/>
            <w:b/>
            <w:bCs/>
            <w:color w:val="008000"/>
            <w:sz w:val="22"/>
            <w:szCs w:val="22"/>
          </w:rPr>
          <w:t xml:space="preserve">335(b) </w:t>
        </w:r>
      </w:hyperlink>
      <w:r>
        <w:rPr>
          <w:rFonts w:ascii="Arial" w:hAnsi="Arial" w:cs="Arial"/>
          <w:sz w:val="22"/>
          <w:szCs w:val="22"/>
        </w:rPr>
        <w:t xml:space="preserve">may be enforced. </w:t>
      </w:r>
    </w:p>
    <w:p w:rsidR="005E0656" w:rsidRDefault="005E0656" w:rsidP="005E0656">
      <w:pPr>
        <w:rPr>
          <w:rFonts w:ascii="Arial" w:hAnsi="Arial" w:cs="Arial"/>
          <w:sz w:val="22"/>
          <w:szCs w:val="22"/>
        </w:rPr>
      </w:pPr>
      <w:r>
        <w:rPr>
          <w:rFonts w:ascii="Arial" w:hAnsi="Arial" w:cs="Arial"/>
          <w:sz w:val="22"/>
          <w:szCs w:val="22"/>
        </w:rPr>
        <w:br/>
      </w:r>
      <w:bookmarkStart w:id="5" w:name="0-0-0-7993"/>
      <w:bookmarkEnd w:id="5"/>
      <w:r>
        <w:rPr>
          <w:rFonts w:ascii="Arial" w:hAnsi="Arial" w:cs="Arial"/>
          <w:sz w:val="22"/>
          <w:szCs w:val="22"/>
        </w:rPr>
        <w:t xml:space="preserve">(e) It shall be lawful at the time and as a part of the administration by a court of the oath of allegiance under section </w:t>
      </w:r>
      <w:hyperlink r:id="rId7" w:anchor="0-0-0-7583" w:history="1">
        <w:r>
          <w:rPr>
            <w:rStyle w:val="Hyperlink"/>
            <w:rFonts w:ascii="Arial" w:hAnsi="Arial" w:cs="Arial"/>
            <w:b/>
            <w:bCs/>
            <w:color w:val="008000"/>
            <w:sz w:val="22"/>
            <w:szCs w:val="22"/>
          </w:rPr>
          <w:t xml:space="preserve">337(a) </w:t>
        </w:r>
      </w:hyperlink>
      <w:r>
        <w:rPr>
          <w:rFonts w:ascii="Arial" w:hAnsi="Arial" w:cs="Arial"/>
          <w:sz w:val="22"/>
          <w:szCs w:val="22"/>
        </w:rPr>
        <w:t xml:space="preserve">for the court, in its discretion, upon the bona fide prayer of the applicant included in an appropriate petition to the court, to make a decree changing the name of said person, and the certificate of naturalization shall be issued in accordance therewith. </w:t>
      </w:r>
    </w:p>
    <w:p w:rsidR="003A6761" w:rsidRPr="005E0656" w:rsidRDefault="003A6761" w:rsidP="005E0656"/>
    <w:sectPr w:rsidR="003A6761" w:rsidRPr="005E06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02"/>
    <w:rsid w:val="000B3536"/>
    <w:rsid w:val="001F1B02"/>
    <w:rsid w:val="003A6761"/>
    <w:rsid w:val="005E0656"/>
    <w:rsid w:val="008B485C"/>
    <w:rsid w:val="00A52A91"/>
    <w:rsid w:val="00CD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3366"/>
      <w:u w:val="single"/>
    </w:rPr>
  </w:style>
  <w:style w:type="paragraph" w:customStyle="1" w:styleId="le-slb-heading2">
    <w:name w:val="le-slb-heading2"/>
    <w:basedOn w:val="Normal"/>
    <w:pPr>
      <w:spacing w:before="15" w:after="15"/>
    </w:pPr>
    <w:rPr>
      <w:rFonts w:ascii="Arial Unicode MS" w:eastAsia="Arial Unicode MS" w:hAnsi="Arial Unicode MS" w:cs="Arial Unicode MS"/>
      <w:b/>
      <w:bCs/>
      <w:color w:val="FF0000"/>
      <w:sz w:val="24"/>
    </w:rPr>
  </w:style>
  <w:style w:type="paragraph" w:customStyle="1" w:styleId="le-slb-normal-32-level">
    <w:name w:val="le-slb-normal-32-level"/>
    <w:basedOn w:val="Normal"/>
    <w:pPr>
      <w:spacing w:before="15" w:after="15"/>
      <w:jc w:val="both"/>
    </w:pPr>
    <w:rPr>
      <w:rFonts w:ascii="Arial" w:eastAsia="Arial Unicode MS" w:hAnsi="Arial" w:cs="Arial"/>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3366"/>
      <w:u w:val="single"/>
    </w:rPr>
  </w:style>
  <w:style w:type="paragraph" w:customStyle="1" w:styleId="le-slb-heading2">
    <w:name w:val="le-slb-heading2"/>
    <w:basedOn w:val="Normal"/>
    <w:pPr>
      <w:spacing w:before="15" w:after="15"/>
    </w:pPr>
    <w:rPr>
      <w:rFonts w:ascii="Arial Unicode MS" w:eastAsia="Arial Unicode MS" w:hAnsi="Arial Unicode MS" w:cs="Arial Unicode MS"/>
      <w:b/>
      <w:bCs/>
      <w:color w:val="FF0000"/>
      <w:sz w:val="24"/>
    </w:rPr>
  </w:style>
  <w:style w:type="paragraph" w:customStyle="1" w:styleId="le-slb-normal-32-level">
    <w:name w:val="le-slb-normal-32-level"/>
    <w:basedOn w:val="Normal"/>
    <w:pPr>
      <w:spacing w:before="15" w:after="15"/>
      <w:jc w:val="both"/>
    </w:pPr>
    <w:rPr>
      <w:rFonts w:ascii="Arial" w:eastAsia="Arial Unicode MS"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43387">
      <w:bodyDiv w:val="1"/>
      <w:marLeft w:val="360"/>
      <w:marRight w:val="360"/>
      <w:marTop w:val="0"/>
      <w:marBottom w:val="0"/>
      <w:divBdr>
        <w:top w:val="none" w:sz="0" w:space="0" w:color="auto"/>
        <w:left w:val="none" w:sz="0" w:space="0" w:color="auto"/>
        <w:bottom w:val="none" w:sz="0" w:space="0" w:color="auto"/>
        <w:right w:val="none" w:sz="0" w:space="0" w:color="auto"/>
      </w:divBdr>
      <w:divsChild>
        <w:div w:id="411585631">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hsconnect.dhs.gov/uscis/workingresources/Source/docView/SLB/HTML/SLB/0-0-0-1/0-0-0-28/0-0-0-1030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hsconnect.dhs.gov/uscis/workingresources/Source/docView/SLB/HTML/SLB/0-0-0-1/0-0-0-28/0-0-0-10287.html" TargetMode="External"/><Relationship Id="rId5" Type="http://schemas.openxmlformats.org/officeDocument/2006/relationships/hyperlink" Target="http://dhsconnect.dhs.gov/uscis/workingresources/Source/docView/SLB/HTML/SLB/0-0-0-1/0-0-0-28/0-0-0-1028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INA: ACT 336 - HEARINGS ON DENIALS OF APPLICATIONS FOR NATURALIZATION</vt:lpstr>
    </vt:vector>
  </TitlesOfParts>
  <Company>DOJ</Company>
  <LinksUpToDate>false</LinksUpToDate>
  <CharactersWithSpaces>2635</CharactersWithSpaces>
  <SharedDoc>false</SharedDoc>
  <HLinks>
    <vt:vector size="18" baseType="variant">
      <vt:variant>
        <vt:i4>131097</vt:i4>
      </vt:variant>
      <vt:variant>
        <vt:i4>6</vt:i4>
      </vt:variant>
      <vt:variant>
        <vt:i4>0</vt:i4>
      </vt:variant>
      <vt:variant>
        <vt:i4>5</vt:i4>
      </vt:variant>
      <vt:variant>
        <vt:lpwstr>http://dhsconnect.dhs.gov/uscis/workingresources/Source/docView/SLB/HTML/SLB/0-0-0-1/0-0-0-28/0-0-0-10308.html</vt:lpwstr>
      </vt:variant>
      <vt:variant>
        <vt:lpwstr>0-0-0-7583</vt:lpwstr>
      </vt:variant>
      <vt:variant>
        <vt:i4>131096</vt:i4>
      </vt:variant>
      <vt:variant>
        <vt:i4>3</vt:i4>
      </vt:variant>
      <vt:variant>
        <vt:i4>0</vt:i4>
      </vt:variant>
      <vt:variant>
        <vt:i4>5</vt:i4>
      </vt:variant>
      <vt:variant>
        <vt:lpwstr>http://dhsconnect.dhs.gov/uscis/workingresources/Source/docView/SLB/HTML/SLB/0-0-0-1/0-0-0-28/0-0-0-10287.html</vt:lpwstr>
      </vt:variant>
      <vt:variant>
        <vt:lpwstr>0-0-0-7977</vt:lpwstr>
      </vt:variant>
      <vt:variant>
        <vt:i4>3670060</vt:i4>
      </vt:variant>
      <vt:variant>
        <vt:i4>0</vt:i4>
      </vt:variant>
      <vt:variant>
        <vt:i4>0</vt:i4>
      </vt:variant>
      <vt:variant>
        <vt:i4>5</vt:i4>
      </vt:variant>
      <vt:variant>
        <vt:lpwstr>http://dhsconnect.dhs.gov/uscis/workingresources/Source/docView/SLB/HTML/SLB/0-0-0-1/0-0-0-28/0-0-0-10287.html</vt:lpwstr>
      </vt:variant>
      <vt:variant>
        <vt:lpwstr>0-0-0-445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ACT 336 - HEARINGS ON DENIALS OF APPLICATIONS FOR NATURALIZATION</dc:title>
  <dc:subject/>
  <dc:creator>user_template</dc:creator>
  <cp:keywords/>
  <cp:lastModifiedBy>SYSTEM</cp:lastModifiedBy>
  <cp:revision>2</cp:revision>
  <dcterms:created xsi:type="dcterms:W3CDTF">2019-04-19T19:22:00Z</dcterms:created>
  <dcterms:modified xsi:type="dcterms:W3CDTF">2019-04-19T19:22:00Z</dcterms:modified>
</cp:coreProperties>
</file>