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20083" w14:textId="77777777" w:rsidR="00EB5E96" w:rsidRPr="00596A43" w:rsidRDefault="00EB5E96" w:rsidP="000C4293">
      <w:pPr>
        <w:pStyle w:val="Title"/>
        <w:jc w:val="both"/>
        <w:rPr>
          <w:sz w:val="24"/>
          <w:szCs w:val="24"/>
        </w:rPr>
      </w:pPr>
      <w:bookmarkStart w:id="0" w:name="_GoBack"/>
      <w:bookmarkEnd w:id="0"/>
    </w:p>
    <w:p w14:paraId="6C7A4C12" w14:textId="77777777" w:rsidR="00EB5E96" w:rsidRPr="00EE22A5" w:rsidRDefault="00EB5E96" w:rsidP="006A0B1C">
      <w:pPr>
        <w:pStyle w:val="Title"/>
        <w:rPr>
          <w:sz w:val="24"/>
          <w:szCs w:val="24"/>
        </w:rPr>
      </w:pPr>
      <w:r w:rsidRPr="00EE22A5">
        <w:rPr>
          <w:sz w:val="24"/>
          <w:szCs w:val="24"/>
        </w:rPr>
        <w:t>Supporting Statement for Paperwork Reduction Act Submissions</w:t>
      </w:r>
    </w:p>
    <w:p w14:paraId="2AC54E5E" w14:textId="77777777" w:rsidR="00EB5E96" w:rsidRPr="00EE22A5" w:rsidRDefault="00EB5E96" w:rsidP="000C4293">
      <w:pPr>
        <w:tabs>
          <w:tab w:val="left" w:pos="-720"/>
        </w:tabs>
        <w:suppressAutoHyphens/>
        <w:ind w:right="-720"/>
        <w:jc w:val="both"/>
        <w:rPr>
          <w:b/>
        </w:rPr>
      </w:pPr>
    </w:p>
    <w:p w14:paraId="6E5C417D" w14:textId="78A52079" w:rsidR="00EB5E96" w:rsidRPr="00EE22A5" w:rsidRDefault="00EB5E96" w:rsidP="00D73BBC">
      <w:pPr>
        <w:tabs>
          <w:tab w:val="left" w:pos="-720"/>
        </w:tabs>
        <w:suppressAutoHyphens/>
        <w:jc w:val="center"/>
        <w:rPr>
          <w:b/>
        </w:rPr>
      </w:pPr>
      <w:r w:rsidRPr="00EE22A5">
        <w:rPr>
          <w:b/>
        </w:rPr>
        <w:t>Title:</w:t>
      </w:r>
      <w:r w:rsidR="006E274B" w:rsidRPr="00EE22A5">
        <w:t xml:space="preserve"> </w:t>
      </w:r>
      <w:r w:rsidR="00684F40">
        <w:rPr>
          <w:b/>
        </w:rPr>
        <w:t>CISA</w:t>
      </w:r>
      <w:r w:rsidR="006E274B" w:rsidRPr="00EE22A5">
        <w:rPr>
          <w:b/>
        </w:rPr>
        <w:t xml:space="preserve"> </w:t>
      </w:r>
      <w:r w:rsidR="00DA3532">
        <w:rPr>
          <w:b/>
        </w:rPr>
        <w:t>Vulnerability Assessments</w:t>
      </w:r>
    </w:p>
    <w:p w14:paraId="64495457" w14:textId="77777777" w:rsidR="00EB5E96" w:rsidRPr="00EE22A5" w:rsidRDefault="00EB5E96" w:rsidP="00D73BBC">
      <w:pPr>
        <w:tabs>
          <w:tab w:val="left" w:pos="-720"/>
        </w:tabs>
        <w:suppressAutoHyphens/>
        <w:jc w:val="center"/>
        <w:rPr>
          <w:b/>
        </w:rPr>
      </w:pPr>
    </w:p>
    <w:p w14:paraId="6C35783A" w14:textId="43451229" w:rsidR="00EB5E96" w:rsidRPr="00EE22A5" w:rsidRDefault="00EB5E96" w:rsidP="00D73BBC">
      <w:pPr>
        <w:tabs>
          <w:tab w:val="left" w:pos="-720"/>
        </w:tabs>
        <w:suppressAutoHyphens/>
        <w:jc w:val="center"/>
        <w:rPr>
          <w:b/>
        </w:rPr>
      </w:pPr>
      <w:r w:rsidRPr="00EE22A5">
        <w:rPr>
          <w:b/>
        </w:rPr>
        <w:t xml:space="preserve">OMB Control Number:  </w:t>
      </w:r>
      <w:r w:rsidR="000A6FC5" w:rsidRPr="00EE22A5">
        <w:rPr>
          <w:b/>
        </w:rPr>
        <w:t>1670-</w:t>
      </w:r>
      <w:r w:rsidR="00EB1CD7">
        <w:rPr>
          <w:b/>
        </w:rPr>
        <w:t>0035</w:t>
      </w:r>
    </w:p>
    <w:p w14:paraId="5A52351E" w14:textId="77777777" w:rsidR="00EB5E96" w:rsidRPr="00EE22A5" w:rsidRDefault="00EB5E96" w:rsidP="00D73BBC">
      <w:pPr>
        <w:tabs>
          <w:tab w:val="left" w:pos="-720"/>
        </w:tabs>
        <w:suppressAutoHyphens/>
        <w:jc w:val="center"/>
      </w:pPr>
    </w:p>
    <w:p w14:paraId="1ECC970B" w14:textId="77777777" w:rsidR="009F06EB" w:rsidRPr="00EE22A5" w:rsidRDefault="009F06EB" w:rsidP="00D73BBC">
      <w:pPr>
        <w:tabs>
          <w:tab w:val="left" w:pos="-720"/>
        </w:tabs>
        <w:suppressAutoHyphens/>
        <w:jc w:val="center"/>
        <w:rPr>
          <w:b/>
        </w:rPr>
      </w:pPr>
      <w:r w:rsidRPr="00EE22A5">
        <w:rPr>
          <w:b/>
        </w:rPr>
        <w:t>Supporting Statement A</w:t>
      </w:r>
    </w:p>
    <w:p w14:paraId="29CB3DFD" w14:textId="77777777" w:rsidR="009F06EB" w:rsidRPr="00EE22A5" w:rsidRDefault="009F06EB" w:rsidP="000C4293">
      <w:pPr>
        <w:tabs>
          <w:tab w:val="left" w:pos="-720"/>
        </w:tabs>
        <w:suppressAutoHyphens/>
        <w:jc w:val="both"/>
      </w:pPr>
    </w:p>
    <w:p w14:paraId="7515E734" w14:textId="77777777" w:rsidR="00EB5E96" w:rsidRPr="00EE22A5" w:rsidRDefault="00EB5E96" w:rsidP="000C4293">
      <w:pPr>
        <w:pStyle w:val="Heading1"/>
        <w:jc w:val="both"/>
        <w:rPr>
          <w:sz w:val="24"/>
          <w:szCs w:val="24"/>
        </w:rPr>
      </w:pPr>
      <w:r w:rsidRPr="00EE22A5">
        <w:rPr>
          <w:sz w:val="24"/>
          <w:szCs w:val="24"/>
        </w:rPr>
        <w:t>A.  Justification</w:t>
      </w:r>
    </w:p>
    <w:p w14:paraId="64539CFD" w14:textId="77777777" w:rsidR="00EB5E96" w:rsidRPr="00EE22A5" w:rsidRDefault="00EB5E96" w:rsidP="000C4293">
      <w:pPr>
        <w:tabs>
          <w:tab w:val="left" w:pos="-720"/>
        </w:tabs>
        <w:suppressAutoHyphens/>
        <w:jc w:val="both"/>
      </w:pPr>
    </w:p>
    <w:p w14:paraId="76BA93B6"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EC1AC58" w14:textId="77777777" w:rsidR="000E7B5C" w:rsidRPr="00EE22A5" w:rsidRDefault="000E7B5C" w:rsidP="000C4293">
      <w:pPr>
        <w:tabs>
          <w:tab w:val="left" w:pos="-720"/>
        </w:tabs>
        <w:suppressAutoHyphens/>
        <w:jc w:val="both"/>
      </w:pPr>
    </w:p>
    <w:p w14:paraId="16FD964B" w14:textId="0DBEA507" w:rsidR="009A2AE7" w:rsidRPr="00EE22A5" w:rsidRDefault="009A2AE7" w:rsidP="00CC42DA">
      <w:pPr>
        <w:tabs>
          <w:tab w:val="left" w:pos="-720"/>
        </w:tabs>
        <w:suppressAutoHyphens/>
        <w:spacing w:before="120" w:after="120"/>
        <w:jc w:val="both"/>
        <w:rPr>
          <w:spacing w:val="-3"/>
        </w:rPr>
      </w:pPr>
      <w:r w:rsidRPr="00EE22A5">
        <w:rPr>
          <w:spacing w:val="-3"/>
        </w:rPr>
        <w:t xml:space="preserve">The Presidential Policy Directive-21 (PPD-21) (2013) and the National Infrastructure Protection Plan (NIPP) (2013) highlight the need for a centrally managed repository of infrastructure attributes capable of assessing risks and facilitating data sharing.  To support this mission need, the Department of Homeland Security’s (DHS) </w:t>
      </w:r>
      <w:r w:rsidR="009C2E3C" w:rsidRPr="00327A24">
        <w:rPr>
          <w:spacing w:val="-3"/>
        </w:rPr>
        <w:t>Cybersecurity and Infrastructure Security Agency (CISA)</w:t>
      </w:r>
      <w:r w:rsidR="00EB1CD7">
        <w:rPr>
          <w:spacing w:val="-3"/>
        </w:rPr>
        <w:t xml:space="preserve"> </w:t>
      </w:r>
      <w:r w:rsidR="00383FA5">
        <w:rPr>
          <w:spacing w:val="-3"/>
        </w:rPr>
        <w:t>has</w:t>
      </w:r>
      <w:r w:rsidR="00383FA5" w:rsidRPr="00EE22A5">
        <w:rPr>
          <w:spacing w:val="-3"/>
        </w:rPr>
        <w:t xml:space="preserve"> </w:t>
      </w:r>
      <w:r w:rsidRPr="00EE22A5">
        <w:rPr>
          <w:spacing w:val="-3"/>
        </w:rPr>
        <w:t>develop</w:t>
      </w:r>
      <w:r w:rsidR="00383FA5">
        <w:rPr>
          <w:spacing w:val="-3"/>
        </w:rPr>
        <w:t>ed</w:t>
      </w:r>
      <w:r w:rsidRPr="00EE22A5">
        <w:rPr>
          <w:spacing w:val="-3"/>
        </w:rPr>
        <w:t xml:space="preserve"> </w:t>
      </w:r>
      <w:r w:rsidR="00684F40">
        <w:rPr>
          <w:spacing w:val="-3"/>
        </w:rPr>
        <w:t>a</w:t>
      </w:r>
      <w:r w:rsidRPr="00EE22A5">
        <w:rPr>
          <w:spacing w:val="-3"/>
        </w:rPr>
        <w:t xml:space="preserve"> </w:t>
      </w:r>
      <w:r w:rsidR="00684F40">
        <w:rPr>
          <w:spacing w:val="-3"/>
        </w:rPr>
        <w:t xml:space="preserve">data collection system that </w:t>
      </w:r>
      <w:r w:rsidRPr="00EE22A5">
        <w:rPr>
          <w:spacing w:val="-3"/>
        </w:rPr>
        <w:t xml:space="preserve">contains several capabilities which support the homeland security mission in the area of critical infrastructure (CI) protection. </w:t>
      </w:r>
    </w:p>
    <w:p w14:paraId="197B8B7F" w14:textId="076A9FBD" w:rsidR="00A30B73" w:rsidRPr="00EE22A5" w:rsidRDefault="00876BDE" w:rsidP="00CC42DA">
      <w:pPr>
        <w:tabs>
          <w:tab w:val="left" w:pos="-720"/>
        </w:tabs>
        <w:suppressAutoHyphens/>
        <w:spacing w:before="120" w:after="120"/>
        <w:jc w:val="both"/>
        <w:rPr>
          <w:spacing w:val="-3"/>
        </w:rPr>
      </w:pPr>
      <w:r w:rsidRPr="00EE22A5">
        <w:rPr>
          <w:spacing w:val="-3"/>
        </w:rPr>
        <w:t xml:space="preserve">Protective Security Advisors (PSAs) and Cyber Security Advisors (CSAs) conduct voluntary </w:t>
      </w:r>
      <w:r w:rsidR="00DA3532">
        <w:rPr>
          <w:spacing w:val="-3"/>
        </w:rPr>
        <w:t xml:space="preserve">assessments </w:t>
      </w:r>
      <w:r w:rsidRPr="00EE22A5">
        <w:rPr>
          <w:spacing w:val="-3"/>
        </w:rPr>
        <w:t xml:space="preserve">on CI facilities.  These </w:t>
      </w:r>
      <w:r w:rsidR="00DA3532">
        <w:rPr>
          <w:spacing w:val="-3"/>
        </w:rPr>
        <w:t>assessments</w:t>
      </w:r>
      <w:r w:rsidRPr="00EE22A5">
        <w:rPr>
          <w:spacing w:val="-3"/>
        </w:rPr>
        <w:t xml:space="preserve"> are </w:t>
      </w:r>
      <w:r w:rsidR="00A30B73" w:rsidRPr="00EE22A5">
        <w:rPr>
          <w:spacing w:val="-3"/>
        </w:rPr>
        <w:t>web-based and are used to collect a</w:t>
      </w:r>
      <w:r w:rsidR="00684F40">
        <w:rPr>
          <w:spacing w:val="-3"/>
        </w:rPr>
        <w:t>n</w:t>
      </w:r>
      <w:r w:rsidR="00A30B73" w:rsidRPr="00EE22A5">
        <w:rPr>
          <w:spacing w:val="-3"/>
        </w:rPr>
        <w:t xml:space="preserve"> </w:t>
      </w:r>
      <w:r w:rsidR="00684F40" w:rsidRPr="00684F40">
        <w:rPr>
          <w:spacing w:val="-3"/>
        </w:rPr>
        <w:t>organization</w:t>
      </w:r>
      <w:r w:rsidR="00A30B73" w:rsidRPr="00684F40">
        <w:rPr>
          <w:spacing w:val="-3"/>
        </w:rPr>
        <w:t>’s basic</w:t>
      </w:r>
      <w:r w:rsidR="00A30B73" w:rsidRPr="00EE22A5">
        <w:rPr>
          <w:spacing w:val="-3"/>
        </w:rPr>
        <w:t xml:space="preserve">, high-level information, and its dependencies.  This data is then used to determine a Protective Measures Index (PMI) and a Resilience Measures Index </w:t>
      </w:r>
      <w:r w:rsidR="00DA3532">
        <w:rPr>
          <w:spacing w:val="-3"/>
        </w:rPr>
        <w:t>(RMI) for the assessed</w:t>
      </w:r>
      <w:r w:rsidR="00A30B73" w:rsidRPr="00EE22A5">
        <w:rPr>
          <w:spacing w:val="-3"/>
        </w:rPr>
        <w:t xml:space="preserve"> </w:t>
      </w:r>
      <w:r w:rsidR="00684F40">
        <w:rPr>
          <w:spacing w:val="-3"/>
        </w:rPr>
        <w:t>organization</w:t>
      </w:r>
      <w:r w:rsidR="00A30B73" w:rsidRPr="00EE22A5">
        <w:rPr>
          <w:spacing w:val="-3"/>
        </w:rPr>
        <w:t xml:space="preserve">.  </w:t>
      </w:r>
      <w:r w:rsidR="00BB4C03" w:rsidRPr="00EE22A5">
        <w:rPr>
          <w:spacing w:val="-3"/>
        </w:rPr>
        <w:t>This information allows a</w:t>
      </w:r>
      <w:r w:rsidR="00684F40">
        <w:rPr>
          <w:spacing w:val="-3"/>
        </w:rPr>
        <w:t>n</w:t>
      </w:r>
      <w:r w:rsidR="00BB4C03" w:rsidRPr="00EE22A5">
        <w:rPr>
          <w:spacing w:val="-3"/>
        </w:rPr>
        <w:t xml:space="preserve"> </w:t>
      </w:r>
      <w:r w:rsidR="00684F40">
        <w:rPr>
          <w:spacing w:val="-3"/>
        </w:rPr>
        <w:t>organization</w:t>
      </w:r>
      <w:r w:rsidR="00BB4C03" w:rsidRPr="00EE22A5">
        <w:rPr>
          <w:spacing w:val="-3"/>
        </w:rPr>
        <w:t xml:space="preserve"> to see how it compares to other </w:t>
      </w:r>
      <w:r w:rsidR="00684F40">
        <w:rPr>
          <w:spacing w:val="-3"/>
        </w:rPr>
        <w:t>organizations</w:t>
      </w:r>
      <w:r w:rsidR="00BB4C03" w:rsidRPr="00EE22A5">
        <w:rPr>
          <w:spacing w:val="-3"/>
        </w:rPr>
        <w:t xml:space="preserve"> within the same sector as well as allows them to see how adjusting certain aspects would change their score.  This allows the</w:t>
      </w:r>
      <w:r w:rsidR="00684F40">
        <w:rPr>
          <w:spacing w:val="-3"/>
        </w:rPr>
        <w:t xml:space="preserve"> organization</w:t>
      </w:r>
      <w:r w:rsidR="00BB4C03" w:rsidRPr="00EE22A5">
        <w:rPr>
          <w:spacing w:val="-3"/>
        </w:rPr>
        <w:t xml:space="preserve"> to then determine where best to allocate funding and pe</w:t>
      </w:r>
      <w:r w:rsidR="002B7440">
        <w:rPr>
          <w:spacing w:val="-3"/>
        </w:rPr>
        <w:t>rform other high-level decision-</w:t>
      </w:r>
      <w:r w:rsidR="00BB4C03" w:rsidRPr="00EE22A5">
        <w:rPr>
          <w:spacing w:val="-3"/>
        </w:rPr>
        <w:t xml:space="preserve">making processes pertaining to the security and resiliency of the </w:t>
      </w:r>
      <w:r w:rsidR="00684F40">
        <w:rPr>
          <w:spacing w:val="-3"/>
        </w:rPr>
        <w:t>organization</w:t>
      </w:r>
      <w:r w:rsidR="00BB4C03" w:rsidRPr="00EE22A5">
        <w:rPr>
          <w:spacing w:val="-3"/>
        </w:rPr>
        <w:t>.</w:t>
      </w:r>
    </w:p>
    <w:p w14:paraId="33A34F38" w14:textId="77777777" w:rsidR="00D73BBC" w:rsidRPr="00EE22A5" w:rsidRDefault="00D73BBC" w:rsidP="00CC42DA">
      <w:pPr>
        <w:tabs>
          <w:tab w:val="left" w:pos="-720"/>
        </w:tabs>
        <w:suppressAutoHyphens/>
        <w:spacing w:before="120" w:after="120"/>
        <w:jc w:val="both"/>
        <w:rPr>
          <w:b/>
          <w:spacing w:val="-3"/>
          <w:u w:val="single"/>
        </w:rPr>
      </w:pPr>
    </w:p>
    <w:p w14:paraId="1B22E725"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2.  Indicate how, by whom, and for what purpose the information is to be used.  Except for a new collection, indicate the actual use the agency has made of the information received from the current collection. </w:t>
      </w:r>
    </w:p>
    <w:p w14:paraId="250A3B14" w14:textId="77777777" w:rsidR="00D73BBC" w:rsidRPr="00EE22A5" w:rsidRDefault="00D73BBC" w:rsidP="00D73BBC">
      <w:pPr>
        <w:tabs>
          <w:tab w:val="left" w:pos="-720"/>
        </w:tabs>
        <w:suppressAutoHyphens/>
        <w:jc w:val="both"/>
        <w:rPr>
          <w:i/>
          <w:spacing w:val="-3"/>
        </w:rPr>
      </w:pPr>
    </w:p>
    <w:p w14:paraId="2691B009" w14:textId="481D9654" w:rsidR="0068792F" w:rsidRDefault="00B620A0" w:rsidP="009F5CD3">
      <w:pPr>
        <w:tabs>
          <w:tab w:val="left" w:pos="-720"/>
        </w:tabs>
        <w:suppressAutoHyphens/>
        <w:jc w:val="both"/>
        <w:rPr>
          <w:spacing w:val="-3"/>
        </w:rPr>
      </w:pPr>
      <w:r w:rsidRPr="00EE22A5">
        <w:rPr>
          <w:spacing w:val="-3"/>
        </w:rPr>
        <w:t>The in</w:t>
      </w:r>
      <w:r w:rsidR="00BB4C03" w:rsidRPr="00EE22A5">
        <w:rPr>
          <w:spacing w:val="-3"/>
        </w:rPr>
        <w:t xml:space="preserve">formation will be gathered by site visits, arranged between the </w:t>
      </w:r>
      <w:r w:rsidR="00684F40">
        <w:rPr>
          <w:spacing w:val="-3"/>
        </w:rPr>
        <w:t xml:space="preserve">organization </w:t>
      </w:r>
      <w:r w:rsidR="00BB4C03" w:rsidRPr="00EE22A5">
        <w:rPr>
          <w:spacing w:val="-3"/>
        </w:rPr>
        <w:t>owners and DHS PSAs or CSAs.  The PSA or CSA will then visit</w:t>
      </w:r>
      <w:r w:rsidR="00DA3532">
        <w:rPr>
          <w:spacing w:val="-3"/>
        </w:rPr>
        <w:t xml:space="preserve"> the site and perform the assessment</w:t>
      </w:r>
      <w:r w:rsidR="00BB4C03" w:rsidRPr="00EE22A5">
        <w:rPr>
          <w:spacing w:val="-3"/>
        </w:rPr>
        <w:t xml:space="preserve">, as requested.  They then return to complete the </w:t>
      </w:r>
      <w:r w:rsidR="00DA3532">
        <w:rPr>
          <w:spacing w:val="-3"/>
        </w:rPr>
        <w:t xml:space="preserve">vulnerability assessment </w:t>
      </w:r>
      <w:r w:rsidR="00BB4C03" w:rsidRPr="00EE22A5">
        <w:rPr>
          <w:spacing w:val="-3"/>
        </w:rPr>
        <w:t xml:space="preserve">and input the data into the </w:t>
      </w:r>
      <w:r w:rsidR="00684F40">
        <w:rPr>
          <w:spacing w:val="-3"/>
        </w:rPr>
        <w:t>system</w:t>
      </w:r>
      <w:r w:rsidR="00BB4C03" w:rsidRPr="00EE22A5">
        <w:rPr>
          <w:spacing w:val="-3"/>
        </w:rPr>
        <w:t xml:space="preserve"> w</w:t>
      </w:r>
      <w:r w:rsidR="005A7F1F">
        <w:rPr>
          <w:spacing w:val="-3"/>
        </w:rPr>
        <w:t>h</w:t>
      </w:r>
      <w:r w:rsidR="00BB4C03" w:rsidRPr="00EE22A5">
        <w:rPr>
          <w:spacing w:val="-3"/>
        </w:rPr>
        <w:t xml:space="preserve">ere the data is then accessible to </w:t>
      </w:r>
      <w:r w:rsidR="005A7F1F">
        <w:rPr>
          <w:spacing w:val="-3"/>
        </w:rPr>
        <w:t>system users.</w:t>
      </w:r>
      <w:r w:rsidR="00BB4C03" w:rsidRPr="00EE22A5">
        <w:rPr>
          <w:spacing w:val="-3"/>
        </w:rPr>
        <w:t xml:space="preserve">  Once available, the </w:t>
      </w:r>
      <w:r w:rsidR="005A7F1F">
        <w:rPr>
          <w:spacing w:val="-3"/>
        </w:rPr>
        <w:t>organization</w:t>
      </w:r>
      <w:r w:rsidR="00BB4C03" w:rsidRPr="00EE22A5">
        <w:rPr>
          <w:spacing w:val="-3"/>
        </w:rPr>
        <w:t xml:space="preserve"> and other relevant</w:t>
      </w:r>
      <w:r w:rsidR="005A7F1F">
        <w:rPr>
          <w:spacing w:val="-3"/>
        </w:rPr>
        <w:t xml:space="preserve"> system</w:t>
      </w:r>
      <w:r w:rsidR="00BB4C03" w:rsidRPr="00EE22A5">
        <w:rPr>
          <w:spacing w:val="-3"/>
        </w:rPr>
        <w:t xml:space="preserve"> users can then review the data and use it for planning, risk identification, mitigation and decision making.  All data is captured electronically by the PSA, CSA or by the </w:t>
      </w:r>
      <w:r w:rsidR="005A7F1F">
        <w:rPr>
          <w:spacing w:val="-3"/>
        </w:rPr>
        <w:t>organization</w:t>
      </w:r>
      <w:r w:rsidR="00BB4C03" w:rsidRPr="00EE22A5">
        <w:rPr>
          <w:spacing w:val="-3"/>
        </w:rPr>
        <w:t xml:space="preserve"> as a self-assessment.  </w:t>
      </w:r>
      <w:r w:rsidR="00A4616B">
        <w:rPr>
          <w:spacing w:val="-3"/>
        </w:rPr>
        <w:t xml:space="preserve">  </w:t>
      </w:r>
      <w:r w:rsidR="00A4616B" w:rsidRPr="002B7440">
        <w:rPr>
          <w:spacing w:val="-3"/>
        </w:rPr>
        <w:t xml:space="preserve">Participation in the vulnerability assessments is voluntary, but full completion of the assessment data collection is required </w:t>
      </w:r>
      <w:r w:rsidR="00F01057">
        <w:rPr>
          <w:spacing w:val="-3"/>
        </w:rPr>
        <w:t>for the organization</w:t>
      </w:r>
      <w:r w:rsidR="00A4616B" w:rsidRPr="002B7440">
        <w:rPr>
          <w:spacing w:val="-3"/>
        </w:rPr>
        <w:t xml:space="preserve"> to receive a complete evaluation of their security posture.</w:t>
      </w:r>
    </w:p>
    <w:p w14:paraId="4CD660F8" w14:textId="77777777" w:rsidR="0068792F" w:rsidRDefault="0068792F" w:rsidP="00D73BBC">
      <w:pPr>
        <w:tabs>
          <w:tab w:val="left" w:pos="-720"/>
        </w:tabs>
        <w:suppressAutoHyphens/>
        <w:jc w:val="both"/>
        <w:rPr>
          <w:spacing w:val="-3"/>
        </w:rPr>
      </w:pPr>
    </w:p>
    <w:p w14:paraId="1489306E" w14:textId="47F8CBB4" w:rsidR="00D73BBC" w:rsidRPr="00EE22A5" w:rsidRDefault="00DB5764" w:rsidP="00D73BBC">
      <w:pPr>
        <w:tabs>
          <w:tab w:val="left" w:pos="-720"/>
        </w:tabs>
        <w:suppressAutoHyphens/>
        <w:jc w:val="both"/>
        <w:rPr>
          <w:spacing w:val="-3"/>
        </w:rPr>
      </w:pPr>
      <w:r w:rsidRPr="00EE22A5">
        <w:rPr>
          <w:spacing w:val="-3"/>
        </w:rPr>
        <w:t>Below is a list of identified</w:t>
      </w:r>
      <w:r w:rsidR="005A7F1F">
        <w:rPr>
          <w:spacing w:val="-3"/>
        </w:rPr>
        <w:t xml:space="preserve"> system</w:t>
      </w:r>
      <w:r w:rsidRPr="00EE22A5">
        <w:rPr>
          <w:spacing w:val="-3"/>
        </w:rPr>
        <w:t xml:space="preserve"> </w:t>
      </w:r>
      <w:r w:rsidR="005A7F1F">
        <w:rPr>
          <w:spacing w:val="-3"/>
        </w:rPr>
        <w:t xml:space="preserve">users and </w:t>
      </w:r>
      <w:r w:rsidRPr="00EE22A5">
        <w:rPr>
          <w:spacing w:val="-3"/>
        </w:rPr>
        <w:t>stakeholders.</w:t>
      </w:r>
    </w:p>
    <w:p w14:paraId="6E13AE58" w14:textId="77777777" w:rsidR="00DB5764" w:rsidRPr="00EE22A5" w:rsidRDefault="00DB5764" w:rsidP="00D73BBC">
      <w:pPr>
        <w:tabs>
          <w:tab w:val="left" w:pos="-720"/>
        </w:tabs>
        <w:suppressAutoHyphens/>
        <w:jc w:val="both"/>
        <w:rPr>
          <w:spacing w:val="-3"/>
        </w:rPr>
      </w:pPr>
    </w:p>
    <w:p w14:paraId="041463A1" w14:textId="77777777" w:rsidR="00DB5764" w:rsidRPr="00EE22A5" w:rsidRDefault="00DB5764" w:rsidP="00DB5764">
      <w:pPr>
        <w:numPr>
          <w:ilvl w:val="0"/>
          <w:numId w:val="26"/>
        </w:numPr>
        <w:tabs>
          <w:tab w:val="left" w:pos="-720"/>
        </w:tabs>
        <w:suppressAutoHyphens/>
        <w:jc w:val="both"/>
        <w:rPr>
          <w:spacing w:val="-3"/>
        </w:rPr>
      </w:pPr>
      <w:r w:rsidRPr="00EE22A5">
        <w:rPr>
          <w:spacing w:val="-3"/>
        </w:rPr>
        <w:t>Critical Infrastructure Community</w:t>
      </w:r>
    </w:p>
    <w:p w14:paraId="1D3EBC21" w14:textId="77777777" w:rsidR="00DB5764" w:rsidRPr="00EE22A5" w:rsidRDefault="00DB5764" w:rsidP="00DB5764">
      <w:pPr>
        <w:numPr>
          <w:ilvl w:val="0"/>
          <w:numId w:val="26"/>
        </w:numPr>
        <w:tabs>
          <w:tab w:val="left" w:pos="-720"/>
        </w:tabs>
        <w:suppressAutoHyphens/>
        <w:jc w:val="both"/>
        <w:rPr>
          <w:spacing w:val="-3"/>
        </w:rPr>
      </w:pPr>
      <w:r w:rsidRPr="00EE22A5">
        <w:rPr>
          <w:spacing w:val="-3"/>
        </w:rPr>
        <w:t>Protective Security Advisors (PSAs)</w:t>
      </w:r>
    </w:p>
    <w:p w14:paraId="0AC41103" w14:textId="77777777" w:rsidR="00DB5764" w:rsidRPr="00EE22A5" w:rsidRDefault="00DB5764" w:rsidP="00DB5764">
      <w:pPr>
        <w:numPr>
          <w:ilvl w:val="0"/>
          <w:numId w:val="26"/>
        </w:numPr>
        <w:tabs>
          <w:tab w:val="left" w:pos="-720"/>
        </w:tabs>
        <w:suppressAutoHyphens/>
        <w:jc w:val="both"/>
        <w:rPr>
          <w:spacing w:val="-3"/>
        </w:rPr>
      </w:pPr>
      <w:r w:rsidRPr="00EE22A5">
        <w:rPr>
          <w:spacing w:val="-3"/>
        </w:rPr>
        <w:t>State Fusion Centers</w:t>
      </w:r>
    </w:p>
    <w:p w14:paraId="1ECD5D75" w14:textId="77777777" w:rsidR="00DB5764" w:rsidRPr="00EE22A5" w:rsidRDefault="00DB5764" w:rsidP="00DB5764">
      <w:pPr>
        <w:numPr>
          <w:ilvl w:val="0"/>
          <w:numId w:val="26"/>
        </w:numPr>
        <w:tabs>
          <w:tab w:val="left" w:pos="-720"/>
        </w:tabs>
        <w:suppressAutoHyphens/>
        <w:jc w:val="both"/>
        <w:rPr>
          <w:spacing w:val="-3"/>
        </w:rPr>
      </w:pPr>
      <w:r w:rsidRPr="00EE22A5">
        <w:rPr>
          <w:spacing w:val="-3"/>
        </w:rPr>
        <w:t>The State, Local, Tribal, and Territorial Governing Coordinating Council (SLTTGCC)</w:t>
      </w:r>
    </w:p>
    <w:p w14:paraId="47872247" w14:textId="77777777" w:rsidR="00DB5764" w:rsidRPr="00EE22A5" w:rsidRDefault="00DB5764" w:rsidP="00DB5764">
      <w:pPr>
        <w:numPr>
          <w:ilvl w:val="0"/>
          <w:numId w:val="26"/>
        </w:numPr>
        <w:tabs>
          <w:tab w:val="left" w:pos="-720"/>
        </w:tabs>
        <w:suppressAutoHyphens/>
        <w:jc w:val="both"/>
        <w:rPr>
          <w:spacing w:val="-3"/>
        </w:rPr>
      </w:pPr>
      <w:r w:rsidRPr="00EE22A5">
        <w:rPr>
          <w:spacing w:val="-3"/>
        </w:rPr>
        <w:t>State representatives for critical infrastructure</w:t>
      </w:r>
    </w:p>
    <w:p w14:paraId="263AD04A" w14:textId="77777777" w:rsidR="00DB5764" w:rsidRPr="00EE22A5" w:rsidRDefault="00DB5764" w:rsidP="00DB5764">
      <w:pPr>
        <w:numPr>
          <w:ilvl w:val="0"/>
          <w:numId w:val="26"/>
        </w:numPr>
        <w:tabs>
          <w:tab w:val="left" w:pos="-720"/>
        </w:tabs>
        <w:suppressAutoHyphens/>
        <w:jc w:val="both"/>
        <w:rPr>
          <w:spacing w:val="-3"/>
        </w:rPr>
      </w:pPr>
      <w:r w:rsidRPr="00EE22A5">
        <w:rPr>
          <w:spacing w:val="-3"/>
        </w:rPr>
        <w:t>Facility owner/operators</w:t>
      </w:r>
    </w:p>
    <w:p w14:paraId="39558033" w14:textId="77777777" w:rsidR="00DB5764" w:rsidRPr="00EE22A5" w:rsidRDefault="00DB5764" w:rsidP="00DB5764">
      <w:pPr>
        <w:numPr>
          <w:ilvl w:val="0"/>
          <w:numId w:val="26"/>
        </w:numPr>
        <w:tabs>
          <w:tab w:val="left" w:pos="-720"/>
        </w:tabs>
        <w:suppressAutoHyphens/>
        <w:jc w:val="both"/>
        <w:rPr>
          <w:spacing w:val="-3"/>
        </w:rPr>
      </w:pPr>
      <w:r w:rsidRPr="00EE22A5">
        <w:rPr>
          <w:spacing w:val="-3"/>
        </w:rPr>
        <w:t>DHS Components and Sub-components to include:</w:t>
      </w:r>
    </w:p>
    <w:p w14:paraId="2023EBC9" w14:textId="2CEB2121" w:rsidR="00DB5764" w:rsidRPr="00EE22A5" w:rsidRDefault="00EB4167" w:rsidP="00DB5764">
      <w:pPr>
        <w:numPr>
          <w:ilvl w:val="1"/>
          <w:numId w:val="26"/>
        </w:numPr>
        <w:tabs>
          <w:tab w:val="left" w:pos="-720"/>
        </w:tabs>
        <w:suppressAutoHyphens/>
        <w:jc w:val="both"/>
        <w:rPr>
          <w:spacing w:val="-3"/>
        </w:rPr>
      </w:pPr>
      <w:r w:rsidRPr="00327A24">
        <w:rPr>
          <w:spacing w:val="-3"/>
        </w:rPr>
        <w:t>Cybersecurity and Infrastructure Security Agency (CISA)</w:t>
      </w:r>
    </w:p>
    <w:p w14:paraId="1D194DE5" w14:textId="77777777" w:rsidR="00DB5764" w:rsidRPr="00EE22A5" w:rsidRDefault="00DB5764" w:rsidP="00DB5764">
      <w:pPr>
        <w:numPr>
          <w:ilvl w:val="1"/>
          <w:numId w:val="26"/>
        </w:numPr>
        <w:tabs>
          <w:tab w:val="left" w:pos="-720"/>
        </w:tabs>
        <w:suppressAutoHyphens/>
        <w:jc w:val="both"/>
        <w:rPr>
          <w:spacing w:val="-3"/>
        </w:rPr>
      </w:pPr>
      <w:r w:rsidRPr="00EE22A5">
        <w:rPr>
          <w:spacing w:val="-3"/>
        </w:rPr>
        <w:t>Federal Protective Service (FPS)</w:t>
      </w:r>
    </w:p>
    <w:p w14:paraId="6ECE15CB" w14:textId="294648AB" w:rsidR="00DB5764" w:rsidRPr="00EE22A5" w:rsidRDefault="00DB5764" w:rsidP="00DB5764">
      <w:pPr>
        <w:numPr>
          <w:ilvl w:val="1"/>
          <w:numId w:val="26"/>
        </w:numPr>
        <w:tabs>
          <w:tab w:val="left" w:pos="-720"/>
        </w:tabs>
        <w:suppressAutoHyphens/>
        <w:jc w:val="both"/>
        <w:rPr>
          <w:spacing w:val="-3"/>
        </w:rPr>
      </w:pPr>
      <w:r w:rsidRPr="00EE22A5">
        <w:rPr>
          <w:spacing w:val="-3"/>
        </w:rPr>
        <w:t>Cyber</w:t>
      </w:r>
      <w:r w:rsidR="00EB4167">
        <w:rPr>
          <w:spacing w:val="-3"/>
        </w:rPr>
        <w:t>s</w:t>
      </w:r>
      <w:r w:rsidRPr="00EE22A5">
        <w:rPr>
          <w:spacing w:val="-3"/>
        </w:rPr>
        <w:t xml:space="preserve">ecurity </w:t>
      </w:r>
      <w:r w:rsidR="00EB4167">
        <w:rPr>
          <w:spacing w:val="-3"/>
        </w:rPr>
        <w:t>Division</w:t>
      </w:r>
      <w:r w:rsidRPr="00EE22A5">
        <w:rPr>
          <w:spacing w:val="-3"/>
        </w:rPr>
        <w:t xml:space="preserve"> (CS</w:t>
      </w:r>
      <w:r w:rsidR="00EB4167">
        <w:rPr>
          <w:spacing w:val="-3"/>
        </w:rPr>
        <w:t>D</w:t>
      </w:r>
      <w:r w:rsidRPr="00EE22A5">
        <w:rPr>
          <w:spacing w:val="-3"/>
        </w:rPr>
        <w:t>)</w:t>
      </w:r>
    </w:p>
    <w:p w14:paraId="7326F126" w14:textId="77777777" w:rsidR="00BB4C03" w:rsidRPr="00EE22A5" w:rsidRDefault="00BB4C03" w:rsidP="00BB4C03">
      <w:pPr>
        <w:numPr>
          <w:ilvl w:val="2"/>
          <w:numId w:val="26"/>
        </w:numPr>
        <w:tabs>
          <w:tab w:val="left" w:pos="-720"/>
        </w:tabs>
        <w:suppressAutoHyphens/>
        <w:jc w:val="both"/>
        <w:rPr>
          <w:spacing w:val="-3"/>
        </w:rPr>
      </w:pPr>
      <w:r w:rsidRPr="00EE22A5">
        <w:rPr>
          <w:spacing w:val="-3"/>
        </w:rPr>
        <w:t>Cyber Security Advisors (CSAs)</w:t>
      </w:r>
    </w:p>
    <w:p w14:paraId="37FE27EE" w14:textId="7853CE41" w:rsidR="00DB5764" w:rsidRPr="00EE22A5" w:rsidRDefault="00B15C01" w:rsidP="00DB5764">
      <w:pPr>
        <w:numPr>
          <w:ilvl w:val="1"/>
          <w:numId w:val="26"/>
        </w:numPr>
        <w:tabs>
          <w:tab w:val="left" w:pos="-720"/>
        </w:tabs>
        <w:suppressAutoHyphens/>
        <w:jc w:val="both"/>
        <w:rPr>
          <w:spacing w:val="-3"/>
        </w:rPr>
      </w:pPr>
      <w:r w:rsidRPr="00EE22A5">
        <w:rPr>
          <w:spacing w:val="-3"/>
        </w:rPr>
        <w:t xml:space="preserve">Infrastructure </w:t>
      </w:r>
      <w:r w:rsidR="00EB4167">
        <w:rPr>
          <w:spacing w:val="-3"/>
        </w:rPr>
        <w:t>Security Division</w:t>
      </w:r>
      <w:r w:rsidR="00EB4167" w:rsidRPr="00EE22A5">
        <w:rPr>
          <w:spacing w:val="-3"/>
        </w:rPr>
        <w:t xml:space="preserve"> </w:t>
      </w:r>
      <w:r w:rsidRPr="00EE22A5">
        <w:rPr>
          <w:spacing w:val="-3"/>
        </w:rPr>
        <w:t>(I</w:t>
      </w:r>
      <w:r w:rsidR="00F71B93">
        <w:rPr>
          <w:spacing w:val="-3"/>
        </w:rPr>
        <w:t>SD</w:t>
      </w:r>
      <w:r w:rsidRPr="00EE22A5">
        <w:rPr>
          <w:spacing w:val="-3"/>
        </w:rPr>
        <w:t>)</w:t>
      </w:r>
    </w:p>
    <w:p w14:paraId="2C4EA94F" w14:textId="77777777" w:rsidR="00A37C23" w:rsidRPr="00EE22A5" w:rsidRDefault="00A37C23" w:rsidP="00A37C23">
      <w:pPr>
        <w:numPr>
          <w:ilvl w:val="2"/>
          <w:numId w:val="26"/>
        </w:numPr>
        <w:tabs>
          <w:tab w:val="left" w:pos="-720"/>
        </w:tabs>
        <w:suppressAutoHyphens/>
        <w:jc w:val="both"/>
        <w:rPr>
          <w:spacing w:val="-3"/>
        </w:rPr>
      </w:pPr>
      <w:r w:rsidRPr="00EE22A5">
        <w:rPr>
          <w:spacing w:val="-3"/>
        </w:rPr>
        <w:t>Infrastructure Information Collection Division (IICD)</w:t>
      </w:r>
    </w:p>
    <w:p w14:paraId="60C1F8FD" w14:textId="77777777" w:rsidR="00A37C23" w:rsidRPr="00EE22A5" w:rsidRDefault="00A37C23" w:rsidP="00A37C23">
      <w:pPr>
        <w:numPr>
          <w:ilvl w:val="2"/>
          <w:numId w:val="26"/>
        </w:numPr>
        <w:tabs>
          <w:tab w:val="left" w:pos="-720"/>
        </w:tabs>
        <w:suppressAutoHyphens/>
        <w:jc w:val="both"/>
        <w:rPr>
          <w:spacing w:val="-3"/>
        </w:rPr>
      </w:pPr>
      <w:r w:rsidRPr="00EE22A5">
        <w:rPr>
          <w:spacing w:val="-3"/>
        </w:rPr>
        <w:t>Sector Outreach and Programs Division (SOPD)</w:t>
      </w:r>
    </w:p>
    <w:p w14:paraId="0C79F215" w14:textId="77777777" w:rsidR="00A37C23" w:rsidRPr="00EE22A5" w:rsidRDefault="00A37C23" w:rsidP="00A37C23">
      <w:pPr>
        <w:numPr>
          <w:ilvl w:val="2"/>
          <w:numId w:val="26"/>
        </w:numPr>
        <w:tabs>
          <w:tab w:val="left" w:pos="-720"/>
        </w:tabs>
        <w:suppressAutoHyphens/>
        <w:jc w:val="both"/>
        <w:rPr>
          <w:spacing w:val="-3"/>
        </w:rPr>
      </w:pPr>
      <w:r w:rsidRPr="00EE22A5">
        <w:rPr>
          <w:spacing w:val="-3"/>
        </w:rPr>
        <w:t>Protective Security Coordination Division (PSCD)</w:t>
      </w:r>
    </w:p>
    <w:p w14:paraId="3D48BFE2" w14:textId="77777777" w:rsidR="00A37C23" w:rsidRPr="00EE22A5" w:rsidRDefault="00A37C23" w:rsidP="00A37C23">
      <w:pPr>
        <w:numPr>
          <w:ilvl w:val="2"/>
          <w:numId w:val="26"/>
        </w:numPr>
        <w:tabs>
          <w:tab w:val="left" w:pos="-720"/>
        </w:tabs>
        <w:suppressAutoHyphens/>
        <w:jc w:val="both"/>
        <w:rPr>
          <w:spacing w:val="-3"/>
        </w:rPr>
      </w:pPr>
      <w:r w:rsidRPr="00EE22A5">
        <w:rPr>
          <w:spacing w:val="-3"/>
        </w:rPr>
        <w:t>National Infrastructure Coordinating Center (NICC)</w:t>
      </w:r>
    </w:p>
    <w:p w14:paraId="2AF61A0B" w14:textId="77777777" w:rsidR="00B15C01" w:rsidRPr="00EE22A5" w:rsidRDefault="00B15C01" w:rsidP="00DB5764">
      <w:pPr>
        <w:numPr>
          <w:ilvl w:val="1"/>
          <w:numId w:val="26"/>
        </w:numPr>
        <w:tabs>
          <w:tab w:val="left" w:pos="-720"/>
        </w:tabs>
        <w:suppressAutoHyphens/>
        <w:jc w:val="both"/>
        <w:rPr>
          <w:spacing w:val="-3"/>
        </w:rPr>
      </w:pPr>
      <w:r w:rsidRPr="00EE22A5">
        <w:rPr>
          <w:spacing w:val="-3"/>
        </w:rPr>
        <w:t>Transportation Security Administration (TSA)</w:t>
      </w:r>
    </w:p>
    <w:p w14:paraId="3E51E2C6" w14:textId="77777777" w:rsidR="00B15C01" w:rsidRPr="00EE22A5" w:rsidRDefault="00B15C01" w:rsidP="00DB5764">
      <w:pPr>
        <w:numPr>
          <w:ilvl w:val="1"/>
          <w:numId w:val="26"/>
        </w:numPr>
        <w:tabs>
          <w:tab w:val="left" w:pos="-720"/>
        </w:tabs>
        <w:suppressAutoHyphens/>
        <w:jc w:val="both"/>
        <w:rPr>
          <w:spacing w:val="-3"/>
        </w:rPr>
      </w:pPr>
      <w:r w:rsidRPr="00EE22A5">
        <w:rPr>
          <w:spacing w:val="-3"/>
        </w:rPr>
        <w:t>Office of Health Affairs (OHA)</w:t>
      </w:r>
    </w:p>
    <w:p w14:paraId="6675AA68" w14:textId="77777777" w:rsidR="00B15C01" w:rsidRPr="00EE22A5" w:rsidRDefault="00B15C01" w:rsidP="00DB5764">
      <w:pPr>
        <w:numPr>
          <w:ilvl w:val="1"/>
          <w:numId w:val="26"/>
        </w:numPr>
        <w:tabs>
          <w:tab w:val="left" w:pos="-720"/>
        </w:tabs>
        <w:suppressAutoHyphens/>
        <w:jc w:val="both"/>
        <w:rPr>
          <w:spacing w:val="-3"/>
        </w:rPr>
      </w:pPr>
      <w:r w:rsidRPr="00EE22A5">
        <w:rPr>
          <w:spacing w:val="-3"/>
        </w:rPr>
        <w:t>Sector-Specific Agencies (SSAs)</w:t>
      </w:r>
    </w:p>
    <w:p w14:paraId="4B1747E0" w14:textId="77777777" w:rsidR="00383877" w:rsidRPr="00EE22A5" w:rsidRDefault="00383877" w:rsidP="00383877">
      <w:pPr>
        <w:numPr>
          <w:ilvl w:val="0"/>
          <w:numId w:val="26"/>
        </w:numPr>
        <w:tabs>
          <w:tab w:val="left" w:pos="-720"/>
        </w:tabs>
        <w:suppressAutoHyphens/>
        <w:jc w:val="both"/>
        <w:rPr>
          <w:spacing w:val="-3"/>
        </w:rPr>
      </w:pPr>
      <w:r w:rsidRPr="00EE22A5">
        <w:rPr>
          <w:spacing w:val="-3"/>
        </w:rPr>
        <w:t>Critical Infrastructure Sectors:</w:t>
      </w:r>
    </w:p>
    <w:p w14:paraId="572D2C06" w14:textId="77777777" w:rsidR="00383877" w:rsidRPr="00EE22A5" w:rsidRDefault="00383877" w:rsidP="00383877">
      <w:pPr>
        <w:numPr>
          <w:ilvl w:val="1"/>
          <w:numId w:val="26"/>
        </w:numPr>
        <w:tabs>
          <w:tab w:val="left" w:pos="-720"/>
        </w:tabs>
        <w:suppressAutoHyphens/>
        <w:jc w:val="both"/>
        <w:rPr>
          <w:spacing w:val="-3"/>
        </w:rPr>
      </w:pPr>
      <w:r w:rsidRPr="00EE22A5">
        <w:rPr>
          <w:spacing w:val="-3"/>
        </w:rPr>
        <w:t>Chemical Sector</w:t>
      </w:r>
    </w:p>
    <w:p w14:paraId="7AFEBF3D" w14:textId="77777777" w:rsidR="00383877" w:rsidRPr="00EE22A5" w:rsidRDefault="00383877" w:rsidP="00383877">
      <w:pPr>
        <w:numPr>
          <w:ilvl w:val="1"/>
          <w:numId w:val="26"/>
        </w:numPr>
        <w:tabs>
          <w:tab w:val="left" w:pos="-720"/>
        </w:tabs>
        <w:suppressAutoHyphens/>
        <w:jc w:val="both"/>
        <w:rPr>
          <w:spacing w:val="-3"/>
        </w:rPr>
      </w:pPr>
      <w:r w:rsidRPr="00EE22A5">
        <w:rPr>
          <w:spacing w:val="-3"/>
        </w:rPr>
        <w:t xml:space="preserve">Commercial </w:t>
      </w:r>
      <w:r w:rsidR="00B55926" w:rsidRPr="00EE22A5">
        <w:rPr>
          <w:spacing w:val="-3"/>
        </w:rPr>
        <w:t>Facilities</w:t>
      </w:r>
      <w:r w:rsidRPr="00EE22A5">
        <w:rPr>
          <w:spacing w:val="-3"/>
        </w:rPr>
        <w:t xml:space="preserve"> Sector</w:t>
      </w:r>
    </w:p>
    <w:p w14:paraId="19FB77EE" w14:textId="77777777" w:rsidR="00383877" w:rsidRPr="00EE22A5" w:rsidRDefault="00383877" w:rsidP="00383877">
      <w:pPr>
        <w:numPr>
          <w:ilvl w:val="1"/>
          <w:numId w:val="26"/>
        </w:numPr>
        <w:tabs>
          <w:tab w:val="left" w:pos="-720"/>
        </w:tabs>
        <w:suppressAutoHyphens/>
        <w:jc w:val="both"/>
        <w:rPr>
          <w:spacing w:val="-3"/>
        </w:rPr>
      </w:pPr>
      <w:r w:rsidRPr="00EE22A5">
        <w:rPr>
          <w:spacing w:val="-3"/>
        </w:rPr>
        <w:t>Communications Sector</w:t>
      </w:r>
    </w:p>
    <w:p w14:paraId="5F34A72C" w14:textId="77777777" w:rsidR="00383877" w:rsidRPr="00EE22A5" w:rsidRDefault="00383877" w:rsidP="00383877">
      <w:pPr>
        <w:numPr>
          <w:ilvl w:val="1"/>
          <w:numId w:val="26"/>
        </w:numPr>
        <w:tabs>
          <w:tab w:val="left" w:pos="-720"/>
        </w:tabs>
        <w:suppressAutoHyphens/>
        <w:jc w:val="both"/>
        <w:rPr>
          <w:spacing w:val="-3"/>
        </w:rPr>
      </w:pPr>
      <w:r w:rsidRPr="00EE22A5">
        <w:rPr>
          <w:spacing w:val="-3"/>
        </w:rPr>
        <w:t>Critical Manufacturing Sector</w:t>
      </w:r>
    </w:p>
    <w:p w14:paraId="01FE284B" w14:textId="77777777" w:rsidR="00383877" w:rsidRPr="00EE22A5" w:rsidRDefault="00383877" w:rsidP="00383877">
      <w:pPr>
        <w:numPr>
          <w:ilvl w:val="1"/>
          <w:numId w:val="26"/>
        </w:numPr>
        <w:tabs>
          <w:tab w:val="left" w:pos="-720"/>
        </w:tabs>
        <w:suppressAutoHyphens/>
        <w:jc w:val="both"/>
        <w:rPr>
          <w:spacing w:val="-3"/>
        </w:rPr>
      </w:pPr>
      <w:r w:rsidRPr="00EE22A5">
        <w:rPr>
          <w:spacing w:val="-3"/>
        </w:rPr>
        <w:t>Dams Sector</w:t>
      </w:r>
    </w:p>
    <w:p w14:paraId="0E5C688A" w14:textId="77777777" w:rsidR="00383877" w:rsidRPr="00EE22A5" w:rsidRDefault="00383877" w:rsidP="00383877">
      <w:pPr>
        <w:numPr>
          <w:ilvl w:val="1"/>
          <w:numId w:val="26"/>
        </w:numPr>
        <w:tabs>
          <w:tab w:val="left" w:pos="-720"/>
        </w:tabs>
        <w:suppressAutoHyphens/>
        <w:jc w:val="both"/>
        <w:rPr>
          <w:spacing w:val="-3"/>
        </w:rPr>
      </w:pPr>
      <w:r w:rsidRPr="00EE22A5">
        <w:rPr>
          <w:spacing w:val="-3"/>
        </w:rPr>
        <w:t>Defense Industrial Base Sector</w:t>
      </w:r>
    </w:p>
    <w:p w14:paraId="0A233ED2" w14:textId="77777777" w:rsidR="00383877" w:rsidRPr="00EE22A5" w:rsidRDefault="00383877" w:rsidP="00383877">
      <w:pPr>
        <w:numPr>
          <w:ilvl w:val="1"/>
          <w:numId w:val="26"/>
        </w:numPr>
        <w:tabs>
          <w:tab w:val="left" w:pos="-720"/>
        </w:tabs>
        <w:suppressAutoHyphens/>
        <w:jc w:val="both"/>
        <w:rPr>
          <w:spacing w:val="-3"/>
        </w:rPr>
      </w:pPr>
      <w:r w:rsidRPr="00EE22A5">
        <w:rPr>
          <w:spacing w:val="-3"/>
        </w:rPr>
        <w:t xml:space="preserve">Emergency Services Sector </w:t>
      </w:r>
    </w:p>
    <w:p w14:paraId="052DA9C0" w14:textId="77777777" w:rsidR="00383877" w:rsidRPr="00EE22A5" w:rsidRDefault="00383877" w:rsidP="00383877">
      <w:pPr>
        <w:numPr>
          <w:ilvl w:val="1"/>
          <w:numId w:val="26"/>
        </w:numPr>
        <w:tabs>
          <w:tab w:val="left" w:pos="-720"/>
        </w:tabs>
        <w:suppressAutoHyphens/>
        <w:jc w:val="both"/>
        <w:rPr>
          <w:spacing w:val="-3"/>
        </w:rPr>
      </w:pPr>
      <w:r w:rsidRPr="00EE22A5">
        <w:rPr>
          <w:spacing w:val="-3"/>
        </w:rPr>
        <w:t>Energy Sector</w:t>
      </w:r>
    </w:p>
    <w:p w14:paraId="43D5EBB7" w14:textId="77777777" w:rsidR="00383877" w:rsidRPr="00EE22A5" w:rsidRDefault="00383877" w:rsidP="00383877">
      <w:pPr>
        <w:numPr>
          <w:ilvl w:val="1"/>
          <w:numId w:val="26"/>
        </w:numPr>
        <w:tabs>
          <w:tab w:val="left" w:pos="-720"/>
        </w:tabs>
        <w:suppressAutoHyphens/>
        <w:jc w:val="both"/>
        <w:rPr>
          <w:spacing w:val="-3"/>
        </w:rPr>
      </w:pPr>
      <w:r w:rsidRPr="00EE22A5">
        <w:rPr>
          <w:spacing w:val="-3"/>
        </w:rPr>
        <w:t>Financial Services Sector</w:t>
      </w:r>
    </w:p>
    <w:p w14:paraId="00C09178" w14:textId="77777777" w:rsidR="00383877" w:rsidRPr="00EE22A5" w:rsidRDefault="00383877" w:rsidP="00383877">
      <w:pPr>
        <w:numPr>
          <w:ilvl w:val="1"/>
          <w:numId w:val="26"/>
        </w:numPr>
        <w:tabs>
          <w:tab w:val="left" w:pos="-720"/>
        </w:tabs>
        <w:suppressAutoHyphens/>
        <w:jc w:val="both"/>
        <w:rPr>
          <w:spacing w:val="-3"/>
        </w:rPr>
      </w:pPr>
      <w:r w:rsidRPr="00EE22A5">
        <w:rPr>
          <w:spacing w:val="-3"/>
        </w:rPr>
        <w:t>Food and Agriculture Sector</w:t>
      </w:r>
    </w:p>
    <w:p w14:paraId="76994EBB" w14:textId="77777777" w:rsidR="00383877" w:rsidRPr="00EE22A5" w:rsidRDefault="00383877" w:rsidP="00383877">
      <w:pPr>
        <w:numPr>
          <w:ilvl w:val="1"/>
          <w:numId w:val="26"/>
        </w:numPr>
        <w:tabs>
          <w:tab w:val="left" w:pos="-720"/>
        </w:tabs>
        <w:suppressAutoHyphens/>
        <w:jc w:val="both"/>
        <w:rPr>
          <w:spacing w:val="-3"/>
        </w:rPr>
      </w:pPr>
      <w:r w:rsidRPr="00EE22A5">
        <w:rPr>
          <w:spacing w:val="-3"/>
        </w:rPr>
        <w:t>Government Facilities Sector</w:t>
      </w:r>
    </w:p>
    <w:p w14:paraId="726E473B" w14:textId="77777777" w:rsidR="00383877" w:rsidRPr="00EE22A5" w:rsidRDefault="00383877" w:rsidP="00383877">
      <w:pPr>
        <w:numPr>
          <w:ilvl w:val="1"/>
          <w:numId w:val="26"/>
        </w:numPr>
        <w:tabs>
          <w:tab w:val="left" w:pos="-720"/>
        </w:tabs>
        <w:suppressAutoHyphens/>
        <w:jc w:val="both"/>
        <w:rPr>
          <w:spacing w:val="-3"/>
        </w:rPr>
      </w:pPr>
      <w:r w:rsidRPr="00EE22A5">
        <w:rPr>
          <w:spacing w:val="-3"/>
        </w:rPr>
        <w:t>Healthcare and Public Health Sector</w:t>
      </w:r>
    </w:p>
    <w:p w14:paraId="0BAF8C03" w14:textId="77777777" w:rsidR="00383877" w:rsidRPr="00EE22A5" w:rsidRDefault="00383877" w:rsidP="00383877">
      <w:pPr>
        <w:numPr>
          <w:ilvl w:val="1"/>
          <w:numId w:val="26"/>
        </w:numPr>
        <w:tabs>
          <w:tab w:val="left" w:pos="-720"/>
        </w:tabs>
        <w:suppressAutoHyphens/>
        <w:jc w:val="both"/>
        <w:rPr>
          <w:spacing w:val="-3"/>
        </w:rPr>
      </w:pPr>
      <w:r w:rsidRPr="00EE22A5">
        <w:rPr>
          <w:spacing w:val="-3"/>
        </w:rPr>
        <w:t>Information Technology Sector</w:t>
      </w:r>
    </w:p>
    <w:p w14:paraId="689B0004" w14:textId="77777777" w:rsidR="00383877" w:rsidRPr="00EE22A5" w:rsidRDefault="00383877" w:rsidP="00383877">
      <w:pPr>
        <w:numPr>
          <w:ilvl w:val="1"/>
          <w:numId w:val="26"/>
        </w:numPr>
        <w:tabs>
          <w:tab w:val="left" w:pos="-720"/>
        </w:tabs>
        <w:suppressAutoHyphens/>
        <w:jc w:val="both"/>
        <w:rPr>
          <w:spacing w:val="-3"/>
        </w:rPr>
      </w:pPr>
      <w:r w:rsidRPr="00EE22A5">
        <w:rPr>
          <w:spacing w:val="-3"/>
        </w:rPr>
        <w:t>Nuclear Reactors, Materials, and Waste Sector</w:t>
      </w:r>
    </w:p>
    <w:p w14:paraId="1D5C8ABF" w14:textId="77777777" w:rsidR="00383877" w:rsidRPr="00EE22A5" w:rsidRDefault="00383877" w:rsidP="00383877">
      <w:pPr>
        <w:numPr>
          <w:ilvl w:val="1"/>
          <w:numId w:val="26"/>
        </w:numPr>
        <w:tabs>
          <w:tab w:val="left" w:pos="-720"/>
        </w:tabs>
        <w:suppressAutoHyphens/>
        <w:jc w:val="both"/>
        <w:rPr>
          <w:spacing w:val="-3"/>
        </w:rPr>
      </w:pPr>
      <w:r w:rsidRPr="00EE22A5">
        <w:rPr>
          <w:spacing w:val="-3"/>
        </w:rPr>
        <w:t>Transportation Systems Sector</w:t>
      </w:r>
    </w:p>
    <w:p w14:paraId="02438D71" w14:textId="77777777" w:rsidR="00B55926" w:rsidRPr="00EE22A5" w:rsidRDefault="00B55926" w:rsidP="00383877">
      <w:pPr>
        <w:numPr>
          <w:ilvl w:val="1"/>
          <w:numId w:val="26"/>
        </w:numPr>
        <w:tabs>
          <w:tab w:val="left" w:pos="-720"/>
        </w:tabs>
        <w:suppressAutoHyphens/>
        <w:jc w:val="both"/>
        <w:rPr>
          <w:spacing w:val="-3"/>
        </w:rPr>
      </w:pPr>
      <w:r w:rsidRPr="00EE22A5">
        <w:rPr>
          <w:spacing w:val="-3"/>
        </w:rPr>
        <w:t>Water and Wastewater Systems Sector</w:t>
      </w:r>
    </w:p>
    <w:p w14:paraId="7495E989" w14:textId="6DB0072C" w:rsidR="00A37C23" w:rsidRDefault="00A37C23" w:rsidP="00A37C23">
      <w:pPr>
        <w:numPr>
          <w:ilvl w:val="0"/>
          <w:numId w:val="26"/>
        </w:numPr>
        <w:tabs>
          <w:tab w:val="left" w:pos="-720"/>
        </w:tabs>
        <w:suppressAutoHyphens/>
        <w:jc w:val="both"/>
        <w:rPr>
          <w:spacing w:val="-3"/>
        </w:rPr>
      </w:pPr>
      <w:r w:rsidRPr="00EE22A5">
        <w:rPr>
          <w:spacing w:val="-3"/>
        </w:rPr>
        <w:t>Army Corp of Engineers</w:t>
      </w:r>
    </w:p>
    <w:p w14:paraId="151021FE" w14:textId="566F3FDA" w:rsidR="0068792F" w:rsidRDefault="0068792F" w:rsidP="0068792F">
      <w:pPr>
        <w:tabs>
          <w:tab w:val="left" w:pos="-720"/>
        </w:tabs>
        <w:suppressAutoHyphens/>
        <w:jc w:val="both"/>
        <w:rPr>
          <w:spacing w:val="-3"/>
        </w:rPr>
      </w:pPr>
    </w:p>
    <w:p w14:paraId="36A5F14F" w14:textId="77777777" w:rsidR="0068792F" w:rsidRDefault="0068792F" w:rsidP="0068792F">
      <w:pPr>
        <w:tabs>
          <w:tab w:val="left" w:pos="-720"/>
        </w:tabs>
        <w:suppressAutoHyphens/>
        <w:jc w:val="both"/>
        <w:rPr>
          <w:spacing w:val="-3"/>
        </w:rPr>
      </w:pPr>
    </w:p>
    <w:p w14:paraId="47E35520" w14:textId="0D5B1B59" w:rsidR="0068792F" w:rsidRDefault="0068792F" w:rsidP="0068792F">
      <w:pPr>
        <w:tabs>
          <w:tab w:val="left" w:pos="-720"/>
        </w:tabs>
        <w:suppressAutoHyphens/>
        <w:jc w:val="both"/>
        <w:rPr>
          <w:spacing w:val="-3"/>
        </w:rPr>
      </w:pPr>
      <w:r>
        <w:rPr>
          <w:spacing w:val="-3"/>
        </w:rPr>
        <w:t>A</w:t>
      </w:r>
      <w:r w:rsidR="005C64B7">
        <w:rPr>
          <w:spacing w:val="-3"/>
        </w:rPr>
        <w:t xml:space="preserve">fter assessments </w:t>
      </w:r>
      <w:r>
        <w:rPr>
          <w:spacing w:val="-3"/>
        </w:rPr>
        <w:t xml:space="preserve">are input into the system, the user is prompted to participate in a feedback </w:t>
      </w:r>
      <w:r w:rsidR="005C64B7">
        <w:rPr>
          <w:spacing w:val="-3"/>
        </w:rPr>
        <w:t>questionnaire</w:t>
      </w:r>
      <w:r>
        <w:rPr>
          <w:spacing w:val="-3"/>
        </w:rPr>
        <w:t xml:space="preserve">.  Every user is prompted to participate in the </w:t>
      </w:r>
      <w:r w:rsidR="005C64B7">
        <w:rPr>
          <w:spacing w:val="-3"/>
        </w:rPr>
        <w:t>Post Assessment questionnaire</w:t>
      </w:r>
      <w:r>
        <w:rPr>
          <w:spacing w:val="-3"/>
        </w:rPr>
        <w:t xml:space="preserve"> after entering an assessment.  </w:t>
      </w:r>
      <w:r w:rsidR="00B8650B">
        <w:rPr>
          <w:spacing w:val="-3"/>
        </w:rPr>
        <w:t xml:space="preserve">Participation in the Post Assessment questionnaire is voluntary.  </w:t>
      </w:r>
      <w:r>
        <w:rPr>
          <w:spacing w:val="-3"/>
        </w:rPr>
        <w:t xml:space="preserve">The </w:t>
      </w:r>
      <w:r w:rsidR="004B5365">
        <w:rPr>
          <w:spacing w:val="-3"/>
        </w:rPr>
        <w:t>Post Assessment</w:t>
      </w:r>
      <w:r>
        <w:rPr>
          <w:spacing w:val="-3"/>
        </w:rPr>
        <w:t xml:space="preserve"> </w:t>
      </w:r>
      <w:r w:rsidR="004B5365">
        <w:rPr>
          <w:spacing w:val="-3"/>
        </w:rPr>
        <w:t>Q</w:t>
      </w:r>
      <w:r w:rsidR="005C64B7">
        <w:rPr>
          <w:spacing w:val="-3"/>
        </w:rPr>
        <w:t>uestionnaires</w:t>
      </w:r>
      <w:r>
        <w:rPr>
          <w:spacing w:val="-3"/>
        </w:rPr>
        <w:t xml:space="preserve"> are designed to capture feedback about </w:t>
      </w:r>
      <w:r w:rsidR="005C64B7">
        <w:rPr>
          <w:spacing w:val="-3"/>
        </w:rPr>
        <w:t xml:space="preserve">a </w:t>
      </w:r>
      <w:r w:rsidR="00AC7A63">
        <w:rPr>
          <w:spacing w:val="-3"/>
        </w:rPr>
        <w:t xml:space="preserve">vulnerability </w:t>
      </w:r>
      <w:r>
        <w:rPr>
          <w:spacing w:val="-3"/>
        </w:rPr>
        <w:t xml:space="preserve">assessment and the </w:t>
      </w:r>
      <w:r w:rsidR="005A7F1F">
        <w:rPr>
          <w:spacing w:val="-3"/>
        </w:rPr>
        <w:t>system</w:t>
      </w:r>
      <w:r>
        <w:rPr>
          <w:spacing w:val="-3"/>
        </w:rPr>
        <w:t xml:space="preserve">.  </w:t>
      </w:r>
      <w:r w:rsidR="004B5365">
        <w:rPr>
          <w:spacing w:val="-3"/>
        </w:rPr>
        <w:t xml:space="preserve">There are three different questionnaires correlated and prompted after entering </w:t>
      </w:r>
      <w:r w:rsidR="00AC7A63">
        <w:rPr>
          <w:spacing w:val="-3"/>
        </w:rPr>
        <w:t>a particular</w:t>
      </w:r>
      <w:r w:rsidR="004B5365">
        <w:rPr>
          <w:spacing w:val="-3"/>
        </w:rPr>
        <w:t xml:space="preserve"> assessment into the database.  </w:t>
      </w:r>
      <w:r>
        <w:rPr>
          <w:spacing w:val="-3"/>
        </w:rPr>
        <w:t>The results are used internally within DHS to make programmatic improvements.</w:t>
      </w:r>
    </w:p>
    <w:p w14:paraId="362D2389" w14:textId="77777777" w:rsidR="00AA3F82" w:rsidRPr="00EE22A5" w:rsidRDefault="00AA3F82" w:rsidP="000C4293">
      <w:pPr>
        <w:tabs>
          <w:tab w:val="left" w:pos="-720"/>
        </w:tabs>
        <w:suppressAutoHyphens/>
        <w:jc w:val="both"/>
      </w:pPr>
    </w:p>
    <w:p w14:paraId="7CB9056C"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E22A5">
        <w:tab/>
      </w:r>
    </w:p>
    <w:p w14:paraId="61120B73" w14:textId="77777777" w:rsidR="00EB5E96" w:rsidRPr="00EE22A5" w:rsidRDefault="00EB5E96" w:rsidP="000C4293">
      <w:pPr>
        <w:tabs>
          <w:tab w:val="left" w:pos="-720"/>
        </w:tabs>
        <w:suppressAutoHyphens/>
        <w:jc w:val="both"/>
      </w:pPr>
    </w:p>
    <w:p w14:paraId="0C4E2780" w14:textId="2C3D2D72" w:rsidR="00D73BBC" w:rsidRPr="00EE22A5" w:rsidRDefault="00540C0E" w:rsidP="00D73BBC">
      <w:pPr>
        <w:tabs>
          <w:tab w:val="left" w:pos="-720"/>
        </w:tabs>
        <w:suppressAutoHyphens/>
        <w:jc w:val="both"/>
        <w:rPr>
          <w:spacing w:val="-3"/>
        </w:rPr>
      </w:pPr>
      <w:r w:rsidRPr="00EE22A5">
        <w:rPr>
          <w:spacing w:val="-3"/>
        </w:rPr>
        <w:t xml:space="preserve">The collection of information uses automated electronic </w:t>
      </w:r>
      <w:r w:rsidR="00DA3532" w:rsidRPr="00DA3532">
        <w:rPr>
          <w:spacing w:val="-3"/>
        </w:rPr>
        <w:t xml:space="preserve">vulnerability assessments </w:t>
      </w:r>
      <w:r w:rsidR="005656E5">
        <w:rPr>
          <w:spacing w:val="-3"/>
        </w:rPr>
        <w:t xml:space="preserve">and </w:t>
      </w:r>
      <w:r w:rsidR="00DA3532" w:rsidRPr="00DA3532">
        <w:rPr>
          <w:spacing w:val="-3"/>
        </w:rPr>
        <w:t>questionnaires</w:t>
      </w:r>
      <w:r w:rsidRPr="00EE22A5">
        <w:rPr>
          <w:spacing w:val="-3"/>
        </w:rPr>
        <w:t xml:space="preserve">.  </w:t>
      </w:r>
      <w:r w:rsidR="00B620A0" w:rsidRPr="00EE22A5">
        <w:rPr>
          <w:spacing w:val="-3"/>
        </w:rPr>
        <w:t xml:space="preserve">The </w:t>
      </w:r>
      <w:r w:rsidR="00DA3532">
        <w:rPr>
          <w:spacing w:val="-3"/>
        </w:rPr>
        <w:t xml:space="preserve">vulnerability assessments </w:t>
      </w:r>
      <w:r w:rsidR="005656E5">
        <w:rPr>
          <w:spacing w:val="-3"/>
        </w:rPr>
        <w:t xml:space="preserve">and </w:t>
      </w:r>
      <w:r w:rsidR="00DA3532">
        <w:rPr>
          <w:spacing w:val="-3"/>
        </w:rPr>
        <w:t>questionnaires</w:t>
      </w:r>
      <w:r w:rsidR="00A37C23" w:rsidRPr="00EE22A5">
        <w:rPr>
          <w:spacing w:val="-3"/>
        </w:rPr>
        <w:t xml:space="preserve"> are electronic in nature and include</w:t>
      </w:r>
      <w:r w:rsidR="00B620A0" w:rsidRPr="00EE22A5">
        <w:rPr>
          <w:spacing w:val="-3"/>
        </w:rPr>
        <w:t xml:space="preserve"> questions that measure the </w:t>
      </w:r>
      <w:r w:rsidR="00BB4C03" w:rsidRPr="00EE22A5">
        <w:rPr>
          <w:spacing w:val="-3"/>
        </w:rPr>
        <w:t>security, resiliency and dependencies of a</w:t>
      </w:r>
      <w:r w:rsidR="005A7F1F">
        <w:rPr>
          <w:spacing w:val="-3"/>
        </w:rPr>
        <w:t>n</w:t>
      </w:r>
      <w:r w:rsidR="00BB4C03" w:rsidRPr="00EE22A5">
        <w:rPr>
          <w:spacing w:val="-3"/>
        </w:rPr>
        <w:t xml:space="preserve"> </w:t>
      </w:r>
      <w:r w:rsidR="005A7F1F">
        <w:rPr>
          <w:spacing w:val="-3"/>
        </w:rPr>
        <w:t>organization</w:t>
      </w:r>
      <w:r w:rsidR="00B620A0" w:rsidRPr="00EE22A5">
        <w:rPr>
          <w:spacing w:val="-3"/>
        </w:rPr>
        <w:t xml:space="preserve">.  </w:t>
      </w:r>
      <w:r w:rsidR="00BB4C03" w:rsidRPr="00EE22A5">
        <w:rPr>
          <w:spacing w:val="-3"/>
        </w:rPr>
        <w:t xml:space="preserve">The </w:t>
      </w:r>
      <w:r w:rsidR="009F5CD3">
        <w:rPr>
          <w:spacing w:val="-3"/>
        </w:rPr>
        <w:t xml:space="preserve">vulnerability </w:t>
      </w:r>
      <w:r w:rsidR="00DA3532">
        <w:rPr>
          <w:spacing w:val="-3"/>
        </w:rPr>
        <w:t>assessments</w:t>
      </w:r>
      <w:r w:rsidR="00BB4C03" w:rsidRPr="00EE22A5">
        <w:rPr>
          <w:spacing w:val="-3"/>
        </w:rPr>
        <w:t xml:space="preserve"> are arranged at the request of a</w:t>
      </w:r>
      <w:r w:rsidR="005A7F1F">
        <w:rPr>
          <w:spacing w:val="-3"/>
        </w:rPr>
        <w:t>n</w:t>
      </w:r>
      <w:r w:rsidR="00BB4C03" w:rsidRPr="00EE22A5">
        <w:rPr>
          <w:spacing w:val="-3"/>
        </w:rPr>
        <w:t xml:space="preserve"> </w:t>
      </w:r>
      <w:r w:rsidR="005A7F1F">
        <w:rPr>
          <w:spacing w:val="-3"/>
        </w:rPr>
        <w:t>organization</w:t>
      </w:r>
      <w:r w:rsidR="009F5CD3">
        <w:rPr>
          <w:spacing w:val="-3"/>
        </w:rPr>
        <w:t xml:space="preserve"> and</w:t>
      </w:r>
      <w:r w:rsidR="00D90ABB">
        <w:rPr>
          <w:spacing w:val="-3"/>
        </w:rPr>
        <w:t xml:space="preserve"> </w:t>
      </w:r>
      <w:r w:rsidR="00464794" w:rsidRPr="00EE22A5">
        <w:rPr>
          <w:spacing w:val="-3"/>
        </w:rPr>
        <w:t>are then scheduled and performed by a PSA or CSA.</w:t>
      </w:r>
    </w:p>
    <w:p w14:paraId="2D4E227B" w14:textId="77777777" w:rsidR="00AA3F82" w:rsidRPr="00EE22A5" w:rsidRDefault="00AA3F82" w:rsidP="000C4293">
      <w:pPr>
        <w:tabs>
          <w:tab w:val="left" w:pos="-720"/>
        </w:tabs>
        <w:suppressAutoHyphens/>
        <w:jc w:val="both"/>
      </w:pPr>
    </w:p>
    <w:p w14:paraId="298D9F61"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4.  Describe efforts to identify duplication.  Show specifically why any similar information already available cannot be used or modified for use for the purposes described in Item 2 above. </w:t>
      </w:r>
    </w:p>
    <w:p w14:paraId="392805C9"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p w14:paraId="4F72B6AD" w14:textId="49EB50A3" w:rsidR="00D73BBC" w:rsidRPr="00EE22A5" w:rsidRDefault="005656E5" w:rsidP="00D73BBC">
      <w:pPr>
        <w:tabs>
          <w:tab w:val="left" w:pos="-720"/>
        </w:tabs>
        <w:suppressAutoHyphens/>
        <w:jc w:val="both"/>
        <w:rPr>
          <w:spacing w:val="-3"/>
        </w:rPr>
      </w:pPr>
      <w:r>
        <w:rPr>
          <w:spacing w:val="-3"/>
        </w:rPr>
        <w:t>There</w:t>
      </w:r>
      <w:r w:rsidR="00540C0E" w:rsidRPr="00EE22A5">
        <w:t xml:space="preserve"> </w:t>
      </w:r>
      <w:r w:rsidR="00540C0E" w:rsidRPr="00EE22A5">
        <w:rPr>
          <w:spacing w:val="-3"/>
        </w:rPr>
        <w:t xml:space="preserve">are no known similar programs or information collections </w:t>
      </w:r>
      <w:r w:rsidR="00464794" w:rsidRPr="00EE22A5">
        <w:rPr>
          <w:spacing w:val="-3"/>
        </w:rPr>
        <w:t xml:space="preserve">that collect information pertaining to </w:t>
      </w:r>
      <w:r w:rsidR="009F6138">
        <w:rPr>
          <w:spacing w:val="-3"/>
        </w:rPr>
        <w:t xml:space="preserve">critical infrastructure </w:t>
      </w:r>
      <w:r w:rsidR="00464794" w:rsidRPr="00EE22A5">
        <w:rPr>
          <w:spacing w:val="-3"/>
        </w:rPr>
        <w:t xml:space="preserve">security and resiliency.  </w:t>
      </w:r>
      <w:r>
        <w:rPr>
          <w:spacing w:val="-3"/>
        </w:rPr>
        <w:t>A search of reginfo.gov also revealed that this information is not collected or duplicated elsewhere.</w:t>
      </w:r>
    </w:p>
    <w:p w14:paraId="7ED6EFB3" w14:textId="77777777" w:rsidR="00AA3F82" w:rsidRPr="00EE22A5" w:rsidRDefault="00AA3F82" w:rsidP="000C4293">
      <w:pPr>
        <w:tabs>
          <w:tab w:val="left" w:pos="-720"/>
        </w:tabs>
        <w:suppressAutoHyphens/>
        <w:jc w:val="both"/>
      </w:pPr>
    </w:p>
    <w:p w14:paraId="16B6929A"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5.  If the collection of information impacts small businesses or other small entities (Item 5 of OMB Form 83-I), describe any methods used to minimize.</w:t>
      </w:r>
      <w:r w:rsidRPr="00EE22A5">
        <w:tab/>
      </w:r>
    </w:p>
    <w:p w14:paraId="7522D910" w14:textId="77777777" w:rsidR="00EB5E96" w:rsidRPr="00EE22A5" w:rsidRDefault="00EB5E96" w:rsidP="000C4293">
      <w:pPr>
        <w:tabs>
          <w:tab w:val="left" w:pos="-720"/>
        </w:tabs>
        <w:suppressAutoHyphens/>
        <w:jc w:val="both"/>
        <w:rPr>
          <w:spacing w:val="-3"/>
        </w:rPr>
      </w:pPr>
    </w:p>
    <w:p w14:paraId="54EE20B7" w14:textId="36CB33D8" w:rsidR="00540C0E" w:rsidRPr="00EE22A5" w:rsidRDefault="001B422A" w:rsidP="000C4293">
      <w:pPr>
        <w:tabs>
          <w:tab w:val="left" w:pos="-720"/>
        </w:tabs>
        <w:suppressAutoHyphens/>
        <w:jc w:val="both"/>
        <w:rPr>
          <w:spacing w:val="-3"/>
        </w:rPr>
      </w:pPr>
      <w:r w:rsidRPr="00EE22A5">
        <w:rPr>
          <w:spacing w:val="-3"/>
        </w:rPr>
        <w:t xml:space="preserve">The </w:t>
      </w:r>
      <w:r w:rsidR="00DA3532" w:rsidRPr="00DA3532">
        <w:rPr>
          <w:spacing w:val="-3"/>
        </w:rPr>
        <w:t>vulnerab</w:t>
      </w:r>
      <w:r w:rsidR="00DA3532">
        <w:rPr>
          <w:spacing w:val="-3"/>
        </w:rPr>
        <w:t>ility assessments</w:t>
      </w:r>
      <w:r w:rsidRPr="00EE22A5">
        <w:rPr>
          <w:spacing w:val="-3"/>
        </w:rPr>
        <w:t xml:space="preserve"> do not impact small business or other small entities.</w:t>
      </w:r>
    </w:p>
    <w:p w14:paraId="4E69E785" w14:textId="77777777" w:rsidR="00AA3F82" w:rsidRPr="00EE22A5" w:rsidRDefault="00AA3F82" w:rsidP="000C4293">
      <w:pPr>
        <w:tabs>
          <w:tab w:val="left" w:pos="-720"/>
        </w:tabs>
        <w:suppressAutoHyphens/>
        <w:jc w:val="both"/>
        <w:rPr>
          <w:spacing w:val="-3"/>
        </w:rPr>
      </w:pPr>
    </w:p>
    <w:p w14:paraId="4FE3A764"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6.  Describe the consequence to Federal/</w:t>
      </w:r>
      <w:r w:rsidR="00460234" w:rsidRPr="00EE22A5">
        <w:t>DHS</w:t>
      </w:r>
      <w:r w:rsidRPr="00EE22A5">
        <w:t xml:space="preserve"> program or policy activities if the collection of information is not conducted, or is conducted less frequently, as well as any technical or legal obstacles to reducing burden.</w:t>
      </w:r>
    </w:p>
    <w:p w14:paraId="6B998B81" w14:textId="77777777" w:rsidR="00EB5E96" w:rsidRPr="00EE22A5" w:rsidRDefault="00EB5E96" w:rsidP="000C4293">
      <w:pPr>
        <w:tabs>
          <w:tab w:val="left" w:pos="-720"/>
        </w:tabs>
        <w:suppressAutoHyphens/>
        <w:jc w:val="both"/>
        <w:rPr>
          <w:spacing w:val="-3"/>
        </w:rPr>
      </w:pPr>
    </w:p>
    <w:p w14:paraId="7C89CE71" w14:textId="65CDC240" w:rsidR="005D7769" w:rsidRPr="00EE22A5" w:rsidRDefault="001B422A" w:rsidP="000C4293">
      <w:pPr>
        <w:tabs>
          <w:tab w:val="left" w:pos="-720"/>
        </w:tabs>
        <w:suppressAutoHyphens/>
        <w:jc w:val="both"/>
        <w:rPr>
          <w:spacing w:val="-3"/>
        </w:rPr>
      </w:pPr>
      <w:r w:rsidRPr="00EE22A5">
        <w:rPr>
          <w:spacing w:val="-3"/>
        </w:rPr>
        <w:t xml:space="preserve">Without the </w:t>
      </w:r>
      <w:r w:rsidR="00DA3532" w:rsidRPr="00DA3532">
        <w:rPr>
          <w:spacing w:val="-3"/>
        </w:rPr>
        <w:t>vulnerab</w:t>
      </w:r>
      <w:r w:rsidR="00DA3532">
        <w:rPr>
          <w:spacing w:val="-3"/>
        </w:rPr>
        <w:t>ility assessments</w:t>
      </w:r>
      <w:r w:rsidRPr="00EE22A5">
        <w:rPr>
          <w:spacing w:val="-3"/>
        </w:rPr>
        <w:t xml:space="preserve">, </w:t>
      </w:r>
      <w:r w:rsidR="00464794" w:rsidRPr="00EE22A5">
        <w:rPr>
          <w:spacing w:val="-3"/>
        </w:rPr>
        <w:t xml:space="preserve">there would be no way for the CI community to effectively measure its security and resiliency. </w:t>
      </w:r>
      <w:r w:rsidR="00D90ABB">
        <w:rPr>
          <w:spacing w:val="-3"/>
        </w:rPr>
        <w:t>W</w:t>
      </w:r>
      <w:r w:rsidR="00464794" w:rsidRPr="00EE22A5">
        <w:rPr>
          <w:spacing w:val="-3"/>
        </w:rPr>
        <w:t xml:space="preserve">ithout the </w:t>
      </w:r>
      <w:r w:rsidR="00DA3532" w:rsidRPr="00DA3532">
        <w:rPr>
          <w:spacing w:val="-3"/>
        </w:rPr>
        <w:t>vulnerab</w:t>
      </w:r>
      <w:r w:rsidR="00DA3532">
        <w:rPr>
          <w:spacing w:val="-3"/>
        </w:rPr>
        <w:t>ility assessments</w:t>
      </w:r>
      <w:r w:rsidR="00F50765">
        <w:rPr>
          <w:spacing w:val="-3"/>
        </w:rPr>
        <w:t>,</w:t>
      </w:r>
      <w:r w:rsidR="00464794" w:rsidRPr="00EE22A5">
        <w:rPr>
          <w:spacing w:val="-3"/>
        </w:rPr>
        <w:t xml:space="preserve"> DHS would lack the abilities below:</w:t>
      </w:r>
    </w:p>
    <w:p w14:paraId="4DC1CB8C" w14:textId="77777777" w:rsidR="00464794" w:rsidRPr="00EE22A5" w:rsidRDefault="00464794" w:rsidP="000C4293">
      <w:pPr>
        <w:tabs>
          <w:tab w:val="left" w:pos="-720"/>
        </w:tabs>
        <w:suppressAutoHyphens/>
        <w:jc w:val="both"/>
        <w:rPr>
          <w:spacing w:val="-3"/>
        </w:rPr>
      </w:pPr>
    </w:p>
    <w:p w14:paraId="1EAA9580" w14:textId="77777777" w:rsidR="00464794" w:rsidRPr="00EE22A5" w:rsidRDefault="00464794" w:rsidP="00464794">
      <w:pPr>
        <w:numPr>
          <w:ilvl w:val="0"/>
          <w:numId w:val="28"/>
        </w:numPr>
        <w:tabs>
          <w:tab w:val="left" w:pos="-720"/>
        </w:tabs>
        <w:suppressAutoHyphens/>
        <w:jc w:val="both"/>
        <w:rPr>
          <w:spacing w:val="-3"/>
        </w:rPr>
      </w:pPr>
      <w:r w:rsidRPr="00EE22A5">
        <w:rPr>
          <w:spacing w:val="-3"/>
        </w:rPr>
        <w:t>Identify and document critical security and resilience information, including physical security, security force, security management, and business continuity;</w:t>
      </w:r>
    </w:p>
    <w:p w14:paraId="11360899" w14:textId="77777777" w:rsidR="00464794" w:rsidRPr="00EE22A5" w:rsidRDefault="00464794" w:rsidP="00464794">
      <w:pPr>
        <w:numPr>
          <w:ilvl w:val="0"/>
          <w:numId w:val="28"/>
        </w:numPr>
        <w:tabs>
          <w:tab w:val="left" w:pos="-720"/>
        </w:tabs>
        <w:suppressAutoHyphens/>
        <w:jc w:val="both"/>
        <w:rPr>
          <w:spacing w:val="-3"/>
        </w:rPr>
      </w:pPr>
      <w:r w:rsidRPr="00EE22A5">
        <w:rPr>
          <w:spacing w:val="-3"/>
        </w:rPr>
        <w:t>Provide information for protective measures, backup procedures planning, and resource allocation;</w:t>
      </w:r>
    </w:p>
    <w:p w14:paraId="60F498CB" w14:textId="77777777" w:rsidR="00464794" w:rsidRPr="00EE22A5" w:rsidRDefault="00464794" w:rsidP="00464794">
      <w:pPr>
        <w:numPr>
          <w:ilvl w:val="0"/>
          <w:numId w:val="28"/>
        </w:numPr>
        <w:tabs>
          <w:tab w:val="left" w:pos="-720"/>
        </w:tabs>
        <w:suppressAutoHyphens/>
        <w:jc w:val="both"/>
        <w:rPr>
          <w:spacing w:val="-3"/>
        </w:rPr>
      </w:pPr>
      <w:r w:rsidRPr="00EE22A5">
        <w:rPr>
          <w:spacing w:val="-3"/>
        </w:rPr>
        <w:t>Enhance overall capabilities, methodologies, and resources for identifying and mitigating gaps;</w:t>
      </w:r>
    </w:p>
    <w:p w14:paraId="22967AF7" w14:textId="77777777" w:rsidR="00464794" w:rsidRPr="00EE22A5" w:rsidRDefault="00464794" w:rsidP="00464794">
      <w:pPr>
        <w:numPr>
          <w:ilvl w:val="0"/>
          <w:numId w:val="28"/>
        </w:numPr>
        <w:tabs>
          <w:tab w:val="left" w:pos="-720"/>
        </w:tabs>
        <w:suppressAutoHyphens/>
        <w:jc w:val="both"/>
        <w:rPr>
          <w:spacing w:val="-3"/>
        </w:rPr>
      </w:pPr>
      <w:r w:rsidRPr="00EE22A5">
        <w:rPr>
          <w:spacing w:val="-3"/>
        </w:rPr>
        <w:t>Facilitate information sharing; and</w:t>
      </w:r>
    </w:p>
    <w:p w14:paraId="01F819B2" w14:textId="77777777" w:rsidR="00464794" w:rsidRPr="00EE22A5" w:rsidRDefault="00464794" w:rsidP="00464794">
      <w:pPr>
        <w:numPr>
          <w:ilvl w:val="0"/>
          <w:numId w:val="28"/>
        </w:numPr>
        <w:tabs>
          <w:tab w:val="left" w:pos="-720"/>
        </w:tabs>
        <w:suppressAutoHyphens/>
        <w:jc w:val="both"/>
        <w:rPr>
          <w:spacing w:val="-3"/>
        </w:rPr>
      </w:pPr>
      <w:r w:rsidRPr="00EE22A5">
        <w:rPr>
          <w:spacing w:val="-3"/>
        </w:rPr>
        <w:t>Benchmark overall security or resilience and demonstrate how assets and sectors are “buying down” risk</w:t>
      </w:r>
    </w:p>
    <w:p w14:paraId="25FE6B7A" w14:textId="53E9C776" w:rsidR="00464794" w:rsidRPr="00EE22A5" w:rsidRDefault="00464794" w:rsidP="00464794">
      <w:pPr>
        <w:tabs>
          <w:tab w:val="left" w:pos="-720"/>
        </w:tabs>
        <w:suppressAutoHyphens/>
        <w:ind w:left="720"/>
        <w:jc w:val="both"/>
        <w:rPr>
          <w:spacing w:val="-3"/>
        </w:rPr>
      </w:pPr>
      <w:r w:rsidRPr="00EE22A5">
        <w:rPr>
          <w:spacing w:val="-3"/>
        </w:rPr>
        <w:t xml:space="preserve">(e.g., lowering risk by investing in measures to enhance the security posture of the </w:t>
      </w:r>
      <w:r w:rsidR="00DB5CB8">
        <w:rPr>
          <w:spacing w:val="-3"/>
        </w:rPr>
        <w:t>organization</w:t>
      </w:r>
      <w:r w:rsidRPr="00EE22A5">
        <w:rPr>
          <w:spacing w:val="-3"/>
        </w:rPr>
        <w:t xml:space="preserve"> or asset).</w:t>
      </w:r>
    </w:p>
    <w:p w14:paraId="2C6DE870" w14:textId="77777777" w:rsidR="00AA3F82" w:rsidRPr="00EE22A5" w:rsidRDefault="00AA3F82" w:rsidP="000C4293">
      <w:pPr>
        <w:tabs>
          <w:tab w:val="left" w:pos="-720"/>
        </w:tabs>
        <w:suppressAutoHyphens/>
        <w:jc w:val="both"/>
        <w:rPr>
          <w:spacing w:val="-3"/>
        </w:rPr>
      </w:pPr>
    </w:p>
    <w:p w14:paraId="0F7AD540"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7.  Explain any special circumstances that would cause an information collection to be conducted in a manner:</w:t>
      </w:r>
    </w:p>
    <w:p w14:paraId="7653B371" w14:textId="77777777" w:rsidR="00EB5E96" w:rsidRPr="00EE22A5" w:rsidRDefault="00EB5E96" w:rsidP="000C4293">
      <w:pPr>
        <w:shd w:val="pct25" w:color="auto" w:fill="FFFFFF"/>
        <w:tabs>
          <w:tab w:val="left" w:pos="-720"/>
        </w:tabs>
        <w:suppressAutoHyphens/>
        <w:jc w:val="both"/>
      </w:pPr>
    </w:p>
    <w:p w14:paraId="0417E2ED"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(a) Requiring respondents to report information to the agency more often than quarterly.</w:t>
      </w:r>
    </w:p>
    <w:p w14:paraId="23694EBA" w14:textId="77777777" w:rsidR="00EB5E96" w:rsidRPr="00EE22A5" w:rsidRDefault="00EB5E96" w:rsidP="00AE41B7">
      <w:pPr>
        <w:shd w:val="clear" w:color="auto" w:fill="C0C0C0"/>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(b) Requiring respondents to prepare a written response to a collection of information in fewer than 30 days after receipt of it.</w:t>
      </w:r>
    </w:p>
    <w:p w14:paraId="19FE0AFE"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(c) Requiring respondents to submit more than an original and two copies of any document.</w:t>
      </w:r>
    </w:p>
    <w:p w14:paraId="41F86872"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(d) Requiring respondents to retain records, other than health, medical, government contract, grant-in-aid, or tax records for more than three years.</w:t>
      </w:r>
    </w:p>
    <w:p w14:paraId="71CBC3C3"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 xml:space="preserve">(e) In connection with a statistical </w:t>
      </w:r>
      <w:r w:rsidR="00DA3532" w:rsidRPr="00DA3532">
        <w:t>vulnerab</w:t>
      </w:r>
      <w:r w:rsidR="00DA3532">
        <w:t>ility assessments questionnaire</w:t>
      </w:r>
      <w:r w:rsidRPr="00EE22A5">
        <w:t>, that is not designed to produce valid and reliable results that can be generalized to the universe of study.</w:t>
      </w:r>
    </w:p>
    <w:p w14:paraId="312214B0"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00AE41B7" w:rsidRPr="00EE22A5">
        <w:t>(</w:t>
      </w:r>
      <w:r w:rsidRPr="00EE22A5">
        <w:t>f) Requiring the use of a statistical data classification that has not been reviewed and approved by OMB.</w:t>
      </w:r>
    </w:p>
    <w:p w14:paraId="03807FBB"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3B0C999" w14:textId="77777777" w:rsidR="00EB5E96" w:rsidRPr="00EE22A5" w:rsidRDefault="00EB5E96" w:rsidP="00AE41B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6032FA47" w14:textId="77777777" w:rsidR="002B0649" w:rsidRPr="00EE22A5" w:rsidRDefault="00EB5E96" w:rsidP="000C4293">
      <w:pPr>
        <w:tabs>
          <w:tab w:val="left" w:pos="-720"/>
        </w:tabs>
        <w:suppressAutoHyphens/>
        <w:ind w:left="144"/>
        <w:jc w:val="both"/>
      </w:pPr>
      <w:r w:rsidRPr="00EE22A5">
        <w:fldChar w:fldCharType="begin"/>
      </w:r>
      <w:r w:rsidRPr="00EE22A5">
        <w:instrText>ADVANCE \R 0.95</w:instrText>
      </w:r>
      <w:r w:rsidRPr="00EE22A5">
        <w:fldChar w:fldCharType="end"/>
      </w:r>
    </w:p>
    <w:p w14:paraId="1EB84DD6" w14:textId="519A554A" w:rsidR="00D73BBC" w:rsidRPr="00EE22A5" w:rsidRDefault="007E3420" w:rsidP="00D73BBC">
      <w:pPr>
        <w:tabs>
          <w:tab w:val="left" w:pos="-720"/>
        </w:tabs>
        <w:suppressAutoHyphens/>
        <w:jc w:val="both"/>
        <w:rPr>
          <w:spacing w:val="-3"/>
        </w:rPr>
      </w:pPr>
      <w:r w:rsidRPr="00EE22A5">
        <w:rPr>
          <w:spacing w:val="-3"/>
        </w:rPr>
        <w:t xml:space="preserve">There are no identified special circumstances at this time that would </w:t>
      </w:r>
      <w:r w:rsidR="007A04B6" w:rsidRPr="00EE22A5">
        <w:rPr>
          <w:spacing w:val="-3"/>
        </w:rPr>
        <w:t>affect</w:t>
      </w:r>
      <w:r w:rsidRPr="00EE22A5">
        <w:rPr>
          <w:spacing w:val="-3"/>
        </w:rPr>
        <w:t xml:space="preserve"> or </w:t>
      </w:r>
      <w:r w:rsidR="00DA3532" w:rsidRPr="00DA3532">
        <w:rPr>
          <w:spacing w:val="-3"/>
        </w:rPr>
        <w:t>vulnerab</w:t>
      </w:r>
      <w:r w:rsidR="00DA3532">
        <w:rPr>
          <w:spacing w:val="-3"/>
        </w:rPr>
        <w:t>ility assessments.</w:t>
      </w:r>
    </w:p>
    <w:p w14:paraId="1F8ECEA1" w14:textId="77777777" w:rsidR="00AE41B7" w:rsidRPr="00EE22A5" w:rsidRDefault="00AE41B7" w:rsidP="000C4293">
      <w:pPr>
        <w:tabs>
          <w:tab w:val="left" w:pos="-720"/>
        </w:tabs>
        <w:suppressAutoHyphens/>
        <w:jc w:val="both"/>
      </w:pPr>
    </w:p>
    <w:p w14:paraId="4499BFB1" w14:textId="77777777" w:rsidR="00EB5E96" w:rsidRDefault="00EB5E96" w:rsidP="004C21F8">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8.  </w:t>
      </w:r>
      <w:r w:rsidRPr="00DB5CB8">
        <w:t>Federal Register Notice:</w:t>
      </w:r>
      <w:r w:rsidRPr="00EE22A5">
        <w:t xml:space="preserve"> </w:t>
      </w:r>
    </w:p>
    <w:p w14:paraId="595BD4E6" w14:textId="77777777" w:rsidR="00F1361C" w:rsidRPr="00EE22A5" w:rsidRDefault="00F1361C" w:rsidP="004C21F8">
      <w:pPr>
        <w:shd w:val="pct25" w:color="auto" w:fill="auto"/>
        <w:tabs>
          <w:tab w:val="left" w:pos="-720"/>
        </w:tabs>
        <w:suppressAutoHyphens/>
        <w:jc w:val="both"/>
      </w:pPr>
    </w:p>
    <w:p w14:paraId="33034F1A" w14:textId="77777777" w:rsidR="00EB5E96" w:rsidRDefault="00EB5E96" w:rsidP="004C21F8">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0FE603B" w14:textId="77777777" w:rsidR="00F1361C" w:rsidRPr="00EE22A5" w:rsidRDefault="00F1361C" w:rsidP="004C21F8">
      <w:pPr>
        <w:shd w:val="clear" w:color="auto" w:fill="C0C0C0"/>
        <w:tabs>
          <w:tab w:val="left" w:pos="-720"/>
        </w:tabs>
        <w:suppressAutoHyphens/>
        <w:jc w:val="both"/>
      </w:pPr>
    </w:p>
    <w:p w14:paraId="59BE6B5C" w14:textId="77777777" w:rsidR="00EB5E96" w:rsidRDefault="00EB5E96" w:rsidP="004C21F8">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79297D8A" w14:textId="77777777" w:rsidR="00F1361C" w:rsidRPr="00EE22A5" w:rsidRDefault="00F1361C" w:rsidP="004C21F8">
      <w:pPr>
        <w:shd w:val="pct25" w:color="auto" w:fill="auto"/>
        <w:tabs>
          <w:tab w:val="left" w:pos="-720"/>
        </w:tabs>
        <w:suppressAutoHyphens/>
        <w:jc w:val="both"/>
      </w:pPr>
    </w:p>
    <w:p w14:paraId="47C1FE29" w14:textId="77777777" w:rsidR="00EB5E96" w:rsidRPr="00EE22A5" w:rsidRDefault="00EB5E96" w:rsidP="004C21F8">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78403B70"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B67664" w:rsidRPr="00EE22A5" w14:paraId="3BA0982D" w14:textId="77777777" w:rsidTr="00D3411B">
        <w:tc>
          <w:tcPr>
            <w:tcW w:w="2268" w:type="dxa"/>
            <w:shd w:val="clear" w:color="auto" w:fill="000000"/>
          </w:tcPr>
          <w:p w14:paraId="53354201" w14:textId="77777777" w:rsidR="00B67664" w:rsidRPr="00EE22A5" w:rsidRDefault="00B67664" w:rsidP="00D3411B">
            <w:pPr>
              <w:tabs>
                <w:tab w:val="left" w:pos="-720"/>
              </w:tabs>
              <w:suppressAutoHyphens/>
              <w:jc w:val="both"/>
            </w:pPr>
          </w:p>
        </w:tc>
        <w:tc>
          <w:tcPr>
            <w:tcW w:w="1530" w:type="dxa"/>
            <w:shd w:val="clear" w:color="auto" w:fill="BFBFBF"/>
          </w:tcPr>
          <w:p w14:paraId="3D320631" w14:textId="77777777" w:rsidR="00B67664" w:rsidRPr="00EE22A5" w:rsidRDefault="00B67664" w:rsidP="00D3411B">
            <w:pPr>
              <w:tabs>
                <w:tab w:val="left" w:pos="-720"/>
              </w:tabs>
              <w:suppressAutoHyphens/>
              <w:jc w:val="center"/>
              <w:rPr>
                <w:b/>
              </w:rPr>
            </w:pPr>
            <w:r w:rsidRPr="00EE22A5">
              <w:rPr>
                <w:b/>
              </w:rPr>
              <w:t>Date of Publication</w:t>
            </w:r>
          </w:p>
        </w:tc>
        <w:tc>
          <w:tcPr>
            <w:tcW w:w="1226" w:type="dxa"/>
            <w:shd w:val="clear" w:color="auto" w:fill="BFBFBF"/>
            <w:vAlign w:val="center"/>
          </w:tcPr>
          <w:p w14:paraId="432459DF" w14:textId="77777777" w:rsidR="00B67664" w:rsidRPr="00EE22A5" w:rsidRDefault="00B67664" w:rsidP="00D3411B">
            <w:pPr>
              <w:tabs>
                <w:tab w:val="left" w:pos="-720"/>
              </w:tabs>
              <w:suppressAutoHyphens/>
              <w:jc w:val="center"/>
              <w:rPr>
                <w:b/>
              </w:rPr>
            </w:pPr>
            <w:r w:rsidRPr="00EE22A5">
              <w:rPr>
                <w:b/>
              </w:rPr>
              <w:t>Volume #</w:t>
            </w:r>
          </w:p>
        </w:tc>
        <w:tc>
          <w:tcPr>
            <w:tcW w:w="1924" w:type="dxa"/>
            <w:shd w:val="clear" w:color="auto" w:fill="BFBFBF"/>
            <w:vAlign w:val="center"/>
          </w:tcPr>
          <w:p w14:paraId="64989235" w14:textId="77777777" w:rsidR="00B67664" w:rsidRPr="00EE22A5" w:rsidRDefault="00B67664" w:rsidP="00D3411B">
            <w:pPr>
              <w:tabs>
                <w:tab w:val="left" w:pos="-720"/>
              </w:tabs>
              <w:suppressAutoHyphens/>
              <w:jc w:val="center"/>
              <w:rPr>
                <w:b/>
              </w:rPr>
            </w:pPr>
            <w:r w:rsidRPr="00EE22A5">
              <w:rPr>
                <w:b/>
              </w:rPr>
              <w:t>Number #</w:t>
            </w:r>
          </w:p>
        </w:tc>
        <w:tc>
          <w:tcPr>
            <w:tcW w:w="1216" w:type="dxa"/>
            <w:shd w:val="clear" w:color="auto" w:fill="BFBFBF"/>
            <w:vAlign w:val="center"/>
          </w:tcPr>
          <w:p w14:paraId="4C2DDF0F" w14:textId="77777777" w:rsidR="00B67664" w:rsidRPr="00EE22A5" w:rsidRDefault="00B67664" w:rsidP="00D3411B">
            <w:pPr>
              <w:tabs>
                <w:tab w:val="left" w:pos="-720"/>
              </w:tabs>
              <w:suppressAutoHyphens/>
              <w:jc w:val="center"/>
              <w:rPr>
                <w:b/>
              </w:rPr>
            </w:pPr>
            <w:r w:rsidRPr="00EE22A5">
              <w:rPr>
                <w:b/>
              </w:rPr>
              <w:t>Page #</w:t>
            </w:r>
          </w:p>
        </w:tc>
        <w:tc>
          <w:tcPr>
            <w:tcW w:w="1396" w:type="dxa"/>
            <w:shd w:val="clear" w:color="auto" w:fill="BFBFBF"/>
          </w:tcPr>
          <w:p w14:paraId="16D31A31" w14:textId="77777777" w:rsidR="00B67664" w:rsidRPr="00EE22A5" w:rsidRDefault="00B67664" w:rsidP="00D3411B">
            <w:pPr>
              <w:tabs>
                <w:tab w:val="left" w:pos="-720"/>
              </w:tabs>
              <w:suppressAutoHyphens/>
              <w:jc w:val="center"/>
              <w:rPr>
                <w:b/>
              </w:rPr>
            </w:pPr>
            <w:r w:rsidRPr="00EE22A5">
              <w:rPr>
                <w:b/>
              </w:rPr>
              <w:t>Comments Addressed</w:t>
            </w:r>
          </w:p>
        </w:tc>
      </w:tr>
      <w:tr w:rsidR="00B67664" w:rsidRPr="00EE22A5" w14:paraId="0A3EDCA1" w14:textId="77777777" w:rsidTr="00D3411B">
        <w:tc>
          <w:tcPr>
            <w:tcW w:w="2268" w:type="dxa"/>
          </w:tcPr>
          <w:p w14:paraId="1AFAD00A" w14:textId="01DAA427" w:rsidR="00B67664" w:rsidRPr="00EE22A5" w:rsidRDefault="00B67664" w:rsidP="00D3411B">
            <w:pPr>
              <w:tabs>
                <w:tab w:val="left" w:pos="-720"/>
              </w:tabs>
              <w:suppressAutoHyphens/>
              <w:rPr>
                <w:i/>
              </w:rPr>
            </w:pPr>
            <w:r w:rsidRPr="00EE22A5">
              <w:rPr>
                <w:i/>
              </w:rPr>
              <w:t>60</w:t>
            </w:r>
            <w:r w:rsidR="007050E1">
              <w:rPr>
                <w:i/>
              </w:rPr>
              <w:t>-</w:t>
            </w:r>
            <w:r w:rsidRPr="00EE22A5">
              <w:rPr>
                <w:i/>
              </w:rPr>
              <w:t>Day Federal Register Notice:</w:t>
            </w:r>
          </w:p>
        </w:tc>
        <w:tc>
          <w:tcPr>
            <w:tcW w:w="1530" w:type="dxa"/>
          </w:tcPr>
          <w:p w14:paraId="230BD35F" w14:textId="43257C2C" w:rsidR="00B67664" w:rsidRPr="00EE22A5" w:rsidRDefault="00F50765" w:rsidP="00D3411B">
            <w:pPr>
              <w:tabs>
                <w:tab w:val="left" w:pos="-720"/>
              </w:tabs>
              <w:suppressAutoHyphens/>
              <w:jc w:val="center"/>
            </w:pPr>
            <w:r>
              <w:t xml:space="preserve">July 10, </w:t>
            </w:r>
            <w:r w:rsidR="00A474A9">
              <w:t>2019</w:t>
            </w:r>
          </w:p>
        </w:tc>
        <w:tc>
          <w:tcPr>
            <w:tcW w:w="1226" w:type="dxa"/>
          </w:tcPr>
          <w:p w14:paraId="17B89EC8" w14:textId="0177EB97" w:rsidR="00B67664" w:rsidRPr="00EE22A5" w:rsidRDefault="00DD4205" w:rsidP="00D3411B">
            <w:pPr>
              <w:tabs>
                <w:tab w:val="left" w:pos="-720"/>
              </w:tabs>
              <w:suppressAutoHyphens/>
              <w:jc w:val="both"/>
            </w:pPr>
            <w:r>
              <w:t>8</w:t>
            </w:r>
            <w:r w:rsidR="00A474A9">
              <w:t>4</w:t>
            </w:r>
          </w:p>
        </w:tc>
        <w:tc>
          <w:tcPr>
            <w:tcW w:w="1924" w:type="dxa"/>
          </w:tcPr>
          <w:p w14:paraId="20B02C22" w14:textId="42BABC8D" w:rsidR="00B67664" w:rsidRPr="00EE22A5" w:rsidRDefault="00A474A9" w:rsidP="00D3411B">
            <w:pPr>
              <w:tabs>
                <w:tab w:val="left" w:pos="-720"/>
              </w:tabs>
              <w:suppressAutoHyphens/>
              <w:jc w:val="both"/>
            </w:pPr>
            <w:r>
              <w:t>132</w:t>
            </w:r>
          </w:p>
        </w:tc>
        <w:tc>
          <w:tcPr>
            <w:tcW w:w="1216" w:type="dxa"/>
          </w:tcPr>
          <w:p w14:paraId="2199E726" w14:textId="4A6A6DBB" w:rsidR="00B67664" w:rsidRPr="00EE22A5" w:rsidRDefault="00A474A9" w:rsidP="00D3411B">
            <w:pPr>
              <w:tabs>
                <w:tab w:val="left" w:pos="-720"/>
              </w:tabs>
              <w:suppressAutoHyphens/>
              <w:jc w:val="both"/>
            </w:pPr>
            <w:r>
              <w:t>32930 – 32931</w:t>
            </w:r>
          </w:p>
        </w:tc>
        <w:tc>
          <w:tcPr>
            <w:tcW w:w="1396" w:type="dxa"/>
          </w:tcPr>
          <w:p w14:paraId="28456BA2" w14:textId="77777777" w:rsidR="00B67664" w:rsidRPr="00EE22A5" w:rsidRDefault="00DD4205" w:rsidP="00D3411B">
            <w:pPr>
              <w:tabs>
                <w:tab w:val="left" w:pos="-720"/>
              </w:tabs>
              <w:suppressAutoHyphens/>
              <w:jc w:val="both"/>
            </w:pPr>
            <w:r>
              <w:t>0</w:t>
            </w:r>
          </w:p>
        </w:tc>
      </w:tr>
      <w:tr w:rsidR="00B67664" w:rsidRPr="00EE22A5" w14:paraId="1ADAA5FE" w14:textId="77777777" w:rsidTr="00D3411B">
        <w:tc>
          <w:tcPr>
            <w:tcW w:w="2268" w:type="dxa"/>
          </w:tcPr>
          <w:p w14:paraId="28A2B780" w14:textId="77777777" w:rsidR="00B67664" w:rsidRPr="00EE22A5" w:rsidRDefault="00B67664" w:rsidP="00D3411B">
            <w:pPr>
              <w:tabs>
                <w:tab w:val="left" w:pos="-720"/>
              </w:tabs>
              <w:suppressAutoHyphens/>
            </w:pPr>
            <w:r w:rsidRPr="00EE22A5">
              <w:rPr>
                <w:i/>
              </w:rPr>
              <w:t>30-Day Federal Register Notice</w:t>
            </w:r>
          </w:p>
        </w:tc>
        <w:tc>
          <w:tcPr>
            <w:tcW w:w="1530" w:type="dxa"/>
          </w:tcPr>
          <w:p w14:paraId="05666705" w14:textId="6F8358F1" w:rsidR="00B67664" w:rsidRPr="00EE22A5" w:rsidRDefault="008637C6" w:rsidP="00A474A9">
            <w:pPr>
              <w:tabs>
                <w:tab w:val="left" w:pos="-720"/>
              </w:tabs>
              <w:suppressAutoHyphens/>
              <w:jc w:val="center"/>
            </w:pPr>
            <w:r>
              <w:t>November 14, 2019</w:t>
            </w:r>
          </w:p>
        </w:tc>
        <w:tc>
          <w:tcPr>
            <w:tcW w:w="1226" w:type="dxa"/>
          </w:tcPr>
          <w:p w14:paraId="448AE32A" w14:textId="7319EDDC" w:rsidR="00B67664" w:rsidRPr="00EE22A5" w:rsidRDefault="008637C6" w:rsidP="00D3411B">
            <w:pPr>
              <w:tabs>
                <w:tab w:val="left" w:pos="-720"/>
              </w:tabs>
              <w:suppressAutoHyphens/>
              <w:jc w:val="both"/>
            </w:pPr>
            <w:r>
              <w:t>84</w:t>
            </w:r>
          </w:p>
        </w:tc>
        <w:tc>
          <w:tcPr>
            <w:tcW w:w="1924" w:type="dxa"/>
          </w:tcPr>
          <w:p w14:paraId="1F398C84" w14:textId="4AAF3168" w:rsidR="00B67664" w:rsidRPr="00EE22A5" w:rsidRDefault="008637C6" w:rsidP="00D3411B">
            <w:pPr>
              <w:tabs>
                <w:tab w:val="left" w:pos="-720"/>
              </w:tabs>
              <w:suppressAutoHyphens/>
              <w:jc w:val="both"/>
            </w:pPr>
            <w:r>
              <w:t>220</w:t>
            </w:r>
          </w:p>
        </w:tc>
        <w:tc>
          <w:tcPr>
            <w:tcW w:w="1216" w:type="dxa"/>
          </w:tcPr>
          <w:p w14:paraId="7DD057A6" w14:textId="4F4E3821" w:rsidR="00B67664" w:rsidRPr="00EE22A5" w:rsidRDefault="008637C6" w:rsidP="00D3411B">
            <w:pPr>
              <w:tabs>
                <w:tab w:val="left" w:pos="-720"/>
              </w:tabs>
              <w:suppressAutoHyphens/>
              <w:jc w:val="both"/>
            </w:pPr>
            <w:r>
              <w:t>61923 – 61924</w:t>
            </w:r>
          </w:p>
        </w:tc>
        <w:tc>
          <w:tcPr>
            <w:tcW w:w="1396" w:type="dxa"/>
          </w:tcPr>
          <w:p w14:paraId="3CBF883F" w14:textId="06CC318B" w:rsidR="00B67664" w:rsidRPr="00EE22A5" w:rsidRDefault="008637C6" w:rsidP="00D3411B">
            <w:pPr>
              <w:tabs>
                <w:tab w:val="left" w:pos="-720"/>
              </w:tabs>
              <w:suppressAutoHyphens/>
              <w:jc w:val="both"/>
            </w:pPr>
            <w:r>
              <w:t>0</w:t>
            </w:r>
          </w:p>
        </w:tc>
      </w:tr>
    </w:tbl>
    <w:p w14:paraId="511EB13A" w14:textId="77777777" w:rsidR="00AA3F82" w:rsidRPr="00EE22A5" w:rsidRDefault="00AA3F82" w:rsidP="000C4293">
      <w:pPr>
        <w:tabs>
          <w:tab w:val="left" w:pos="-720"/>
        </w:tabs>
        <w:suppressAutoHyphens/>
        <w:jc w:val="both"/>
      </w:pPr>
    </w:p>
    <w:p w14:paraId="2181E181"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9.  Explain any decision to provide any payment or gift to respondents, other than remuneration of contractors or grantees.</w:t>
      </w:r>
    </w:p>
    <w:p w14:paraId="0EB4C6C4" w14:textId="77777777" w:rsidR="00EB5E96" w:rsidRPr="00EE22A5" w:rsidRDefault="00EB5E96" w:rsidP="000C4293">
      <w:pPr>
        <w:tabs>
          <w:tab w:val="left" w:pos="-720"/>
        </w:tabs>
        <w:suppressAutoHyphens/>
        <w:jc w:val="both"/>
      </w:pPr>
    </w:p>
    <w:p w14:paraId="483A09D2" w14:textId="77777777" w:rsidR="00EB5E96" w:rsidRPr="00EE22A5" w:rsidRDefault="00C95915" w:rsidP="000C4293">
      <w:pPr>
        <w:tabs>
          <w:tab w:val="left" w:pos="-720"/>
        </w:tabs>
        <w:suppressAutoHyphens/>
        <w:jc w:val="both"/>
        <w:rPr>
          <w:spacing w:val="-3"/>
        </w:rPr>
      </w:pPr>
      <w:r w:rsidRPr="00EE22A5">
        <w:rPr>
          <w:spacing w:val="-3"/>
        </w:rPr>
        <w:t>There is no offer of monetary or material value for this information.</w:t>
      </w:r>
    </w:p>
    <w:p w14:paraId="7597951A" w14:textId="77777777" w:rsidR="00C95915" w:rsidRPr="00EE22A5" w:rsidRDefault="00C95915" w:rsidP="000C4293">
      <w:pPr>
        <w:tabs>
          <w:tab w:val="left" w:pos="-720"/>
        </w:tabs>
        <w:suppressAutoHyphens/>
        <w:jc w:val="both"/>
      </w:pPr>
    </w:p>
    <w:p w14:paraId="53400227"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10.  Describe any assurance of confidentiality provided to respondents and the basis for the assurance in statute, regulation, or agency policy.  </w:t>
      </w:r>
    </w:p>
    <w:p w14:paraId="599F67CF"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p w14:paraId="66D4AA91" w14:textId="77777777" w:rsidR="00275971" w:rsidRDefault="00275971" w:rsidP="00D73BBC">
      <w:pPr>
        <w:tabs>
          <w:tab w:val="left" w:pos="-720"/>
        </w:tabs>
        <w:suppressAutoHyphens/>
        <w:jc w:val="both"/>
        <w:rPr>
          <w:spacing w:val="-3"/>
        </w:rPr>
      </w:pPr>
    </w:p>
    <w:p w14:paraId="07A05C4A" w14:textId="6CC004AD" w:rsidR="00275971" w:rsidRDefault="00EB4167" w:rsidP="00D73BBC">
      <w:pPr>
        <w:tabs>
          <w:tab w:val="left" w:pos="-720"/>
        </w:tabs>
        <w:suppressAutoHyphens/>
        <w:jc w:val="both"/>
      </w:pPr>
      <w:r>
        <w:t xml:space="preserve">The </w:t>
      </w:r>
      <w:hyperlink r:id="rId14" w:history="1">
        <w:r w:rsidR="00275971" w:rsidRPr="00275971">
          <w:rPr>
            <w:rStyle w:val="Hyperlink"/>
          </w:rPr>
          <w:t xml:space="preserve">Protected Critical Infrastructure Information </w:t>
        </w:r>
      </w:hyperlink>
      <w:r w:rsidR="00FA32A6">
        <w:rPr>
          <w:rStyle w:val="Hyperlink"/>
        </w:rPr>
        <w:t xml:space="preserve"> (PCII) </w:t>
      </w:r>
      <w:r w:rsidR="00002BF2">
        <w:rPr>
          <w:rStyle w:val="Hyperlink"/>
        </w:rPr>
        <w:t>Program</w:t>
      </w:r>
      <w:r w:rsidR="00275971" w:rsidRPr="00275971">
        <w:t xml:space="preserve"> is a crucial tool in facilitating the </w:t>
      </w:r>
      <w:hyperlink r:id="rId15" w:history="1">
        <w:r w:rsidR="00275971" w:rsidRPr="00275971">
          <w:rPr>
            <w:rStyle w:val="Hyperlink"/>
          </w:rPr>
          <w:t>Department of Homeland Security’s (DHS</w:t>
        </w:r>
      </w:hyperlink>
      <w:r w:rsidR="00275971" w:rsidRPr="00275971">
        <w:t xml:space="preserve">) analysis of infrastructure vulnerability and related information for planning, preparedness, warnings and other </w:t>
      </w:r>
      <w:r w:rsidR="00002BF2">
        <w:t xml:space="preserve">appropriate </w:t>
      </w:r>
      <w:r w:rsidR="00275971" w:rsidRPr="00275971">
        <w:t xml:space="preserve">purposes. The </w:t>
      </w:r>
      <w:r w:rsidR="00275971">
        <w:t>P</w:t>
      </w:r>
      <w:r w:rsidR="00275971" w:rsidRPr="00275971">
        <w:t xml:space="preserve">CII </w:t>
      </w:r>
      <w:r w:rsidR="00002BF2">
        <w:t>Program</w:t>
      </w:r>
      <w:r w:rsidR="00781A4E">
        <w:t>, implemented by regulation in 6 C.F.R. part 29,</w:t>
      </w:r>
      <w:r w:rsidR="00275971" w:rsidRPr="00275971">
        <w:t xml:space="preserve"> enables DHS to collaborate effectively to protect America’s critical infrastructure, eighty-five percent of which is in the private sector’s hands. The </w:t>
      </w:r>
      <w:r w:rsidR="00275971">
        <w:t>P</w:t>
      </w:r>
      <w:r w:rsidR="00275971" w:rsidRPr="00275971">
        <w:t xml:space="preserve">CII </w:t>
      </w:r>
      <w:r w:rsidR="001F3464">
        <w:t>Program</w:t>
      </w:r>
      <w:r w:rsidR="00275971" w:rsidRPr="00275971">
        <w:t xml:space="preserve"> authorize</w:t>
      </w:r>
      <w:r w:rsidR="00234096">
        <w:t>s</w:t>
      </w:r>
      <w:r w:rsidR="00275971" w:rsidRPr="00275971">
        <w:t xml:space="preserve"> DHS to accept </w:t>
      </w:r>
      <w:r w:rsidR="00234096">
        <w:t xml:space="preserve">voluntarily-submitted </w:t>
      </w:r>
      <w:r w:rsidR="00275971" w:rsidRPr="00275971">
        <w:t xml:space="preserve">information relating to critical infrastructure from the public, owners and operators of critical infrastructure, and State, local, and tribal governmental entities, while limiting public disclosure of that sensitive information under the </w:t>
      </w:r>
      <w:hyperlink r:id="rId16" w:history="1">
        <w:r w:rsidR="00275971" w:rsidRPr="00275971">
          <w:rPr>
            <w:rStyle w:val="Hyperlink"/>
          </w:rPr>
          <w:t>Freedom of Information Act, 5 U.S.C. 552 (FOIA</w:t>
        </w:r>
      </w:hyperlink>
      <w:r w:rsidR="00275971" w:rsidRPr="00275971">
        <w:t>), and other laws, rules, and processes.</w:t>
      </w:r>
      <w:r w:rsidR="00781A4E">
        <w:t xml:space="preserve">  </w:t>
      </w:r>
      <w:r w:rsidR="00781A4E" w:rsidRPr="00FA32A6">
        <w:rPr>
          <w:i/>
        </w:rPr>
        <w:t>See</w:t>
      </w:r>
      <w:r w:rsidR="00FA32A6">
        <w:rPr>
          <w:i/>
        </w:rPr>
        <w:t>, e.g.,</w:t>
      </w:r>
      <w:r w:rsidR="00781A4E">
        <w:t xml:space="preserve"> 6 C.F.R. §§ 29.</w:t>
      </w:r>
      <w:r w:rsidR="00FA32A6">
        <w:t>5, 29.</w:t>
      </w:r>
      <w:r w:rsidR="00781A4E">
        <w:t>6 and 29.8.</w:t>
      </w:r>
    </w:p>
    <w:p w14:paraId="2E012DAB" w14:textId="77777777" w:rsidR="00275971" w:rsidRDefault="00275971" w:rsidP="00D73BBC">
      <w:pPr>
        <w:tabs>
          <w:tab w:val="left" w:pos="-720"/>
        </w:tabs>
        <w:suppressAutoHyphens/>
        <w:jc w:val="both"/>
      </w:pPr>
    </w:p>
    <w:p w14:paraId="7E41C818" w14:textId="0B77B7DB" w:rsidR="00275971" w:rsidRDefault="009532B6" w:rsidP="00D73BBC">
      <w:pPr>
        <w:tabs>
          <w:tab w:val="left" w:pos="-720"/>
        </w:tabs>
        <w:suppressAutoHyphens/>
        <w:jc w:val="both"/>
        <w:rPr>
          <w:spacing w:val="-3"/>
        </w:rPr>
      </w:pPr>
      <w:r>
        <w:rPr>
          <w:spacing w:val="-3"/>
        </w:rPr>
        <w:t xml:space="preserve">PSAs and CSAs are responsible for entering the assessment data by accessing the system.  </w:t>
      </w:r>
      <w:r w:rsidR="00275971" w:rsidRPr="00EE22A5">
        <w:rPr>
          <w:spacing w:val="-3"/>
        </w:rPr>
        <w:t xml:space="preserve">All </w:t>
      </w:r>
      <w:r w:rsidR="00DA3532" w:rsidRPr="00DA3532">
        <w:rPr>
          <w:spacing w:val="-3"/>
        </w:rPr>
        <w:t>vulnerab</w:t>
      </w:r>
      <w:r w:rsidR="002C465F">
        <w:rPr>
          <w:spacing w:val="-3"/>
        </w:rPr>
        <w:t xml:space="preserve">ility assessments </w:t>
      </w:r>
      <w:r w:rsidR="00275971" w:rsidRPr="00EE22A5">
        <w:rPr>
          <w:spacing w:val="-3"/>
        </w:rPr>
        <w:t xml:space="preserve">data </w:t>
      </w:r>
      <w:r w:rsidR="00005F1E">
        <w:rPr>
          <w:spacing w:val="-3"/>
        </w:rPr>
        <w:t>are</w:t>
      </w:r>
      <w:r w:rsidR="0014454A">
        <w:rPr>
          <w:spacing w:val="-3"/>
        </w:rPr>
        <w:t xml:space="preserve"> </w:t>
      </w:r>
      <w:r w:rsidR="00275971">
        <w:rPr>
          <w:spacing w:val="-3"/>
        </w:rPr>
        <w:t xml:space="preserve">submitted in compliance with </w:t>
      </w:r>
      <w:r w:rsidR="00643A56">
        <w:rPr>
          <w:spacing w:val="-3"/>
        </w:rPr>
        <w:t xml:space="preserve">the </w:t>
      </w:r>
      <w:r w:rsidR="00275971">
        <w:rPr>
          <w:spacing w:val="-3"/>
        </w:rPr>
        <w:t>PCII</w:t>
      </w:r>
      <w:r w:rsidR="00643A56">
        <w:rPr>
          <w:spacing w:val="-3"/>
        </w:rPr>
        <w:t xml:space="preserve"> Program</w:t>
      </w:r>
      <w:r w:rsidR="000E1C47">
        <w:rPr>
          <w:spacing w:val="-3"/>
        </w:rPr>
        <w:t xml:space="preserve">.  </w:t>
      </w:r>
      <w:r w:rsidR="00005F1E">
        <w:rPr>
          <w:spacing w:val="-3"/>
        </w:rPr>
        <w:t>Under the PCII Program, critical infrastructure information that is validated as PCII, including the identity of t</w:t>
      </w:r>
      <w:r w:rsidR="00330EA7">
        <w:rPr>
          <w:spacing w:val="-3"/>
        </w:rPr>
        <w:t xml:space="preserve">he submitting person or entity </w:t>
      </w:r>
      <w:r w:rsidR="00615D6A">
        <w:rPr>
          <w:spacing w:val="-3"/>
        </w:rPr>
        <w:t xml:space="preserve">and any person or entity on </w:t>
      </w:r>
      <w:r w:rsidR="00643A56">
        <w:rPr>
          <w:spacing w:val="-3"/>
        </w:rPr>
        <w:t xml:space="preserve">whose behalf </w:t>
      </w:r>
      <w:r w:rsidR="00615D6A">
        <w:rPr>
          <w:spacing w:val="-3"/>
        </w:rPr>
        <w:t xml:space="preserve">the information is submitted, </w:t>
      </w:r>
      <w:r w:rsidR="00005F1E">
        <w:rPr>
          <w:spacing w:val="-3"/>
        </w:rPr>
        <w:t xml:space="preserve">is confidential and protected from </w:t>
      </w:r>
      <w:r>
        <w:rPr>
          <w:spacing w:val="-3"/>
        </w:rPr>
        <w:t>disclosure</w:t>
      </w:r>
      <w:r w:rsidR="00151CCE">
        <w:rPr>
          <w:spacing w:val="-3"/>
        </w:rPr>
        <w:t xml:space="preserve"> (except as disclosure of PCII is permitted pursuant to regulation)</w:t>
      </w:r>
      <w:r>
        <w:rPr>
          <w:spacing w:val="-3"/>
        </w:rPr>
        <w:t>.</w:t>
      </w:r>
      <w:r w:rsidR="00151CCE">
        <w:rPr>
          <w:spacing w:val="-3"/>
        </w:rPr>
        <w:t xml:space="preserve">  </w:t>
      </w:r>
      <w:r w:rsidR="00151CCE" w:rsidRPr="00151CCE">
        <w:rPr>
          <w:i/>
          <w:spacing w:val="-3"/>
        </w:rPr>
        <w:t>See</w:t>
      </w:r>
      <w:r w:rsidR="00151CCE">
        <w:rPr>
          <w:spacing w:val="-3"/>
        </w:rPr>
        <w:t xml:space="preserve"> 6 C.F.R. §§ 29.1, </w:t>
      </w:r>
      <w:r>
        <w:rPr>
          <w:spacing w:val="-3"/>
        </w:rPr>
        <w:t>29.2</w:t>
      </w:r>
      <w:r w:rsidR="00330EA7">
        <w:rPr>
          <w:spacing w:val="-3"/>
        </w:rPr>
        <w:t xml:space="preserve">, </w:t>
      </w:r>
      <w:r w:rsidR="00151CCE">
        <w:rPr>
          <w:spacing w:val="-3"/>
        </w:rPr>
        <w:t>and 29.8</w:t>
      </w:r>
      <w:r>
        <w:rPr>
          <w:spacing w:val="-3"/>
        </w:rPr>
        <w:t>.</w:t>
      </w:r>
      <w:r w:rsidR="00005F1E">
        <w:rPr>
          <w:spacing w:val="-3"/>
        </w:rPr>
        <w:t xml:space="preserve"> </w:t>
      </w:r>
    </w:p>
    <w:p w14:paraId="4F0300ED" w14:textId="169DA71C" w:rsidR="00C34B17" w:rsidRDefault="00C34B17" w:rsidP="00D73BBC">
      <w:pPr>
        <w:tabs>
          <w:tab w:val="left" w:pos="-720"/>
        </w:tabs>
        <w:suppressAutoHyphens/>
        <w:jc w:val="both"/>
        <w:rPr>
          <w:spacing w:val="-3"/>
        </w:rPr>
      </w:pPr>
    </w:p>
    <w:p w14:paraId="3CA62BCB" w14:textId="71117182" w:rsidR="00AA3F82" w:rsidRDefault="00C34B17" w:rsidP="000C4293">
      <w:pPr>
        <w:tabs>
          <w:tab w:val="left" w:pos="-720"/>
        </w:tabs>
        <w:suppressAutoHyphens/>
        <w:jc w:val="both"/>
        <w:rPr>
          <w:spacing w:val="-3"/>
        </w:rPr>
      </w:pPr>
      <w:r>
        <w:rPr>
          <w:spacing w:val="-3"/>
        </w:rPr>
        <w:t>The DHS Privacy Office review finds that this a privacy sensitive collection requiring a Privacy Impact Assessment (PIA</w:t>
      </w:r>
      <w:r w:rsidR="00DA729B">
        <w:rPr>
          <w:spacing w:val="-3"/>
        </w:rPr>
        <w:t>)</w:t>
      </w:r>
      <w:r>
        <w:rPr>
          <w:spacing w:val="-3"/>
        </w:rPr>
        <w:t xml:space="preserve">.  The collection is covered by PIA </w:t>
      </w:r>
      <w:r w:rsidR="005616C0">
        <w:rPr>
          <w:spacing w:val="-3"/>
        </w:rPr>
        <w:t>– DHS/NPPD/PIA-023 Infrastructure Protection Gateway.</w:t>
      </w:r>
    </w:p>
    <w:p w14:paraId="24E1FE51" w14:textId="77777777" w:rsidR="005616C0" w:rsidRPr="00EE22A5" w:rsidRDefault="005616C0" w:rsidP="000C4293">
      <w:pPr>
        <w:tabs>
          <w:tab w:val="left" w:pos="-720"/>
        </w:tabs>
        <w:suppressAutoHyphens/>
        <w:jc w:val="both"/>
      </w:pPr>
    </w:p>
    <w:p w14:paraId="4DEAD3F3" w14:textId="77777777" w:rsidR="00EB5E96" w:rsidRPr="00EE22A5" w:rsidRDefault="00EB5E96" w:rsidP="000C4293">
      <w:pPr>
        <w:shd w:val="pct25" w:color="auto" w:fill="auto"/>
        <w:tabs>
          <w:tab w:val="left" w:pos="-720"/>
        </w:tabs>
        <w:suppressAutoHyphens/>
        <w:jc w:val="both"/>
      </w:pPr>
      <w:r w:rsidRPr="00EE22A5">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4D1FCE0" w14:textId="77777777" w:rsidR="00EB5E96" w:rsidRPr="00EE22A5" w:rsidRDefault="00EB5E96" w:rsidP="000C4293">
      <w:pPr>
        <w:shd w:val="clear" w:color="auto" w:fill="FFFFFF"/>
        <w:tabs>
          <w:tab w:val="left" w:pos="-720"/>
        </w:tabs>
        <w:suppressAutoHyphens/>
        <w:jc w:val="both"/>
      </w:pPr>
    </w:p>
    <w:p w14:paraId="46DEF0EC" w14:textId="5FF24344" w:rsidR="00D73BBC" w:rsidRPr="00EE22A5" w:rsidRDefault="007E3420" w:rsidP="00D73BBC">
      <w:pPr>
        <w:tabs>
          <w:tab w:val="left" w:pos="-720"/>
        </w:tabs>
        <w:suppressAutoHyphens/>
        <w:jc w:val="both"/>
        <w:rPr>
          <w:spacing w:val="-3"/>
        </w:rPr>
      </w:pPr>
      <w:r w:rsidRPr="00EE22A5">
        <w:rPr>
          <w:spacing w:val="-3"/>
        </w:rPr>
        <w:t xml:space="preserve">The </w:t>
      </w:r>
      <w:r w:rsidR="002C465F" w:rsidRPr="002C465F">
        <w:rPr>
          <w:spacing w:val="-3"/>
        </w:rPr>
        <w:t>vulnerab</w:t>
      </w:r>
      <w:r w:rsidR="002C465F">
        <w:rPr>
          <w:spacing w:val="-3"/>
        </w:rPr>
        <w:t xml:space="preserve">ility assessments </w:t>
      </w:r>
      <w:r w:rsidR="00E96666">
        <w:rPr>
          <w:spacing w:val="-3"/>
        </w:rPr>
        <w:t xml:space="preserve">and </w:t>
      </w:r>
      <w:r w:rsidR="002C465F">
        <w:rPr>
          <w:spacing w:val="-3"/>
        </w:rPr>
        <w:t>questionnaire</w:t>
      </w:r>
      <w:r w:rsidR="00A150FD">
        <w:rPr>
          <w:spacing w:val="-3"/>
        </w:rPr>
        <w:t>s</w:t>
      </w:r>
      <w:r w:rsidRPr="00EE22A5">
        <w:rPr>
          <w:spacing w:val="-3"/>
        </w:rPr>
        <w:t xml:space="preserve"> do not contain any questions </w:t>
      </w:r>
      <w:r w:rsidR="00FC2347" w:rsidRPr="00EE22A5">
        <w:rPr>
          <w:spacing w:val="-3"/>
        </w:rPr>
        <w:t>that are</w:t>
      </w:r>
      <w:r w:rsidRPr="00EE22A5">
        <w:rPr>
          <w:spacing w:val="-3"/>
        </w:rPr>
        <w:t xml:space="preserve"> sensitive</w:t>
      </w:r>
      <w:r w:rsidR="00FC2347" w:rsidRPr="00EE22A5">
        <w:rPr>
          <w:spacing w:val="-3"/>
        </w:rPr>
        <w:t xml:space="preserve"> in </w:t>
      </w:r>
      <w:r w:rsidRPr="00EE22A5">
        <w:rPr>
          <w:spacing w:val="-3"/>
        </w:rPr>
        <w:t>nature</w:t>
      </w:r>
      <w:r w:rsidR="00FC2347" w:rsidRPr="00EE22A5">
        <w:rPr>
          <w:spacing w:val="-3"/>
        </w:rPr>
        <w:t>.</w:t>
      </w:r>
      <w:r w:rsidRPr="00EE22A5">
        <w:rPr>
          <w:spacing w:val="-3"/>
        </w:rPr>
        <w:t xml:space="preserve"> </w:t>
      </w:r>
    </w:p>
    <w:p w14:paraId="71CD5583" w14:textId="77777777" w:rsidR="00AA3F82" w:rsidRPr="00EE22A5" w:rsidRDefault="00AA3F82" w:rsidP="000C4293">
      <w:pPr>
        <w:shd w:val="clear" w:color="auto" w:fill="FFFFFF"/>
        <w:tabs>
          <w:tab w:val="left" w:pos="-720"/>
        </w:tabs>
        <w:suppressAutoHyphens/>
        <w:jc w:val="both"/>
      </w:pPr>
    </w:p>
    <w:p w14:paraId="6D56833D" w14:textId="77777777" w:rsidR="00F1361C" w:rsidRPr="00EE22A5" w:rsidRDefault="00EB5E96" w:rsidP="000C4293">
      <w:pPr>
        <w:shd w:val="pct25" w:color="auto" w:fill="FFFFFF"/>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12. Provide estimates of the hour burden of the collection of information.  The statement should:</w:t>
      </w:r>
    </w:p>
    <w:p w14:paraId="2AF5B6B8" w14:textId="77777777" w:rsidR="00EB5E96" w:rsidRPr="00EE22A5" w:rsidRDefault="00EB5E96" w:rsidP="00A36776">
      <w:pPr>
        <w:shd w:val="pct25" w:color="auto" w:fill="FFFFFF"/>
        <w:tabs>
          <w:tab w:val="left" w:pos="-720"/>
        </w:tabs>
        <w:suppressAutoHyphens/>
        <w:jc w:val="both"/>
      </w:pPr>
    </w:p>
    <w:p w14:paraId="2F6F788D" w14:textId="77777777" w:rsidR="0098066C"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a.  Indicate the number of respondents, frequency of response, annual hour burden, and an explanation of how the burden was estimated. </w:t>
      </w:r>
      <w:r w:rsidR="0098066C">
        <w:t xml:space="preserve"> </w:t>
      </w:r>
      <w:r w:rsidRPr="00EE22A5">
        <w:t>Unless directed to do so, agencies should not conduct special surveys to obtain information on which to base hour burden estimates.  Consultation with a sample (fewer than 10) of potential respondents is desired.</w:t>
      </w:r>
      <w:r w:rsidR="0098066C">
        <w:t xml:space="preserve"> </w:t>
      </w:r>
      <w:r w:rsidRPr="00EE22A5">
        <w:t xml:space="preserv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2708C8B" w14:textId="77777777" w:rsidR="0098066C" w:rsidRPr="00EE22A5" w:rsidRDefault="0098066C" w:rsidP="000C4293">
      <w:pPr>
        <w:shd w:val="pct25" w:color="auto" w:fill="auto"/>
        <w:tabs>
          <w:tab w:val="left" w:pos="-720"/>
        </w:tabs>
        <w:suppressAutoHyphens/>
        <w:jc w:val="both"/>
      </w:pPr>
    </w:p>
    <w:p w14:paraId="12CC89BD" w14:textId="77777777" w:rsidR="00EB5E96" w:rsidRDefault="00EB5E96" w:rsidP="000C4293">
      <w:pPr>
        <w:pStyle w:val="BodyText3"/>
        <w:jc w:val="both"/>
        <w:rPr>
          <w:sz w:val="24"/>
          <w:szCs w:val="24"/>
        </w:rPr>
      </w:pPr>
      <w:r w:rsidRPr="00EE22A5">
        <w:rPr>
          <w:sz w:val="24"/>
          <w:szCs w:val="24"/>
        </w:rPr>
        <w:fldChar w:fldCharType="begin"/>
      </w:r>
      <w:r w:rsidRPr="00EE22A5">
        <w:rPr>
          <w:sz w:val="24"/>
          <w:szCs w:val="24"/>
        </w:rPr>
        <w:instrText>ADVANCE \R 0.95</w:instrText>
      </w:r>
      <w:r w:rsidRPr="00EE22A5">
        <w:rPr>
          <w:sz w:val="24"/>
          <w:szCs w:val="24"/>
        </w:rPr>
        <w:fldChar w:fldCharType="end"/>
      </w:r>
      <w:r w:rsidRPr="00EE22A5">
        <w:rPr>
          <w:sz w:val="24"/>
          <w:szCs w:val="24"/>
        </w:rPr>
        <w:t>b.  If this request for approval covers more than one form, provide separate hour burden estimates for each form and aggregate the hour burdens in Item 13 of OMB Form 83-I.</w:t>
      </w:r>
    </w:p>
    <w:p w14:paraId="4BCCD7F3" w14:textId="77777777" w:rsidR="0098066C" w:rsidRPr="00EE22A5" w:rsidRDefault="0098066C" w:rsidP="000C4293">
      <w:pPr>
        <w:pStyle w:val="BodyText3"/>
        <w:jc w:val="both"/>
        <w:rPr>
          <w:sz w:val="24"/>
          <w:szCs w:val="24"/>
        </w:rPr>
      </w:pPr>
    </w:p>
    <w:p w14:paraId="0C855947" w14:textId="77777777" w:rsidR="00EB5E96" w:rsidRPr="00EE22A5" w:rsidRDefault="00EB5E96" w:rsidP="000C4293">
      <w:pPr>
        <w:shd w:val="pct25" w:color="auto" w:fill="auto"/>
        <w:tabs>
          <w:tab w:val="left" w:pos="-720"/>
        </w:tabs>
        <w:suppressAutoHyphens/>
        <w:jc w:val="both"/>
      </w:pPr>
      <w:r w:rsidRPr="00EE22A5">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2BE9DA8" w14:textId="77777777" w:rsidR="003B68FA" w:rsidRPr="00EE22A5" w:rsidRDefault="003B68FA" w:rsidP="003B68FA">
      <w:pPr>
        <w:tabs>
          <w:tab w:val="left" w:pos="-720"/>
        </w:tabs>
        <w:suppressAutoHyphens/>
        <w:jc w:val="both"/>
      </w:pPr>
    </w:p>
    <w:p w14:paraId="15B31DF6" w14:textId="049CFDAE" w:rsidR="00005068" w:rsidRPr="0014454A" w:rsidRDefault="00005068" w:rsidP="00FC2347">
      <w:r w:rsidRPr="0014454A">
        <w:t xml:space="preserve">The </w:t>
      </w:r>
      <w:r w:rsidR="0014454A">
        <w:t xml:space="preserve">data collection system </w:t>
      </w:r>
      <w:r w:rsidRPr="0014454A">
        <w:t xml:space="preserve">was designed and built to </w:t>
      </w:r>
      <w:r w:rsidR="00082222" w:rsidRPr="0014454A">
        <w:t>fill</w:t>
      </w:r>
      <w:r w:rsidRPr="0014454A">
        <w:t xml:space="preserve"> the lack of a repository for the Nation’s CI community.  </w:t>
      </w:r>
      <w:r w:rsidR="006124FB" w:rsidRPr="0014454A">
        <w:t>Example</w:t>
      </w:r>
      <w:r w:rsidR="00082222" w:rsidRPr="0014454A">
        <w:t>s</w:t>
      </w:r>
      <w:r w:rsidR="006124FB" w:rsidRPr="0014454A">
        <w:t xml:space="preserve"> </w:t>
      </w:r>
      <w:r w:rsidR="00082222" w:rsidRPr="0014454A">
        <w:t xml:space="preserve">of </w:t>
      </w:r>
      <w:r w:rsidR="006124FB" w:rsidRPr="0014454A">
        <w:t>users of the CI community include</w:t>
      </w:r>
      <w:r w:rsidRPr="0014454A">
        <w:t xml:space="preserve"> Federal, </w:t>
      </w:r>
      <w:r w:rsidR="0098066C" w:rsidRPr="0014454A">
        <w:t>s</w:t>
      </w:r>
      <w:r w:rsidRPr="0014454A">
        <w:t xml:space="preserve">tate, and county representatives as well as emergency response personnel, </w:t>
      </w:r>
      <w:r w:rsidR="003C0AE8">
        <w:t>organization</w:t>
      </w:r>
      <w:r w:rsidRPr="0014454A">
        <w:t xml:space="preserve"> owners, </w:t>
      </w:r>
      <w:r w:rsidR="006124FB" w:rsidRPr="0014454A">
        <w:t>and security personnel.</w:t>
      </w:r>
    </w:p>
    <w:p w14:paraId="13911773" w14:textId="77777777" w:rsidR="006124FB" w:rsidRPr="0014454A" w:rsidRDefault="006124FB" w:rsidP="00FC2347"/>
    <w:p w14:paraId="403D4948" w14:textId="31E825F5" w:rsidR="00005068" w:rsidRPr="00EE22A5" w:rsidRDefault="00B007CF" w:rsidP="00FC2347">
      <w:r>
        <w:t>CISA</w:t>
      </w:r>
      <w:r w:rsidR="006D6538" w:rsidRPr="0014454A">
        <w:t xml:space="preserve"> estimates that 2,915</w:t>
      </w:r>
      <w:r w:rsidR="0068280D" w:rsidRPr="0014454A">
        <w:rPr>
          <w:rStyle w:val="FootnoteReference"/>
        </w:rPr>
        <w:footnoteReference w:id="1"/>
      </w:r>
      <w:r w:rsidR="006D6538" w:rsidRPr="0014454A">
        <w:t xml:space="preserve"> </w:t>
      </w:r>
      <w:r w:rsidR="00AF20E3">
        <w:t>will complete the vulnerability assessment</w:t>
      </w:r>
      <w:r w:rsidR="00AF20E3" w:rsidRPr="0014454A">
        <w:t xml:space="preserve"> </w:t>
      </w:r>
      <w:r w:rsidR="006D6538" w:rsidRPr="0014454A">
        <w:t>per year.  Each respondent will spend 7.5</w:t>
      </w:r>
      <w:r w:rsidR="0068280D" w:rsidRPr="0014454A">
        <w:rPr>
          <w:rStyle w:val="FootnoteReference"/>
        </w:rPr>
        <w:footnoteReference w:id="2"/>
      </w:r>
      <w:r w:rsidR="006D6538" w:rsidRPr="0014454A">
        <w:t xml:space="preserve"> hours per response and complete one response annually for a total annual burden of 21,86</w:t>
      </w:r>
      <w:r w:rsidR="00D7633D" w:rsidRPr="0014454A">
        <w:t>3</w:t>
      </w:r>
      <w:r w:rsidR="006D6538" w:rsidRPr="0014454A">
        <w:t xml:space="preserve"> hours. </w:t>
      </w:r>
      <w:r w:rsidR="00104F71">
        <w:t>CISA uses Bureau of Labor Statistics (BLS) wage data for</w:t>
      </w:r>
      <w:r w:rsidR="00DB420D" w:rsidRPr="0014454A">
        <w:t xml:space="preserve"> General and Operations Manager </w:t>
      </w:r>
      <w:r w:rsidR="00490B10" w:rsidRPr="0014454A">
        <w:t>occupation</w:t>
      </w:r>
      <w:r w:rsidR="00104F71">
        <w:t>s to estimate the cost of this collection. The average wage for managers in General and Operations Managers is $59.56.</w:t>
      </w:r>
      <w:r w:rsidR="00104F71">
        <w:rPr>
          <w:rStyle w:val="FootnoteReference"/>
        </w:rPr>
        <w:footnoteReference w:id="3"/>
      </w:r>
      <w:r w:rsidR="00104F71">
        <w:t xml:space="preserve"> This wage is multiplied by a compensation factor of 1.4621</w:t>
      </w:r>
      <w:r w:rsidR="00AF20E3">
        <w:rPr>
          <w:rStyle w:val="FootnoteReference"/>
        </w:rPr>
        <w:footnoteReference w:id="4"/>
      </w:r>
      <w:r w:rsidR="00104F71">
        <w:t xml:space="preserve"> to account for benefits and non-wage compensation, for an hourly compensation rate of  $87.09</w:t>
      </w:r>
      <w:r w:rsidR="00F27A38" w:rsidRPr="0014454A">
        <w:t xml:space="preserve">.  </w:t>
      </w:r>
      <w:r w:rsidR="006D6538" w:rsidRPr="0014454A">
        <w:t xml:space="preserve">Multiplying the </w:t>
      </w:r>
      <w:r w:rsidR="00AF20E3">
        <w:t>hourly compensation rate</w:t>
      </w:r>
      <w:r w:rsidR="006D6538" w:rsidRPr="0014454A">
        <w:t xml:space="preserve"> by the estimated total burden hours of 21,86</w:t>
      </w:r>
      <w:r w:rsidR="00D7633D" w:rsidRPr="0014454A">
        <w:t>3</w:t>
      </w:r>
      <w:r w:rsidR="006D6538" w:rsidRPr="0014454A">
        <w:t xml:space="preserve"> provides an estimated annual respondent cost of $</w:t>
      </w:r>
      <w:r w:rsidR="00AF20E3">
        <w:t>1.9</w:t>
      </w:r>
      <w:r w:rsidR="006D6538" w:rsidRPr="0014454A">
        <w:t xml:space="preserve"> million</w:t>
      </w:r>
      <w:r w:rsidR="000010A1" w:rsidRPr="0014454A">
        <w:t>, as shown in Table 1</w:t>
      </w:r>
      <w:r w:rsidR="006D6538" w:rsidRPr="0014454A">
        <w:t>.</w:t>
      </w:r>
      <w:r w:rsidR="00AF20E3">
        <w:t xml:space="preserve">  CISA also estimates that 266 respondents will complete the post assessment question</w:t>
      </w:r>
      <w:r w:rsidR="00E973DB">
        <w:t>n</w:t>
      </w:r>
      <w:r w:rsidR="00AF20E3">
        <w:t>a</w:t>
      </w:r>
      <w:r w:rsidR="00E973DB">
        <w:t>i</w:t>
      </w:r>
      <w:r w:rsidR="00AF20E3">
        <w:t>re, and that each respondent will spend 0.17 hours (10 minutes) to complete the questionnaire for a total time burden of 44 hours.  Using the same hourly compensation rate as for the previous instrument, CISA estimates a cost for the post assessment questionnaire of $3,861 (44 hours x $87.09).  CISA estimates the total cost for both instruments to be $1.91 million.</w:t>
      </w:r>
    </w:p>
    <w:p w14:paraId="0A3112F8" w14:textId="77777777" w:rsidR="00005068" w:rsidRPr="00EE22A5" w:rsidRDefault="00005068" w:rsidP="00FC2347"/>
    <w:p w14:paraId="17B17655" w14:textId="0DF6EE46" w:rsidR="003B68FA" w:rsidRPr="00A36776" w:rsidRDefault="000A4447" w:rsidP="00FC2347">
      <w:pPr>
        <w:rPr>
          <w:b/>
        </w:rPr>
      </w:pPr>
      <w:r w:rsidRPr="00A36776">
        <w:rPr>
          <w:b/>
        </w:rPr>
        <w:t xml:space="preserve">Table </w:t>
      </w:r>
      <w:r w:rsidR="000010A1">
        <w:rPr>
          <w:b/>
        </w:rPr>
        <w:t>1</w:t>
      </w:r>
      <w:r w:rsidRPr="00A36776">
        <w:rPr>
          <w:b/>
        </w:rPr>
        <w:t>: Estimated Annualized Burden Hours and Costs</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400"/>
        <w:gridCol w:w="1080"/>
        <w:gridCol w:w="1170"/>
        <w:gridCol w:w="1170"/>
        <w:gridCol w:w="1187"/>
        <w:gridCol w:w="883"/>
        <w:gridCol w:w="1609"/>
      </w:tblGrid>
      <w:tr w:rsidR="004B5986" w:rsidRPr="00EE22A5" w14:paraId="6F3323C3" w14:textId="77777777" w:rsidTr="00684F40">
        <w:trPr>
          <w:jc w:val="center"/>
        </w:trPr>
        <w:tc>
          <w:tcPr>
            <w:tcW w:w="805" w:type="dxa"/>
          </w:tcPr>
          <w:p w14:paraId="0E15643D"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 xml:space="preserve">Type of </w:t>
            </w:r>
          </w:p>
          <w:p w14:paraId="65B324F7"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Respondent</w:t>
            </w:r>
          </w:p>
        </w:tc>
        <w:tc>
          <w:tcPr>
            <w:tcW w:w="1400" w:type="dxa"/>
          </w:tcPr>
          <w:p w14:paraId="249E0966"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 xml:space="preserve">Form Name </w:t>
            </w:r>
          </w:p>
        </w:tc>
        <w:tc>
          <w:tcPr>
            <w:tcW w:w="1080" w:type="dxa"/>
          </w:tcPr>
          <w:p w14:paraId="5DDB5695"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No. of Respondents</w:t>
            </w:r>
          </w:p>
        </w:tc>
        <w:tc>
          <w:tcPr>
            <w:tcW w:w="1170" w:type="dxa"/>
          </w:tcPr>
          <w:p w14:paraId="42958BBD"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No. of Responses per Respondent</w:t>
            </w:r>
          </w:p>
        </w:tc>
        <w:tc>
          <w:tcPr>
            <w:tcW w:w="1170" w:type="dxa"/>
          </w:tcPr>
          <w:p w14:paraId="7E1EA3EE"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Avg. Burden per Response (in hours)</w:t>
            </w:r>
          </w:p>
        </w:tc>
        <w:tc>
          <w:tcPr>
            <w:tcW w:w="1187" w:type="dxa"/>
          </w:tcPr>
          <w:p w14:paraId="7883CC3B"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 Annual Burden (in hours)</w:t>
            </w:r>
          </w:p>
        </w:tc>
        <w:tc>
          <w:tcPr>
            <w:tcW w:w="883" w:type="dxa"/>
          </w:tcPr>
          <w:p w14:paraId="733EED7D"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Average Hourly Wage Rate</w:t>
            </w:r>
          </w:p>
        </w:tc>
        <w:tc>
          <w:tcPr>
            <w:tcW w:w="1609" w:type="dxa"/>
          </w:tcPr>
          <w:p w14:paraId="5029D091" w14:textId="77777777" w:rsidR="000A4447" w:rsidRPr="00EE22A5" w:rsidRDefault="000A4447"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 Annual Respondent Cost</w:t>
            </w:r>
          </w:p>
        </w:tc>
      </w:tr>
      <w:tr w:rsidR="00AF20E3" w:rsidRPr="00EE22A5" w14:paraId="49E14C1E" w14:textId="77777777" w:rsidTr="00684F40">
        <w:trPr>
          <w:jc w:val="center"/>
        </w:trPr>
        <w:tc>
          <w:tcPr>
            <w:tcW w:w="805" w:type="dxa"/>
            <w:tcBorders>
              <w:bottom w:val="single" w:sz="4" w:space="0" w:color="auto"/>
            </w:tcBorders>
            <w:shd w:val="clear" w:color="auto" w:fill="auto"/>
          </w:tcPr>
          <w:p w14:paraId="17EFEEEC" w14:textId="06175FCE"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400" w:type="dxa"/>
            <w:tcBorders>
              <w:bottom w:val="single" w:sz="4" w:space="0" w:color="auto"/>
            </w:tcBorders>
            <w:shd w:val="clear" w:color="auto" w:fill="auto"/>
          </w:tcPr>
          <w:p w14:paraId="6AAD899B" w14:textId="3F341FA5"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V</w:t>
            </w:r>
            <w:r w:rsidRPr="002C465F">
              <w:rPr>
                <w:bCs/>
              </w:rPr>
              <w:t xml:space="preserve">ulnerability </w:t>
            </w:r>
            <w:r>
              <w:rPr>
                <w:bCs/>
              </w:rPr>
              <w:t>A</w:t>
            </w:r>
            <w:r w:rsidRPr="002C465F">
              <w:rPr>
                <w:bCs/>
              </w:rPr>
              <w:t xml:space="preserve">ssessments </w:t>
            </w:r>
          </w:p>
        </w:tc>
        <w:tc>
          <w:tcPr>
            <w:tcW w:w="1080" w:type="dxa"/>
            <w:tcBorders>
              <w:bottom w:val="single" w:sz="4" w:space="0" w:color="auto"/>
            </w:tcBorders>
            <w:shd w:val="clear" w:color="auto" w:fill="auto"/>
            <w:vAlign w:val="center"/>
          </w:tcPr>
          <w:p w14:paraId="1E84F027" w14:textId="707A491D"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2915</w:t>
            </w:r>
          </w:p>
        </w:tc>
        <w:tc>
          <w:tcPr>
            <w:tcW w:w="1170" w:type="dxa"/>
            <w:tcBorders>
              <w:bottom w:val="single" w:sz="4" w:space="0" w:color="auto"/>
            </w:tcBorders>
            <w:shd w:val="clear" w:color="auto" w:fill="auto"/>
            <w:vAlign w:val="center"/>
          </w:tcPr>
          <w:p w14:paraId="6CFDD0C5" w14:textId="1E53D4AC"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1</w:t>
            </w:r>
          </w:p>
        </w:tc>
        <w:tc>
          <w:tcPr>
            <w:tcW w:w="1170" w:type="dxa"/>
            <w:tcBorders>
              <w:bottom w:val="single" w:sz="4" w:space="0" w:color="auto"/>
            </w:tcBorders>
            <w:shd w:val="clear" w:color="auto" w:fill="auto"/>
            <w:vAlign w:val="center"/>
          </w:tcPr>
          <w:p w14:paraId="603F1624" w14:textId="11129D22"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7.50</w:t>
            </w:r>
          </w:p>
        </w:tc>
        <w:tc>
          <w:tcPr>
            <w:tcW w:w="1187" w:type="dxa"/>
            <w:tcBorders>
              <w:bottom w:val="single" w:sz="4" w:space="0" w:color="auto"/>
            </w:tcBorders>
            <w:shd w:val="clear" w:color="auto" w:fill="auto"/>
            <w:vAlign w:val="center"/>
          </w:tcPr>
          <w:p w14:paraId="6F415797" w14:textId="1222E23E"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21863</w:t>
            </w:r>
          </w:p>
        </w:tc>
        <w:tc>
          <w:tcPr>
            <w:tcW w:w="883" w:type="dxa"/>
            <w:tcBorders>
              <w:bottom w:val="single" w:sz="4" w:space="0" w:color="auto"/>
            </w:tcBorders>
            <w:shd w:val="clear" w:color="auto" w:fill="auto"/>
            <w:vAlign w:val="center"/>
          </w:tcPr>
          <w:p w14:paraId="38CA2701" w14:textId="5F4E2389"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$87.09</w:t>
            </w:r>
          </w:p>
        </w:tc>
        <w:tc>
          <w:tcPr>
            <w:tcW w:w="1609" w:type="dxa"/>
            <w:tcBorders>
              <w:bottom w:val="single" w:sz="4" w:space="0" w:color="auto"/>
            </w:tcBorders>
            <w:shd w:val="clear" w:color="auto" w:fill="auto"/>
            <w:vAlign w:val="center"/>
          </w:tcPr>
          <w:p w14:paraId="3E47219D" w14:textId="53B635C1"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$1,903,897</w:t>
            </w:r>
          </w:p>
        </w:tc>
      </w:tr>
      <w:tr w:rsidR="00AF20E3" w:rsidRPr="00EE22A5" w14:paraId="2283949A" w14:textId="77777777" w:rsidTr="00684F40">
        <w:trPr>
          <w:jc w:val="center"/>
        </w:trPr>
        <w:tc>
          <w:tcPr>
            <w:tcW w:w="805" w:type="dxa"/>
            <w:tcBorders>
              <w:bottom w:val="single" w:sz="4" w:space="0" w:color="auto"/>
            </w:tcBorders>
            <w:shd w:val="clear" w:color="auto" w:fill="auto"/>
          </w:tcPr>
          <w:p w14:paraId="3A796E8C" w14:textId="77777777"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400" w:type="dxa"/>
            <w:tcBorders>
              <w:bottom w:val="single" w:sz="4" w:space="0" w:color="auto"/>
            </w:tcBorders>
            <w:shd w:val="clear" w:color="auto" w:fill="auto"/>
          </w:tcPr>
          <w:p w14:paraId="5F92D244" w14:textId="7CC47E1B"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Post Assessment Questionnaires</w:t>
            </w:r>
          </w:p>
        </w:tc>
        <w:tc>
          <w:tcPr>
            <w:tcW w:w="1080" w:type="dxa"/>
            <w:tcBorders>
              <w:bottom w:val="single" w:sz="4" w:space="0" w:color="auto"/>
            </w:tcBorders>
            <w:shd w:val="clear" w:color="auto" w:fill="auto"/>
            <w:vAlign w:val="center"/>
          </w:tcPr>
          <w:p w14:paraId="1E9959A4" w14:textId="795BF2D3" w:rsidR="00AF20E3"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266</w:t>
            </w:r>
          </w:p>
        </w:tc>
        <w:tc>
          <w:tcPr>
            <w:tcW w:w="1170" w:type="dxa"/>
            <w:tcBorders>
              <w:bottom w:val="single" w:sz="4" w:space="0" w:color="auto"/>
            </w:tcBorders>
            <w:shd w:val="clear" w:color="auto" w:fill="auto"/>
            <w:vAlign w:val="center"/>
          </w:tcPr>
          <w:p w14:paraId="7C10A15F" w14:textId="577F7586" w:rsidR="00AF20E3"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1</w:t>
            </w:r>
          </w:p>
        </w:tc>
        <w:tc>
          <w:tcPr>
            <w:tcW w:w="1170" w:type="dxa"/>
            <w:tcBorders>
              <w:bottom w:val="single" w:sz="4" w:space="0" w:color="auto"/>
            </w:tcBorders>
            <w:shd w:val="clear" w:color="auto" w:fill="auto"/>
            <w:vAlign w:val="center"/>
          </w:tcPr>
          <w:p w14:paraId="250BAD94" w14:textId="4FCC6CAC" w:rsidR="00AF20E3"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0.17</w:t>
            </w:r>
          </w:p>
        </w:tc>
        <w:tc>
          <w:tcPr>
            <w:tcW w:w="1187" w:type="dxa"/>
            <w:tcBorders>
              <w:bottom w:val="single" w:sz="4" w:space="0" w:color="auto"/>
            </w:tcBorders>
            <w:shd w:val="clear" w:color="auto" w:fill="auto"/>
            <w:vAlign w:val="center"/>
          </w:tcPr>
          <w:p w14:paraId="4C0EC82D" w14:textId="60953804" w:rsidR="00AF20E3"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44</w:t>
            </w:r>
          </w:p>
        </w:tc>
        <w:tc>
          <w:tcPr>
            <w:tcW w:w="883" w:type="dxa"/>
            <w:tcBorders>
              <w:bottom w:val="single" w:sz="4" w:space="0" w:color="auto"/>
            </w:tcBorders>
            <w:shd w:val="clear" w:color="auto" w:fill="auto"/>
            <w:vAlign w:val="center"/>
          </w:tcPr>
          <w:p w14:paraId="6E225623" w14:textId="5792D2B5" w:rsidR="00AF20E3"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$87.09</w:t>
            </w:r>
          </w:p>
        </w:tc>
        <w:tc>
          <w:tcPr>
            <w:tcW w:w="1609" w:type="dxa"/>
            <w:tcBorders>
              <w:bottom w:val="single" w:sz="4" w:space="0" w:color="auto"/>
            </w:tcBorders>
            <w:shd w:val="clear" w:color="auto" w:fill="auto"/>
            <w:vAlign w:val="center"/>
          </w:tcPr>
          <w:p w14:paraId="364F7D38" w14:textId="36AA611E" w:rsidR="00AF20E3"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$3,861</w:t>
            </w:r>
          </w:p>
        </w:tc>
      </w:tr>
      <w:tr w:rsidR="00AF20E3" w:rsidRPr="00EE22A5" w14:paraId="28A50542" w14:textId="77777777" w:rsidTr="00684F40">
        <w:trPr>
          <w:jc w:val="center"/>
        </w:trPr>
        <w:tc>
          <w:tcPr>
            <w:tcW w:w="805" w:type="dxa"/>
            <w:tcBorders>
              <w:bottom w:val="single" w:sz="4" w:space="0" w:color="auto"/>
            </w:tcBorders>
            <w:shd w:val="clear" w:color="auto" w:fill="auto"/>
          </w:tcPr>
          <w:p w14:paraId="6331EAB2" w14:textId="77777777"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0D0599AA" w14:textId="77777777"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w:t>
            </w:r>
          </w:p>
        </w:tc>
        <w:tc>
          <w:tcPr>
            <w:tcW w:w="1400" w:type="dxa"/>
            <w:tcBorders>
              <w:bottom w:val="single" w:sz="4" w:space="0" w:color="auto"/>
            </w:tcBorders>
            <w:shd w:val="clear" w:color="auto" w:fill="auto"/>
          </w:tcPr>
          <w:p w14:paraId="2AE4D0EC" w14:textId="77777777"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080" w:type="dxa"/>
            <w:tcBorders>
              <w:bottom w:val="single" w:sz="4" w:space="0" w:color="auto"/>
            </w:tcBorders>
            <w:shd w:val="clear" w:color="auto" w:fill="auto"/>
            <w:vAlign w:val="center"/>
          </w:tcPr>
          <w:p w14:paraId="272FB01F" w14:textId="7071D7E6"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3,181</w:t>
            </w:r>
          </w:p>
        </w:tc>
        <w:tc>
          <w:tcPr>
            <w:tcW w:w="1170" w:type="dxa"/>
            <w:tcBorders>
              <w:bottom w:val="single" w:sz="4" w:space="0" w:color="auto"/>
            </w:tcBorders>
            <w:shd w:val="clear" w:color="auto" w:fill="auto"/>
            <w:vAlign w:val="center"/>
          </w:tcPr>
          <w:p w14:paraId="6B846C8D" w14:textId="5A749574"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 </w:t>
            </w:r>
          </w:p>
        </w:tc>
        <w:tc>
          <w:tcPr>
            <w:tcW w:w="1170" w:type="dxa"/>
            <w:tcBorders>
              <w:bottom w:val="single" w:sz="4" w:space="0" w:color="auto"/>
            </w:tcBorders>
            <w:shd w:val="clear" w:color="auto" w:fill="auto"/>
            <w:vAlign w:val="center"/>
          </w:tcPr>
          <w:p w14:paraId="52454E83" w14:textId="45966991"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 </w:t>
            </w:r>
          </w:p>
        </w:tc>
        <w:tc>
          <w:tcPr>
            <w:tcW w:w="1187" w:type="dxa"/>
            <w:tcBorders>
              <w:bottom w:val="single" w:sz="4" w:space="0" w:color="auto"/>
            </w:tcBorders>
            <w:shd w:val="clear" w:color="auto" w:fill="auto"/>
            <w:vAlign w:val="center"/>
          </w:tcPr>
          <w:p w14:paraId="47E1EA01" w14:textId="365CC521"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21,907</w:t>
            </w:r>
          </w:p>
        </w:tc>
        <w:tc>
          <w:tcPr>
            <w:tcW w:w="883" w:type="dxa"/>
            <w:tcBorders>
              <w:bottom w:val="single" w:sz="4" w:space="0" w:color="auto"/>
            </w:tcBorders>
            <w:shd w:val="clear" w:color="auto" w:fill="auto"/>
            <w:vAlign w:val="center"/>
          </w:tcPr>
          <w:p w14:paraId="40DB1037" w14:textId="20035A95"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 </w:t>
            </w:r>
          </w:p>
        </w:tc>
        <w:tc>
          <w:tcPr>
            <w:tcW w:w="1609" w:type="dxa"/>
            <w:tcBorders>
              <w:bottom w:val="single" w:sz="4" w:space="0" w:color="auto"/>
            </w:tcBorders>
            <w:shd w:val="clear" w:color="auto" w:fill="auto"/>
            <w:vAlign w:val="center"/>
          </w:tcPr>
          <w:p w14:paraId="2F09DE61" w14:textId="3BB6C691" w:rsidR="00AF20E3" w:rsidRPr="00EE22A5" w:rsidRDefault="00AF20E3" w:rsidP="00AF20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$1,907,757</w:t>
            </w:r>
          </w:p>
        </w:tc>
      </w:tr>
    </w:tbl>
    <w:p w14:paraId="5DC77C88" w14:textId="77777777" w:rsidR="00EE22A5" w:rsidRDefault="00EE22A5" w:rsidP="00BA27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sectPr w:rsidR="00EE22A5" w:rsidSect="00460234">
          <w:footerReference w:type="even" r:id="rId17"/>
          <w:footerReference w:type="default" r:id="rId18"/>
          <w:pgSz w:w="12240" w:h="15840" w:code="1"/>
          <w:pgMar w:top="1440" w:right="1440" w:bottom="1440" w:left="1440" w:header="720" w:footer="720" w:gutter="0"/>
          <w:pgNumType w:start="1"/>
          <w:cols w:space="720"/>
          <w:noEndnote/>
          <w:titlePg/>
        </w:sectPr>
      </w:pPr>
    </w:p>
    <w:tbl>
      <w:tblPr>
        <w:tblW w:w="8910" w:type="dxa"/>
        <w:jc w:val="center"/>
        <w:tblLayout w:type="fixed"/>
        <w:tblLook w:val="01E0" w:firstRow="1" w:lastRow="1" w:firstColumn="1" w:lastColumn="1" w:noHBand="0" w:noVBand="0"/>
      </w:tblPr>
      <w:tblGrid>
        <w:gridCol w:w="8910"/>
      </w:tblGrid>
      <w:tr w:rsidR="00EE22A5" w:rsidRPr="00EE22A5" w14:paraId="53C60EA6" w14:textId="77777777" w:rsidTr="00EE22A5">
        <w:trPr>
          <w:trHeight w:val="552"/>
          <w:jc w:val="center"/>
        </w:trPr>
        <w:tc>
          <w:tcPr>
            <w:tcW w:w="8910" w:type="dxa"/>
            <w:shd w:val="clear" w:color="auto" w:fill="auto"/>
          </w:tcPr>
          <w:p w14:paraId="49015927" w14:textId="155BA6E8" w:rsidR="00EE22A5" w:rsidRPr="00EE22A5" w:rsidRDefault="006D6538" w:rsidP="00B47F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Note: Totals may not sum due to rounding</w:t>
            </w:r>
          </w:p>
        </w:tc>
      </w:tr>
    </w:tbl>
    <w:p w14:paraId="702CDC34" w14:textId="77777777" w:rsidR="00EE22A5" w:rsidRDefault="00EE22A5" w:rsidP="000C4293">
      <w:pPr>
        <w:shd w:val="pct25" w:color="auto" w:fill="auto"/>
        <w:tabs>
          <w:tab w:val="left" w:pos="-720"/>
        </w:tabs>
        <w:suppressAutoHyphens/>
        <w:jc w:val="both"/>
        <w:sectPr w:rsidR="00EE22A5" w:rsidSect="00EE22A5">
          <w:type w:val="continuous"/>
          <w:pgSz w:w="12240" w:h="15840" w:code="1"/>
          <w:pgMar w:top="1440" w:right="1440" w:bottom="1440" w:left="1440" w:header="720" w:footer="720" w:gutter="0"/>
          <w:pgNumType w:start="1"/>
          <w:cols w:space="720"/>
          <w:noEndnote/>
          <w:titlePg/>
        </w:sectPr>
      </w:pPr>
    </w:p>
    <w:p w14:paraId="0408B84C"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13. </w:t>
      </w:r>
      <w:r w:rsidR="0098066C">
        <w:t xml:space="preserve"> </w:t>
      </w:r>
      <w:r w:rsidRPr="00EE22A5">
        <w:t>Provide an estimate of the total annual cost burden to respondents or record</w:t>
      </w:r>
      <w:r w:rsidR="00D93841" w:rsidRPr="00EE22A5">
        <w:t xml:space="preserve"> </w:t>
      </w:r>
      <w:r w:rsidRPr="00EE22A5">
        <w:t>keepers resulting from the collection of information.  (Do not include the cost of any hour burden shown in Items 12 and 14.)</w:t>
      </w:r>
    </w:p>
    <w:p w14:paraId="5D92E365" w14:textId="77777777" w:rsidR="00EB5E96" w:rsidRPr="00EE22A5" w:rsidRDefault="00EB5E96" w:rsidP="000C4293">
      <w:pPr>
        <w:shd w:val="pct25" w:color="auto" w:fill="auto"/>
        <w:tabs>
          <w:tab w:val="left" w:pos="-720"/>
        </w:tabs>
        <w:suppressAutoHyphens/>
        <w:jc w:val="both"/>
      </w:pPr>
    </w:p>
    <w:p w14:paraId="672A84D6" w14:textId="77777777" w:rsidR="00EB5E96" w:rsidRPr="00EE22A5" w:rsidRDefault="00EB5E96" w:rsidP="000C4293">
      <w:pPr>
        <w:pStyle w:val="BodyText3"/>
        <w:tabs>
          <w:tab w:val="clear" w:pos="720"/>
          <w:tab w:val="left" w:pos="810"/>
        </w:tabs>
        <w:jc w:val="both"/>
        <w:rPr>
          <w:sz w:val="24"/>
          <w:szCs w:val="24"/>
        </w:rPr>
      </w:pPr>
      <w:r w:rsidRPr="00EE22A5">
        <w:rPr>
          <w:sz w:val="24"/>
          <w:szCs w:val="24"/>
        </w:rPr>
        <w:t>The cost estimate should be split into two components:  (1) a total capital and start-up cost component (annualized over its expected useful life); and (</w:t>
      </w:r>
      <w:r w:rsidR="0098066C">
        <w:rPr>
          <w:sz w:val="24"/>
          <w:szCs w:val="24"/>
        </w:rPr>
        <w:t>2</w:t>
      </w:r>
      <w:r w:rsidRPr="00EE22A5">
        <w:rPr>
          <w:sz w:val="24"/>
          <w:szCs w:val="24"/>
        </w:rPr>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536FC34" w14:textId="77777777" w:rsidR="00EB5E96" w:rsidRPr="00EE22A5" w:rsidRDefault="00EB5E96" w:rsidP="000C4293">
      <w:pPr>
        <w:shd w:val="pct25" w:color="auto" w:fill="FFFFFF"/>
        <w:tabs>
          <w:tab w:val="left" w:pos="-720"/>
        </w:tabs>
        <w:suppressAutoHyphens/>
        <w:jc w:val="both"/>
      </w:pPr>
      <w:r w:rsidRPr="00EE22A5">
        <w:fldChar w:fldCharType="begin"/>
      </w:r>
      <w:r w:rsidRPr="00EE22A5">
        <w:instrText>ADVANCE \R 0.95</w:instrText>
      </w:r>
      <w:r w:rsidRPr="00EE22A5">
        <w:fldChar w:fldCharType="end"/>
      </w:r>
    </w:p>
    <w:p w14:paraId="09763767" w14:textId="77777777" w:rsidR="00EB5E96" w:rsidRPr="00EE22A5" w:rsidRDefault="00EB5E96" w:rsidP="000C4293">
      <w:pPr>
        <w:shd w:val="pct25" w:color="auto" w:fill="FFFFFF"/>
        <w:tabs>
          <w:tab w:val="left" w:pos="-720"/>
        </w:tabs>
        <w:suppressAutoHyphens/>
        <w:jc w:val="both"/>
      </w:pPr>
      <w:r w:rsidRPr="00EE22A5">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7381C19" w14:textId="77777777" w:rsidR="00EB5E96" w:rsidRPr="00EE22A5" w:rsidRDefault="00EB5E96" w:rsidP="000C4293">
      <w:pPr>
        <w:shd w:val="pct25" w:color="auto" w:fill="FFFFFF"/>
        <w:tabs>
          <w:tab w:val="left" w:pos="-720"/>
        </w:tabs>
        <w:suppressAutoHyphens/>
        <w:jc w:val="both"/>
      </w:pPr>
    </w:p>
    <w:p w14:paraId="5E9AAEF7" w14:textId="77777777" w:rsidR="00EB5E96" w:rsidRPr="00EE22A5" w:rsidRDefault="00EB5E96" w:rsidP="000C4293">
      <w:pPr>
        <w:shd w:val="pct25" w:color="auto" w:fill="FFFFFF"/>
        <w:tabs>
          <w:tab w:val="left" w:pos="-720"/>
        </w:tabs>
        <w:suppressAutoHyphens/>
        <w:jc w:val="both"/>
      </w:pPr>
      <w:r w:rsidRPr="00EE22A5">
        <w:t>Generally, estimates should not include purchases of equipment or services, or portions thereof, made:  (1) prior to October 1, 1995</w:t>
      </w:r>
      <w:r w:rsidR="0098066C">
        <w:t>;</w:t>
      </w:r>
      <w:r w:rsidRPr="00EE22A5">
        <w:t xml:space="preserve"> (2) to achieve regulatory compliance with requirements not associated with the information collection</w:t>
      </w:r>
      <w:r w:rsidR="0098066C">
        <w:t>;</w:t>
      </w:r>
      <w:r w:rsidRPr="00EE22A5">
        <w:t xml:space="preserve"> (3) for reasons other than to provide information to keep records for the government</w:t>
      </w:r>
      <w:r w:rsidR="0098066C">
        <w:t>;</w:t>
      </w:r>
      <w:r w:rsidRPr="00EE22A5">
        <w:t xml:space="preserve"> or (4) as part of customary and usual business or private practices.</w:t>
      </w:r>
    </w:p>
    <w:p w14:paraId="6F37294C" w14:textId="77777777" w:rsidR="00EB5E96" w:rsidRPr="00EE22A5" w:rsidRDefault="00EB5E96" w:rsidP="000C4293">
      <w:pPr>
        <w:shd w:val="clear" w:color="auto" w:fill="FFFFFF"/>
        <w:tabs>
          <w:tab w:val="left" w:pos="-720"/>
        </w:tabs>
        <w:suppressAutoHyphens/>
        <w:jc w:val="both"/>
      </w:pPr>
    </w:p>
    <w:p w14:paraId="32383435" w14:textId="19A41646" w:rsidR="00D73BBC" w:rsidRPr="00EE22A5" w:rsidRDefault="00FC2347" w:rsidP="00D73BBC">
      <w:pPr>
        <w:tabs>
          <w:tab w:val="left" w:pos="-720"/>
        </w:tabs>
        <w:suppressAutoHyphens/>
        <w:jc w:val="both"/>
        <w:rPr>
          <w:spacing w:val="-3"/>
        </w:rPr>
      </w:pPr>
      <w:r w:rsidRPr="00EE22A5">
        <w:rPr>
          <w:spacing w:val="-3"/>
        </w:rPr>
        <w:t>There</w:t>
      </w:r>
      <w:r w:rsidR="009249F0">
        <w:rPr>
          <w:spacing w:val="-3"/>
        </w:rPr>
        <w:t xml:space="preserve"> are no recordkeeping, capital, start-up, or maintenance costs to respondents associated with this information collection. </w:t>
      </w:r>
      <w:r w:rsidRPr="00EE22A5">
        <w:rPr>
          <w:spacing w:val="-3"/>
        </w:rPr>
        <w:t xml:space="preserve">  </w:t>
      </w:r>
    </w:p>
    <w:p w14:paraId="3137A8CD" w14:textId="77777777" w:rsidR="00333D1E" w:rsidRPr="00EE22A5" w:rsidRDefault="00333D1E" w:rsidP="000C4293">
      <w:pPr>
        <w:shd w:val="clear" w:color="auto" w:fill="FFFFFF"/>
        <w:tabs>
          <w:tab w:val="left" w:pos="-720"/>
        </w:tabs>
        <w:suppressAutoHyphens/>
        <w:jc w:val="both"/>
      </w:pPr>
    </w:p>
    <w:p w14:paraId="3F538841"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14.  Provide estimates of annualized cost to the Federal Government.  </w:t>
      </w:r>
      <w:r w:rsidR="008924F0" w:rsidRPr="00EE22A5">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EE22A5">
        <w:t xml:space="preserve">You may also aggregate cost estimates for Items 12, 13, and 14 in a single table.  </w:t>
      </w:r>
    </w:p>
    <w:p w14:paraId="029EFFE8" w14:textId="77777777" w:rsidR="00A67016" w:rsidRPr="00EE22A5" w:rsidRDefault="00EB5E96" w:rsidP="00EE22A5">
      <w:pPr>
        <w:suppressAutoHyphens/>
        <w:jc w:val="both"/>
      </w:pPr>
      <w:r w:rsidRPr="00EE22A5">
        <w:fldChar w:fldCharType="begin"/>
      </w:r>
      <w:r w:rsidRPr="00EE22A5">
        <w:instrText>ADVANCE \R 0.95</w:instrText>
      </w:r>
      <w:r w:rsidRPr="00EE22A5">
        <w:fldChar w:fldCharType="end"/>
      </w:r>
    </w:p>
    <w:p w14:paraId="7C93335F" w14:textId="320507FD" w:rsidR="00D7633D" w:rsidRPr="00EE22A5" w:rsidRDefault="00542B0A" w:rsidP="00D7633D">
      <w:r>
        <w:t>C</w:t>
      </w:r>
      <w:r w:rsidR="00EE78D4">
        <w:t>ISA</w:t>
      </w:r>
      <w:r>
        <w:t xml:space="preserve"> </w:t>
      </w:r>
      <w:r w:rsidR="00D7633D">
        <w:t xml:space="preserve">estimates that the federal government will respond to all 2,915 </w:t>
      </w:r>
      <w:r w:rsidR="009D3C14">
        <w:t>vulnerability asses</w:t>
      </w:r>
      <w:r w:rsidR="00E973DB">
        <w:t>s</w:t>
      </w:r>
      <w:r w:rsidR="009D3C14">
        <w:t xml:space="preserve">ments and all 266 post assessment questionnaires </w:t>
      </w:r>
      <w:r w:rsidR="00D7633D">
        <w:t xml:space="preserve">per year.  The government burden to respond to a </w:t>
      </w:r>
      <w:r w:rsidR="009D3C14">
        <w:t xml:space="preserve">vulnerability assessment </w:t>
      </w:r>
      <w:r w:rsidR="00D7633D">
        <w:t>will be 7.5</w:t>
      </w:r>
      <w:r w:rsidR="0068280D">
        <w:rPr>
          <w:rStyle w:val="FootnoteReference"/>
        </w:rPr>
        <w:footnoteReference w:id="5"/>
      </w:r>
      <w:r w:rsidR="00D7633D">
        <w:t xml:space="preserve"> hours for </w:t>
      </w:r>
      <w:r w:rsidR="009D3C14">
        <w:t>an</w:t>
      </w:r>
      <w:r w:rsidR="00D7633D">
        <w:t xml:space="preserve"> annual burden of 21,863 hours</w:t>
      </w:r>
      <w:r w:rsidR="009D3C14">
        <w:t>, and the burden to respond to a post assessment questionnaire will be 0.17 hours (10 minutes), for an annual burden of 44 hours.  The total burden to government will be 21,907 hours</w:t>
      </w:r>
      <w:r w:rsidR="00D7633D">
        <w:t xml:space="preserve">.  </w:t>
      </w:r>
      <w:r w:rsidR="00864DD1">
        <w:t>To estimate the burden to the federal government, the annual burden hours,</w:t>
      </w:r>
      <w:r w:rsidR="00D7633D">
        <w:t xml:space="preserve"> the estimated annual time burden is multiplied by the fully loaded hourly wage rate.</w:t>
      </w:r>
      <w:r w:rsidR="00864DD1">
        <w:t xml:space="preserve"> </w:t>
      </w:r>
      <w:r w:rsidR="000665A1" w:rsidRPr="00EE22A5">
        <w:t>Using the</w:t>
      </w:r>
      <w:r w:rsidR="00B57C44">
        <w:t xml:space="preserve"> Office of Perso</w:t>
      </w:r>
      <w:r w:rsidR="00FB5D46">
        <w:t>n</w:t>
      </w:r>
      <w:r w:rsidR="00B57C44">
        <w:t xml:space="preserve">nel Management Salary Table </w:t>
      </w:r>
      <w:r w:rsidR="00864DD1">
        <w:t>f</w:t>
      </w:r>
      <w:r w:rsidR="000665A1" w:rsidRPr="00EE22A5">
        <w:t>or GS14</w:t>
      </w:r>
      <w:r w:rsidR="009D3C14">
        <w:t xml:space="preserve"> step 3</w:t>
      </w:r>
      <w:r w:rsidR="000665A1" w:rsidRPr="00EE22A5">
        <w:t xml:space="preserve"> </w:t>
      </w:r>
      <w:r w:rsidR="00864DD1">
        <w:t>wage</w:t>
      </w:r>
      <w:r w:rsidR="00F27A38">
        <w:t xml:space="preserve"> rate of </w:t>
      </w:r>
      <w:r w:rsidR="00A67016" w:rsidRPr="00EE22A5">
        <w:t>$</w:t>
      </w:r>
      <w:r w:rsidR="009D3C14">
        <w:t>59.90</w:t>
      </w:r>
      <w:r w:rsidR="009D3C14">
        <w:rPr>
          <w:rStyle w:val="FootnoteReference"/>
        </w:rPr>
        <w:footnoteReference w:id="6"/>
      </w:r>
      <w:r w:rsidR="00A67016" w:rsidRPr="00EE22A5">
        <w:t xml:space="preserve"> per hour</w:t>
      </w:r>
      <w:r w:rsidR="000B7E59">
        <w:t xml:space="preserve"> multiplied by a load factor of </w:t>
      </w:r>
      <w:r w:rsidR="009D3C14">
        <w:t>1.6919</w:t>
      </w:r>
      <w:r w:rsidR="00FB3A49">
        <w:rPr>
          <w:rStyle w:val="FootnoteReference"/>
        </w:rPr>
        <w:footnoteReference w:id="7"/>
      </w:r>
      <w:r w:rsidR="000B7E59">
        <w:t xml:space="preserve">, we get a </w:t>
      </w:r>
      <w:r w:rsidR="009D3C14">
        <w:t>total compensation</w:t>
      </w:r>
      <w:r w:rsidR="000B7E59">
        <w:t xml:space="preserve"> rate of $</w:t>
      </w:r>
      <w:r w:rsidR="009D3C14">
        <w:t>101.35</w:t>
      </w:r>
      <w:r w:rsidR="00D7633D">
        <w:t>.</w:t>
      </w:r>
      <w:r w:rsidR="008A0002">
        <w:t xml:space="preserve"> </w:t>
      </w:r>
      <w:r w:rsidR="00D7633D">
        <w:t xml:space="preserve">Multiplying the </w:t>
      </w:r>
      <w:r w:rsidR="009D3C14">
        <w:t>compensation rate</w:t>
      </w:r>
      <w:r w:rsidR="00D7633D">
        <w:t xml:space="preserve"> by the estimated total burden hours of 21,</w:t>
      </w:r>
      <w:r w:rsidR="009D3C14">
        <w:t>907</w:t>
      </w:r>
      <w:r w:rsidR="00D7633D">
        <w:t xml:space="preserve"> provides an estimated annual government cost of $</w:t>
      </w:r>
      <w:r w:rsidR="009D3C14">
        <w:t>2.22</w:t>
      </w:r>
      <w:r w:rsidR="00D7633D">
        <w:t xml:space="preserve"> million, as shown in Table </w:t>
      </w:r>
      <w:r w:rsidR="000010A1">
        <w:t>2</w:t>
      </w:r>
      <w:r w:rsidR="00D7633D">
        <w:t>.</w:t>
      </w:r>
    </w:p>
    <w:p w14:paraId="28CC160A" w14:textId="26CFABA3" w:rsidR="003677B2" w:rsidRDefault="003677B2" w:rsidP="00A67016"/>
    <w:p w14:paraId="5F9D4FF9" w14:textId="77777777" w:rsidR="00D7633D" w:rsidRDefault="00D7633D" w:rsidP="00A67016"/>
    <w:p w14:paraId="3111EDC8" w14:textId="3055FF88" w:rsidR="00D7633D" w:rsidRDefault="00D7633D" w:rsidP="00A67016">
      <w:pPr>
        <w:rPr>
          <w:b/>
        </w:rPr>
      </w:pPr>
      <w:r w:rsidRPr="00E72077">
        <w:rPr>
          <w:b/>
        </w:rPr>
        <w:t xml:space="preserve">Table </w:t>
      </w:r>
      <w:r w:rsidR="000010A1" w:rsidRPr="00E72077">
        <w:rPr>
          <w:b/>
        </w:rPr>
        <w:t>2</w:t>
      </w:r>
      <w:r w:rsidRPr="00E72077">
        <w:rPr>
          <w:b/>
        </w:rPr>
        <w:t xml:space="preserve">: </w:t>
      </w:r>
      <w:r w:rsidR="000010A1" w:rsidRPr="00E72077">
        <w:rPr>
          <w:b/>
        </w:rPr>
        <w:t xml:space="preserve">Estimated </w:t>
      </w:r>
      <w:r w:rsidRPr="00E72077">
        <w:rPr>
          <w:b/>
        </w:rPr>
        <w:t>Government Burden</w:t>
      </w:r>
    </w:p>
    <w:p w14:paraId="6E38BE79" w14:textId="77777777" w:rsidR="00952C5E" w:rsidRDefault="00952C5E" w:rsidP="00A67016">
      <w:pPr>
        <w:rPr>
          <w:b/>
        </w:rPr>
      </w:pPr>
    </w:p>
    <w:tbl>
      <w:tblPr>
        <w:tblW w:w="9990" w:type="dxa"/>
        <w:jc w:val="center"/>
        <w:tblLook w:val="04A0" w:firstRow="1" w:lastRow="0" w:firstColumn="1" w:lastColumn="0" w:noHBand="0" w:noVBand="1"/>
      </w:tblPr>
      <w:tblGrid>
        <w:gridCol w:w="1828"/>
        <w:gridCol w:w="1412"/>
        <w:gridCol w:w="2070"/>
        <w:gridCol w:w="1558"/>
        <w:gridCol w:w="1660"/>
        <w:gridCol w:w="1462"/>
      </w:tblGrid>
      <w:tr w:rsidR="00952C5E" w14:paraId="5AD57E4D" w14:textId="77777777" w:rsidTr="00E72077">
        <w:trPr>
          <w:trHeight w:val="1215"/>
          <w:jc w:val="center"/>
        </w:trPr>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F054E" w14:textId="77777777" w:rsidR="00952C5E" w:rsidRDefault="00952C5E">
            <w:pPr>
              <w:jc w:val="center"/>
              <w:rPr>
                <w:b/>
                <w:bCs/>
                <w:color w:val="000000"/>
                <w:sz w:val="22"/>
                <w:szCs w:val="22"/>
              </w:rPr>
            </w:pPr>
            <w:r>
              <w:rPr>
                <w:b/>
                <w:bCs/>
                <w:color w:val="000000"/>
                <w:sz w:val="22"/>
                <w:szCs w:val="22"/>
              </w:rPr>
              <w:t>Instrument</w:t>
            </w:r>
          </w:p>
        </w:tc>
        <w:tc>
          <w:tcPr>
            <w:tcW w:w="1412" w:type="dxa"/>
            <w:tcBorders>
              <w:top w:val="single" w:sz="4" w:space="0" w:color="auto"/>
              <w:left w:val="nil"/>
              <w:bottom w:val="single" w:sz="4" w:space="0" w:color="auto"/>
              <w:right w:val="single" w:sz="4" w:space="0" w:color="auto"/>
            </w:tcBorders>
            <w:shd w:val="clear" w:color="000000" w:fill="FFFFFF"/>
            <w:vAlign w:val="center"/>
            <w:hideMark/>
          </w:tcPr>
          <w:p w14:paraId="53DB5375" w14:textId="77777777" w:rsidR="00952C5E" w:rsidRDefault="00952C5E">
            <w:pPr>
              <w:jc w:val="center"/>
              <w:rPr>
                <w:b/>
                <w:bCs/>
                <w:color w:val="000000"/>
                <w:sz w:val="22"/>
                <w:szCs w:val="22"/>
              </w:rPr>
            </w:pPr>
            <w:r>
              <w:rPr>
                <w:b/>
                <w:bCs/>
                <w:color w:val="000000"/>
                <w:sz w:val="22"/>
                <w:szCs w:val="22"/>
              </w:rPr>
              <w:t>Number of Reports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01D8C58" w14:textId="77777777" w:rsidR="00952C5E" w:rsidRDefault="00952C5E">
            <w:pPr>
              <w:jc w:val="center"/>
              <w:rPr>
                <w:b/>
                <w:bCs/>
                <w:color w:val="000000"/>
                <w:sz w:val="22"/>
                <w:szCs w:val="22"/>
              </w:rPr>
            </w:pPr>
            <w:r>
              <w:rPr>
                <w:b/>
                <w:bCs/>
                <w:color w:val="000000"/>
                <w:sz w:val="22"/>
                <w:szCs w:val="22"/>
              </w:rPr>
              <w:t>Average Burden per Report (hours)</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14:paraId="289DC178" w14:textId="77777777" w:rsidR="00952C5E" w:rsidRDefault="00952C5E">
            <w:pPr>
              <w:jc w:val="center"/>
              <w:rPr>
                <w:b/>
                <w:bCs/>
                <w:color w:val="000000"/>
                <w:sz w:val="22"/>
                <w:szCs w:val="22"/>
              </w:rPr>
            </w:pPr>
            <w:r>
              <w:rPr>
                <w:b/>
                <w:bCs/>
                <w:color w:val="000000"/>
                <w:sz w:val="22"/>
                <w:szCs w:val="22"/>
              </w:rPr>
              <w:t>Total Time Burden (hours)</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4713E698" w14:textId="77777777" w:rsidR="00952C5E" w:rsidRDefault="00952C5E">
            <w:pPr>
              <w:jc w:val="center"/>
              <w:rPr>
                <w:b/>
                <w:bCs/>
                <w:color w:val="000000"/>
                <w:sz w:val="22"/>
                <w:szCs w:val="22"/>
              </w:rPr>
            </w:pPr>
            <w:r>
              <w:rPr>
                <w:b/>
                <w:bCs/>
                <w:color w:val="000000"/>
                <w:sz w:val="22"/>
                <w:szCs w:val="22"/>
              </w:rPr>
              <w:t>Average Hourly Compensation Rate</w:t>
            </w:r>
          </w:p>
        </w:tc>
        <w:tc>
          <w:tcPr>
            <w:tcW w:w="1462" w:type="dxa"/>
            <w:tcBorders>
              <w:top w:val="single" w:sz="4" w:space="0" w:color="auto"/>
              <w:left w:val="nil"/>
              <w:bottom w:val="single" w:sz="4" w:space="0" w:color="auto"/>
              <w:right w:val="single" w:sz="4" w:space="0" w:color="auto"/>
            </w:tcBorders>
            <w:shd w:val="clear" w:color="000000" w:fill="FFFFFF"/>
            <w:vAlign w:val="center"/>
            <w:hideMark/>
          </w:tcPr>
          <w:p w14:paraId="6182326E" w14:textId="77777777" w:rsidR="00952C5E" w:rsidRDefault="00952C5E">
            <w:pPr>
              <w:jc w:val="center"/>
              <w:rPr>
                <w:b/>
                <w:bCs/>
                <w:color w:val="000000"/>
                <w:sz w:val="22"/>
                <w:szCs w:val="22"/>
              </w:rPr>
            </w:pPr>
            <w:r>
              <w:rPr>
                <w:b/>
                <w:bCs/>
                <w:color w:val="000000"/>
                <w:sz w:val="22"/>
                <w:szCs w:val="22"/>
              </w:rPr>
              <w:t>Total Labor Cost</w:t>
            </w:r>
          </w:p>
        </w:tc>
      </w:tr>
      <w:tr w:rsidR="00952C5E" w14:paraId="0E2A69C4" w14:textId="77777777" w:rsidTr="00E72077">
        <w:trPr>
          <w:trHeight w:val="330"/>
          <w:jc w:val="center"/>
        </w:trPr>
        <w:tc>
          <w:tcPr>
            <w:tcW w:w="18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5B2FBB" w14:textId="77777777" w:rsidR="00952C5E" w:rsidRDefault="00952C5E">
            <w:pPr>
              <w:rPr>
                <w:color w:val="000000"/>
              </w:rPr>
            </w:pPr>
            <w:r>
              <w:rPr>
                <w:bCs/>
                <w:color w:val="000000"/>
              </w:rPr>
              <w:t>Vulnerability Assessments</w:t>
            </w:r>
          </w:p>
        </w:tc>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442F806" w14:textId="77777777" w:rsidR="00952C5E" w:rsidRDefault="00952C5E">
            <w:pPr>
              <w:jc w:val="center"/>
              <w:rPr>
                <w:color w:val="000000"/>
                <w:sz w:val="22"/>
                <w:szCs w:val="22"/>
              </w:rPr>
            </w:pPr>
            <w:r>
              <w:rPr>
                <w:color w:val="000000"/>
                <w:sz w:val="22"/>
                <w:szCs w:val="22"/>
              </w:rPr>
              <w:t>2915</w:t>
            </w:r>
          </w:p>
        </w:tc>
        <w:tc>
          <w:tcPr>
            <w:tcW w:w="2070" w:type="dxa"/>
            <w:tcBorders>
              <w:top w:val="nil"/>
              <w:left w:val="nil"/>
              <w:bottom w:val="single" w:sz="4" w:space="0" w:color="auto"/>
              <w:right w:val="single" w:sz="4" w:space="0" w:color="auto"/>
            </w:tcBorders>
            <w:shd w:val="clear" w:color="000000" w:fill="FFFFFF"/>
            <w:noWrap/>
            <w:vAlign w:val="center"/>
            <w:hideMark/>
          </w:tcPr>
          <w:p w14:paraId="18319E8D" w14:textId="77777777" w:rsidR="00952C5E" w:rsidRDefault="00952C5E">
            <w:pPr>
              <w:jc w:val="center"/>
              <w:rPr>
                <w:color w:val="000000"/>
                <w:sz w:val="22"/>
                <w:szCs w:val="22"/>
              </w:rPr>
            </w:pPr>
            <w:r>
              <w:rPr>
                <w:color w:val="000000"/>
                <w:sz w:val="22"/>
                <w:szCs w:val="22"/>
              </w:rPr>
              <w:t>7.50</w:t>
            </w:r>
          </w:p>
        </w:tc>
        <w:tc>
          <w:tcPr>
            <w:tcW w:w="1558" w:type="dxa"/>
            <w:tcBorders>
              <w:top w:val="nil"/>
              <w:left w:val="nil"/>
              <w:bottom w:val="single" w:sz="4" w:space="0" w:color="auto"/>
              <w:right w:val="single" w:sz="4" w:space="0" w:color="auto"/>
            </w:tcBorders>
            <w:shd w:val="clear" w:color="000000" w:fill="FFFFFF"/>
            <w:noWrap/>
            <w:vAlign w:val="center"/>
            <w:hideMark/>
          </w:tcPr>
          <w:p w14:paraId="429C4CAE" w14:textId="77777777" w:rsidR="00952C5E" w:rsidRDefault="00952C5E">
            <w:pPr>
              <w:jc w:val="center"/>
              <w:rPr>
                <w:color w:val="000000"/>
                <w:sz w:val="22"/>
                <w:szCs w:val="22"/>
              </w:rPr>
            </w:pPr>
            <w:r>
              <w:rPr>
                <w:color w:val="000000"/>
                <w:sz w:val="22"/>
                <w:szCs w:val="22"/>
              </w:rPr>
              <w:t>21863</w:t>
            </w:r>
          </w:p>
        </w:tc>
        <w:tc>
          <w:tcPr>
            <w:tcW w:w="1660" w:type="dxa"/>
            <w:tcBorders>
              <w:top w:val="nil"/>
              <w:left w:val="nil"/>
              <w:bottom w:val="single" w:sz="4" w:space="0" w:color="auto"/>
              <w:right w:val="single" w:sz="4" w:space="0" w:color="auto"/>
            </w:tcBorders>
            <w:shd w:val="clear" w:color="000000" w:fill="FFFFFF"/>
            <w:vAlign w:val="center"/>
            <w:hideMark/>
          </w:tcPr>
          <w:p w14:paraId="013697AA" w14:textId="77777777" w:rsidR="00952C5E" w:rsidRDefault="00952C5E">
            <w:pPr>
              <w:jc w:val="center"/>
              <w:rPr>
                <w:color w:val="000000"/>
                <w:sz w:val="22"/>
                <w:szCs w:val="22"/>
              </w:rPr>
            </w:pPr>
            <w:r>
              <w:rPr>
                <w:color w:val="000000"/>
                <w:sz w:val="22"/>
                <w:szCs w:val="22"/>
              </w:rPr>
              <w:t>$101.35</w:t>
            </w:r>
          </w:p>
        </w:tc>
        <w:tc>
          <w:tcPr>
            <w:tcW w:w="1462" w:type="dxa"/>
            <w:tcBorders>
              <w:top w:val="nil"/>
              <w:left w:val="nil"/>
              <w:bottom w:val="single" w:sz="4" w:space="0" w:color="auto"/>
              <w:right w:val="single" w:sz="4" w:space="0" w:color="auto"/>
            </w:tcBorders>
            <w:shd w:val="clear" w:color="000000" w:fill="FFFFFF"/>
            <w:vAlign w:val="center"/>
            <w:hideMark/>
          </w:tcPr>
          <w:p w14:paraId="2665102E" w14:textId="77777777" w:rsidR="00952C5E" w:rsidRDefault="00952C5E">
            <w:pPr>
              <w:jc w:val="center"/>
              <w:rPr>
                <w:color w:val="000000"/>
                <w:sz w:val="22"/>
                <w:szCs w:val="22"/>
              </w:rPr>
            </w:pPr>
            <w:r>
              <w:rPr>
                <w:color w:val="000000"/>
                <w:sz w:val="22"/>
                <w:szCs w:val="22"/>
              </w:rPr>
              <w:t>$2,215,659</w:t>
            </w:r>
          </w:p>
        </w:tc>
      </w:tr>
      <w:tr w:rsidR="00952C5E" w14:paraId="1BBE68BF" w14:textId="77777777" w:rsidTr="00E72077">
        <w:trPr>
          <w:trHeight w:val="330"/>
          <w:jc w:val="center"/>
        </w:trPr>
        <w:tc>
          <w:tcPr>
            <w:tcW w:w="1828" w:type="dxa"/>
            <w:tcBorders>
              <w:top w:val="nil"/>
              <w:left w:val="single" w:sz="8" w:space="0" w:color="auto"/>
              <w:bottom w:val="single" w:sz="8" w:space="0" w:color="auto"/>
              <w:right w:val="single" w:sz="8" w:space="0" w:color="auto"/>
            </w:tcBorders>
            <w:shd w:val="clear" w:color="auto" w:fill="auto"/>
            <w:vAlign w:val="center"/>
            <w:hideMark/>
          </w:tcPr>
          <w:p w14:paraId="0C2833E6" w14:textId="77777777" w:rsidR="00952C5E" w:rsidRDefault="00952C5E">
            <w:pPr>
              <w:rPr>
                <w:color w:val="000000"/>
              </w:rPr>
            </w:pPr>
            <w:r>
              <w:rPr>
                <w:bCs/>
                <w:color w:val="000000"/>
              </w:rPr>
              <w:t>Post Assessment Questionnaires</w:t>
            </w:r>
          </w:p>
        </w:tc>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D5BB669" w14:textId="77777777" w:rsidR="00952C5E" w:rsidRDefault="00952C5E">
            <w:pPr>
              <w:jc w:val="center"/>
              <w:rPr>
                <w:color w:val="000000"/>
                <w:sz w:val="22"/>
                <w:szCs w:val="22"/>
              </w:rPr>
            </w:pPr>
            <w:r>
              <w:rPr>
                <w:color w:val="000000"/>
                <w:sz w:val="22"/>
                <w:szCs w:val="22"/>
              </w:rPr>
              <w:t>266</w:t>
            </w:r>
          </w:p>
        </w:tc>
        <w:tc>
          <w:tcPr>
            <w:tcW w:w="2070" w:type="dxa"/>
            <w:tcBorders>
              <w:top w:val="nil"/>
              <w:left w:val="nil"/>
              <w:bottom w:val="single" w:sz="4" w:space="0" w:color="auto"/>
              <w:right w:val="single" w:sz="4" w:space="0" w:color="auto"/>
            </w:tcBorders>
            <w:shd w:val="clear" w:color="000000" w:fill="FFFFFF"/>
            <w:noWrap/>
            <w:vAlign w:val="center"/>
            <w:hideMark/>
          </w:tcPr>
          <w:p w14:paraId="4271D703" w14:textId="77777777" w:rsidR="00952C5E" w:rsidRDefault="00952C5E">
            <w:pPr>
              <w:jc w:val="center"/>
              <w:rPr>
                <w:color w:val="000000"/>
                <w:sz w:val="22"/>
                <w:szCs w:val="22"/>
              </w:rPr>
            </w:pPr>
            <w:r>
              <w:rPr>
                <w:color w:val="000000"/>
                <w:sz w:val="22"/>
                <w:szCs w:val="22"/>
              </w:rPr>
              <w:t>0.17</w:t>
            </w:r>
          </w:p>
        </w:tc>
        <w:tc>
          <w:tcPr>
            <w:tcW w:w="1558" w:type="dxa"/>
            <w:tcBorders>
              <w:top w:val="nil"/>
              <w:left w:val="nil"/>
              <w:bottom w:val="single" w:sz="4" w:space="0" w:color="auto"/>
              <w:right w:val="single" w:sz="4" w:space="0" w:color="auto"/>
            </w:tcBorders>
            <w:shd w:val="clear" w:color="000000" w:fill="FFFFFF"/>
            <w:noWrap/>
            <w:vAlign w:val="center"/>
            <w:hideMark/>
          </w:tcPr>
          <w:p w14:paraId="24526FE0" w14:textId="77777777" w:rsidR="00952C5E" w:rsidRDefault="00952C5E">
            <w:pPr>
              <w:jc w:val="center"/>
              <w:rPr>
                <w:color w:val="000000"/>
                <w:sz w:val="22"/>
                <w:szCs w:val="22"/>
              </w:rPr>
            </w:pPr>
            <w:r>
              <w:rPr>
                <w:color w:val="000000"/>
                <w:sz w:val="22"/>
                <w:szCs w:val="22"/>
              </w:rPr>
              <w:t>44</w:t>
            </w:r>
          </w:p>
        </w:tc>
        <w:tc>
          <w:tcPr>
            <w:tcW w:w="1660" w:type="dxa"/>
            <w:tcBorders>
              <w:top w:val="nil"/>
              <w:left w:val="nil"/>
              <w:bottom w:val="single" w:sz="4" w:space="0" w:color="auto"/>
              <w:right w:val="single" w:sz="4" w:space="0" w:color="auto"/>
            </w:tcBorders>
            <w:shd w:val="clear" w:color="000000" w:fill="FFFFFF"/>
            <w:vAlign w:val="center"/>
            <w:hideMark/>
          </w:tcPr>
          <w:p w14:paraId="099A996E" w14:textId="77777777" w:rsidR="00952C5E" w:rsidRDefault="00952C5E">
            <w:pPr>
              <w:jc w:val="center"/>
              <w:rPr>
                <w:color w:val="000000"/>
                <w:sz w:val="22"/>
                <w:szCs w:val="22"/>
              </w:rPr>
            </w:pPr>
            <w:r>
              <w:rPr>
                <w:color w:val="000000"/>
                <w:sz w:val="22"/>
                <w:szCs w:val="22"/>
              </w:rPr>
              <w:t>$101.35</w:t>
            </w:r>
          </w:p>
        </w:tc>
        <w:tc>
          <w:tcPr>
            <w:tcW w:w="1462" w:type="dxa"/>
            <w:tcBorders>
              <w:top w:val="nil"/>
              <w:left w:val="nil"/>
              <w:bottom w:val="single" w:sz="4" w:space="0" w:color="auto"/>
              <w:right w:val="single" w:sz="4" w:space="0" w:color="auto"/>
            </w:tcBorders>
            <w:shd w:val="clear" w:color="000000" w:fill="FFFFFF"/>
            <w:vAlign w:val="center"/>
            <w:hideMark/>
          </w:tcPr>
          <w:p w14:paraId="0AFCB528" w14:textId="77777777" w:rsidR="00952C5E" w:rsidRDefault="00952C5E">
            <w:pPr>
              <w:jc w:val="center"/>
              <w:rPr>
                <w:color w:val="000000"/>
                <w:sz w:val="22"/>
                <w:szCs w:val="22"/>
              </w:rPr>
            </w:pPr>
            <w:r>
              <w:rPr>
                <w:color w:val="000000"/>
                <w:sz w:val="22"/>
                <w:szCs w:val="22"/>
              </w:rPr>
              <w:t>$4,493</w:t>
            </w:r>
          </w:p>
        </w:tc>
      </w:tr>
      <w:tr w:rsidR="00952C5E" w14:paraId="0DAC8FFB" w14:textId="77777777" w:rsidTr="00E72077">
        <w:trPr>
          <w:trHeight w:val="315"/>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5171D" w14:textId="77777777" w:rsidR="00952C5E" w:rsidRDefault="00952C5E">
            <w:pPr>
              <w:jc w:val="center"/>
              <w:rPr>
                <w:b/>
                <w:bCs/>
                <w:color w:val="000000"/>
                <w:sz w:val="22"/>
                <w:szCs w:val="22"/>
              </w:rPr>
            </w:pPr>
            <w:r>
              <w:rPr>
                <w:b/>
                <w:bCs/>
                <w:color w:val="000000"/>
                <w:sz w:val="22"/>
                <w:szCs w:val="22"/>
              </w:rPr>
              <w:t>Total</w:t>
            </w:r>
          </w:p>
        </w:tc>
        <w:tc>
          <w:tcPr>
            <w:tcW w:w="1412" w:type="dxa"/>
            <w:tcBorders>
              <w:top w:val="nil"/>
              <w:left w:val="nil"/>
              <w:bottom w:val="single" w:sz="4" w:space="0" w:color="auto"/>
              <w:right w:val="single" w:sz="4" w:space="0" w:color="auto"/>
            </w:tcBorders>
            <w:shd w:val="clear" w:color="auto" w:fill="auto"/>
            <w:noWrap/>
            <w:vAlign w:val="center"/>
            <w:hideMark/>
          </w:tcPr>
          <w:p w14:paraId="0E14A86D" w14:textId="77777777" w:rsidR="00952C5E" w:rsidRDefault="00952C5E">
            <w:pPr>
              <w:jc w:val="center"/>
              <w:rPr>
                <w:b/>
                <w:bCs/>
                <w:color w:val="000000"/>
                <w:sz w:val="22"/>
                <w:szCs w:val="22"/>
              </w:rPr>
            </w:pPr>
            <w:r>
              <w:rPr>
                <w:b/>
                <w:bCs/>
                <w:color w:val="000000"/>
                <w:sz w:val="22"/>
                <w:szCs w:val="22"/>
              </w:rPr>
              <w:t>3,181</w:t>
            </w:r>
          </w:p>
        </w:tc>
        <w:tc>
          <w:tcPr>
            <w:tcW w:w="2070" w:type="dxa"/>
            <w:tcBorders>
              <w:top w:val="nil"/>
              <w:left w:val="nil"/>
              <w:bottom w:val="single" w:sz="4" w:space="0" w:color="auto"/>
              <w:right w:val="single" w:sz="4" w:space="0" w:color="auto"/>
            </w:tcBorders>
            <w:shd w:val="clear" w:color="000000" w:fill="FFFFFF"/>
            <w:noWrap/>
            <w:vAlign w:val="center"/>
            <w:hideMark/>
          </w:tcPr>
          <w:p w14:paraId="498E1EDC" w14:textId="77777777" w:rsidR="00952C5E" w:rsidRDefault="00952C5E">
            <w:pPr>
              <w:jc w:val="center"/>
              <w:rPr>
                <w:b/>
                <w:bCs/>
                <w:color w:val="000000"/>
                <w:sz w:val="22"/>
                <w:szCs w:val="22"/>
              </w:rPr>
            </w:pPr>
            <w:r>
              <w:rPr>
                <w:b/>
                <w:bCs/>
                <w:color w:val="000000"/>
                <w:sz w:val="22"/>
                <w:szCs w:val="22"/>
              </w:rPr>
              <w:t> </w:t>
            </w:r>
          </w:p>
        </w:tc>
        <w:tc>
          <w:tcPr>
            <w:tcW w:w="1558" w:type="dxa"/>
            <w:tcBorders>
              <w:top w:val="nil"/>
              <w:left w:val="nil"/>
              <w:bottom w:val="single" w:sz="4" w:space="0" w:color="auto"/>
              <w:right w:val="single" w:sz="4" w:space="0" w:color="auto"/>
            </w:tcBorders>
            <w:shd w:val="clear" w:color="000000" w:fill="FFFFFF"/>
            <w:noWrap/>
            <w:vAlign w:val="center"/>
            <w:hideMark/>
          </w:tcPr>
          <w:p w14:paraId="6C42BFC7" w14:textId="77777777" w:rsidR="00952C5E" w:rsidRDefault="00952C5E">
            <w:pPr>
              <w:jc w:val="center"/>
              <w:rPr>
                <w:b/>
                <w:bCs/>
                <w:color w:val="000000"/>
                <w:sz w:val="22"/>
                <w:szCs w:val="22"/>
              </w:rPr>
            </w:pPr>
            <w:r>
              <w:rPr>
                <w:b/>
                <w:bCs/>
                <w:color w:val="000000"/>
                <w:sz w:val="22"/>
                <w:szCs w:val="22"/>
              </w:rPr>
              <w:t>21,907</w:t>
            </w:r>
          </w:p>
        </w:tc>
        <w:tc>
          <w:tcPr>
            <w:tcW w:w="1660" w:type="dxa"/>
            <w:tcBorders>
              <w:top w:val="nil"/>
              <w:left w:val="nil"/>
              <w:bottom w:val="single" w:sz="4" w:space="0" w:color="auto"/>
              <w:right w:val="single" w:sz="4" w:space="0" w:color="auto"/>
            </w:tcBorders>
            <w:shd w:val="clear" w:color="000000" w:fill="FFFFFF"/>
            <w:vAlign w:val="center"/>
            <w:hideMark/>
          </w:tcPr>
          <w:p w14:paraId="57C417AC" w14:textId="77777777" w:rsidR="00952C5E" w:rsidRDefault="00952C5E">
            <w:pPr>
              <w:jc w:val="center"/>
              <w:rPr>
                <w:color w:val="000000"/>
                <w:sz w:val="22"/>
                <w:szCs w:val="22"/>
              </w:rPr>
            </w:pPr>
            <w:r>
              <w:rPr>
                <w:color w:val="000000"/>
                <w:sz w:val="22"/>
                <w:szCs w:val="22"/>
              </w:rPr>
              <w:t> </w:t>
            </w:r>
          </w:p>
        </w:tc>
        <w:tc>
          <w:tcPr>
            <w:tcW w:w="1462" w:type="dxa"/>
            <w:tcBorders>
              <w:top w:val="nil"/>
              <w:left w:val="nil"/>
              <w:bottom w:val="single" w:sz="4" w:space="0" w:color="auto"/>
              <w:right w:val="single" w:sz="4" w:space="0" w:color="auto"/>
            </w:tcBorders>
            <w:shd w:val="clear" w:color="000000" w:fill="FFFFFF"/>
            <w:vAlign w:val="center"/>
            <w:hideMark/>
          </w:tcPr>
          <w:p w14:paraId="18CD0E5C" w14:textId="77777777" w:rsidR="00952C5E" w:rsidRDefault="00952C5E">
            <w:pPr>
              <w:jc w:val="center"/>
              <w:rPr>
                <w:b/>
                <w:bCs/>
                <w:color w:val="000000"/>
                <w:sz w:val="22"/>
                <w:szCs w:val="22"/>
              </w:rPr>
            </w:pPr>
            <w:r>
              <w:rPr>
                <w:b/>
                <w:bCs/>
                <w:color w:val="000000"/>
                <w:sz w:val="22"/>
                <w:szCs w:val="22"/>
              </w:rPr>
              <w:t>$2,220,152</w:t>
            </w:r>
          </w:p>
        </w:tc>
      </w:tr>
    </w:tbl>
    <w:p w14:paraId="349BB2E2" w14:textId="77777777" w:rsidR="00952C5E" w:rsidRPr="00B47F04" w:rsidRDefault="00952C5E" w:rsidP="00A67016">
      <w:pPr>
        <w:rPr>
          <w:b/>
        </w:rPr>
      </w:pPr>
    </w:p>
    <w:p w14:paraId="38763E4D" w14:textId="77777777" w:rsidR="00333D1E" w:rsidRPr="00EE22A5" w:rsidRDefault="00333D1E" w:rsidP="00CE3D0D">
      <w:pPr>
        <w:suppressAutoHyphens/>
        <w:jc w:val="both"/>
      </w:pPr>
    </w:p>
    <w:p w14:paraId="381ADD16" w14:textId="77777777" w:rsidR="006D6538" w:rsidRDefault="006D6538"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Pr>
          <w:bCs/>
        </w:rPr>
        <w:t>Note: Totals may not sum due to rounding</w:t>
      </w:r>
    </w:p>
    <w:p w14:paraId="1E725E68" w14:textId="77777777" w:rsidR="0068280D" w:rsidRPr="00EE22A5" w:rsidRDefault="0068280D" w:rsidP="006D65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01A753BB" w14:textId="77777777" w:rsidR="006D6538" w:rsidRDefault="006D6538" w:rsidP="000C4293">
      <w:pPr>
        <w:shd w:val="pct25" w:color="auto" w:fill="auto"/>
        <w:tabs>
          <w:tab w:val="left" w:pos="-720"/>
        </w:tabs>
        <w:suppressAutoHyphens/>
        <w:jc w:val="both"/>
      </w:pPr>
    </w:p>
    <w:p w14:paraId="7F74B886"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15.  Explain the reasons for any program changes or adjustments reported in Items 13 or 14 of the OMB Form 83-I.  Changes in hour burden, i.e., program changes or adjustments made to annual reporting and recordkeeping </w:t>
      </w:r>
      <w:r w:rsidRPr="00EE22A5">
        <w:rPr>
          <w:b/>
        </w:rPr>
        <w:t>hour</w:t>
      </w:r>
      <w:r w:rsidRPr="00EE22A5">
        <w:t xml:space="preserve"> and </w:t>
      </w:r>
      <w:r w:rsidRPr="00EE22A5">
        <w:rPr>
          <w:b/>
        </w:rPr>
        <w:t>cost</w:t>
      </w:r>
      <w:r w:rsidRPr="00EE22A5">
        <w:t xml:space="preserve"> burden.  A program change is the result of deliberate Federal </w:t>
      </w:r>
      <w:r w:rsidR="0098066C">
        <w:t>G</w:t>
      </w:r>
      <w:r w:rsidRPr="00EE22A5">
        <w:t xml:space="preserve">overnment action.  All new collections and any subsequent revisions of existing collections (e.g., the addition or deletion of questions) are recorded as program changes.  An adjustment is a change that is not the result of a deliberate Federal </w:t>
      </w:r>
      <w:r w:rsidR="0098066C">
        <w:t>G</w:t>
      </w:r>
      <w:r w:rsidRPr="00EE22A5">
        <w:t xml:space="preserve">overnment action.  These changes that result from new estimates or actions not controllable by the Federal government are recorded as adjustments. </w:t>
      </w:r>
    </w:p>
    <w:p w14:paraId="3BD7F8DF"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p w14:paraId="506AD653" w14:textId="049986A9" w:rsidR="008E2E21" w:rsidRDefault="008E2E21" w:rsidP="008E2E21">
      <w:pPr>
        <w:tabs>
          <w:tab w:val="left" w:pos="-720"/>
        </w:tabs>
        <w:suppressAutoHyphens/>
        <w:contextualSpacing/>
      </w:pPr>
      <w:r>
        <w:t xml:space="preserve">The changes to the collection since the previous OMB approval include: </w:t>
      </w:r>
      <w:r w:rsidR="004737C8">
        <w:t xml:space="preserve">updating the title of the collection, </w:t>
      </w:r>
      <w:r>
        <w:t xml:space="preserve">adding three customer feedback </w:t>
      </w:r>
      <w:r w:rsidRPr="00E72077">
        <w:t>questionnaires, increase</w:t>
      </w:r>
      <w:r w:rsidR="00E72077" w:rsidRPr="00E72077">
        <w:t xml:space="preserve"> </w:t>
      </w:r>
      <w:r w:rsidRPr="00E72077">
        <w:t>in</w:t>
      </w:r>
      <w:r>
        <w:t xml:space="preserve"> burden estimates and costs. </w:t>
      </w:r>
    </w:p>
    <w:p w14:paraId="2DAD15C8" w14:textId="77777777" w:rsidR="008E2E21" w:rsidRDefault="008E2E21" w:rsidP="008E2E21">
      <w:pPr>
        <w:tabs>
          <w:tab w:val="left" w:pos="-720"/>
        </w:tabs>
        <w:suppressAutoHyphens/>
        <w:contextualSpacing/>
      </w:pPr>
    </w:p>
    <w:p w14:paraId="40DBBB05" w14:textId="5620F4E3" w:rsidR="004737C8" w:rsidRDefault="008E2E21" w:rsidP="008E2E21">
      <w:pPr>
        <w:tabs>
          <w:tab w:val="left" w:pos="-720"/>
        </w:tabs>
        <w:suppressAutoHyphens/>
        <w:contextualSpacing/>
      </w:pPr>
      <w:r>
        <w:t>T</w:t>
      </w:r>
      <w:r w:rsidR="004737C8">
        <w:t>he title of the collection has been updated to better reflect the nature of the instruments within the collection package.</w:t>
      </w:r>
    </w:p>
    <w:p w14:paraId="4ACB5662" w14:textId="77777777" w:rsidR="004737C8" w:rsidRDefault="004737C8" w:rsidP="008E2E21">
      <w:pPr>
        <w:tabs>
          <w:tab w:val="left" w:pos="-720"/>
        </w:tabs>
        <w:suppressAutoHyphens/>
        <w:contextualSpacing/>
      </w:pPr>
    </w:p>
    <w:p w14:paraId="460078DF" w14:textId="4EAB03D5" w:rsidR="008E2E21" w:rsidRDefault="004737C8" w:rsidP="008E2E21">
      <w:pPr>
        <w:tabs>
          <w:tab w:val="left" w:pos="-720"/>
        </w:tabs>
        <w:suppressAutoHyphens/>
        <w:contextualSpacing/>
      </w:pPr>
      <w:r>
        <w:t>T</w:t>
      </w:r>
      <w:r w:rsidR="008E2E21">
        <w:t xml:space="preserve">he three questionnaires were added to the collection to provide user feedback on the content and functionality of the system.  The addition of the </w:t>
      </w:r>
      <w:r w:rsidR="00314A71">
        <w:t>q</w:t>
      </w:r>
      <w:r w:rsidR="008E2E21">
        <w:t>uestionnaire</w:t>
      </w:r>
      <w:r w:rsidR="00314A71">
        <w:t>s</w:t>
      </w:r>
      <w:r w:rsidR="008E2E21">
        <w:t xml:space="preserve"> ha</w:t>
      </w:r>
      <w:r w:rsidR="00314A71">
        <w:t>ve</w:t>
      </w:r>
      <w:r w:rsidR="008E2E21">
        <w:t xml:space="preserve"> increased the burden estimates by </w:t>
      </w:r>
      <w:r w:rsidR="00B64DC4">
        <w:t>$3,861.</w:t>
      </w:r>
    </w:p>
    <w:p w14:paraId="1B29D2F6" w14:textId="77777777" w:rsidR="008E2E21" w:rsidRDefault="008E2E21" w:rsidP="008E2E21">
      <w:pPr>
        <w:tabs>
          <w:tab w:val="left" w:pos="-720"/>
        </w:tabs>
        <w:suppressAutoHyphens/>
        <w:contextualSpacing/>
      </w:pPr>
    </w:p>
    <w:p w14:paraId="2E8EF9F1" w14:textId="1809DB0A" w:rsidR="008E2E21" w:rsidRPr="00E72077" w:rsidRDefault="008E2E21" w:rsidP="008E2E21">
      <w:pPr>
        <w:tabs>
          <w:tab w:val="left" w:pos="-720"/>
        </w:tabs>
        <w:suppressAutoHyphens/>
        <w:contextualSpacing/>
      </w:pPr>
      <w:r w:rsidRPr="00E72077">
        <w:t xml:space="preserve">The annual burden cost for the collection has increased by </w:t>
      </w:r>
      <w:r w:rsidR="00B64DC4" w:rsidRPr="00E72077">
        <w:t xml:space="preserve">$121,591, </w:t>
      </w:r>
      <w:r w:rsidRPr="00E72077">
        <w:t xml:space="preserve">from </w:t>
      </w:r>
      <w:r w:rsidR="00B64DC4" w:rsidRPr="00E72077">
        <w:t xml:space="preserve">$1,786,166 </w:t>
      </w:r>
      <w:r w:rsidRPr="00E72077">
        <w:t xml:space="preserve">to </w:t>
      </w:r>
      <w:r w:rsidR="00B64DC4" w:rsidRPr="00E72077">
        <w:t xml:space="preserve">$1,907,757, </w:t>
      </w:r>
      <w:r w:rsidRPr="00E72077">
        <w:t>due to</w:t>
      </w:r>
      <w:r w:rsidR="00B64DC4" w:rsidRPr="00E72077">
        <w:t xml:space="preserve"> the addition of the Post Assessment Questionnaires and</w:t>
      </w:r>
      <w:r w:rsidRPr="00E72077">
        <w:t xml:space="preserve"> updated wage rates.  </w:t>
      </w:r>
    </w:p>
    <w:p w14:paraId="3E174C79" w14:textId="77777777" w:rsidR="008E2E21" w:rsidRPr="00E72077" w:rsidRDefault="008E2E21" w:rsidP="008E2E21">
      <w:pPr>
        <w:tabs>
          <w:tab w:val="left" w:pos="-720"/>
        </w:tabs>
        <w:suppressAutoHyphens/>
        <w:contextualSpacing/>
      </w:pPr>
    </w:p>
    <w:p w14:paraId="1EDD8118" w14:textId="24A5F246" w:rsidR="008E2E21" w:rsidRDefault="008E2E21" w:rsidP="008E2E21">
      <w:pPr>
        <w:tabs>
          <w:tab w:val="left" w:pos="-720"/>
        </w:tabs>
        <w:suppressAutoHyphens/>
        <w:contextualSpacing/>
      </w:pPr>
      <w:r w:rsidRPr="00E72077">
        <w:t xml:space="preserve">The annual government cost for the collection has increased by </w:t>
      </w:r>
      <w:r w:rsidR="00B64DC4" w:rsidRPr="00E72077">
        <w:t xml:space="preserve">$509,195, </w:t>
      </w:r>
      <w:r w:rsidRPr="00E72077">
        <w:t xml:space="preserve">from </w:t>
      </w:r>
      <w:r w:rsidR="00B64DC4" w:rsidRPr="00E72077">
        <w:t xml:space="preserve">$1,710,959 </w:t>
      </w:r>
      <w:r w:rsidRPr="00E72077">
        <w:t xml:space="preserve">to </w:t>
      </w:r>
      <w:r w:rsidR="00B64DC4" w:rsidRPr="00E72077">
        <w:t xml:space="preserve">$2,220,152, </w:t>
      </w:r>
      <w:r w:rsidRPr="00E72077">
        <w:t xml:space="preserve">due to </w:t>
      </w:r>
      <w:r w:rsidR="00B64DC4" w:rsidRPr="00E72077">
        <w:t xml:space="preserve">the addition of the Post Assessment Questionnaires and </w:t>
      </w:r>
      <w:r w:rsidRPr="00E72077">
        <w:t>updated wage rates.</w:t>
      </w:r>
      <w:r>
        <w:t xml:space="preserve">  </w:t>
      </w:r>
    </w:p>
    <w:p w14:paraId="67735727" w14:textId="39B8975D" w:rsidR="00D73BBC" w:rsidRPr="00EE22A5" w:rsidRDefault="00D73BBC" w:rsidP="00D73BBC">
      <w:pPr>
        <w:tabs>
          <w:tab w:val="left" w:pos="-720"/>
        </w:tabs>
        <w:suppressAutoHyphens/>
        <w:jc w:val="both"/>
        <w:rPr>
          <w:spacing w:val="-3"/>
        </w:rPr>
      </w:pPr>
    </w:p>
    <w:p w14:paraId="4EE372B2" w14:textId="77777777" w:rsidR="00EB5E96" w:rsidRPr="00EE22A5" w:rsidRDefault="00C95915" w:rsidP="00C95915">
      <w:pPr>
        <w:tabs>
          <w:tab w:val="left" w:pos="-720"/>
          <w:tab w:val="left" w:pos="5925"/>
        </w:tabs>
        <w:suppressAutoHyphens/>
        <w:jc w:val="both"/>
      </w:pPr>
      <w:r w:rsidRPr="00EE22A5">
        <w:tab/>
      </w:r>
    </w:p>
    <w:p w14:paraId="06B3F65A"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40FE8C73" w14:textId="77777777" w:rsidR="00EB5E96" w:rsidRPr="00EE22A5" w:rsidRDefault="00EB5E96" w:rsidP="000C4293">
      <w:pPr>
        <w:suppressAutoHyphens/>
        <w:jc w:val="both"/>
      </w:pPr>
      <w:r w:rsidRPr="00EE22A5">
        <w:fldChar w:fldCharType="begin"/>
      </w:r>
      <w:r w:rsidRPr="00EE22A5">
        <w:instrText>ADVANCE \R 0.95</w:instrText>
      </w:r>
      <w:r w:rsidRPr="00EE22A5">
        <w:fldChar w:fldCharType="end"/>
      </w:r>
    </w:p>
    <w:p w14:paraId="005EE2A3" w14:textId="4E4F37AC" w:rsidR="00D73BBC" w:rsidRPr="00EE22A5" w:rsidRDefault="00EE3D7A" w:rsidP="00D73BBC">
      <w:pPr>
        <w:tabs>
          <w:tab w:val="left" w:pos="-720"/>
        </w:tabs>
        <w:suppressAutoHyphens/>
        <w:jc w:val="both"/>
        <w:rPr>
          <w:spacing w:val="-3"/>
        </w:rPr>
      </w:pPr>
      <w:r w:rsidRPr="00EE22A5">
        <w:rPr>
          <w:spacing w:val="-3"/>
        </w:rPr>
        <w:t xml:space="preserve">The results of the </w:t>
      </w:r>
      <w:r w:rsidR="002C465F" w:rsidRPr="002C465F">
        <w:rPr>
          <w:spacing w:val="-3"/>
        </w:rPr>
        <w:t xml:space="preserve">vulnerability assessments </w:t>
      </w:r>
      <w:r w:rsidR="0000559C">
        <w:rPr>
          <w:spacing w:val="-3"/>
        </w:rPr>
        <w:t xml:space="preserve">and </w:t>
      </w:r>
      <w:r w:rsidR="002C465F" w:rsidRPr="002C465F">
        <w:rPr>
          <w:spacing w:val="-3"/>
        </w:rPr>
        <w:t>questionnaires</w:t>
      </w:r>
      <w:r w:rsidRPr="00EE22A5">
        <w:rPr>
          <w:spacing w:val="-3"/>
        </w:rPr>
        <w:t xml:space="preserve"> will not be published or used outside of the </w:t>
      </w:r>
      <w:r w:rsidR="0000559C">
        <w:rPr>
          <w:spacing w:val="-3"/>
        </w:rPr>
        <w:t>p</w:t>
      </w:r>
      <w:r w:rsidR="0000559C" w:rsidRPr="00EE22A5">
        <w:rPr>
          <w:spacing w:val="-3"/>
        </w:rPr>
        <w:t>rogram</w:t>
      </w:r>
      <w:r w:rsidRPr="00EE22A5">
        <w:rPr>
          <w:spacing w:val="-3"/>
        </w:rPr>
        <w:t xml:space="preserve">.    </w:t>
      </w:r>
    </w:p>
    <w:p w14:paraId="532925EF" w14:textId="77777777" w:rsidR="00EB5E96" w:rsidRPr="00EE22A5" w:rsidRDefault="00EB5E96" w:rsidP="000C4293">
      <w:pPr>
        <w:suppressAutoHyphens/>
        <w:jc w:val="both"/>
      </w:pPr>
    </w:p>
    <w:p w14:paraId="6CA12DCC" w14:textId="77777777" w:rsidR="00EB5E96"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17.  If seeking approval to not display the expiration date for OMB approval of the information collection, explain reasons that display would be inappropriate.</w:t>
      </w:r>
    </w:p>
    <w:p w14:paraId="7E66C984" w14:textId="77777777" w:rsidR="00EB5E96" w:rsidRPr="00EE22A5" w:rsidRDefault="00EB5E96" w:rsidP="000C4293">
      <w:pPr>
        <w:tabs>
          <w:tab w:val="left" w:pos="-720"/>
        </w:tabs>
        <w:suppressAutoHyphens/>
        <w:jc w:val="both"/>
      </w:pPr>
      <w:r w:rsidRPr="00EE22A5">
        <w:fldChar w:fldCharType="begin"/>
      </w:r>
      <w:r w:rsidRPr="00EE22A5">
        <w:instrText>ADVANCE \R 0.95</w:instrText>
      </w:r>
      <w:r w:rsidRPr="00EE22A5">
        <w:fldChar w:fldCharType="end"/>
      </w:r>
    </w:p>
    <w:p w14:paraId="484DC80F" w14:textId="501795B4" w:rsidR="00F753A0" w:rsidRPr="00EE22A5" w:rsidRDefault="00383FA5" w:rsidP="00F753A0">
      <w:pPr>
        <w:tabs>
          <w:tab w:val="left" w:pos="1575"/>
        </w:tabs>
      </w:pPr>
      <w:r>
        <w:t xml:space="preserve">DHS </w:t>
      </w:r>
      <w:r w:rsidR="00F753A0" w:rsidRPr="00EE22A5">
        <w:t>will display the expiration date for the OMB approval.</w:t>
      </w:r>
    </w:p>
    <w:p w14:paraId="6B00D212" w14:textId="77777777" w:rsidR="00447C3A" w:rsidRPr="00EE22A5" w:rsidRDefault="00447C3A" w:rsidP="000C4293">
      <w:pPr>
        <w:tabs>
          <w:tab w:val="left" w:pos="-720"/>
        </w:tabs>
        <w:suppressAutoHyphens/>
        <w:jc w:val="both"/>
      </w:pPr>
    </w:p>
    <w:p w14:paraId="1987E897" w14:textId="77777777" w:rsidR="0077056F" w:rsidRPr="00EE22A5" w:rsidRDefault="00EB5E96" w:rsidP="000C4293">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18.  Explain each exception to the certification statement identified in Item 19 “Certification for Paperwork Reduction Act Submissions,” of OMB Form 83-I.</w:t>
      </w:r>
    </w:p>
    <w:p w14:paraId="0DF299A3" w14:textId="77777777" w:rsidR="0077056F" w:rsidRPr="00EE22A5" w:rsidRDefault="0077056F" w:rsidP="0077056F">
      <w:pPr>
        <w:tabs>
          <w:tab w:val="left" w:pos="-720"/>
        </w:tabs>
        <w:suppressAutoHyphens/>
        <w:jc w:val="both"/>
      </w:pPr>
    </w:p>
    <w:p w14:paraId="2EFCBF35" w14:textId="33D6FA86" w:rsidR="0077056F" w:rsidRPr="00EE22A5" w:rsidRDefault="00383FA5" w:rsidP="00EE22A5">
      <w:pPr>
        <w:tabs>
          <w:tab w:val="left" w:pos="-720"/>
        </w:tabs>
        <w:suppressAutoHyphens/>
        <w:jc w:val="both"/>
      </w:pPr>
      <w:r>
        <w:rPr>
          <w:spacing w:val="-3"/>
        </w:rPr>
        <w:t>DHS</w:t>
      </w:r>
      <w:r w:rsidR="00F753A0" w:rsidRPr="00EE22A5">
        <w:rPr>
          <w:spacing w:val="-3"/>
        </w:rPr>
        <w:t xml:space="preserve"> is not requesting an exception.</w:t>
      </w:r>
      <w:r w:rsidR="00F753A0" w:rsidRPr="00EE22A5">
        <w:tab/>
      </w:r>
    </w:p>
    <w:sectPr w:rsidR="0077056F" w:rsidRPr="00EE22A5" w:rsidSect="00EE22A5">
      <w:type w:val="continuous"/>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01938" w14:textId="77777777" w:rsidR="008E2E21" w:rsidRDefault="008E2E21">
      <w:r>
        <w:separator/>
      </w:r>
    </w:p>
  </w:endnote>
  <w:endnote w:type="continuationSeparator" w:id="0">
    <w:p w14:paraId="352F7AD7" w14:textId="77777777" w:rsidR="008E2E21" w:rsidRDefault="008E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85966" w14:textId="77777777" w:rsidR="008E2E21" w:rsidRDefault="008E2E21"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A8049" w14:textId="77777777" w:rsidR="008E2E21" w:rsidRDefault="008E2E21"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FBAC" w14:textId="77777777" w:rsidR="008E2E21" w:rsidRDefault="008E2E21"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AC8BD" w14:textId="77777777" w:rsidR="008E2E21" w:rsidRDefault="008E2E21">
      <w:r>
        <w:separator/>
      </w:r>
    </w:p>
  </w:footnote>
  <w:footnote w:type="continuationSeparator" w:id="0">
    <w:p w14:paraId="27F3B56E" w14:textId="77777777" w:rsidR="008E2E21" w:rsidRDefault="008E2E21">
      <w:r>
        <w:continuationSeparator/>
      </w:r>
    </w:p>
  </w:footnote>
  <w:footnote w:id="1">
    <w:p w14:paraId="272E9969" w14:textId="66843B33" w:rsidR="008E2E21" w:rsidRDefault="008E2E21" w:rsidP="0068280D">
      <w:pPr>
        <w:pStyle w:val="FootnoteText"/>
      </w:pPr>
      <w:r>
        <w:rPr>
          <w:rStyle w:val="FootnoteReference"/>
        </w:rPr>
        <w:footnoteRef/>
      </w:r>
      <w:r>
        <w:t xml:space="preserve"> Figure based on historical trends of average number of system users and numbers of assessments conducted annually </w:t>
      </w:r>
    </w:p>
  </w:footnote>
  <w:footnote w:id="2">
    <w:p w14:paraId="00A6009B" w14:textId="06583129" w:rsidR="008E2E21" w:rsidRDefault="008E2E21" w:rsidP="0068280D">
      <w:pPr>
        <w:pStyle w:val="FootnoteText"/>
      </w:pPr>
      <w:r>
        <w:rPr>
          <w:rStyle w:val="FootnoteReference"/>
        </w:rPr>
        <w:footnoteRef/>
      </w:r>
      <w:r>
        <w:t xml:space="preserve"> Figure based on historical trends of the average timeframes to complete assessments</w:t>
      </w:r>
    </w:p>
  </w:footnote>
  <w:footnote w:id="3">
    <w:p w14:paraId="0B860E1B" w14:textId="25A1A72D" w:rsidR="00104F71" w:rsidRPr="00104F71" w:rsidRDefault="00104F71" w:rsidP="00104F71">
      <w:pPr>
        <w:rPr>
          <w:sz w:val="20"/>
          <w:szCs w:val="20"/>
        </w:rPr>
      </w:pPr>
      <w:r>
        <w:rPr>
          <w:rStyle w:val="FootnoteReference"/>
        </w:rPr>
        <w:footnoteRef/>
      </w:r>
      <w:r>
        <w:t xml:space="preserve"> </w:t>
      </w:r>
      <w:r w:rsidRPr="00104F71">
        <w:rPr>
          <w:sz w:val="20"/>
          <w:szCs w:val="20"/>
        </w:rPr>
        <w:t>Bureau of Labor Statistics OES data.  Average wage for Managers in Occupation Code 11-1021.  https://www.bls.gov/oes/2018/may/oes111021.htm</w:t>
      </w:r>
    </w:p>
    <w:p w14:paraId="0D772CBF" w14:textId="598AAFEB" w:rsidR="00104F71" w:rsidRDefault="00104F71">
      <w:pPr>
        <w:pStyle w:val="FootnoteText"/>
      </w:pPr>
    </w:p>
  </w:footnote>
  <w:footnote w:id="4">
    <w:p w14:paraId="5D4B7158" w14:textId="06F33237" w:rsidR="00AF20E3" w:rsidRDefault="00AF20E3">
      <w:pPr>
        <w:pStyle w:val="FootnoteText"/>
      </w:pPr>
      <w:r>
        <w:rPr>
          <w:rStyle w:val="FootnoteReference"/>
        </w:rPr>
        <w:footnoteRef/>
      </w:r>
      <w:r>
        <w:t xml:space="preserve"> BLS.  Employer Costs for Employee Compensation – December 2018. Table 1. Employer Costs per Hour Worked for Employee Compensation and Costs as a Percent of Total Compensation: Civilian Workers, by Major Occupational and Industry Group, December 2018. </w:t>
      </w:r>
      <w:hyperlink r:id="rId1" w:history="1">
        <w:r w:rsidRPr="00C95185">
          <w:rPr>
            <w:rStyle w:val="Hyperlink"/>
          </w:rPr>
          <w:t>https://www.bls.gov/news.release/archives/ecec_03192019.pdf</w:t>
        </w:r>
      </w:hyperlink>
      <w:r>
        <w:t>. The compensation factor of 1.4621 is estimated by dividing total compensation ($59.86) by wages and salaries ($40.94).</w:t>
      </w:r>
    </w:p>
  </w:footnote>
  <w:footnote w:id="5">
    <w:p w14:paraId="1103DA54" w14:textId="712E7604" w:rsidR="008E2E21" w:rsidRDefault="008E2E21" w:rsidP="0068280D">
      <w:pPr>
        <w:pStyle w:val="FootnoteText"/>
      </w:pPr>
      <w:r>
        <w:rPr>
          <w:rStyle w:val="FootnoteReference"/>
        </w:rPr>
        <w:footnoteRef/>
      </w:r>
      <w:r>
        <w:t xml:space="preserve"> Figure based on historical timeframes to review assessments</w:t>
      </w:r>
    </w:p>
  </w:footnote>
  <w:footnote w:id="6">
    <w:p w14:paraId="2C8B925C" w14:textId="7A3DE688" w:rsidR="009D3C14" w:rsidRDefault="009D3C14">
      <w:pPr>
        <w:pStyle w:val="FootnoteText"/>
      </w:pPr>
      <w:r>
        <w:rPr>
          <w:rStyle w:val="FootnoteReference"/>
        </w:rPr>
        <w:footnoteRef/>
      </w:r>
      <w:r>
        <w:t xml:space="preserve"> </w:t>
      </w:r>
      <w:r w:rsidRPr="00AB6095">
        <w:t>Office of Personnel Management. Salary Table 2019-DCB.</w:t>
      </w:r>
      <w:r>
        <w:t xml:space="preserve"> Average hourly wage rate for GS-14, Step 3</w:t>
      </w:r>
      <w:r w:rsidRPr="00AB6095">
        <w:t xml:space="preserve">. </w:t>
      </w:r>
      <w:hyperlink r:id="rId2" w:history="1">
        <w:r w:rsidRPr="00C10E4F">
          <w:rPr>
            <w:rStyle w:val="Hyperlink"/>
          </w:rPr>
          <w:t>https://www.opm.gov/policy-data-oversight/pay-leave/salaries-wages/salary-tables/19Tables/html/DCB_h.aspx</w:t>
        </w:r>
      </w:hyperlink>
    </w:p>
  </w:footnote>
  <w:footnote w:id="7">
    <w:p w14:paraId="3A73E44D" w14:textId="65E0A705" w:rsidR="008E2E21" w:rsidRDefault="008E2E21">
      <w:pPr>
        <w:pStyle w:val="FootnoteText"/>
      </w:pPr>
      <w:r>
        <w:rPr>
          <w:rStyle w:val="FootnoteReference"/>
        </w:rPr>
        <w:footnoteRef/>
      </w:r>
      <w:r>
        <w:t xml:space="preserve"> </w:t>
      </w:r>
      <w:r w:rsidR="009D3C14" w:rsidRPr="004F1D08">
        <w:t>C</w:t>
      </w:r>
      <w:r w:rsidR="009D3C14">
        <w:t>ongressional Budget Office</w:t>
      </w:r>
      <w:r w:rsidR="009D3C14" w:rsidRPr="004F1D08">
        <w:t>. Comparing the Compensation of Federal and Private-Sector Employees, 2011 to 2015. April 2017.</w:t>
      </w:r>
      <w:r w:rsidR="009D3C14" w:rsidRPr="00291431">
        <w:t xml:space="preserve"> </w:t>
      </w:r>
      <w:hyperlink r:id="rId3" w:history="1">
        <w:r w:rsidR="009D3C14" w:rsidRPr="00291431">
          <w:rPr>
            <w:rStyle w:val="Hyperlink"/>
          </w:rPr>
          <w:t>https://www.cbo.gov/publication/52637</w:t>
        </w:r>
      </w:hyperlink>
      <w:r w:rsidR="009D3C14">
        <w:t>. According to Table 4, average total c</w:t>
      </w:r>
      <w:r w:rsidR="009D3C14" w:rsidRPr="004F1D08">
        <w:t xml:space="preserve">ompensation for all levels of education is $64.80. According to Table 2, </w:t>
      </w:r>
      <w:r w:rsidR="009D3C14">
        <w:t>a</w:t>
      </w:r>
      <w:r w:rsidR="009D3C14" w:rsidRPr="004F1D08">
        <w:t xml:space="preserve">verage wages for all levels of education is $38.30. </w:t>
      </w:r>
      <w:r w:rsidR="009D3C14">
        <w:t xml:space="preserve"> DHS</w:t>
      </w:r>
      <w:r w:rsidR="009D3C14" w:rsidRPr="004F1D08">
        <w:t xml:space="preserve"> estimate</w:t>
      </w:r>
      <w:r w:rsidR="009D3C14">
        <w:t>s</w:t>
      </w:r>
      <w:r w:rsidR="009D3C14" w:rsidRPr="004F1D08">
        <w:t xml:space="preserve"> the compensation factor by dividing total compensation by average wages.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7E10B1"/>
    <w:multiLevelType w:val="hybridMultilevel"/>
    <w:tmpl w:val="0B0AD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1D450E99"/>
    <w:multiLevelType w:val="hybridMultilevel"/>
    <w:tmpl w:val="02BAEA4A"/>
    <w:lvl w:ilvl="0" w:tplc="89D088F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2E7D28"/>
    <w:multiLevelType w:val="hybridMultilevel"/>
    <w:tmpl w:val="95F2121A"/>
    <w:lvl w:ilvl="0" w:tplc="04090001">
      <w:start w:val="1"/>
      <w:numFmt w:val="bullet"/>
      <w:lvlText w:val=""/>
      <w:lvlJc w:val="left"/>
      <w:pPr>
        <w:ind w:left="720" w:hanging="360"/>
      </w:pPr>
      <w:rPr>
        <w:rFonts w:ascii="Symbol" w:hAnsi="Symbol" w:hint="default"/>
      </w:rPr>
    </w:lvl>
    <w:lvl w:ilvl="1" w:tplc="F482BE0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6">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nsid w:val="53AF2D6A"/>
    <w:multiLevelType w:val="hybridMultilevel"/>
    <w:tmpl w:val="EEFCF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2">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3">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5">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6">
    <w:nsid w:val="5E7045A9"/>
    <w:multiLevelType w:val="hybridMultilevel"/>
    <w:tmpl w:val="139CC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8">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7"/>
  </w:num>
  <w:num w:numId="2">
    <w:abstractNumId w:val="21"/>
  </w:num>
  <w:num w:numId="3">
    <w:abstractNumId w:val="24"/>
  </w:num>
  <w:num w:numId="4">
    <w:abstractNumId w:val="11"/>
  </w:num>
  <w:num w:numId="5">
    <w:abstractNumId w:val="15"/>
  </w:num>
  <w:num w:numId="6">
    <w:abstractNumId w:val="22"/>
  </w:num>
  <w:num w:numId="7">
    <w:abstractNumId w:val="23"/>
  </w:num>
  <w:num w:numId="8">
    <w:abstractNumId w:val="17"/>
  </w:num>
  <w:num w:numId="9">
    <w:abstractNumId w:val="9"/>
  </w:num>
  <w:num w:numId="10">
    <w:abstractNumId w:val="28"/>
  </w:num>
  <w:num w:numId="11">
    <w:abstractNumId w:val="14"/>
  </w:num>
  <w:num w:numId="12">
    <w:abstractNumId w:val="8"/>
  </w:num>
  <w:num w:numId="13">
    <w:abstractNumId w:val="29"/>
  </w:num>
  <w:num w:numId="14">
    <w:abstractNumId w:val="5"/>
  </w:num>
  <w:num w:numId="15">
    <w:abstractNumId w:val="16"/>
  </w:num>
  <w:num w:numId="16">
    <w:abstractNumId w:val="10"/>
  </w:num>
  <w:num w:numId="17">
    <w:abstractNumId w:val="27"/>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9"/>
  </w:num>
  <w:num w:numId="20">
    <w:abstractNumId w:val="25"/>
  </w:num>
  <w:num w:numId="21">
    <w:abstractNumId w:val="18"/>
  </w:num>
  <w:num w:numId="22">
    <w:abstractNumId w:val="12"/>
  </w:num>
  <w:num w:numId="23">
    <w:abstractNumId w:val="4"/>
  </w:num>
  <w:num w:numId="24">
    <w:abstractNumId w:val="2"/>
  </w:num>
  <w:num w:numId="25">
    <w:abstractNumId w:val="1"/>
  </w:num>
  <w:num w:numId="26">
    <w:abstractNumId w:val="3"/>
  </w:num>
  <w:num w:numId="27">
    <w:abstractNumId w:val="26"/>
  </w:num>
  <w:num w:numId="28">
    <w:abstractNumId w:val="13"/>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10A1"/>
    <w:rsid w:val="00002BF2"/>
    <w:rsid w:val="00004558"/>
    <w:rsid w:val="00005068"/>
    <w:rsid w:val="0000559C"/>
    <w:rsid w:val="00005F1E"/>
    <w:rsid w:val="00007D6C"/>
    <w:rsid w:val="00012FBC"/>
    <w:rsid w:val="000319C5"/>
    <w:rsid w:val="000335C8"/>
    <w:rsid w:val="00042924"/>
    <w:rsid w:val="00047173"/>
    <w:rsid w:val="00051FDA"/>
    <w:rsid w:val="00052793"/>
    <w:rsid w:val="00053802"/>
    <w:rsid w:val="00056DB3"/>
    <w:rsid w:val="000665A1"/>
    <w:rsid w:val="00076EF2"/>
    <w:rsid w:val="00080D03"/>
    <w:rsid w:val="00082222"/>
    <w:rsid w:val="000A4447"/>
    <w:rsid w:val="000A4E93"/>
    <w:rsid w:val="000A6FC5"/>
    <w:rsid w:val="000B7E59"/>
    <w:rsid w:val="000C4293"/>
    <w:rsid w:val="000D26F2"/>
    <w:rsid w:val="000E1C47"/>
    <w:rsid w:val="000E7B5C"/>
    <w:rsid w:val="00102D37"/>
    <w:rsid w:val="00104F71"/>
    <w:rsid w:val="001137C6"/>
    <w:rsid w:val="00131185"/>
    <w:rsid w:val="001408DE"/>
    <w:rsid w:val="00141549"/>
    <w:rsid w:val="00141C5C"/>
    <w:rsid w:val="0014454A"/>
    <w:rsid w:val="00151CCE"/>
    <w:rsid w:val="00170467"/>
    <w:rsid w:val="00183452"/>
    <w:rsid w:val="00191158"/>
    <w:rsid w:val="00194A62"/>
    <w:rsid w:val="00195E1F"/>
    <w:rsid w:val="00196FE9"/>
    <w:rsid w:val="001A199D"/>
    <w:rsid w:val="001A26E4"/>
    <w:rsid w:val="001A2C95"/>
    <w:rsid w:val="001A7873"/>
    <w:rsid w:val="001B02E8"/>
    <w:rsid w:val="001B2B5C"/>
    <w:rsid w:val="001B422A"/>
    <w:rsid w:val="001B5A70"/>
    <w:rsid w:val="001B6DF0"/>
    <w:rsid w:val="001C18B1"/>
    <w:rsid w:val="001C4B22"/>
    <w:rsid w:val="001C4CC1"/>
    <w:rsid w:val="001D439D"/>
    <w:rsid w:val="001F3464"/>
    <w:rsid w:val="002030D4"/>
    <w:rsid w:val="0021127B"/>
    <w:rsid w:val="00222489"/>
    <w:rsid w:val="0022399E"/>
    <w:rsid w:val="00234096"/>
    <w:rsid w:val="00235123"/>
    <w:rsid w:val="002366B4"/>
    <w:rsid w:val="00237711"/>
    <w:rsid w:val="002503CE"/>
    <w:rsid w:val="00251725"/>
    <w:rsid w:val="00253CAB"/>
    <w:rsid w:val="00254477"/>
    <w:rsid w:val="00261EE3"/>
    <w:rsid w:val="00264251"/>
    <w:rsid w:val="00264743"/>
    <w:rsid w:val="00272CF0"/>
    <w:rsid w:val="00275971"/>
    <w:rsid w:val="00282144"/>
    <w:rsid w:val="00290AAB"/>
    <w:rsid w:val="00291D50"/>
    <w:rsid w:val="00297C37"/>
    <w:rsid w:val="002A008F"/>
    <w:rsid w:val="002A7031"/>
    <w:rsid w:val="002B0649"/>
    <w:rsid w:val="002B4BF6"/>
    <w:rsid w:val="002B7440"/>
    <w:rsid w:val="002C05B0"/>
    <w:rsid w:val="002C465F"/>
    <w:rsid w:val="002D6219"/>
    <w:rsid w:val="002F2A01"/>
    <w:rsid w:val="002F4DD8"/>
    <w:rsid w:val="002F728C"/>
    <w:rsid w:val="00314A71"/>
    <w:rsid w:val="00330EA7"/>
    <w:rsid w:val="00333641"/>
    <w:rsid w:val="00333D1E"/>
    <w:rsid w:val="00341049"/>
    <w:rsid w:val="0034148A"/>
    <w:rsid w:val="00364EE8"/>
    <w:rsid w:val="00365B03"/>
    <w:rsid w:val="003677B2"/>
    <w:rsid w:val="00377653"/>
    <w:rsid w:val="003779CD"/>
    <w:rsid w:val="00377D10"/>
    <w:rsid w:val="00380611"/>
    <w:rsid w:val="0038132B"/>
    <w:rsid w:val="00381F93"/>
    <w:rsid w:val="00383877"/>
    <w:rsid w:val="00383A50"/>
    <w:rsid w:val="00383FA5"/>
    <w:rsid w:val="0039325E"/>
    <w:rsid w:val="00394081"/>
    <w:rsid w:val="003A3B94"/>
    <w:rsid w:val="003A40BE"/>
    <w:rsid w:val="003A4655"/>
    <w:rsid w:val="003B5E20"/>
    <w:rsid w:val="003B68E9"/>
    <w:rsid w:val="003B68FA"/>
    <w:rsid w:val="003C0AE8"/>
    <w:rsid w:val="003C261D"/>
    <w:rsid w:val="003C2EB5"/>
    <w:rsid w:val="003C3226"/>
    <w:rsid w:val="003C4DEC"/>
    <w:rsid w:val="003C6E72"/>
    <w:rsid w:val="003D64C9"/>
    <w:rsid w:val="003D7A73"/>
    <w:rsid w:val="003E0D23"/>
    <w:rsid w:val="003E2CC1"/>
    <w:rsid w:val="003E4418"/>
    <w:rsid w:val="003E5315"/>
    <w:rsid w:val="003E6DD8"/>
    <w:rsid w:val="00401554"/>
    <w:rsid w:val="004076BD"/>
    <w:rsid w:val="00413E8E"/>
    <w:rsid w:val="00422330"/>
    <w:rsid w:val="004452CB"/>
    <w:rsid w:val="00445EAB"/>
    <w:rsid w:val="00447C3A"/>
    <w:rsid w:val="00450CB3"/>
    <w:rsid w:val="00455B1C"/>
    <w:rsid w:val="00460234"/>
    <w:rsid w:val="00462C47"/>
    <w:rsid w:val="00464794"/>
    <w:rsid w:val="0047202E"/>
    <w:rsid w:val="004737C8"/>
    <w:rsid w:val="00482F9B"/>
    <w:rsid w:val="00490B10"/>
    <w:rsid w:val="00497DCA"/>
    <w:rsid w:val="004A0DE6"/>
    <w:rsid w:val="004A42B4"/>
    <w:rsid w:val="004B5283"/>
    <w:rsid w:val="004B5365"/>
    <w:rsid w:val="004B5986"/>
    <w:rsid w:val="004B62D9"/>
    <w:rsid w:val="004B7D0B"/>
    <w:rsid w:val="004C21F8"/>
    <w:rsid w:val="004E440E"/>
    <w:rsid w:val="004F19C6"/>
    <w:rsid w:val="004F6351"/>
    <w:rsid w:val="0051005D"/>
    <w:rsid w:val="005202D4"/>
    <w:rsid w:val="00526CD7"/>
    <w:rsid w:val="00540C0E"/>
    <w:rsid w:val="005420D3"/>
    <w:rsid w:val="00542B0A"/>
    <w:rsid w:val="00550B78"/>
    <w:rsid w:val="00556AC9"/>
    <w:rsid w:val="005616C0"/>
    <w:rsid w:val="005656E5"/>
    <w:rsid w:val="00573B59"/>
    <w:rsid w:val="0057778C"/>
    <w:rsid w:val="00580711"/>
    <w:rsid w:val="005817B5"/>
    <w:rsid w:val="005924FE"/>
    <w:rsid w:val="00596A43"/>
    <w:rsid w:val="005A0C14"/>
    <w:rsid w:val="005A7F1F"/>
    <w:rsid w:val="005C2990"/>
    <w:rsid w:val="005C3DCA"/>
    <w:rsid w:val="005C64B7"/>
    <w:rsid w:val="005C7058"/>
    <w:rsid w:val="005D0717"/>
    <w:rsid w:val="005D6EC2"/>
    <w:rsid w:val="005D7769"/>
    <w:rsid w:val="005D781B"/>
    <w:rsid w:val="005E1D0D"/>
    <w:rsid w:val="005E69A5"/>
    <w:rsid w:val="005F3FDC"/>
    <w:rsid w:val="00610571"/>
    <w:rsid w:val="006113F1"/>
    <w:rsid w:val="006124FB"/>
    <w:rsid w:val="00612DCC"/>
    <w:rsid w:val="006145D1"/>
    <w:rsid w:val="00615D6A"/>
    <w:rsid w:val="00615DFD"/>
    <w:rsid w:val="00625391"/>
    <w:rsid w:val="006306AF"/>
    <w:rsid w:val="00643A56"/>
    <w:rsid w:val="00647D2F"/>
    <w:rsid w:val="00657687"/>
    <w:rsid w:val="006651B2"/>
    <w:rsid w:val="006749D4"/>
    <w:rsid w:val="006752C5"/>
    <w:rsid w:val="00677F30"/>
    <w:rsid w:val="0068258B"/>
    <w:rsid w:val="0068280D"/>
    <w:rsid w:val="00684F40"/>
    <w:rsid w:val="006866B0"/>
    <w:rsid w:val="0068792F"/>
    <w:rsid w:val="006A0B1C"/>
    <w:rsid w:val="006A7FF1"/>
    <w:rsid w:val="006B22D5"/>
    <w:rsid w:val="006B4994"/>
    <w:rsid w:val="006C0035"/>
    <w:rsid w:val="006D0E62"/>
    <w:rsid w:val="006D5CCE"/>
    <w:rsid w:val="006D6538"/>
    <w:rsid w:val="006D785E"/>
    <w:rsid w:val="006E274B"/>
    <w:rsid w:val="006E32D9"/>
    <w:rsid w:val="007050E1"/>
    <w:rsid w:val="00723247"/>
    <w:rsid w:val="007277A8"/>
    <w:rsid w:val="00741B83"/>
    <w:rsid w:val="00742433"/>
    <w:rsid w:val="00742F2D"/>
    <w:rsid w:val="007443F3"/>
    <w:rsid w:val="00752D76"/>
    <w:rsid w:val="00754E80"/>
    <w:rsid w:val="0077056F"/>
    <w:rsid w:val="00781A4E"/>
    <w:rsid w:val="007A04B6"/>
    <w:rsid w:val="007B5151"/>
    <w:rsid w:val="007C1F23"/>
    <w:rsid w:val="007C7BD8"/>
    <w:rsid w:val="007D0399"/>
    <w:rsid w:val="007E3420"/>
    <w:rsid w:val="007F61EC"/>
    <w:rsid w:val="007F79EE"/>
    <w:rsid w:val="008229B5"/>
    <w:rsid w:val="00834A51"/>
    <w:rsid w:val="00840338"/>
    <w:rsid w:val="008419A6"/>
    <w:rsid w:val="008500FB"/>
    <w:rsid w:val="00851BF1"/>
    <w:rsid w:val="008637C6"/>
    <w:rsid w:val="00864DD1"/>
    <w:rsid w:val="008719E8"/>
    <w:rsid w:val="00875586"/>
    <w:rsid w:val="00876BDE"/>
    <w:rsid w:val="008804CB"/>
    <w:rsid w:val="00887178"/>
    <w:rsid w:val="008924F0"/>
    <w:rsid w:val="008A0002"/>
    <w:rsid w:val="008A165F"/>
    <w:rsid w:val="008A221D"/>
    <w:rsid w:val="008A698A"/>
    <w:rsid w:val="008B6009"/>
    <w:rsid w:val="008B7403"/>
    <w:rsid w:val="008C0A4C"/>
    <w:rsid w:val="008C27C3"/>
    <w:rsid w:val="008C5A9F"/>
    <w:rsid w:val="008D163A"/>
    <w:rsid w:val="008D61ED"/>
    <w:rsid w:val="008D744F"/>
    <w:rsid w:val="008E2E21"/>
    <w:rsid w:val="008E4152"/>
    <w:rsid w:val="008F2F44"/>
    <w:rsid w:val="00912504"/>
    <w:rsid w:val="00913A27"/>
    <w:rsid w:val="009249F0"/>
    <w:rsid w:val="00924C84"/>
    <w:rsid w:val="0093542A"/>
    <w:rsid w:val="00942617"/>
    <w:rsid w:val="0094389A"/>
    <w:rsid w:val="00944494"/>
    <w:rsid w:val="009501B2"/>
    <w:rsid w:val="00952C5E"/>
    <w:rsid w:val="009532B6"/>
    <w:rsid w:val="009539A8"/>
    <w:rsid w:val="00954142"/>
    <w:rsid w:val="00961FD6"/>
    <w:rsid w:val="0096453F"/>
    <w:rsid w:val="0096643E"/>
    <w:rsid w:val="0096736F"/>
    <w:rsid w:val="0098066C"/>
    <w:rsid w:val="00993F06"/>
    <w:rsid w:val="00995211"/>
    <w:rsid w:val="009A2AE7"/>
    <w:rsid w:val="009A6E64"/>
    <w:rsid w:val="009A7B24"/>
    <w:rsid w:val="009B4A68"/>
    <w:rsid w:val="009B4F34"/>
    <w:rsid w:val="009C2E3C"/>
    <w:rsid w:val="009C3917"/>
    <w:rsid w:val="009C4719"/>
    <w:rsid w:val="009D0EDC"/>
    <w:rsid w:val="009D3C14"/>
    <w:rsid w:val="009F06EB"/>
    <w:rsid w:val="009F5CD3"/>
    <w:rsid w:val="009F5E5D"/>
    <w:rsid w:val="009F6138"/>
    <w:rsid w:val="00A00007"/>
    <w:rsid w:val="00A03834"/>
    <w:rsid w:val="00A0781B"/>
    <w:rsid w:val="00A150FD"/>
    <w:rsid w:val="00A2192F"/>
    <w:rsid w:val="00A30B73"/>
    <w:rsid w:val="00A33086"/>
    <w:rsid w:val="00A36776"/>
    <w:rsid w:val="00A37C23"/>
    <w:rsid w:val="00A42A18"/>
    <w:rsid w:val="00A4616B"/>
    <w:rsid w:val="00A474A9"/>
    <w:rsid w:val="00A476E8"/>
    <w:rsid w:val="00A67016"/>
    <w:rsid w:val="00A766D7"/>
    <w:rsid w:val="00A95672"/>
    <w:rsid w:val="00AA3F82"/>
    <w:rsid w:val="00AA6813"/>
    <w:rsid w:val="00AC7A63"/>
    <w:rsid w:val="00AD294E"/>
    <w:rsid w:val="00AD49F3"/>
    <w:rsid w:val="00AE0D1F"/>
    <w:rsid w:val="00AE41B7"/>
    <w:rsid w:val="00AF20E3"/>
    <w:rsid w:val="00AF39E5"/>
    <w:rsid w:val="00AF4918"/>
    <w:rsid w:val="00B007CF"/>
    <w:rsid w:val="00B02152"/>
    <w:rsid w:val="00B139CF"/>
    <w:rsid w:val="00B15C01"/>
    <w:rsid w:val="00B17D05"/>
    <w:rsid w:val="00B26512"/>
    <w:rsid w:val="00B35A9A"/>
    <w:rsid w:val="00B410FE"/>
    <w:rsid w:val="00B47F04"/>
    <w:rsid w:val="00B55926"/>
    <w:rsid w:val="00B56DF7"/>
    <w:rsid w:val="00B57157"/>
    <w:rsid w:val="00B57C44"/>
    <w:rsid w:val="00B620A0"/>
    <w:rsid w:val="00B64DC4"/>
    <w:rsid w:val="00B67664"/>
    <w:rsid w:val="00B734EA"/>
    <w:rsid w:val="00B757B6"/>
    <w:rsid w:val="00B83720"/>
    <w:rsid w:val="00B8650B"/>
    <w:rsid w:val="00B91395"/>
    <w:rsid w:val="00BA11D1"/>
    <w:rsid w:val="00BA2768"/>
    <w:rsid w:val="00BA693F"/>
    <w:rsid w:val="00BB2665"/>
    <w:rsid w:val="00BB440C"/>
    <w:rsid w:val="00BB4C03"/>
    <w:rsid w:val="00BC0228"/>
    <w:rsid w:val="00BC1563"/>
    <w:rsid w:val="00BC4542"/>
    <w:rsid w:val="00BE4B9B"/>
    <w:rsid w:val="00BE6766"/>
    <w:rsid w:val="00BF1853"/>
    <w:rsid w:val="00C010CA"/>
    <w:rsid w:val="00C10ACB"/>
    <w:rsid w:val="00C2168D"/>
    <w:rsid w:val="00C234A4"/>
    <w:rsid w:val="00C31CEE"/>
    <w:rsid w:val="00C3419E"/>
    <w:rsid w:val="00C34B17"/>
    <w:rsid w:val="00C443A2"/>
    <w:rsid w:val="00C520DC"/>
    <w:rsid w:val="00C61FC6"/>
    <w:rsid w:val="00C621D2"/>
    <w:rsid w:val="00C7105E"/>
    <w:rsid w:val="00C75797"/>
    <w:rsid w:val="00C77539"/>
    <w:rsid w:val="00C77C4F"/>
    <w:rsid w:val="00C95915"/>
    <w:rsid w:val="00CA51E1"/>
    <w:rsid w:val="00CA6043"/>
    <w:rsid w:val="00CA7AF8"/>
    <w:rsid w:val="00CB6507"/>
    <w:rsid w:val="00CC42DA"/>
    <w:rsid w:val="00CD2DFE"/>
    <w:rsid w:val="00CE3D0D"/>
    <w:rsid w:val="00CE4A42"/>
    <w:rsid w:val="00CF0419"/>
    <w:rsid w:val="00CF45CF"/>
    <w:rsid w:val="00D04C05"/>
    <w:rsid w:val="00D227C3"/>
    <w:rsid w:val="00D3411B"/>
    <w:rsid w:val="00D50564"/>
    <w:rsid w:val="00D531B1"/>
    <w:rsid w:val="00D57F20"/>
    <w:rsid w:val="00D60F16"/>
    <w:rsid w:val="00D6753B"/>
    <w:rsid w:val="00D729CE"/>
    <w:rsid w:val="00D73BBC"/>
    <w:rsid w:val="00D7633D"/>
    <w:rsid w:val="00D90ABB"/>
    <w:rsid w:val="00D93841"/>
    <w:rsid w:val="00DA0968"/>
    <w:rsid w:val="00DA3532"/>
    <w:rsid w:val="00DA729B"/>
    <w:rsid w:val="00DB0532"/>
    <w:rsid w:val="00DB1E56"/>
    <w:rsid w:val="00DB420D"/>
    <w:rsid w:val="00DB5764"/>
    <w:rsid w:val="00DB5CB8"/>
    <w:rsid w:val="00DB6BCE"/>
    <w:rsid w:val="00DC1AE3"/>
    <w:rsid w:val="00DC6E79"/>
    <w:rsid w:val="00DD300E"/>
    <w:rsid w:val="00DD4205"/>
    <w:rsid w:val="00DD6682"/>
    <w:rsid w:val="00DE4C4A"/>
    <w:rsid w:val="00DE7D95"/>
    <w:rsid w:val="00E12104"/>
    <w:rsid w:val="00E2481E"/>
    <w:rsid w:val="00E326BD"/>
    <w:rsid w:val="00E476EF"/>
    <w:rsid w:val="00E651AF"/>
    <w:rsid w:val="00E72077"/>
    <w:rsid w:val="00E92E28"/>
    <w:rsid w:val="00E96666"/>
    <w:rsid w:val="00E973DB"/>
    <w:rsid w:val="00EB1CD7"/>
    <w:rsid w:val="00EB4167"/>
    <w:rsid w:val="00EB5E96"/>
    <w:rsid w:val="00EE22A5"/>
    <w:rsid w:val="00EE2A0B"/>
    <w:rsid w:val="00EE3D7A"/>
    <w:rsid w:val="00EE78D4"/>
    <w:rsid w:val="00EF73D7"/>
    <w:rsid w:val="00F01057"/>
    <w:rsid w:val="00F049F5"/>
    <w:rsid w:val="00F1361C"/>
    <w:rsid w:val="00F16867"/>
    <w:rsid w:val="00F24F87"/>
    <w:rsid w:val="00F27A38"/>
    <w:rsid w:val="00F33B1A"/>
    <w:rsid w:val="00F379D2"/>
    <w:rsid w:val="00F37F32"/>
    <w:rsid w:val="00F415B7"/>
    <w:rsid w:val="00F419B6"/>
    <w:rsid w:val="00F4411A"/>
    <w:rsid w:val="00F50765"/>
    <w:rsid w:val="00F71B93"/>
    <w:rsid w:val="00F753A0"/>
    <w:rsid w:val="00F930EE"/>
    <w:rsid w:val="00FA19DA"/>
    <w:rsid w:val="00FA32A6"/>
    <w:rsid w:val="00FA7791"/>
    <w:rsid w:val="00FB3A49"/>
    <w:rsid w:val="00FB5D46"/>
    <w:rsid w:val="00FB71C1"/>
    <w:rsid w:val="00FC04BB"/>
    <w:rsid w:val="00FC2347"/>
    <w:rsid w:val="00FD2846"/>
    <w:rsid w:val="00FE2991"/>
    <w:rsid w:val="00FE5940"/>
    <w:rsid w:val="00FF1073"/>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C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4205"/>
    <w:pPr>
      <w:autoSpaceDE w:val="0"/>
      <w:autoSpaceDN w:val="0"/>
      <w:adjustRightInd w:val="0"/>
    </w:pPr>
    <w:rPr>
      <w:color w:val="000000"/>
      <w:sz w:val="24"/>
      <w:szCs w:val="24"/>
    </w:rPr>
  </w:style>
  <w:style w:type="character" w:styleId="FollowedHyperlink">
    <w:name w:val="FollowedHyperlink"/>
    <w:rsid w:val="006B22D5"/>
    <w:rPr>
      <w:color w:val="954F72"/>
      <w:u w:val="single"/>
    </w:rPr>
  </w:style>
  <w:style w:type="paragraph" w:styleId="FootnoteText">
    <w:name w:val="footnote text"/>
    <w:basedOn w:val="Normal"/>
    <w:link w:val="FootnoteTextChar"/>
    <w:rsid w:val="006D6538"/>
    <w:rPr>
      <w:sz w:val="20"/>
      <w:szCs w:val="20"/>
    </w:rPr>
  </w:style>
  <w:style w:type="character" w:customStyle="1" w:styleId="FootnoteTextChar">
    <w:name w:val="Footnote Text Char"/>
    <w:basedOn w:val="DefaultParagraphFont"/>
    <w:link w:val="FootnoteText"/>
    <w:rsid w:val="006D6538"/>
  </w:style>
  <w:style w:type="character" w:styleId="FootnoteReference">
    <w:name w:val="footnote reference"/>
    <w:basedOn w:val="DefaultParagraphFont"/>
    <w:rsid w:val="006D6538"/>
    <w:rPr>
      <w:vertAlign w:val="superscript"/>
    </w:rPr>
  </w:style>
  <w:style w:type="character" w:customStyle="1" w:styleId="CommentTextChar">
    <w:name w:val="Comment Text Char"/>
    <w:basedOn w:val="DefaultParagraphFont"/>
    <w:link w:val="CommentText"/>
    <w:rsid w:val="008E2E21"/>
  </w:style>
  <w:style w:type="paragraph" w:styleId="Revision">
    <w:name w:val="Revision"/>
    <w:hidden/>
    <w:uiPriority w:val="99"/>
    <w:semiHidden/>
    <w:rsid w:val="00E720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4205"/>
    <w:pPr>
      <w:autoSpaceDE w:val="0"/>
      <w:autoSpaceDN w:val="0"/>
      <w:adjustRightInd w:val="0"/>
    </w:pPr>
    <w:rPr>
      <w:color w:val="000000"/>
      <w:sz w:val="24"/>
      <w:szCs w:val="24"/>
    </w:rPr>
  </w:style>
  <w:style w:type="character" w:styleId="FollowedHyperlink">
    <w:name w:val="FollowedHyperlink"/>
    <w:rsid w:val="006B22D5"/>
    <w:rPr>
      <w:color w:val="954F72"/>
      <w:u w:val="single"/>
    </w:rPr>
  </w:style>
  <w:style w:type="paragraph" w:styleId="FootnoteText">
    <w:name w:val="footnote text"/>
    <w:basedOn w:val="Normal"/>
    <w:link w:val="FootnoteTextChar"/>
    <w:rsid w:val="006D6538"/>
    <w:rPr>
      <w:sz w:val="20"/>
      <w:szCs w:val="20"/>
    </w:rPr>
  </w:style>
  <w:style w:type="character" w:customStyle="1" w:styleId="FootnoteTextChar">
    <w:name w:val="Footnote Text Char"/>
    <w:basedOn w:val="DefaultParagraphFont"/>
    <w:link w:val="FootnoteText"/>
    <w:rsid w:val="006D6538"/>
  </w:style>
  <w:style w:type="character" w:styleId="FootnoteReference">
    <w:name w:val="footnote reference"/>
    <w:basedOn w:val="DefaultParagraphFont"/>
    <w:rsid w:val="006D6538"/>
    <w:rPr>
      <w:vertAlign w:val="superscript"/>
    </w:rPr>
  </w:style>
  <w:style w:type="character" w:customStyle="1" w:styleId="CommentTextChar">
    <w:name w:val="Comment Text Char"/>
    <w:basedOn w:val="DefaultParagraphFont"/>
    <w:link w:val="CommentText"/>
    <w:rsid w:val="008E2E21"/>
  </w:style>
  <w:style w:type="paragraph" w:styleId="Revision">
    <w:name w:val="Revision"/>
    <w:hidden/>
    <w:uiPriority w:val="99"/>
    <w:semiHidden/>
    <w:rsid w:val="00E720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380">
      <w:bodyDiv w:val="1"/>
      <w:marLeft w:val="0"/>
      <w:marRight w:val="0"/>
      <w:marTop w:val="0"/>
      <w:marBottom w:val="0"/>
      <w:divBdr>
        <w:top w:val="none" w:sz="0" w:space="0" w:color="auto"/>
        <w:left w:val="none" w:sz="0" w:space="0" w:color="auto"/>
        <w:bottom w:val="none" w:sz="0" w:space="0" w:color="auto"/>
        <w:right w:val="none" w:sz="0" w:space="0" w:color="auto"/>
      </w:divBdr>
    </w:div>
    <w:div w:id="118114683">
      <w:bodyDiv w:val="1"/>
      <w:marLeft w:val="0"/>
      <w:marRight w:val="0"/>
      <w:marTop w:val="0"/>
      <w:marBottom w:val="0"/>
      <w:divBdr>
        <w:top w:val="none" w:sz="0" w:space="0" w:color="auto"/>
        <w:left w:val="none" w:sz="0" w:space="0" w:color="auto"/>
        <w:bottom w:val="none" w:sz="0" w:space="0" w:color="auto"/>
        <w:right w:val="none" w:sz="0" w:space="0" w:color="auto"/>
      </w:divBdr>
    </w:div>
    <w:div w:id="611980485">
      <w:bodyDiv w:val="1"/>
      <w:marLeft w:val="0"/>
      <w:marRight w:val="0"/>
      <w:marTop w:val="0"/>
      <w:marBottom w:val="0"/>
      <w:divBdr>
        <w:top w:val="none" w:sz="0" w:space="0" w:color="auto"/>
        <w:left w:val="none" w:sz="0" w:space="0" w:color="auto"/>
        <w:bottom w:val="none" w:sz="0" w:space="0" w:color="auto"/>
        <w:right w:val="none" w:sz="0" w:space="0" w:color="auto"/>
      </w:divBdr>
    </w:div>
    <w:div w:id="867253071">
      <w:bodyDiv w:val="1"/>
      <w:marLeft w:val="0"/>
      <w:marRight w:val="0"/>
      <w:marTop w:val="0"/>
      <w:marBottom w:val="0"/>
      <w:divBdr>
        <w:top w:val="none" w:sz="0" w:space="0" w:color="auto"/>
        <w:left w:val="none" w:sz="0" w:space="0" w:color="auto"/>
        <w:bottom w:val="none" w:sz="0" w:space="0" w:color="auto"/>
        <w:right w:val="none" w:sz="0" w:space="0" w:color="auto"/>
      </w:divBdr>
    </w:div>
    <w:div w:id="913053068">
      <w:bodyDiv w:val="1"/>
      <w:marLeft w:val="0"/>
      <w:marRight w:val="0"/>
      <w:marTop w:val="0"/>
      <w:marBottom w:val="0"/>
      <w:divBdr>
        <w:top w:val="none" w:sz="0" w:space="0" w:color="auto"/>
        <w:left w:val="none" w:sz="0" w:space="0" w:color="auto"/>
        <w:bottom w:val="none" w:sz="0" w:space="0" w:color="auto"/>
        <w:right w:val="none" w:sz="0" w:space="0" w:color="auto"/>
      </w:divBdr>
    </w:div>
    <w:div w:id="1260215652">
      <w:bodyDiv w:val="1"/>
      <w:marLeft w:val="0"/>
      <w:marRight w:val="0"/>
      <w:marTop w:val="0"/>
      <w:marBottom w:val="0"/>
      <w:divBdr>
        <w:top w:val="none" w:sz="0" w:space="0" w:color="auto"/>
        <w:left w:val="none" w:sz="0" w:space="0" w:color="auto"/>
        <w:bottom w:val="none" w:sz="0" w:space="0" w:color="auto"/>
        <w:right w:val="none" w:sz="0" w:space="0" w:color="auto"/>
      </w:divBdr>
    </w:div>
    <w:div w:id="157203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oi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dhs.gov/protected-critical-infrastructure-information-pcii-progra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dhs.gov/publication/cii-act-20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o.gov/publication/52637" TargetMode="External"/><Relationship Id="rId2" Type="http://schemas.openxmlformats.org/officeDocument/2006/relationships/hyperlink" Target="https://www.opm.gov/policy-data-oversight/pay-leave/salaries-wages/salary-tables/19Tables/html/DCB_h.aspx" TargetMode="External"/><Relationship Id="rId1" Type="http://schemas.openxmlformats.org/officeDocument/2006/relationships/hyperlink" Target="https://www.bls.gov/news.release/archives/ecec_0319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5YJZXJV6V4SC-902-877</_dlc_DocId>
    <_dlc_DocIdUrl xmlns="fe9628a8-4e73-4825-8be1-523eedfc6754">
      <Url>http://sptapp.dhs.gov/ESTT/CIO_PRA/_layouts/DocIdRedir.aspx?ID=5YJZXJV6V4SC-902-877</Url>
      <Description>5YJZXJV6V4SC-902-877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4FC9D-404C-4254-9EC9-548F63F8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3.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4.xml><?xml version="1.0" encoding="utf-8"?>
<ds:datastoreItem xmlns:ds="http://schemas.openxmlformats.org/officeDocument/2006/customXml" ds:itemID="{6FB6C1CE-B91A-4D4D-BE86-92D265499EDE}">
  <ds:schemaRefs>
    <ds:schemaRef ds:uri="http://schemas.microsoft.com/sharepoint/events"/>
  </ds:schemaRefs>
</ds:datastoreItem>
</file>

<file path=customXml/itemProps5.xml><?xml version="1.0" encoding="utf-8"?>
<ds:datastoreItem xmlns:ds="http://schemas.openxmlformats.org/officeDocument/2006/customXml" ds:itemID="{29B0E912-8118-4F6D-A6F0-24BB5BF52110}">
  <ds:schemaRef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e9628a8-4e73-4825-8be1-523eedfc6754"/>
  </ds:schemaRefs>
</ds:datastoreItem>
</file>

<file path=customXml/itemProps6.xml><?xml version="1.0" encoding="utf-8"?>
<ds:datastoreItem xmlns:ds="http://schemas.openxmlformats.org/officeDocument/2006/customXml" ds:itemID="{F18C8B74-AE0D-4B3F-943B-89D22295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3493</Words>
  <Characters>19912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23359</CharactersWithSpaces>
  <SharedDoc>false</SharedDoc>
  <HLinks>
    <vt:vector size="36" baseType="variant">
      <vt:variant>
        <vt:i4>5767243</vt:i4>
      </vt:variant>
      <vt:variant>
        <vt:i4>81</vt:i4>
      </vt:variant>
      <vt:variant>
        <vt:i4>0</vt:i4>
      </vt:variant>
      <vt:variant>
        <vt:i4>5</vt:i4>
      </vt:variant>
      <vt:variant>
        <vt:lpwstr>http://www.bls.gov/oes/2013/may/oes111021.htm</vt:lpwstr>
      </vt:variant>
      <vt:variant>
        <vt:lpwstr/>
      </vt:variant>
      <vt:variant>
        <vt:i4>4849743</vt:i4>
      </vt:variant>
      <vt:variant>
        <vt:i4>70</vt:i4>
      </vt:variant>
      <vt:variant>
        <vt:i4>0</vt:i4>
      </vt:variant>
      <vt:variant>
        <vt:i4>5</vt:i4>
      </vt:variant>
      <vt:variant>
        <vt:lpwstr>http://www.foia.gov/</vt:lpwstr>
      </vt:variant>
      <vt:variant>
        <vt:lpwstr/>
      </vt:variant>
      <vt:variant>
        <vt:i4>8257590</vt:i4>
      </vt:variant>
      <vt:variant>
        <vt:i4>67</vt:i4>
      </vt:variant>
      <vt:variant>
        <vt:i4>0</vt:i4>
      </vt:variant>
      <vt:variant>
        <vt:i4>5</vt:i4>
      </vt:variant>
      <vt:variant>
        <vt:lpwstr>https://www.dhs.gov/protected-critical-infrastructure-information-pcii-program</vt:lpwstr>
      </vt:variant>
      <vt:variant>
        <vt:lpwstr/>
      </vt:variant>
      <vt:variant>
        <vt:i4>524358</vt:i4>
      </vt:variant>
      <vt:variant>
        <vt:i4>64</vt:i4>
      </vt:variant>
      <vt:variant>
        <vt:i4>0</vt:i4>
      </vt:variant>
      <vt:variant>
        <vt:i4>5</vt:i4>
      </vt:variant>
      <vt:variant>
        <vt:lpwstr>https://www.dhs.gov/publication/cii-act-2002</vt:lpwstr>
      </vt:variant>
      <vt:variant>
        <vt:lpwstr/>
      </vt:variant>
      <vt:variant>
        <vt:i4>983118</vt:i4>
      </vt:variant>
      <vt:variant>
        <vt:i4>61</vt:i4>
      </vt:variant>
      <vt:variant>
        <vt:i4>0</vt:i4>
      </vt:variant>
      <vt:variant>
        <vt:i4>5</vt:i4>
      </vt:variant>
      <vt:variant>
        <vt:lpwstr>http://www.gpo.gov/fdsys/pkg/FR-2008-11-25/html/E8-28053.htm</vt:lpwstr>
      </vt:variant>
      <vt:variant>
        <vt:lpwstr/>
      </vt:variant>
      <vt:variant>
        <vt:i4>3997739</vt:i4>
      </vt:variant>
      <vt:variant>
        <vt:i4>58</vt:i4>
      </vt:variant>
      <vt:variant>
        <vt:i4>0</vt:i4>
      </vt:variant>
      <vt:variant>
        <vt:i4>5</vt:i4>
      </vt:variant>
      <vt:variant>
        <vt:lpwstr>http://www.gpo.gov/fdsys/pkg/FR-2012-11-27/html/2012-28675.htm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SYSTEM</cp:lastModifiedBy>
  <cp:revision>2</cp:revision>
  <cp:lastPrinted>2017-07-10T15:11:00Z</cp:lastPrinted>
  <dcterms:created xsi:type="dcterms:W3CDTF">2019-11-14T19:41:00Z</dcterms:created>
  <dcterms:modified xsi:type="dcterms:W3CDTF">2019-11-14T19:41:00Z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_dlc_DocId">
    <vt:lpwstr>5YJZXJV6V4SC-902-391</vt:lpwstr>
  </property>
  <property fmtid="{D5CDD505-2E9C-101B-9397-08002B2CF9AE}" pid="7" name="_dlc_DocIdItemGuid">
    <vt:lpwstr>c4b4e1ba-a3b9-40ae-ab15-0050ad296a9b</vt:lpwstr>
  </property>
  <property fmtid="{D5CDD505-2E9C-101B-9397-08002B2CF9AE}" pid="8" name="_dlc_DocIdUrl">
    <vt:lpwstr>http://sptapp.dhs.gov/ESTT/CIO_PRA/_layouts/DocIdRedir.aspx?ID=5YJZXJV6V4SC-902-391, 5YJZXJV6V4SC-902-391</vt:lpwstr>
  </property>
  <property fmtid="{D5CDD505-2E9C-101B-9397-08002B2CF9AE}" pid="9" name="ContentTypeId">
    <vt:lpwstr>0x01010094DD533536F82C45ADFF6E8EEFF0EBED</vt:lpwstr>
  </property>
</Properties>
</file>