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C0931" w14:textId="07D52AC5" w:rsidR="00C2153D" w:rsidRPr="002B7CBC" w:rsidRDefault="00A01190" w:rsidP="00080A18">
      <w:pPr>
        <w:pStyle w:val="BodyText3"/>
        <w:tabs>
          <w:tab w:val="right" w:pos="10260"/>
        </w:tabs>
        <w:spacing w:line="276" w:lineRule="auto"/>
        <w:rPr>
          <w:rFonts w:ascii="Times New Roman" w:hAnsi="Times New Roman"/>
          <w:b/>
          <w:bCs/>
          <w:szCs w:val="24"/>
        </w:rPr>
      </w:pPr>
      <w:bookmarkStart w:id="0" w:name="_GoBack"/>
      <w:bookmarkEnd w:id="0"/>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14:paraId="6B9969D3" w14:textId="77777777" w:rsidR="00C2153D" w:rsidRPr="002B7CBC" w:rsidRDefault="00A01190" w:rsidP="00080A18">
      <w:pPr>
        <w:pStyle w:val="BodyText3"/>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14:paraId="777DB95D" w14:textId="17D6865C" w:rsidR="00C2153D" w:rsidRPr="002B7CBC" w:rsidRDefault="00A01190" w:rsidP="00080A18">
      <w:pPr>
        <w:pStyle w:val="Heading8"/>
        <w:pBdr>
          <w:bottom w:val="single" w:sz="12" w:space="1" w:color="auto"/>
        </w:pBdr>
        <w:tabs>
          <w:tab w:val="right" w:pos="10260"/>
        </w:tabs>
        <w:spacing w:line="276" w:lineRule="auto"/>
        <w:rPr>
          <w:sz w:val="28"/>
        </w:rPr>
      </w:pPr>
      <w:r w:rsidRPr="002B7CBC">
        <w:rPr>
          <w:sz w:val="28"/>
        </w:rPr>
        <w:tab/>
        <w:t>National Center for Education Statistics</w:t>
      </w:r>
    </w:p>
    <w:p w14:paraId="2D3D0C6A" w14:textId="77777777" w:rsidR="00C2153D" w:rsidRPr="002B7CBC" w:rsidRDefault="00C2153D" w:rsidP="000D740B">
      <w:pPr>
        <w:spacing w:line="276" w:lineRule="auto"/>
        <w:rPr>
          <w:sz w:val="20"/>
          <w:szCs w:val="20"/>
        </w:rPr>
      </w:pPr>
    </w:p>
    <w:p w14:paraId="1A11FA14" w14:textId="3F12C6AE" w:rsidR="00D90962" w:rsidRPr="002B7CBC" w:rsidRDefault="00C2153D" w:rsidP="000D740B">
      <w:pPr>
        <w:spacing w:line="276" w:lineRule="auto"/>
      </w:pPr>
      <w:r w:rsidRPr="002B7CBC">
        <w:t>DATE:</w:t>
      </w:r>
      <w:r w:rsidRPr="002B7CBC">
        <w:tab/>
      </w:r>
      <w:r w:rsidR="00A14445" w:rsidRPr="002B7CBC">
        <w:tab/>
      </w:r>
      <w:r w:rsidR="00CA230D">
        <w:t>November 12</w:t>
      </w:r>
      <w:r w:rsidR="00D86B30">
        <w:t>, 201</w:t>
      </w:r>
      <w:r w:rsidR="00302A69">
        <w:t>9</w:t>
      </w:r>
    </w:p>
    <w:p w14:paraId="3EB39440" w14:textId="77777777" w:rsidR="00C2153D" w:rsidRPr="002B7CBC" w:rsidRDefault="00C2153D" w:rsidP="009B4A44">
      <w:pPr>
        <w:rPr>
          <w:sz w:val="20"/>
          <w:szCs w:val="20"/>
        </w:rPr>
      </w:pPr>
    </w:p>
    <w:p w14:paraId="0A4B43EE" w14:textId="77777777" w:rsidR="00D018C6" w:rsidRPr="002B7CBC" w:rsidRDefault="00026D24" w:rsidP="000D740B">
      <w:pPr>
        <w:spacing w:line="276" w:lineRule="auto"/>
      </w:pPr>
      <w:r w:rsidRPr="002B7CBC">
        <w:t>TO:</w:t>
      </w:r>
      <w:r w:rsidRPr="002B7CBC">
        <w:tab/>
      </w:r>
      <w:r w:rsidRPr="002B7CBC">
        <w:tab/>
      </w:r>
      <w:r w:rsidR="00D018C6" w:rsidRPr="002B7CBC">
        <w:t>Robert Sivinski, OMB</w:t>
      </w:r>
    </w:p>
    <w:p w14:paraId="0479AB6D" w14:textId="77777777" w:rsidR="009B4A44" w:rsidRPr="002B7CBC" w:rsidRDefault="009B4A44" w:rsidP="009B4A44">
      <w:pPr>
        <w:rPr>
          <w:sz w:val="20"/>
          <w:szCs w:val="20"/>
        </w:rPr>
      </w:pPr>
    </w:p>
    <w:p w14:paraId="4AB21D49" w14:textId="77777777" w:rsidR="00C2153D" w:rsidRPr="002B7CBC" w:rsidRDefault="00026D24" w:rsidP="000D740B">
      <w:pPr>
        <w:spacing w:line="276" w:lineRule="auto"/>
      </w:pPr>
      <w:r w:rsidRPr="002B7CBC">
        <w:t>THROUGH</w:t>
      </w:r>
      <w:r w:rsidR="00C2153D" w:rsidRPr="002B7CBC">
        <w:t>:</w:t>
      </w:r>
      <w:r w:rsidRPr="002B7CBC">
        <w:tab/>
      </w:r>
      <w:r w:rsidR="000E3482" w:rsidRPr="002B7CBC">
        <w:t>Kashka Kubzdela</w:t>
      </w:r>
      <w:r w:rsidR="007D64A0" w:rsidRPr="002B7CBC">
        <w:t xml:space="preserve">, OMB Liaison, </w:t>
      </w:r>
      <w:r w:rsidR="00C2153D" w:rsidRPr="002B7CBC">
        <w:t>NCES</w:t>
      </w:r>
    </w:p>
    <w:p w14:paraId="2E1A4533" w14:textId="77777777" w:rsidR="009B4A44" w:rsidRPr="002B7CBC" w:rsidRDefault="009B4A44" w:rsidP="009B4A44">
      <w:pPr>
        <w:rPr>
          <w:sz w:val="20"/>
          <w:szCs w:val="20"/>
        </w:rPr>
      </w:pPr>
    </w:p>
    <w:p w14:paraId="40DD7A89" w14:textId="5BCD9117" w:rsidR="00092D40" w:rsidRPr="002B7CBC" w:rsidRDefault="00C2153D" w:rsidP="007A59E3">
      <w:pPr>
        <w:spacing w:line="276" w:lineRule="auto"/>
        <w:ind w:left="1440" w:hanging="1440"/>
      </w:pPr>
      <w:r w:rsidRPr="002B7CBC">
        <w:t>FROM:</w:t>
      </w:r>
      <w:r w:rsidRPr="002B7CBC">
        <w:tab/>
      </w:r>
      <w:r w:rsidR="00DC2BD8">
        <w:t>Maura Spiegelman</w:t>
      </w:r>
      <w:r w:rsidR="00E75CDC" w:rsidRPr="00DC2BD8">
        <w:t xml:space="preserve">, </w:t>
      </w:r>
      <w:r w:rsidR="00C0296D">
        <w:t>Project Officer for the National Teacher and Principal Survey</w:t>
      </w:r>
      <w:r w:rsidR="00336449">
        <w:t xml:space="preserve">, </w:t>
      </w:r>
      <w:r w:rsidR="00E75CDC" w:rsidRPr="00DC2BD8">
        <w:t>NCES</w:t>
      </w:r>
    </w:p>
    <w:p w14:paraId="634D8613" w14:textId="77777777" w:rsidR="009B4A44" w:rsidRPr="002B7CBC" w:rsidRDefault="009B4A44" w:rsidP="009B4A44">
      <w:pPr>
        <w:rPr>
          <w:sz w:val="20"/>
          <w:szCs w:val="20"/>
        </w:rPr>
      </w:pPr>
    </w:p>
    <w:p w14:paraId="301D6011" w14:textId="4327A7FD" w:rsidR="007D6DCD" w:rsidRPr="002B7CBC" w:rsidRDefault="00C2153D" w:rsidP="008A49CC">
      <w:pPr>
        <w:pStyle w:val="Cov-Title"/>
        <w:spacing w:after="240"/>
        <w:ind w:left="1440" w:hanging="1440"/>
        <w:jc w:val="left"/>
        <w:rPr>
          <w:rFonts w:ascii="Times New Roman" w:hAnsi="Times New Roman"/>
          <w:sz w:val="24"/>
          <w:szCs w:val="24"/>
        </w:rPr>
      </w:pPr>
      <w:r w:rsidRPr="002B7CBC">
        <w:rPr>
          <w:rFonts w:ascii="Times New Roman" w:hAnsi="Times New Roman"/>
          <w:sz w:val="24"/>
          <w:szCs w:val="24"/>
        </w:rPr>
        <w:t>SUBJECT:</w:t>
      </w:r>
      <w:r w:rsidRPr="002B7CBC">
        <w:rPr>
          <w:rFonts w:ascii="Times New Roman" w:hAnsi="Times New Roman"/>
          <w:sz w:val="24"/>
          <w:szCs w:val="24"/>
        </w:rPr>
        <w:tab/>
      </w:r>
      <w:bookmarkStart w:id="1" w:name="_Hlk24441111"/>
      <w:r w:rsidR="006D74BC" w:rsidRPr="006D74BC">
        <w:rPr>
          <w:rFonts w:ascii="Times New Roman" w:hAnsi="Times New Roman"/>
          <w:sz w:val="24"/>
          <w:szCs w:val="24"/>
        </w:rPr>
        <w:t>National Teacher and Principal Survey of 2020-2021 (NTPS 2020-21) Preliminary Field Activities</w:t>
      </w:r>
      <w:r w:rsidR="006D74BC">
        <w:rPr>
          <w:rFonts w:ascii="Times New Roman" w:hAnsi="Times New Roman"/>
          <w:sz w:val="24"/>
          <w:szCs w:val="24"/>
        </w:rPr>
        <w:t xml:space="preserve"> Update</w:t>
      </w:r>
      <w:r w:rsidR="00E75CDC">
        <w:rPr>
          <w:rFonts w:ascii="Times New Roman" w:hAnsi="Times New Roman"/>
          <w:sz w:val="24"/>
          <w:szCs w:val="24"/>
        </w:rPr>
        <w:t xml:space="preserve"> Change Request </w:t>
      </w:r>
      <w:bookmarkEnd w:id="1"/>
      <w:r w:rsidR="00CA230D">
        <w:rPr>
          <w:rFonts w:ascii="Times New Roman" w:hAnsi="Times New Roman"/>
          <w:sz w:val="24"/>
          <w:szCs w:val="24"/>
        </w:rPr>
        <w:t>(OMB# 1850-0598</w:t>
      </w:r>
      <w:r w:rsidR="00E75CDC" w:rsidRPr="00E75CDC">
        <w:rPr>
          <w:rFonts w:ascii="Times New Roman" w:hAnsi="Times New Roman"/>
          <w:sz w:val="24"/>
          <w:szCs w:val="24"/>
        </w:rPr>
        <w:t xml:space="preserve"> v.</w:t>
      </w:r>
      <w:r w:rsidR="00CA230D">
        <w:rPr>
          <w:rFonts w:ascii="Times New Roman" w:hAnsi="Times New Roman"/>
          <w:sz w:val="24"/>
          <w:szCs w:val="24"/>
        </w:rPr>
        <w:t>27</w:t>
      </w:r>
      <w:r w:rsidR="00E75CDC" w:rsidRPr="00E75CDC">
        <w:rPr>
          <w:rFonts w:ascii="Times New Roman" w:hAnsi="Times New Roman"/>
          <w:sz w:val="24"/>
          <w:szCs w:val="24"/>
        </w:rPr>
        <w:t>)</w:t>
      </w:r>
    </w:p>
    <w:p w14:paraId="64548850" w14:textId="5E6C28BC" w:rsidR="006E678D" w:rsidRDefault="00CA230D" w:rsidP="00E75CDC">
      <w:r w:rsidRPr="00CA230D">
        <w:t xml:space="preserve">The National Teacher and Principal Survey (NTPS), conducted </w:t>
      </w:r>
      <w:r w:rsidR="004F524C">
        <w:t>every two to three years</w:t>
      </w:r>
      <w:r w:rsidR="004F524C" w:rsidRPr="00CA230D">
        <w:t xml:space="preserve"> </w:t>
      </w:r>
      <w:r w:rsidRPr="00CA230D">
        <w:t xml:space="preserve">by the National Center for Education Statistics (NCES), is a system of related questionnaires that provides descriptive data on the context of elementary and secondary education. Redesigned from the Schools and Staffing Survey (SASS) with a focus on flexibility, timeliness, and integration with other ED data, the NTPS system allows for school, principal, and teacher characteristics to be analyzed in relation to one another. NTPS is an in-depth, nationally representative survey of first through twelfth grade public and private school teachers, principals, and schools. Kindergarten teachers in schools with at least a first grade are also surveyed. NTPS utilizes core content and a series of rotating modules to allow timely collection of important education trends as well as trend analysis. Topics covered include characteristics of teachers, principals, schools, teacher training opportunities, retention, retirement, hiring, and shortages. The NTPS 2019-20 preliminary activities were approved in </w:t>
      </w:r>
      <w:r>
        <w:t>July 2019 (OMB# 1850-0598</w:t>
      </w:r>
      <w:r w:rsidRPr="00E75CDC">
        <w:t xml:space="preserve"> v.</w:t>
      </w:r>
      <w:r>
        <w:t>26</w:t>
      </w:r>
      <w:r w:rsidRPr="00E75CDC">
        <w:t>)</w:t>
      </w:r>
      <w:r>
        <w:t xml:space="preserve">. </w:t>
      </w:r>
      <w:r w:rsidR="00E75CDC" w:rsidRPr="00E75CDC">
        <w:t xml:space="preserve">This request is to </w:t>
      </w:r>
      <w:r w:rsidR="007408B5">
        <w:t xml:space="preserve">update the details of the </w:t>
      </w:r>
      <w:r w:rsidR="007408B5" w:rsidRPr="00CA230D">
        <w:t xml:space="preserve">NTPS 2019-20 </w:t>
      </w:r>
      <w:r w:rsidR="00AE36FC">
        <w:t>sampling</w:t>
      </w:r>
      <w:r w:rsidR="007408B5">
        <w:t xml:space="preserve"> plan</w:t>
      </w:r>
      <w:r w:rsidR="00E75CDC" w:rsidRPr="00E75CDC">
        <w:t>.</w:t>
      </w:r>
      <w:r w:rsidR="00E75CDC">
        <w:t xml:space="preserve"> </w:t>
      </w:r>
      <w:r w:rsidR="00E03D63">
        <w:t>This request does not introduce changes to the estimated respondent burden or the costs to the federal government.</w:t>
      </w:r>
    </w:p>
    <w:p w14:paraId="4F2C5720" w14:textId="77777777" w:rsidR="006E678D" w:rsidRDefault="006E678D" w:rsidP="00E75CDC"/>
    <w:p w14:paraId="4214DA7F" w14:textId="184FD52C" w:rsidR="00E03D63" w:rsidRDefault="00E03D63" w:rsidP="00E75CDC">
      <w:r w:rsidRPr="000B559B">
        <w:t xml:space="preserve">Revisions made to </w:t>
      </w:r>
      <w:r w:rsidR="00CA230D">
        <w:t>Part B</w:t>
      </w:r>
      <w:r w:rsidR="00E56742" w:rsidRPr="000B559B">
        <w:t xml:space="preserve"> are summarized below</w:t>
      </w:r>
      <w:r w:rsidR="00FC2405">
        <w:t xml:space="preserve"> (red font reflects text deletions and additions)</w:t>
      </w:r>
      <w:r w:rsidR="00E56742" w:rsidRPr="000B559B">
        <w:t>.</w:t>
      </w:r>
    </w:p>
    <w:p w14:paraId="09B68C60" w14:textId="77777777" w:rsidR="008D171B" w:rsidRDefault="008D171B" w:rsidP="00E75CDC"/>
    <w:p w14:paraId="5B0CE36F" w14:textId="363BD736" w:rsidR="00721553" w:rsidRPr="00FC2405" w:rsidRDefault="006A39E4" w:rsidP="008D171B">
      <w:pPr>
        <w:pStyle w:val="ListParagraph"/>
        <w:numPr>
          <w:ilvl w:val="0"/>
          <w:numId w:val="39"/>
        </w:numPr>
        <w:rPr>
          <w:rFonts w:ascii="Times New Roman" w:hAnsi="Times New Roman"/>
          <w:i/>
          <w:iCs/>
          <w:sz w:val="24"/>
        </w:rPr>
      </w:pPr>
      <w:r w:rsidRPr="00FC2405">
        <w:rPr>
          <w:rFonts w:ascii="Times New Roman" w:hAnsi="Times New Roman"/>
          <w:i/>
          <w:iCs/>
          <w:sz w:val="24"/>
        </w:rPr>
        <w:t xml:space="preserve">Page 4 – </w:t>
      </w:r>
      <w:r w:rsidR="009438BB" w:rsidRPr="00FC2405">
        <w:rPr>
          <w:rFonts w:ascii="Times New Roman" w:hAnsi="Times New Roman"/>
          <w:i/>
          <w:iCs/>
          <w:sz w:val="24"/>
        </w:rPr>
        <w:t>updates to</w:t>
      </w:r>
      <w:r w:rsidRPr="00FC2405">
        <w:rPr>
          <w:rFonts w:ascii="Times New Roman" w:hAnsi="Times New Roman"/>
          <w:i/>
          <w:iCs/>
          <w:sz w:val="24"/>
        </w:rPr>
        <w:t xml:space="preserve"> the sampling universe based on </w:t>
      </w:r>
      <w:r w:rsidR="009438BB" w:rsidRPr="00FC2405">
        <w:rPr>
          <w:rFonts w:ascii="Times New Roman" w:hAnsi="Times New Roman"/>
          <w:i/>
          <w:iCs/>
          <w:sz w:val="24"/>
        </w:rPr>
        <w:t>more recent universe</w:t>
      </w:r>
      <w:r w:rsidRPr="00FC2405">
        <w:rPr>
          <w:rFonts w:ascii="Times New Roman" w:hAnsi="Times New Roman"/>
          <w:i/>
          <w:iCs/>
          <w:sz w:val="24"/>
        </w:rPr>
        <w:t xml:space="preserve"> data and newly adopted approaches to defining school levels</w:t>
      </w:r>
      <w:r w:rsidR="009438BB" w:rsidRPr="00FC2405">
        <w:rPr>
          <w:rFonts w:ascii="Times New Roman" w:hAnsi="Times New Roman"/>
          <w:i/>
          <w:iCs/>
          <w:sz w:val="24"/>
        </w:rPr>
        <w:t>:</w:t>
      </w:r>
    </w:p>
    <w:p w14:paraId="35140AD7" w14:textId="1DE1F19A" w:rsidR="00721553" w:rsidRPr="00FC2405" w:rsidRDefault="009438BB" w:rsidP="00721553">
      <w:pPr>
        <w:pStyle w:val="ListParagraph"/>
        <w:numPr>
          <w:ilvl w:val="1"/>
          <w:numId w:val="39"/>
        </w:numPr>
        <w:rPr>
          <w:rFonts w:ascii="Times New Roman" w:hAnsi="Times New Roman"/>
          <w:i/>
          <w:iCs/>
          <w:sz w:val="24"/>
        </w:rPr>
      </w:pPr>
      <w:r w:rsidRPr="00FC2405">
        <w:rPr>
          <w:rFonts w:ascii="Times New Roman" w:hAnsi="Times New Roman"/>
          <w:i/>
          <w:iCs/>
          <w:sz w:val="24"/>
        </w:rPr>
        <w:t>We n</w:t>
      </w:r>
      <w:r w:rsidR="00C37357" w:rsidRPr="00FC2405">
        <w:rPr>
          <w:rFonts w:ascii="Times New Roman" w:hAnsi="Times New Roman"/>
          <w:i/>
          <w:iCs/>
          <w:sz w:val="24"/>
        </w:rPr>
        <w:t xml:space="preserve">o longer anticipate having to manage overlap with schools sampled for SSOCS, </w:t>
      </w:r>
      <w:r w:rsidR="00040975" w:rsidRPr="00FC2405">
        <w:rPr>
          <w:rFonts w:ascii="Times New Roman" w:hAnsi="Times New Roman"/>
          <w:i/>
          <w:iCs/>
          <w:sz w:val="24"/>
        </w:rPr>
        <w:t xml:space="preserve">so we have removed </w:t>
      </w:r>
      <w:r w:rsidRPr="00FC2405">
        <w:rPr>
          <w:rFonts w:ascii="Times New Roman" w:hAnsi="Times New Roman"/>
          <w:i/>
          <w:iCs/>
          <w:sz w:val="24"/>
        </w:rPr>
        <w:t xml:space="preserve">the </w:t>
      </w:r>
      <w:r w:rsidR="00040975" w:rsidRPr="00FC2405">
        <w:rPr>
          <w:rFonts w:ascii="Times New Roman" w:hAnsi="Times New Roman"/>
          <w:i/>
          <w:iCs/>
          <w:sz w:val="24"/>
        </w:rPr>
        <w:t xml:space="preserve">reference </w:t>
      </w:r>
      <w:r w:rsidRPr="00FC2405">
        <w:rPr>
          <w:rFonts w:ascii="Times New Roman" w:hAnsi="Times New Roman"/>
          <w:i/>
          <w:iCs/>
          <w:sz w:val="24"/>
        </w:rPr>
        <w:t xml:space="preserve">to it </w:t>
      </w:r>
      <w:r w:rsidR="00040975" w:rsidRPr="00FC2405">
        <w:rPr>
          <w:rFonts w:ascii="Times New Roman" w:hAnsi="Times New Roman"/>
          <w:i/>
          <w:iCs/>
          <w:sz w:val="24"/>
        </w:rPr>
        <w:t>from this package</w:t>
      </w:r>
      <w:r w:rsidRPr="00FC2405">
        <w:rPr>
          <w:rFonts w:ascii="Times New Roman" w:hAnsi="Times New Roman"/>
          <w:i/>
          <w:iCs/>
          <w:sz w:val="24"/>
        </w:rPr>
        <w:t>;</w:t>
      </w:r>
    </w:p>
    <w:p w14:paraId="0970D145" w14:textId="6646DADA" w:rsidR="008D171B" w:rsidRPr="00FC2405" w:rsidRDefault="00721553" w:rsidP="00721553">
      <w:pPr>
        <w:pStyle w:val="ListParagraph"/>
        <w:numPr>
          <w:ilvl w:val="1"/>
          <w:numId w:val="39"/>
        </w:numPr>
        <w:rPr>
          <w:rFonts w:ascii="Times New Roman" w:hAnsi="Times New Roman"/>
          <w:i/>
          <w:iCs/>
          <w:sz w:val="24"/>
        </w:rPr>
      </w:pPr>
      <w:r w:rsidRPr="00FC2405">
        <w:rPr>
          <w:rFonts w:ascii="Times New Roman" w:hAnsi="Times New Roman"/>
          <w:i/>
          <w:iCs/>
          <w:sz w:val="24"/>
        </w:rPr>
        <w:t>We have updated the respondent universe with the 2017-18 Common Core of Data (CCD)</w:t>
      </w:r>
      <w:r w:rsidR="009438BB" w:rsidRPr="00FC2405">
        <w:rPr>
          <w:rFonts w:ascii="Times New Roman" w:hAnsi="Times New Roman"/>
          <w:i/>
          <w:iCs/>
          <w:sz w:val="24"/>
        </w:rPr>
        <w:t>; and</w:t>
      </w:r>
    </w:p>
    <w:p w14:paraId="0AAC1114" w14:textId="6CB03C68" w:rsidR="00721553" w:rsidRPr="00FC2405" w:rsidRDefault="00FC2405" w:rsidP="00721553">
      <w:pPr>
        <w:pStyle w:val="ListParagraph"/>
        <w:numPr>
          <w:ilvl w:val="1"/>
          <w:numId w:val="39"/>
        </w:numPr>
        <w:rPr>
          <w:rFonts w:ascii="Times New Roman" w:hAnsi="Times New Roman"/>
          <w:i/>
          <w:iCs/>
          <w:sz w:val="24"/>
        </w:rPr>
      </w:pPr>
      <w:r w:rsidRPr="00FC2405">
        <w:rPr>
          <w:rFonts w:ascii="Times New Roman" w:hAnsi="Times New Roman"/>
          <w:i/>
          <w:iCs/>
          <w:sz w:val="24"/>
        </w:rPr>
        <w:t>ED</w:t>
      </w:r>
      <w:r w:rsidR="00721553" w:rsidRPr="00FC2405">
        <w:rPr>
          <w:rFonts w:ascii="Times New Roman" w:hAnsi="Times New Roman"/>
          <w:i/>
          <w:iCs/>
          <w:sz w:val="24"/>
        </w:rPr>
        <w:t xml:space="preserve"> </w:t>
      </w:r>
      <w:r w:rsidR="006A39E4" w:rsidRPr="00FC2405">
        <w:rPr>
          <w:rFonts w:ascii="Times New Roman" w:hAnsi="Times New Roman"/>
          <w:i/>
          <w:iCs/>
          <w:sz w:val="24"/>
        </w:rPr>
        <w:t xml:space="preserve">revised the way that it categorizes </w:t>
      </w:r>
      <w:r w:rsidR="006544CC" w:rsidRPr="00FC2405">
        <w:rPr>
          <w:rFonts w:ascii="Times New Roman" w:hAnsi="Times New Roman"/>
          <w:i/>
          <w:iCs/>
          <w:sz w:val="24"/>
        </w:rPr>
        <w:t xml:space="preserve">public </w:t>
      </w:r>
      <w:r w:rsidR="006A39E4" w:rsidRPr="00FC2405">
        <w:rPr>
          <w:rFonts w:ascii="Times New Roman" w:hAnsi="Times New Roman"/>
          <w:i/>
          <w:iCs/>
          <w:sz w:val="24"/>
        </w:rPr>
        <w:t>schools by level, and we have updated Table 1 and its accompanying matter to reflect that.</w:t>
      </w:r>
    </w:p>
    <w:p w14:paraId="4818EAA8" w14:textId="77777777" w:rsidR="008D171B" w:rsidRDefault="008D171B" w:rsidP="00E75CDC"/>
    <w:p w14:paraId="15CE3E29" w14:textId="491C1F80" w:rsidR="006A39E4" w:rsidRPr="005E69CA" w:rsidRDefault="006A39E4" w:rsidP="006A39E4">
      <w:pPr>
        <w:pStyle w:val="L1-FlLSp12"/>
        <w:spacing w:after="120" w:line="240" w:lineRule="auto"/>
        <w:rPr>
          <w:rFonts w:ascii="Times New Roman" w:hAnsi="Times New Roman"/>
          <w:strike/>
          <w:color w:val="FF0000"/>
          <w:szCs w:val="24"/>
        </w:rPr>
      </w:pPr>
      <w:r w:rsidRPr="005E69CA">
        <w:rPr>
          <w:rFonts w:ascii="Times New Roman" w:hAnsi="Times New Roman"/>
          <w:szCs w:val="24"/>
        </w:rPr>
        <w:t>The most recent final Common Core of Data (CCD) file available from NCES at the time of sampling in spring 2020 will be used to construct the public school frame.</w:t>
      </w:r>
      <w:r w:rsidRPr="005E69CA">
        <w:rPr>
          <w:rFonts w:ascii="Times New Roman" w:hAnsi="Times New Roman"/>
          <w:vertAlign w:val="superscript"/>
        </w:rPr>
        <w:t>1</w:t>
      </w:r>
      <w:r w:rsidRPr="005E69CA">
        <w:rPr>
          <w:rFonts w:ascii="Times New Roman" w:hAnsi="Times New Roman"/>
          <w:szCs w:val="24"/>
        </w:rPr>
        <w:t xml:space="preserve"> The respondent universe for charter schools will be identified as those public charter schools that meet the NTPS definition of an eligible school found on the CCD. The universe has been adjusted to remove kindergarten-terminal schools, which are not eligible for NTPS</w:t>
      </w:r>
      <w:r w:rsidRPr="00040975">
        <w:rPr>
          <w:rFonts w:ascii="Times New Roman" w:hAnsi="Times New Roman"/>
          <w:szCs w:val="24"/>
        </w:rPr>
        <w:t xml:space="preserve">. </w:t>
      </w:r>
      <w:r w:rsidRPr="00FA131F">
        <w:rPr>
          <w:rFonts w:ascii="Times New Roman" w:hAnsi="Times New Roman"/>
          <w:szCs w:val="24"/>
        </w:rPr>
        <w:t xml:space="preserve">Table 1 presents the number of public schools on the 2017-18 </w:t>
      </w:r>
      <w:r w:rsidRPr="00040975">
        <w:rPr>
          <w:rFonts w:ascii="Times New Roman" w:hAnsi="Times New Roman"/>
          <w:strike/>
          <w:color w:val="FF0000"/>
          <w:szCs w:val="24"/>
        </w:rPr>
        <w:t>NTPS public school universe, which are based on the 2014-15</w:t>
      </w:r>
      <w:r w:rsidRPr="00040975">
        <w:rPr>
          <w:rFonts w:ascii="Times New Roman" w:hAnsi="Times New Roman"/>
          <w:color w:val="FF0000"/>
          <w:szCs w:val="24"/>
        </w:rPr>
        <w:t xml:space="preserve"> </w:t>
      </w:r>
      <w:r w:rsidRPr="00FA131F">
        <w:rPr>
          <w:rFonts w:ascii="Times New Roman" w:hAnsi="Times New Roman"/>
          <w:szCs w:val="24"/>
        </w:rPr>
        <w:t xml:space="preserve">CCD, by urbanicity and school level. </w:t>
      </w:r>
      <w:r w:rsidRPr="005E69CA">
        <w:rPr>
          <w:rFonts w:ascii="Times New Roman" w:hAnsi="Times New Roman"/>
          <w:szCs w:val="24"/>
        </w:rPr>
        <w:t>The CCD that will be used to construct the sample for NTPS 2020-21 is not yet available at the time of this submittal.</w:t>
      </w:r>
      <w:r w:rsidR="00FC2405">
        <w:rPr>
          <w:rFonts w:ascii="Times New Roman" w:hAnsi="Times New Roman"/>
          <w:szCs w:val="24"/>
        </w:rPr>
        <w:t xml:space="preserve"> </w:t>
      </w:r>
      <w:r w:rsidRPr="00FC2405">
        <w:rPr>
          <w:rFonts w:ascii="Times New Roman" w:hAnsi="Times New Roman"/>
          <w:szCs w:val="24"/>
        </w:rPr>
        <w:t>The NTPS 2020-21 school sample will be drawn in April-May 2020 and we will begin to contact sampled schools in June 2020.</w:t>
      </w:r>
      <w:r w:rsidRPr="00FC2405">
        <w:rPr>
          <w:rFonts w:ascii="Times New Roman" w:hAnsi="Times New Roman"/>
          <w:strike/>
          <w:szCs w:val="24"/>
        </w:rPr>
        <w:t xml:space="preserve"> </w:t>
      </w:r>
      <w:r w:rsidRPr="005E69CA">
        <w:rPr>
          <w:rFonts w:ascii="Times New Roman" w:hAnsi="Times New Roman"/>
          <w:strike/>
          <w:color w:val="FF0000"/>
          <w:szCs w:val="24"/>
        </w:rPr>
        <w:t xml:space="preserve">Another NCES survey, the 2020 Survey of School Crime and Safety (SSOCS), will be collecting data from schools from February through July 2020. We currently do not anticipate a significant overlap between the 2020 SSOCS </w:t>
      </w:r>
      <w:r w:rsidRPr="005E69CA">
        <w:rPr>
          <w:rFonts w:ascii="Times New Roman" w:hAnsi="Times New Roman"/>
          <w:strike/>
          <w:color w:val="FF0000"/>
          <w:szCs w:val="24"/>
        </w:rPr>
        <w:lastRenderedPageBreak/>
        <w:t>and NTPS 2020-21 samples, however, once drawn, if the NTPS 2020-21 sample proves to overlap significantly with the 2020 SSOCS sample, NCES will consider adjusting the NTPS 2020-21 probabilities based on the 2020 SSOCS sample. In that case, NCES would submit a change request to OMB in spring 2020 explaining the adjustment.</w:t>
      </w:r>
    </w:p>
    <w:p w14:paraId="24337620" w14:textId="77777777" w:rsidR="006A39E4" w:rsidRPr="005E69CA" w:rsidRDefault="006A39E4" w:rsidP="006A39E4">
      <w:pPr>
        <w:keepNext/>
        <w:tabs>
          <w:tab w:val="left" w:pos="0"/>
        </w:tabs>
        <w:spacing w:before="240" w:after="60"/>
        <w:ind w:left="907" w:hanging="907"/>
        <w:rPr>
          <w:rFonts w:eastAsia="Calibri"/>
          <w:b/>
          <w:bCs/>
          <w:strike/>
          <w:color w:val="FF0000"/>
          <w:sz w:val="22"/>
          <w:szCs w:val="22"/>
        </w:rPr>
      </w:pPr>
      <w:r w:rsidRPr="005E69CA">
        <w:rPr>
          <w:rFonts w:eastAsia="Calibri"/>
          <w:b/>
          <w:bCs/>
          <w:strike/>
          <w:color w:val="FF0000"/>
          <w:sz w:val="22"/>
          <w:szCs w:val="22"/>
        </w:rPr>
        <w:t>Table 1.</w:t>
      </w:r>
      <w:r w:rsidRPr="005E69CA">
        <w:rPr>
          <w:rFonts w:eastAsia="Calibri"/>
          <w:b/>
          <w:bCs/>
          <w:strike/>
          <w:color w:val="FF0000"/>
          <w:sz w:val="22"/>
          <w:szCs w:val="22"/>
        </w:rPr>
        <w:tab/>
        <w:t>Estimated respondent universe by school level and urbanicity for the proposed NTPS 2020-21 public school sample, based on the 2017-18 NTPS Public School Universe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528"/>
        <w:gridCol w:w="1749"/>
        <w:gridCol w:w="1768"/>
        <w:gridCol w:w="1768"/>
        <w:gridCol w:w="1871"/>
      </w:tblGrid>
      <w:tr w:rsidR="006A39E4" w:rsidRPr="005E69CA" w14:paraId="7FE7E7CD" w14:textId="77777777" w:rsidTr="00815DAE">
        <w:trPr>
          <w:trHeight w:val="144"/>
        </w:trPr>
        <w:tc>
          <w:tcPr>
            <w:tcW w:w="5000" w:type="pct"/>
            <w:gridSpan w:val="6"/>
            <w:shd w:val="clear" w:color="auto" w:fill="auto"/>
            <w:vAlign w:val="center"/>
          </w:tcPr>
          <w:p w14:paraId="65476B2F" w14:textId="77777777" w:rsidR="006A39E4" w:rsidRPr="005E69CA" w:rsidRDefault="006A39E4" w:rsidP="00815DAE">
            <w:pPr>
              <w:jc w:val="center"/>
              <w:rPr>
                <w:rFonts w:eastAsia="Malgun Gothic"/>
                <w:b/>
                <w:strike/>
                <w:color w:val="FF0000"/>
                <w:sz w:val="20"/>
                <w:vertAlign w:val="superscript"/>
              </w:rPr>
            </w:pPr>
            <w:r w:rsidRPr="005E69CA">
              <w:rPr>
                <w:rFonts w:eastAsia="Malgun Gothic"/>
                <w:b/>
                <w:strike/>
                <w:color w:val="FF0000"/>
                <w:sz w:val="20"/>
              </w:rPr>
              <w:t>School level</w:t>
            </w:r>
            <w:r w:rsidRPr="005E69CA">
              <w:rPr>
                <w:strike/>
                <w:color w:val="FF0000"/>
                <w:vertAlign w:val="superscript"/>
              </w:rPr>
              <w:t>2</w:t>
            </w:r>
          </w:p>
        </w:tc>
      </w:tr>
      <w:tr w:rsidR="006A39E4" w:rsidRPr="005E69CA" w14:paraId="11106E53" w14:textId="77777777" w:rsidTr="00815DAE">
        <w:trPr>
          <w:trHeight w:val="144"/>
        </w:trPr>
        <w:tc>
          <w:tcPr>
            <w:tcW w:w="953" w:type="pct"/>
            <w:shd w:val="clear" w:color="auto" w:fill="auto"/>
            <w:vAlign w:val="center"/>
          </w:tcPr>
          <w:p w14:paraId="7EB49BBB" w14:textId="77777777" w:rsidR="006A39E4" w:rsidRPr="005E69CA" w:rsidRDefault="006A39E4" w:rsidP="00815DAE">
            <w:pPr>
              <w:rPr>
                <w:rFonts w:eastAsia="Malgun Gothic"/>
                <w:b/>
                <w:strike/>
                <w:color w:val="FF0000"/>
                <w:sz w:val="20"/>
              </w:rPr>
            </w:pPr>
            <w:r w:rsidRPr="005E69CA">
              <w:rPr>
                <w:rFonts w:eastAsia="Malgun Gothic"/>
                <w:b/>
                <w:strike/>
                <w:color w:val="FF0000"/>
                <w:sz w:val="20"/>
              </w:rPr>
              <w:t>Region</w:t>
            </w:r>
          </w:p>
        </w:tc>
        <w:tc>
          <w:tcPr>
            <w:tcW w:w="712" w:type="pct"/>
            <w:shd w:val="clear" w:color="auto" w:fill="auto"/>
            <w:vAlign w:val="center"/>
          </w:tcPr>
          <w:p w14:paraId="71C7434D" w14:textId="77777777" w:rsidR="006A39E4" w:rsidRPr="005E69CA" w:rsidRDefault="006A39E4" w:rsidP="00815DAE">
            <w:pPr>
              <w:jc w:val="center"/>
              <w:rPr>
                <w:rFonts w:eastAsia="Malgun Gothic"/>
                <w:b/>
                <w:strike/>
                <w:color w:val="FF0000"/>
                <w:sz w:val="20"/>
              </w:rPr>
            </w:pPr>
            <w:r w:rsidRPr="005E69CA">
              <w:rPr>
                <w:rFonts w:eastAsia="Malgun Gothic"/>
                <w:b/>
                <w:strike/>
                <w:color w:val="FF0000"/>
                <w:sz w:val="20"/>
              </w:rPr>
              <w:t>Primary</w:t>
            </w:r>
          </w:p>
        </w:tc>
        <w:tc>
          <w:tcPr>
            <w:tcW w:w="815" w:type="pct"/>
            <w:shd w:val="clear" w:color="auto" w:fill="auto"/>
            <w:vAlign w:val="center"/>
          </w:tcPr>
          <w:p w14:paraId="046DD03F" w14:textId="77777777" w:rsidR="006A39E4" w:rsidRPr="005E69CA" w:rsidRDefault="006A39E4" w:rsidP="00815DAE">
            <w:pPr>
              <w:jc w:val="center"/>
              <w:rPr>
                <w:rFonts w:eastAsia="Malgun Gothic"/>
                <w:b/>
                <w:strike/>
                <w:color w:val="FF0000"/>
                <w:sz w:val="20"/>
              </w:rPr>
            </w:pPr>
            <w:r w:rsidRPr="005E69CA">
              <w:rPr>
                <w:rFonts w:eastAsia="Malgun Gothic"/>
                <w:b/>
                <w:strike/>
                <w:color w:val="FF0000"/>
                <w:sz w:val="20"/>
              </w:rPr>
              <w:t>Middle</w:t>
            </w:r>
          </w:p>
        </w:tc>
        <w:tc>
          <w:tcPr>
            <w:tcW w:w="824" w:type="pct"/>
            <w:shd w:val="clear" w:color="auto" w:fill="auto"/>
            <w:vAlign w:val="center"/>
          </w:tcPr>
          <w:p w14:paraId="03DAAA53" w14:textId="77777777" w:rsidR="006A39E4" w:rsidRPr="005E69CA" w:rsidRDefault="006A39E4" w:rsidP="00815DAE">
            <w:pPr>
              <w:jc w:val="center"/>
              <w:rPr>
                <w:rFonts w:eastAsia="Malgun Gothic"/>
                <w:b/>
                <w:strike/>
                <w:color w:val="FF0000"/>
                <w:sz w:val="20"/>
              </w:rPr>
            </w:pPr>
            <w:r w:rsidRPr="005E69CA">
              <w:rPr>
                <w:rFonts w:eastAsia="Malgun Gothic"/>
                <w:b/>
                <w:strike/>
                <w:color w:val="FF0000"/>
                <w:sz w:val="20"/>
              </w:rPr>
              <w:t>High</w:t>
            </w:r>
          </w:p>
        </w:tc>
        <w:tc>
          <w:tcPr>
            <w:tcW w:w="824" w:type="pct"/>
            <w:shd w:val="clear" w:color="auto" w:fill="auto"/>
            <w:vAlign w:val="center"/>
          </w:tcPr>
          <w:p w14:paraId="76C4F6C9" w14:textId="77777777" w:rsidR="006A39E4" w:rsidRPr="005E69CA" w:rsidRDefault="006A39E4" w:rsidP="00815DAE">
            <w:pPr>
              <w:jc w:val="center"/>
              <w:rPr>
                <w:rFonts w:eastAsia="Malgun Gothic"/>
                <w:b/>
                <w:strike/>
                <w:color w:val="FF0000"/>
                <w:sz w:val="20"/>
              </w:rPr>
            </w:pPr>
            <w:r w:rsidRPr="005E69CA">
              <w:rPr>
                <w:rFonts w:eastAsia="Malgun Gothic"/>
                <w:b/>
                <w:strike/>
                <w:color w:val="FF0000"/>
                <w:sz w:val="20"/>
              </w:rPr>
              <w:t>Combined</w:t>
            </w:r>
          </w:p>
        </w:tc>
        <w:tc>
          <w:tcPr>
            <w:tcW w:w="872" w:type="pct"/>
            <w:shd w:val="clear" w:color="auto" w:fill="auto"/>
            <w:vAlign w:val="center"/>
          </w:tcPr>
          <w:p w14:paraId="7D3C658B" w14:textId="77777777" w:rsidR="006A39E4" w:rsidRPr="005E69CA" w:rsidRDefault="006A39E4" w:rsidP="00815DAE">
            <w:pPr>
              <w:jc w:val="center"/>
              <w:rPr>
                <w:rFonts w:eastAsia="Malgun Gothic"/>
                <w:b/>
                <w:strike/>
                <w:color w:val="FF0000"/>
                <w:sz w:val="20"/>
              </w:rPr>
            </w:pPr>
            <w:r w:rsidRPr="005E69CA">
              <w:rPr>
                <w:rFonts w:eastAsia="Malgun Gothic"/>
                <w:b/>
                <w:strike/>
                <w:color w:val="FF0000"/>
                <w:sz w:val="20"/>
              </w:rPr>
              <w:t>Total</w:t>
            </w:r>
          </w:p>
        </w:tc>
      </w:tr>
      <w:tr w:rsidR="006A39E4" w:rsidRPr="005E69CA" w14:paraId="5E0A421B" w14:textId="77777777" w:rsidTr="00815DAE">
        <w:trPr>
          <w:trHeight w:val="144"/>
        </w:trPr>
        <w:tc>
          <w:tcPr>
            <w:tcW w:w="953" w:type="pct"/>
            <w:shd w:val="clear" w:color="auto" w:fill="auto"/>
            <w:vAlign w:val="center"/>
          </w:tcPr>
          <w:p w14:paraId="3E651E20" w14:textId="77777777" w:rsidR="006A39E4" w:rsidRPr="005E69CA" w:rsidRDefault="006A39E4" w:rsidP="00815DAE">
            <w:pPr>
              <w:rPr>
                <w:rFonts w:eastAsia="Malgun Gothic"/>
                <w:strike/>
                <w:color w:val="FF0000"/>
                <w:sz w:val="20"/>
              </w:rPr>
            </w:pPr>
            <w:r w:rsidRPr="005E69CA">
              <w:rPr>
                <w:rFonts w:eastAsia="Malgun Gothic"/>
                <w:strike/>
                <w:color w:val="FF0000"/>
                <w:sz w:val="20"/>
              </w:rPr>
              <w:t>Central City</w:t>
            </w:r>
          </w:p>
        </w:tc>
        <w:tc>
          <w:tcPr>
            <w:tcW w:w="712" w:type="pct"/>
            <w:shd w:val="clear" w:color="auto" w:fill="auto"/>
            <w:vAlign w:val="center"/>
          </w:tcPr>
          <w:p w14:paraId="48417F66" w14:textId="77777777" w:rsidR="006A39E4" w:rsidRPr="005E69CA" w:rsidRDefault="006A39E4" w:rsidP="00815DAE">
            <w:pPr>
              <w:jc w:val="right"/>
              <w:rPr>
                <w:rFonts w:eastAsia="Malgun Gothic"/>
                <w:strike/>
                <w:color w:val="FF0000"/>
                <w:sz w:val="20"/>
              </w:rPr>
            </w:pPr>
            <w:r w:rsidRPr="005E69CA">
              <w:rPr>
                <w:strike/>
                <w:color w:val="FF0000"/>
                <w:sz w:val="20"/>
              </w:rPr>
              <w:t>15,308</w:t>
            </w:r>
          </w:p>
        </w:tc>
        <w:tc>
          <w:tcPr>
            <w:tcW w:w="815" w:type="pct"/>
            <w:shd w:val="clear" w:color="auto" w:fill="auto"/>
            <w:vAlign w:val="center"/>
          </w:tcPr>
          <w:p w14:paraId="13C15ABA" w14:textId="77777777" w:rsidR="006A39E4" w:rsidRPr="005E69CA" w:rsidRDefault="006A39E4" w:rsidP="00815DAE">
            <w:pPr>
              <w:jc w:val="right"/>
              <w:rPr>
                <w:rFonts w:eastAsia="Malgun Gothic"/>
                <w:strike/>
                <w:color w:val="FF0000"/>
                <w:sz w:val="20"/>
              </w:rPr>
            </w:pPr>
            <w:r w:rsidRPr="005E69CA">
              <w:rPr>
                <w:strike/>
                <w:color w:val="FF0000"/>
                <w:sz w:val="20"/>
              </w:rPr>
              <w:t>3,699</w:t>
            </w:r>
          </w:p>
        </w:tc>
        <w:tc>
          <w:tcPr>
            <w:tcW w:w="824" w:type="pct"/>
            <w:shd w:val="clear" w:color="auto" w:fill="auto"/>
            <w:vAlign w:val="center"/>
          </w:tcPr>
          <w:p w14:paraId="7BC24FE8" w14:textId="77777777" w:rsidR="006A39E4" w:rsidRPr="005E69CA" w:rsidRDefault="006A39E4" w:rsidP="00815DAE">
            <w:pPr>
              <w:jc w:val="right"/>
              <w:rPr>
                <w:rFonts w:eastAsia="Malgun Gothic"/>
                <w:strike/>
                <w:color w:val="FF0000"/>
                <w:sz w:val="20"/>
              </w:rPr>
            </w:pPr>
            <w:r w:rsidRPr="005E69CA">
              <w:rPr>
                <w:strike/>
                <w:color w:val="FF0000"/>
                <w:sz w:val="20"/>
              </w:rPr>
              <w:t>5,407</w:t>
            </w:r>
          </w:p>
        </w:tc>
        <w:tc>
          <w:tcPr>
            <w:tcW w:w="824" w:type="pct"/>
            <w:shd w:val="clear" w:color="auto" w:fill="auto"/>
            <w:vAlign w:val="center"/>
          </w:tcPr>
          <w:p w14:paraId="68807C47" w14:textId="77777777" w:rsidR="006A39E4" w:rsidRPr="005E69CA" w:rsidRDefault="006A39E4" w:rsidP="00815DAE">
            <w:pPr>
              <w:jc w:val="right"/>
              <w:rPr>
                <w:rFonts w:eastAsia="Malgun Gothic"/>
                <w:strike/>
                <w:color w:val="FF0000"/>
                <w:sz w:val="20"/>
              </w:rPr>
            </w:pPr>
            <w:r w:rsidRPr="005E69CA">
              <w:rPr>
                <w:strike/>
                <w:color w:val="FF0000"/>
                <w:sz w:val="20"/>
              </w:rPr>
              <w:t>1,727</w:t>
            </w:r>
          </w:p>
        </w:tc>
        <w:tc>
          <w:tcPr>
            <w:tcW w:w="872" w:type="pct"/>
            <w:shd w:val="clear" w:color="auto" w:fill="auto"/>
            <w:vAlign w:val="center"/>
          </w:tcPr>
          <w:p w14:paraId="242C9985" w14:textId="77777777" w:rsidR="006A39E4" w:rsidRPr="005E69CA" w:rsidRDefault="006A39E4" w:rsidP="00815DAE">
            <w:pPr>
              <w:jc w:val="right"/>
              <w:rPr>
                <w:rFonts w:eastAsia="Malgun Gothic"/>
                <w:strike/>
                <w:color w:val="FF0000"/>
                <w:sz w:val="20"/>
              </w:rPr>
            </w:pPr>
            <w:r w:rsidRPr="005E69CA">
              <w:rPr>
                <w:strike/>
                <w:color w:val="FF0000"/>
                <w:sz w:val="20"/>
              </w:rPr>
              <w:t>26,141</w:t>
            </w:r>
          </w:p>
        </w:tc>
      </w:tr>
      <w:tr w:rsidR="006A39E4" w:rsidRPr="005E69CA" w14:paraId="666E5072" w14:textId="77777777" w:rsidTr="00815DAE">
        <w:trPr>
          <w:trHeight w:val="144"/>
        </w:trPr>
        <w:tc>
          <w:tcPr>
            <w:tcW w:w="953" w:type="pct"/>
            <w:shd w:val="clear" w:color="auto" w:fill="auto"/>
            <w:vAlign w:val="center"/>
          </w:tcPr>
          <w:p w14:paraId="4A96E7E4" w14:textId="77777777" w:rsidR="006A39E4" w:rsidRPr="005E69CA" w:rsidRDefault="006A39E4" w:rsidP="00815DAE">
            <w:pPr>
              <w:rPr>
                <w:rFonts w:eastAsia="Malgun Gothic"/>
                <w:strike/>
                <w:color w:val="FF0000"/>
                <w:sz w:val="20"/>
              </w:rPr>
            </w:pPr>
            <w:r w:rsidRPr="005E69CA">
              <w:rPr>
                <w:rFonts w:eastAsia="Malgun Gothic"/>
                <w:strike/>
                <w:color w:val="FF0000"/>
                <w:sz w:val="20"/>
              </w:rPr>
              <w:t>Suburban</w:t>
            </w:r>
          </w:p>
        </w:tc>
        <w:tc>
          <w:tcPr>
            <w:tcW w:w="712" w:type="pct"/>
            <w:shd w:val="clear" w:color="auto" w:fill="auto"/>
            <w:vAlign w:val="center"/>
          </w:tcPr>
          <w:p w14:paraId="1A4AE6C1" w14:textId="77777777" w:rsidR="006A39E4" w:rsidRPr="005E69CA" w:rsidRDefault="006A39E4" w:rsidP="00815DAE">
            <w:pPr>
              <w:jc w:val="right"/>
              <w:rPr>
                <w:rFonts w:eastAsia="Malgun Gothic"/>
                <w:strike/>
                <w:color w:val="FF0000"/>
                <w:sz w:val="20"/>
              </w:rPr>
            </w:pPr>
            <w:r w:rsidRPr="005E69CA">
              <w:rPr>
                <w:strike/>
                <w:color w:val="FF0000"/>
                <w:sz w:val="20"/>
              </w:rPr>
              <w:t>17,933</w:t>
            </w:r>
          </w:p>
        </w:tc>
        <w:tc>
          <w:tcPr>
            <w:tcW w:w="815" w:type="pct"/>
            <w:shd w:val="clear" w:color="auto" w:fill="auto"/>
            <w:vAlign w:val="center"/>
          </w:tcPr>
          <w:p w14:paraId="4683342F" w14:textId="77777777" w:rsidR="006A39E4" w:rsidRPr="005E69CA" w:rsidRDefault="006A39E4" w:rsidP="00815DAE">
            <w:pPr>
              <w:jc w:val="right"/>
              <w:rPr>
                <w:rFonts w:eastAsia="Malgun Gothic"/>
                <w:strike/>
                <w:color w:val="FF0000"/>
                <w:sz w:val="20"/>
              </w:rPr>
            </w:pPr>
            <w:r w:rsidRPr="005E69CA">
              <w:rPr>
                <w:strike/>
                <w:color w:val="FF0000"/>
                <w:sz w:val="20"/>
              </w:rPr>
              <w:t>5,136</w:t>
            </w:r>
          </w:p>
        </w:tc>
        <w:tc>
          <w:tcPr>
            <w:tcW w:w="824" w:type="pct"/>
            <w:shd w:val="clear" w:color="auto" w:fill="auto"/>
            <w:vAlign w:val="center"/>
          </w:tcPr>
          <w:p w14:paraId="3275C026" w14:textId="77777777" w:rsidR="006A39E4" w:rsidRPr="005E69CA" w:rsidRDefault="006A39E4" w:rsidP="00815DAE">
            <w:pPr>
              <w:jc w:val="right"/>
              <w:rPr>
                <w:rFonts w:eastAsia="Malgun Gothic"/>
                <w:strike/>
                <w:color w:val="FF0000"/>
                <w:sz w:val="20"/>
              </w:rPr>
            </w:pPr>
            <w:r w:rsidRPr="005E69CA">
              <w:rPr>
                <w:strike/>
                <w:color w:val="FF0000"/>
                <w:sz w:val="20"/>
              </w:rPr>
              <w:t>5,901</w:t>
            </w:r>
          </w:p>
        </w:tc>
        <w:tc>
          <w:tcPr>
            <w:tcW w:w="824" w:type="pct"/>
            <w:shd w:val="clear" w:color="auto" w:fill="auto"/>
            <w:vAlign w:val="center"/>
          </w:tcPr>
          <w:p w14:paraId="6A5939CF" w14:textId="77777777" w:rsidR="006A39E4" w:rsidRPr="005E69CA" w:rsidRDefault="006A39E4" w:rsidP="00815DAE">
            <w:pPr>
              <w:jc w:val="right"/>
              <w:rPr>
                <w:rFonts w:eastAsia="Malgun Gothic"/>
                <w:strike/>
                <w:color w:val="FF0000"/>
                <w:sz w:val="20"/>
              </w:rPr>
            </w:pPr>
            <w:r w:rsidRPr="005E69CA">
              <w:rPr>
                <w:strike/>
                <w:color w:val="FF0000"/>
                <w:sz w:val="20"/>
              </w:rPr>
              <w:t>1,220</w:t>
            </w:r>
          </w:p>
        </w:tc>
        <w:tc>
          <w:tcPr>
            <w:tcW w:w="872" w:type="pct"/>
            <w:shd w:val="clear" w:color="auto" w:fill="auto"/>
            <w:vAlign w:val="center"/>
          </w:tcPr>
          <w:p w14:paraId="7C0BA964" w14:textId="77777777" w:rsidR="006A39E4" w:rsidRPr="005E69CA" w:rsidRDefault="006A39E4" w:rsidP="00815DAE">
            <w:pPr>
              <w:jc w:val="right"/>
              <w:rPr>
                <w:rFonts w:eastAsia="Malgun Gothic"/>
                <w:strike/>
                <w:color w:val="FF0000"/>
                <w:sz w:val="20"/>
              </w:rPr>
            </w:pPr>
            <w:r w:rsidRPr="005E69CA">
              <w:rPr>
                <w:strike/>
                <w:color w:val="FF0000"/>
                <w:sz w:val="20"/>
              </w:rPr>
              <w:t>30,190</w:t>
            </w:r>
          </w:p>
        </w:tc>
      </w:tr>
      <w:tr w:rsidR="006A39E4" w:rsidRPr="005E69CA" w14:paraId="01823375" w14:textId="77777777" w:rsidTr="00815DAE">
        <w:trPr>
          <w:trHeight w:val="144"/>
        </w:trPr>
        <w:tc>
          <w:tcPr>
            <w:tcW w:w="953" w:type="pct"/>
            <w:shd w:val="clear" w:color="auto" w:fill="auto"/>
            <w:vAlign w:val="center"/>
          </w:tcPr>
          <w:p w14:paraId="31110DA4" w14:textId="77777777" w:rsidR="006A39E4" w:rsidRPr="005E69CA" w:rsidRDefault="006A39E4" w:rsidP="00815DAE">
            <w:pPr>
              <w:rPr>
                <w:rFonts w:eastAsia="Malgun Gothic"/>
                <w:strike/>
                <w:color w:val="FF0000"/>
                <w:sz w:val="20"/>
              </w:rPr>
            </w:pPr>
            <w:r w:rsidRPr="005E69CA">
              <w:rPr>
                <w:rFonts w:eastAsia="Malgun Gothic"/>
                <w:strike/>
                <w:color w:val="FF0000"/>
                <w:sz w:val="20"/>
              </w:rPr>
              <w:t>Town</w:t>
            </w:r>
          </w:p>
        </w:tc>
        <w:tc>
          <w:tcPr>
            <w:tcW w:w="712" w:type="pct"/>
            <w:shd w:val="clear" w:color="auto" w:fill="auto"/>
            <w:vAlign w:val="center"/>
          </w:tcPr>
          <w:p w14:paraId="76451974" w14:textId="77777777" w:rsidR="006A39E4" w:rsidRPr="005E69CA" w:rsidRDefault="006A39E4" w:rsidP="00815DAE">
            <w:pPr>
              <w:jc w:val="right"/>
              <w:rPr>
                <w:rFonts w:eastAsia="Malgun Gothic"/>
                <w:strike/>
                <w:color w:val="FF0000"/>
                <w:sz w:val="20"/>
              </w:rPr>
            </w:pPr>
            <w:r w:rsidRPr="005E69CA">
              <w:rPr>
                <w:strike/>
                <w:color w:val="FF0000"/>
                <w:sz w:val="20"/>
              </w:rPr>
              <w:t>6,138</w:t>
            </w:r>
          </w:p>
        </w:tc>
        <w:tc>
          <w:tcPr>
            <w:tcW w:w="815" w:type="pct"/>
            <w:shd w:val="clear" w:color="auto" w:fill="auto"/>
            <w:vAlign w:val="center"/>
          </w:tcPr>
          <w:p w14:paraId="53EE5EEA" w14:textId="77777777" w:rsidR="006A39E4" w:rsidRPr="005E69CA" w:rsidRDefault="006A39E4" w:rsidP="00815DAE">
            <w:pPr>
              <w:jc w:val="right"/>
              <w:rPr>
                <w:rFonts w:eastAsia="Malgun Gothic"/>
                <w:strike/>
                <w:color w:val="FF0000"/>
                <w:sz w:val="20"/>
              </w:rPr>
            </w:pPr>
            <w:r w:rsidRPr="005E69CA">
              <w:rPr>
                <w:strike/>
                <w:color w:val="FF0000"/>
                <w:sz w:val="20"/>
              </w:rPr>
              <w:t>2,340</w:t>
            </w:r>
          </w:p>
        </w:tc>
        <w:tc>
          <w:tcPr>
            <w:tcW w:w="824" w:type="pct"/>
            <w:shd w:val="clear" w:color="auto" w:fill="auto"/>
            <w:vAlign w:val="center"/>
          </w:tcPr>
          <w:p w14:paraId="7ABC26DF" w14:textId="77777777" w:rsidR="006A39E4" w:rsidRPr="005E69CA" w:rsidRDefault="006A39E4" w:rsidP="00815DAE">
            <w:pPr>
              <w:jc w:val="right"/>
              <w:rPr>
                <w:rFonts w:eastAsia="Malgun Gothic"/>
                <w:strike/>
                <w:color w:val="FF0000"/>
                <w:sz w:val="20"/>
              </w:rPr>
            </w:pPr>
            <w:r w:rsidRPr="005E69CA">
              <w:rPr>
                <w:strike/>
                <w:color w:val="FF0000"/>
                <w:sz w:val="20"/>
              </w:rPr>
              <w:t>3,481</w:t>
            </w:r>
          </w:p>
        </w:tc>
        <w:tc>
          <w:tcPr>
            <w:tcW w:w="824" w:type="pct"/>
            <w:shd w:val="clear" w:color="auto" w:fill="auto"/>
            <w:vAlign w:val="center"/>
          </w:tcPr>
          <w:p w14:paraId="1F2C407C" w14:textId="77777777" w:rsidR="006A39E4" w:rsidRPr="005E69CA" w:rsidRDefault="006A39E4" w:rsidP="00815DAE">
            <w:pPr>
              <w:jc w:val="right"/>
              <w:rPr>
                <w:rFonts w:eastAsia="Malgun Gothic"/>
                <w:strike/>
                <w:color w:val="FF0000"/>
                <w:sz w:val="20"/>
              </w:rPr>
            </w:pPr>
            <w:r w:rsidRPr="005E69CA">
              <w:rPr>
                <w:strike/>
                <w:color w:val="FF0000"/>
                <w:sz w:val="20"/>
              </w:rPr>
              <w:t>876</w:t>
            </w:r>
          </w:p>
        </w:tc>
        <w:tc>
          <w:tcPr>
            <w:tcW w:w="872" w:type="pct"/>
            <w:shd w:val="clear" w:color="auto" w:fill="auto"/>
            <w:vAlign w:val="center"/>
          </w:tcPr>
          <w:p w14:paraId="7FB2981B" w14:textId="77777777" w:rsidR="006A39E4" w:rsidRPr="005E69CA" w:rsidRDefault="006A39E4" w:rsidP="00815DAE">
            <w:pPr>
              <w:jc w:val="right"/>
              <w:rPr>
                <w:rFonts w:eastAsia="Malgun Gothic"/>
                <w:strike/>
                <w:color w:val="FF0000"/>
                <w:sz w:val="20"/>
              </w:rPr>
            </w:pPr>
            <w:r w:rsidRPr="005E69CA">
              <w:rPr>
                <w:strike/>
                <w:color w:val="FF0000"/>
                <w:sz w:val="20"/>
              </w:rPr>
              <w:t>12,835</w:t>
            </w:r>
          </w:p>
        </w:tc>
      </w:tr>
      <w:tr w:rsidR="006A39E4" w:rsidRPr="005E69CA" w14:paraId="4F7F75C8" w14:textId="77777777" w:rsidTr="00815DAE">
        <w:trPr>
          <w:trHeight w:val="144"/>
        </w:trPr>
        <w:tc>
          <w:tcPr>
            <w:tcW w:w="953" w:type="pct"/>
            <w:shd w:val="clear" w:color="auto" w:fill="auto"/>
            <w:vAlign w:val="center"/>
          </w:tcPr>
          <w:p w14:paraId="7AFCB57D" w14:textId="77777777" w:rsidR="006A39E4" w:rsidRPr="005E69CA" w:rsidRDefault="006A39E4" w:rsidP="00815DAE">
            <w:pPr>
              <w:rPr>
                <w:rFonts w:eastAsia="Malgun Gothic"/>
                <w:strike/>
                <w:color w:val="FF0000"/>
                <w:sz w:val="20"/>
              </w:rPr>
            </w:pPr>
            <w:r w:rsidRPr="005E69CA">
              <w:rPr>
                <w:rFonts w:eastAsia="Malgun Gothic"/>
                <w:strike/>
                <w:color w:val="FF0000"/>
                <w:sz w:val="20"/>
              </w:rPr>
              <w:t>Rural</w:t>
            </w:r>
          </w:p>
        </w:tc>
        <w:tc>
          <w:tcPr>
            <w:tcW w:w="712" w:type="pct"/>
            <w:shd w:val="clear" w:color="auto" w:fill="auto"/>
            <w:vAlign w:val="center"/>
          </w:tcPr>
          <w:p w14:paraId="4BCB8023" w14:textId="77777777" w:rsidR="006A39E4" w:rsidRPr="005E69CA" w:rsidRDefault="006A39E4" w:rsidP="00815DAE">
            <w:pPr>
              <w:jc w:val="right"/>
              <w:rPr>
                <w:rFonts w:eastAsia="Malgun Gothic"/>
                <w:strike/>
                <w:color w:val="FF0000"/>
                <w:sz w:val="20"/>
              </w:rPr>
            </w:pPr>
            <w:r w:rsidRPr="005E69CA">
              <w:rPr>
                <w:strike/>
                <w:color w:val="FF0000"/>
                <w:sz w:val="20"/>
              </w:rPr>
              <w:t>12,221</w:t>
            </w:r>
          </w:p>
        </w:tc>
        <w:tc>
          <w:tcPr>
            <w:tcW w:w="815" w:type="pct"/>
            <w:shd w:val="clear" w:color="auto" w:fill="auto"/>
            <w:vAlign w:val="center"/>
          </w:tcPr>
          <w:p w14:paraId="58FF8A2B" w14:textId="77777777" w:rsidR="006A39E4" w:rsidRPr="005E69CA" w:rsidRDefault="006A39E4" w:rsidP="00815DAE">
            <w:pPr>
              <w:jc w:val="right"/>
              <w:rPr>
                <w:rFonts w:eastAsia="Malgun Gothic"/>
                <w:strike/>
                <w:color w:val="FF0000"/>
                <w:sz w:val="20"/>
              </w:rPr>
            </w:pPr>
            <w:r w:rsidRPr="005E69CA">
              <w:rPr>
                <w:strike/>
                <w:color w:val="FF0000"/>
                <w:sz w:val="20"/>
              </w:rPr>
              <w:t>3,189</w:t>
            </w:r>
          </w:p>
        </w:tc>
        <w:tc>
          <w:tcPr>
            <w:tcW w:w="824" w:type="pct"/>
            <w:shd w:val="clear" w:color="auto" w:fill="auto"/>
            <w:vAlign w:val="center"/>
          </w:tcPr>
          <w:p w14:paraId="5E646A16" w14:textId="77777777" w:rsidR="006A39E4" w:rsidRPr="005E69CA" w:rsidRDefault="006A39E4" w:rsidP="00815DAE">
            <w:pPr>
              <w:jc w:val="right"/>
              <w:rPr>
                <w:rFonts w:eastAsia="Malgun Gothic"/>
                <w:strike/>
                <w:color w:val="FF0000"/>
                <w:sz w:val="20"/>
              </w:rPr>
            </w:pPr>
            <w:r w:rsidRPr="005E69CA">
              <w:rPr>
                <w:strike/>
                <w:color w:val="FF0000"/>
                <w:sz w:val="20"/>
              </w:rPr>
              <w:t>6,014</w:t>
            </w:r>
          </w:p>
        </w:tc>
        <w:tc>
          <w:tcPr>
            <w:tcW w:w="824" w:type="pct"/>
            <w:shd w:val="clear" w:color="auto" w:fill="auto"/>
            <w:vAlign w:val="center"/>
          </w:tcPr>
          <w:p w14:paraId="4D46BF5C" w14:textId="77777777" w:rsidR="006A39E4" w:rsidRPr="005E69CA" w:rsidRDefault="006A39E4" w:rsidP="00815DAE">
            <w:pPr>
              <w:jc w:val="right"/>
              <w:rPr>
                <w:rFonts w:eastAsia="Malgun Gothic"/>
                <w:strike/>
                <w:color w:val="FF0000"/>
                <w:sz w:val="20"/>
              </w:rPr>
            </w:pPr>
            <w:r w:rsidRPr="005E69CA">
              <w:rPr>
                <w:strike/>
                <w:color w:val="FF0000"/>
                <w:sz w:val="20"/>
              </w:rPr>
              <w:t>3,538</w:t>
            </w:r>
          </w:p>
        </w:tc>
        <w:tc>
          <w:tcPr>
            <w:tcW w:w="872" w:type="pct"/>
            <w:shd w:val="clear" w:color="auto" w:fill="auto"/>
            <w:vAlign w:val="center"/>
          </w:tcPr>
          <w:p w14:paraId="2E27FF72" w14:textId="77777777" w:rsidR="006A39E4" w:rsidRPr="005E69CA" w:rsidRDefault="006A39E4" w:rsidP="00815DAE">
            <w:pPr>
              <w:jc w:val="right"/>
              <w:rPr>
                <w:rFonts w:eastAsia="Malgun Gothic"/>
                <w:strike/>
                <w:color w:val="FF0000"/>
                <w:sz w:val="20"/>
              </w:rPr>
            </w:pPr>
            <w:r w:rsidRPr="005E69CA">
              <w:rPr>
                <w:strike/>
                <w:color w:val="FF0000"/>
                <w:sz w:val="20"/>
              </w:rPr>
              <w:t>24,962</w:t>
            </w:r>
          </w:p>
        </w:tc>
      </w:tr>
      <w:tr w:rsidR="006A39E4" w:rsidRPr="005E69CA" w14:paraId="5BC48CF5" w14:textId="77777777" w:rsidTr="00815DAE">
        <w:trPr>
          <w:trHeight w:val="144"/>
        </w:trPr>
        <w:tc>
          <w:tcPr>
            <w:tcW w:w="953" w:type="pct"/>
            <w:shd w:val="clear" w:color="auto" w:fill="auto"/>
            <w:vAlign w:val="center"/>
          </w:tcPr>
          <w:p w14:paraId="67D64A6D" w14:textId="77777777" w:rsidR="006A39E4" w:rsidRPr="005E69CA" w:rsidRDefault="006A39E4" w:rsidP="00815DAE">
            <w:pPr>
              <w:rPr>
                <w:rFonts w:eastAsia="Malgun Gothic"/>
                <w:b/>
                <w:strike/>
                <w:color w:val="FF0000"/>
                <w:sz w:val="20"/>
              </w:rPr>
            </w:pPr>
            <w:r w:rsidRPr="005E69CA">
              <w:rPr>
                <w:rFonts w:eastAsia="Malgun Gothic"/>
                <w:b/>
                <w:strike/>
                <w:color w:val="FF0000"/>
                <w:sz w:val="20"/>
              </w:rPr>
              <w:t>Total</w:t>
            </w:r>
          </w:p>
        </w:tc>
        <w:tc>
          <w:tcPr>
            <w:tcW w:w="712" w:type="pct"/>
            <w:shd w:val="clear" w:color="auto" w:fill="auto"/>
            <w:vAlign w:val="center"/>
          </w:tcPr>
          <w:p w14:paraId="22F23076" w14:textId="77777777" w:rsidR="006A39E4" w:rsidRPr="005E69CA" w:rsidRDefault="006A39E4" w:rsidP="00815DAE">
            <w:pPr>
              <w:jc w:val="right"/>
              <w:rPr>
                <w:rFonts w:eastAsia="Malgun Gothic"/>
                <w:b/>
                <w:strike/>
                <w:color w:val="FF0000"/>
                <w:sz w:val="20"/>
              </w:rPr>
            </w:pPr>
            <w:r w:rsidRPr="005E69CA">
              <w:rPr>
                <w:b/>
                <w:strike/>
                <w:color w:val="FF0000"/>
                <w:sz w:val="20"/>
              </w:rPr>
              <w:t>51,600</w:t>
            </w:r>
          </w:p>
        </w:tc>
        <w:tc>
          <w:tcPr>
            <w:tcW w:w="815" w:type="pct"/>
            <w:shd w:val="clear" w:color="auto" w:fill="auto"/>
            <w:vAlign w:val="center"/>
          </w:tcPr>
          <w:p w14:paraId="4039D1D2" w14:textId="77777777" w:rsidR="006A39E4" w:rsidRPr="005E69CA" w:rsidRDefault="006A39E4" w:rsidP="00815DAE">
            <w:pPr>
              <w:jc w:val="right"/>
              <w:rPr>
                <w:rFonts w:eastAsia="Malgun Gothic"/>
                <w:b/>
                <w:strike/>
                <w:color w:val="FF0000"/>
                <w:sz w:val="20"/>
              </w:rPr>
            </w:pPr>
            <w:r w:rsidRPr="005E69CA">
              <w:rPr>
                <w:b/>
                <w:strike/>
                <w:color w:val="FF0000"/>
                <w:sz w:val="20"/>
              </w:rPr>
              <w:t>14,364</w:t>
            </w:r>
          </w:p>
        </w:tc>
        <w:tc>
          <w:tcPr>
            <w:tcW w:w="824" w:type="pct"/>
            <w:shd w:val="clear" w:color="auto" w:fill="auto"/>
            <w:vAlign w:val="center"/>
          </w:tcPr>
          <w:p w14:paraId="05332C8D" w14:textId="77777777" w:rsidR="006A39E4" w:rsidRPr="005E69CA" w:rsidRDefault="006A39E4" w:rsidP="00815DAE">
            <w:pPr>
              <w:jc w:val="right"/>
              <w:rPr>
                <w:rFonts w:eastAsia="Malgun Gothic"/>
                <w:b/>
                <w:strike/>
                <w:color w:val="FF0000"/>
                <w:sz w:val="20"/>
              </w:rPr>
            </w:pPr>
            <w:r w:rsidRPr="005E69CA">
              <w:rPr>
                <w:b/>
                <w:strike/>
                <w:color w:val="FF0000"/>
                <w:sz w:val="20"/>
              </w:rPr>
              <w:t>20,803</w:t>
            </w:r>
          </w:p>
        </w:tc>
        <w:tc>
          <w:tcPr>
            <w:tcW w:w="824" w:type="pct"/>
            <w:shd w:val="clear" w:color="auto" w:fill="auto"/>
            <w:vAlign w:val="center"/>
          </w:tcPr>
          <w:p w14:paraId="1740C6BC" w14:textId="77777777" w:rsidR="006A39E4" w:rsidRPr="005E69CA" w:rsidRDefault="006A39E4" w:rsidP="00815DAE">
            <w:pPr>
              <w:jc w:val="right"/>
              <w:rPr>
                <w:rFonts w:eastAsia="Malgun Gothic"/>
                <w:b/>
                <w:strike/>
                <w:color w:val="FF0000"/>
                <w:sz w:val="20"/>
              </w:rPr>
            </w:pPr>
            <w:r w:rsidRPr="005E69CA">
              <w:rPr>
                <w:b/>
                <w:strike/>
                <w:color w:val="FF0000"/>
                <w:sz w:val="20"/>
              </w:rPr>
              <w:t>7,361</w:t>
            </w:r>
          </w:p>
        </w:tc>
        <w:tc>
          <w:tcPr>
            <w:tcW w:w="872" w:type="pct"/>
            <w:shd w:val="clear" w:color="auto" w:fill="auto"/>
            <w:vAlign w:val="center"/>
          </w:tcPr>
          <w:p w14:paraId="2B14E5E7" w14:textId="77777777" w:rsidR="006A39E4" w:rsidRPr="005E69CA" w:rsidRDefault="006A39E4" w:rsidP="00815DAE">
            <w:pPr>
              <w:jc w:val="right"/>
              <w:rPr>
                <w:rFonts w:eastAsia="Malgun Gothic"/>
                <w:b/>
                <w:strike/>
                <w:color w:val="FF0000"/>
                <w:sz w:val="20"/>
              </w:rPr>
            </w:pPr>
            <w:r w:rsidRPr="005E69CA">
              <w:rPr>
                <w:b/>
                <w:strike/>
                <w:color w:val="FF0000"/>
                <w:sz w:val="20"/>
              </w:rPr>
              <w:t>94,128</w:t>
            </w:r>
          </w:p>
        </w:tc>
      </w:tr>
    </w:tbl>
    <w:p w14:paraId="1E607C21" w14:textId="77777777" w:rsidR="006A39E4" w:rsidRPr="005E69CA" w:rsidRDefault="006A39E4" w:rsidP="006A39E4">
      <w:pPr>
        <w:spacing w:after="200"/>
        <w:rPr>
          <w:rFonts w:eastAsia="Malgun Gothic"/>
          <w:strike/>
          <w:color w:val="FF0000"/>
          <w:sz w:val="18"/>
          <w:szCs w:val="18"/>
        </w:rPr>
      </w:pPr>
      <w:r w:rsidRPr="005E69CA">
        <w:rPr>
          <w:rFonts w:eastAsia="Malgun Gothic"/>
          <w:strike/>
          <w:color w:val="FF0000"/>
          <w:sz w:val="18"/>
          <w:szCs w:val="18"/>
        </w:rPr>
        <w:t>SOURCE: 2017-18 NTPS; 2014-15 CCD.</w:t>
      </w:r>
    </w:p>
    <w:p w14:paraId="7686D1C1" w14:textId="77777777" w:rsidR="006A39E4" w:rsidRPr="005E69CA" w:rsidRDefault="006A39E4" w:rsidP="006A39E4">
      <w:pPr>
        <w:widowControl w:val="0"/>
        <w:rPr>
          <w:rFonts w:eastAsia="Calibri"/>
          <w:b/>
          <w:bCs/>
          <w:color w:val="FF0000"/>
        </w:rPr>
      </w:pPr>
      <w:r w:rsidRPr="005E69CA">
        <w:rPr>
          <w:rFonts w:eastAsia="Calibri"/>
          <w:b/>
          <w:bCs/>
          <w:color w:val="FF0000"/>
        </w:rPr>
        <w:t>Table 1.</w:t>
      </w:r>
      <w:r w:rsidRPr="005E69CA">
        <w:rPr>
          <w:rFonts w:eastAsia="Calibri"/>
          <w:b/>
          <w:bCs/>
          <w:color w:val="FF0000"/>
        </w:rPr>
        <w:tab/>
        <w:t>Respondent universe by school level and urbanicity for the proposed public school sample, based on the 2017-18 Common Core of Data (CCD)</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6"/>
        <w:gridCol w:w="1489"/>
        <w:gridCol w:w="1710"/>
        <w:gridCol w:w="1727"/>
        <w:gridCol w:w="1727"/>
        <w:gridCol w:w="1893"/>
      </w:tblGrid>
      <w:tr w:rsidR="006A39E4" w:rsidRPr="005E69CA" w14:paraId="39F00542" w14:textId="77777777" w:rsidTr="00FC2405">
        <w:trPr>
          <w:trHeight w:val="135"/>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bottom"/>
            <w:hideMark/>
          </w:tcPr>
          <w:p w14:paraId="2D29DC2A" w14:textId="77777777" w:rsidR="006A39E4" w:rsidRPr="00FC2405" w:rsidRDefault="006A39E4" w:rsidP="00815DAE">
            <w:pPr>
              <w:jc w:val="center"/>
              <w:textAlignment w:val="baseline"/>
              <w:rPr>
                <w:color w:val="FF0000"/>
                <w:sz w:val="20"/>
                <w:szCs w:val="20"/>
                <w:vertAlign w:val="superscript"/>
              </w:rPr>
            </w:pPr>
            <w:r w:rsidRPr="00FC2405">
              <w:rPr>
                <w:b/>
                <w:bCs/>
                <w:color w:val="FF0000"/>
                <w:sz w:val="20"/>
                <w:szCs w:val="20"/>
              </w:rPr>
              <w:t>School level</w:t>
            </w:r>
            <w:r w:rsidRPr="00FC2405">
              <w:rPr>
                <w:b/>
                <w:bCs/>
                <w:color w:val="FF0000"/>
                <w:sz w:val="20"/>
                <w:szCs w:val="20"/>
                <w:vertAlign w:val="superscript"/>
              </w:rPr>
              <w:t>2</w:t>
            </w:r>
          </w:p>
        </w:tc>
      </w:tr>
      <w:tr w:rsidR="006A39E4" w:rsidRPr="005E69CA" w14:paraId="69BB919B" w14:textId="77777777" w:rsidTr="00FC2405">
        <w:trPr>
          <w:trHeight w:val="135"/>
        </w:trPr>
        <w:tc>
          <w:tcPr>
            <w:tcW w:w="947" w:type="pct"/>
            <w:tcBorders>
              <w:top w:val="nil"/>
              <w:left w:val="single" w:sz="6" w:space="0" w:color="auto"/>
              <w:bottom w:val="single" w:sz="6" w:space="0" w:color="auto"/>
              <w:right w:val="single" w:sz="6" w:space="0" w:color="auto"/>
            </w:tcBorders>
            <w:shd w:val="clear" w:color="auto" w:fill="auto"/>
            <w:vAlign w:val="bottom"/>
            <w:hideMark/>
          </w:tcPr>
          <w:p w14:paraId="48069230" w14:textId="77777777" w:rsidR="006A39E4" w:rsidRPr="00FC2405" w:rsidRDefault="006A39E4" w:rsidP="00815DAE">
            <w:pPr>
              <w:textAlignment w:val="baseline"/>
              <w:rPr>
                <w:color w:val="FF0000"/>
                <w:sz w:val="20"/>
                <w:szCs w:val="20"/>
              </w:rPr>
            </w:pPr>
            <w:r w:rsidRPr="00FC2405">
              <w:rPr>
                <w:b/>
                <w:bCs/>
                <w:color w:val="FF0000"/>
                <w:sz w:val="20"/>
                <w:szCs w:val="20"/>
              </w:rPr>
              <w:t>Region</w:t>
            </w:r>
            <w:r w:rsidRPr="00FC2405">
              <w:rPr>
                <w:color w:val="FF0000"/>
                <w:sz w:val="20"/>
                <w:szCs w:val="20"/>
              </w:rPr>
              <w:t> </w:t>
            </w:r>
          </w:p>
        </w:tc>
        <w:tc>
          <w:tcPr>
            <w:tcW w:w="706" w:type="pct"/>
            <w:tcBorders>
              <w:top w:val="nil"/>
              <w:left w:val="nil"/>
              <w:bottom w:val="single" w:sz="6" w:space="0" w:color="auto"/>
              <w:right w:val="single" w:sz="6" w:space="0" w:color="auto"/>
            </w:tcBorders>
            <w:shd w:val="clear" w:color="auto" w:fill="auto"/>
            <w:vAlign w:val="bottom"/>
            <w:hideMark/>
          </w:tcPr>
          <w:p w14:paraId="3F2313C7" w14:textId="77777777" w:rsidR="006A39E4" w:rsidRPr="00FC2405" w:rsidRDefault="006A39E4" w:rsidP="00815DAE">
            <w:pPr>
              <w:jc w:val="center"/>
              <w:textAlignment w:val="baseline"/>
              <w:rPr>
                <w:color w:val="FF0000"/>
                <w:sz w:val="20"/>
                <w:szCs w:val="20"/>
              </w:rPr>
            </w:pPr>
            <w:r w:rsidRPr="00FC2405">
              <w:rPr>
                <w:b/>
                <w:bCs/>
                <w:color w:val="FF0000"/>
                <w:sz w:val="20"/>
                <w:szCs w:val="20"/>
              </w:rPr>
              <w:t>Primary</w:t>
            </w:r>
            <w:r w:rsidRPr="00FC2405">
              <w:rPr>
                <w:color w:val="FF0000"/>
                <w:sz w:val="20"/>
                <w:szCs w:val="20"/>
              </w:rPr>
              <w:t> </w:t>
            </w:r>
          </w:p>
        </w:tc>
        <w:tc>
          <w:tcPr>
            <w:tcW w:w="811" w:type="pct"/>
            <w:tcBorders>
              <w:top w:val="nil"/>
              <w:left w:val="nil"/>
              <w:bottom w:val="single" w:sz="6" w:space="0" w:color="auto"/>
              <w:right w:val="single" w:sz="6" w:space="0" w:color="auto"/>
            </w:tcBorders>
            <w:shd w:val="clear" w:color="auto" w:fill="auto"/>
            <w:vAlign w:val="bottom"/>
            <w:hideMark/>
          </w:tcPr>
          <w:p w14:paraId="3FBA990D" w14:textId="77777777" w:rsidR="006A39E4" w:rsidRPr="00FC2405" w:rsidRDefault="006A39E4" w:rsidP="00815DAE">
            <w:pPr>
              <w:jc w:val="center"/>
              <w:textAlignment w:val="baseline"/>
              <w:rPr>
                <w:color w:val="FF0000"/>
                <w:sz w:val="20"/>
                <w:szCs w:val="20"/>
              </w:rPr>
            </w:pPr>
            <w:r w:rsidRPr="00FC2405">
              <w:rPr>
                <w:b/>
                <w:bCs/>
                <w:color w:val="FF0000"/>
                <w:sz w:val="20"/>
                <w:szCs w:val="20"/>
              </w:rPr>
              <w:t>Middle</w:t>
            </w:r>
            <w:r w:rsidRPr="00FC2405">
              <w:rPr>
                <w:color w:val="FF0000"/>
                <w:sz w:val="20"/>
                <w:szCs w:val="20"/>
              </w:rPr>
              <w:t> </w:t>
            </w:r>
          </w:p>
        </w:tc>
        <w:tc>
          <w:tcPr>
            <w:tcW w:w="819" w:type="pct"/>
            <w:tcBorders>
              <w:top w:val="nil"/>
              <w:left w:val="nil"/>
              <w:bottom w:val="single" w:sz="6" w:space="0" w:color="auto"/>
              <w:right w:val="single" w:sz="6" w:space="0" w:color="auto"/>
            </w:tcBorders>
            <w:shd w:val="clear" w:color="auto" w:fill="auto"/>
            <w:vAlign w:val="bottom"/>
            <w:hideMark/>
          </w:tcPr>
          <w:p w14:paraId="748E66CE" w14:textId="77777777" w:rsidR="006A39E4" w:rsidRPr="00FC2405" w:rsidRDefault="006A39E4" w:rsidP="00815DAE">
            <w:pPr>
              <w:jc w:val="center"/>
              <w:textAlignment w:val="baseline"/>
              <w:rPr>
                <w:color w:val="FF0000"/>
                <w:sz w:val="20"/>
                <w:szCs w:val="20"/>
              </w:rPr>
            </w:pPr>
            <w:r w:rsidRPr="00FC2405">
              <w:rPr>
                <w:b/>
                <w:bCs/>
                <w:color w:val="FF0000"/>
                <w:sz w:val="20"/>
                <w:szCs w:val="20"/>
              </w:rPr>
              <w:t>High</w:t>
            </w:r>
            <w:r w:rsidRPr="00FC2405">
              <w:rPr>
                <w:color w:val="FF0000"/>
                <w:sz w:val="20"/>
                <w:szCs w:val="20"/>
              </w:rPr>
              <w:t> </w:t>
            </w:r>
          </w:p>
        </w:tc>
        <w:tc>
          <w:tcPr>
            <w:tcW w:w="819" w:type="pct"/>
            <w:tcBorders>
              <w:top w:val="nil"/>
              <w:left w:val="nil"/>
              <w:bottom w:val="single" w:sz="6" w:space="0" w:color="auto"/>
              <w:right w:val="single" w:sz="6" w:space="0" w:color="auto"/>
            </w:tcBorders>
            <w:shd w:val="clear" w:color="auto" w:fill="auto"/>
            <w:vAlign w:val="bottom"/>
            <w:hideMark/>
          </w:tcPr>
          <w:p w14:paraId="160AD9EF" w14:textId="77777777" w:rsidR="006A39E4" w:rsidRPr="00FC2405" w:rsidRDefault="006A39E4" w:rsidP="00815DAE">
            <w:pPr>
              <w:jc w:val="center"/>
              <w:textAlignment w:val="baseline"/>
              <w:rPr>
                <w:color w:val="FF0000"/>
                <w:sz w:val="20"/>
                <w:szCs w:val="20"/>
              </w:rPr>
            </w:pPr>
            <w:r w:rsidRPr="00FC2405">
              <w:rPr>
                <w:b/>
                <w:bCs/>
                <w:color w:val="FF0000"/>
                <w:sz w:val="20"/>
                <w:szCs w:val="20"/>
              </w:rPr>
              <w:t>Combined</w:t>
            </w:r>
            <w:r w:rsidRPr="00FC2405">
              <w:rPr>
                <w:color w:val="FF0000"/>
                <w:sz w:val="20"/>
                <w:szCs w:val="20"/>
              </w:rPr>
              <w:t> </w:t>
            </w:r>
          </w:p>
        </w:tc>
        <w:tc>
          <w:tcPr>
            <w:tcW w:w="899" w:type="pct"/>
            <w:tcBorders>
              <w:top w:val="nil"/>
              <w:left w:val="nil"/>
              <w:bottom w:val="single" w:sz="6" w:space="0" w:color="auto"/>
              <w:right w:val="single" w:sz="6" w:space="0" w:color="auto"/>
            </w:tcBorders>
            <w:shd w:val="clear" w:color="auto" w:fill="auto"/>
            <w:vAlign w:val="bottom"/>
            <w:hideMark/>
          </w:tcPr>
          <w:p w14:paraId="39576B49" w14:textId="77777777" w:rsidR="006A39E4" w:rsidRPr="00FC2405" w:rsidRDefault="006A39E4" w:rsidP="00815DAE">
            <w:pPr>
              <w:jc w:val="center"/>
              <w:textAlignment w:val="baseline"/>
              <w:rPr>
                <w:color w:val="FF0000"/>
                <w:sz w:val="20"/>
                <w:szCs w:val="20"/>
              </w:rPr>
            </w:pPr>
            <w:r w:rsidRPr="00FC2405">
              <w:rPr>
                <w:b/>
                <w:bCs/>
                <w:color w:val="FF0000"/>
                <w:sz w:val="20"/>
                <w:szCs w:val="20"/>
              </w:rPr>
              <w:t>Total</w:t>
            </w:r>
            <w:r w:rsidRPr="00FC2405">
              <w:rPr>
                <w:color w:val="FF0000"/>
                <w:sz w:val="20"/>
                <w:szCs w:val="20"/>
              </w:rPr>
              <w:t> </w:t>
            </w:r>
          </w:p>
        </w:tc>
      </w:tr>
      <w:tr w:rsidR="006A39E4" w:rsidRPr="005E69CA" w14:paraId="4F449E9A" w14:textId="77777777" w:rsidTr="00FC2405">
        <w:trPr>
          <w:trHeight w:val="135"/>
        </w:trPr>
        <w:tc>
          <w:tcPr>
            <w:tcW w:w="947" w:type="pct"/>
            <w:tcBorders>
              <w:top w:val="nil"/>
              <w:left w:val="single" w:sz="6" w:space="0" w:color="auto"/>
              <w:bottom w:val="single" w:sz="6" w:space="0" w:color="auto"/>
              <w:right w:val="single" w:sz="6" w:space="0" w:color="auto"/>
            </w:tcBorders>
            <w:shd w:val="clear" w:color="auto" w:fill="auto"/>
            <w:vAlign w:val="bottom"/>
            <w:hideMark/>
          </w:tcPr>
          <w:p w14:paraId="5BCDC917" w14:textId="77777777" w:rsidR="006A39E4" w:rsidRPr="00FC2405" w:rsidRDefault="006A39E4" w:rsidP="00815DAE">
            <w:pPr>
              <w:textAlignment w:val="baseline"/>
              <w:rPr>
                <w:color w:val="FF0000"/>
                <w:sz w:val="20"/>
                <w:szCs w:val="20"/>
              </w:rPr>
            </w:pPr>
            <w:r w:rsidRPr="00FC2405">
              <w:rPr>
                <w:color w:val="FF0000"/>
                <w:sz w:val="20"/>
                <w:szCs w:val="20"/>
              </w:rPr>
              <w:t>Central City </w:t>
            </w:r>
          </w:p>
        </w:tc>
        <w:tc>
          <w:tcPr>
            <w:tcW w:w="706" w:type="pct"/>
            <w:tcBorders>
              <w:top w:val="nil"/>
              <w:left w:val="nil"/>
              <w:bottom w:val="single" w:sz="6" w:space="0" w:color="auto"/>
              <w:right w:val="single" w:sz="6" w:space="0" w:color="auto"/>
            </w:tcBorders>
            <w:shd w:val="clear" w:color="auto" w:fill="auto"/>
            <w:vAlign w:val="center"/>
            <w:hideMark/>
          </w:tcPr>
          <w:p w14:paraId="00A852C6" w14:textId="77777777" w:rsidR="006A39E4" w:rsidRPr="00FC2405" w:rsidRDefault="006A39E4" w:rsidP="00815DAE">
            <w:pPr>
              <w:jc w:val="right"/>
              <w:textAlignment w:val="baseline"/>
              <w:rPr>
                <w:color w:val="FF0000"/>
                <w:sz w:val="20"/>
                <w:szCs w:val="20"/>
              </w:rPr>
            </w:pPr>
            <w:r w:rsidRPr="00FC2405">
              <w:rPr>
                <w:color w:val="FF0000"/>
                <w:sz w:val="20"/>
                <w:szCs w:val="20"/>
              </w:rPr>
              <w:t>15,265 </w:t>
            </w:r>
          </w:p>
        </w:tc>
        <w:tc>
          <w:tcPr>
            <w:tcW w:w="811" w:type="pct"/>
            <w:tcBorders>
              <w:top w:val="nil"/>
              <w:left w:val="nil"/>
              <w:bottom w:val="single" w:sz="6" w:space="0" w:color="auto"/>
              <w:right w:val="single" w:sz="6" w:space="0" w:color="auto"/>
            </w:tcBorders>
            <w:shd w:val="clear" w:color="auto" w:fill="auto"/>
            <w:vAlign w:val="center"/>
            <w:hideMark/>
          </w:tcPr>
          <w:p w14:paraId="547C1A1E" w14:textId="77777777" w:rsidR="006A39E4" w:rsidRPr="00FC2405" w:rsidRDefault="006A39E4" w:rsidP="00815DAE">
            <w:pPr>
              <w:jc w:val="right"/>
              <w:textAlignment w:val="baseline"/>
              <w:rPr>
                <w:color w:val="FF0000"/>
                <w:sz w:val="20"/>
                <w:szCs w:val="20"/>
              </w:rPr>
            </w:pPr>
            <w:r w:rsidRPr="00FC2405">
              <w:rPr>
                <w:color w:val="FF0000"/>
                <w:sz w:val="20"/>
                <w:szCs w:val="20"/>
              </w:rPr>
              <w:t>3,853 </w:t>
            </w:r>
          </w:p>
        </w:tc>
        <w:tc>
          <w:tcPr>
            <w:tcW w:w="819" w:type="pct"/>
            <w:tcBorders>
              <w:top w:val="nil"/>
              <w:left w:val="nil"/>
              <w:bottom w:val="single" w:sz="6" w:space="0" w:color="auto"/>
              <w:right w:val="single" w:sz="6" w:space="0" w:color="auto"/>
            </w:tcBorders>
            <w:shd w:val="clear" w:color="auto" w:fill="auto"/>
            <w:vAlign w:val="center"/>
            <w:hideMark/>
          </w:tcPr>
          <w:p w14:paraId="3802E6D6" w14:textId="77777777" w:rsidR="006A39E4" w:rsidRPr="00FC2405" w:rsidRDefault="006A39E4" w:rsidP="00815DAE">
            <w:pPr>
              <w:jc w:val="right"/>
              <w:textAlignment w:val="baseline"/>
              <w:rPr>
                <w:color w:val="FF0000"/>
                <w:sz w:val="20"/>
                <w:szCs w:val="20"/>
              </w:rPr>
            </w:pPr>
            <w:r w:rsidRPr="00FC2405">
              <w:rPr>
                <w:color w:val="FF0000"/>
                <w:sz w:val="20"/>
                <w:szCs w:val="20"/>
              </w:rPr>
              <w:t>5,998 </w:t>
            </w:r>
          </w:p>
        </w:tc>
        <w:tc>
          <w:tcPr>
            <w:tcW w:w="819" w:type="pct"/>
            <w:tcBorders>
              <w:top w:val="nil"/>
              <w:left w:val="nil"/>
              <w:bottom w:val="single" w:sz="6" w:space="0" w:color="auto"/>
              <w:right w:val="single" w:sz="6" w:space="0" w:color="auto"/>
            </w:tcBorders>
            <w:shd w:val="clear" w:color="auto" w:fill="auto"/>
            <w:vAlign w:val="center"/>
            <w:hideMark/>
          </w:tcPr>
          <w:p w14:paraId="625E814C" w14:textId="77777777" w:rsidR="006A39E4" w:rsidRPr="00FC2405" w:rsidRDefault="006A39E4" w:rsidP="00815DAE">
            <w:pPr>
              <w:jc w:val="right"/>
              <w:textAlignment w:val="baseline"/>
              <w:rPr>
                <w:color w:val="FF0000"/>
                <w:sz w:val="20"/>
                <w:szCs w:val="20"/>
              </w:rPr>
            </w:pPr>
            <w:r w:rsidRPr="00FC2405">
              <w:rPr>
                <w:color w:val="FF0000"/>
                <w:sz w:val="20"/>
                <w:szCs w:val="20"/>
              </w:rPr>
              <w:t>948 </w:t>
            </w:r>
          </w:p>
        </w:tc>
        <w:tc>
          <w:tcPr>
            <w:tcW w:w="899" w:type="pct"/>
            <w:tcBorders>
              <w:top w:val="nil"/>
              <w:left w:val="nil"/>
              <w:bottom w:val="single" w:sz="6" w:space="0" w:color="auto"/>
              <w:right w:val="single" w:sz="6" w:space="0" w:color="auto"/>
            </w:tcBorders>
            <w:shd w:val="clear" w:color="auto" w:fill="auto"/>
            <w:vAlign w:val="bottom"/>
            <w:hideMark/>
          </w:tcPr>
          <w:p w14:paraId="5E932D7B" w14:textId="77777777" w:rsidR="006A39E4" w:rsidRPr="00FC2405" w:rsidRDefault="006A39E4" w:rsidP="00815DAE">
            <w:pPr>
              <w:jc w:val="right"/>
              <w:textAlignment w:val="baseline"/>
              <w:rPr>
                <w:color w:val="FF0000"/>
                <w:sz w:val="20"/>
                <w:szCs w:val="20"/>
              </w:rPr>
            </w:pPr>
            <w:r w:rsidRPr="00FC2405">
              <w:rPr>
                <w:color w:val="FF0000"/>
                <w:sz w:val="20"/>
                <w:szCs w:val="20"/>
              </w:rPr>
              <w:t>26,064 </w:t>
            </w:r>
          </w:p>
        </w:tc>
      </w:tr>
      <w:tr w:rsidR="006A39E4" w:rsidRPr="005E69CA" w14:paraId="52094F58" w14:textId="77777777" w:rsidTr="00FC2405">
        <w:trPr>
          <w:trHeight w:val="135"/>
        </w:trPr>
        <w:tc>
          <w:tcPr>
            <w:tcW w:w="947" w:type="pct"/>
            <w:tcBorders>
              <w:top w:val="nil"/>
              <w:left w:val="single" w:sz="6" w:space="0" w:color="auto"/>
              <w:bottom w:val="single" w:sz="6" w:space="0" w:color="auto"/>
              <w:right w:val="single" w:sz="6" w:space="0" w:color="auto"/>
            </w:tcBorders>
            <w:shd w:val="clear" w:color="auto" w:fill="auto"/>
            <w:hideMark/>
          </w:tcPr>
          <w:p w14:paraId="16854866" w14:textId="77777777" w:rsidR="006A39E4" w:rsidRPr="00FC2405" w:rsidRDefault="006A39E4" w:rsidP="00815DAE">
            <w:pPr>
              <w:textAlignment w:val="baseline"/>
              <w:rPr>
                <w:color w:val="FF0000"/>
                <w:sz w:val="20"/>
                <w:szCs w:val="20"/>
              </w:rPr>
            </w:pPr>
            <w:r w:rsidRPr="00FC2405">
              <w:rPr>
                <w:color w:val="FF0000"/>
                <w:sz w:val="20"/>
                <w:szCs w:val="20"/>
              </w:rPr>
              <w:t>Suburban </w:t>
            </w:r>
          </w:p>
        </w:tc>
        <w:tc>
          <w:tcPr>
            <w:tcW w:w="706" w:type="pct"/>
            <w:tcBorders>
              <w:top w:val="nil"/>
              <w:left w:val="nil"/>
              <w:bottom w:val="single" w:sz="6" w:space="0" w:color="auto"/>
              <w:right w:val="single" w:sz="6" w:space="0" w:color="auto"/>
            </w:tcBorders>
            <w:shd w:val="clear" w:color="auto" w:fill="auto"/>
            <w:vAlign w:val="center"/>
            <w:hideMark/>
          </w:tcPr>
          <w:p w14:paraId="12372B5A" w14:textId="77777777" w:rsidR="006A39E4" w:rsidRPr="00FC2405" w:rsidRDefault="006A39E4" w:rsidP="00815DAE">
            <w:pPr>
              <w:jc w:val="right"/>
              <w:textAlignment w:val="baseline"/>
              <w:rPr>
                <w:color w:val="FF0000"/>
                <w:sz w:val="20"/>
                <w:szCs w:val="20"/>
              </w:rPr>
            </w:pPr>
            <w:r w:rsidRPr="00FC2405">
              <w:rPr>
                <w:color w:val="FF0000"/>
                <w:sz w:val="20"/>
                <w:szCs w:val="20"/>
              </w:rPr>
              <w:t>17,742 </w:t>
            </w:r>
          </w:p>
        </w:tc>
        <w:tc>
          <w:tcPr>
            <w:tcW w:w="811" w:type="pct"/>
            <w:tcBorders>
              <w:top w:val="nil"/>
              <w:left w:val="nil"/>
              <w:bottom w:val="single" w:sz="6" w:space="0" w:color="auto"/>
              <w:right w:val="single" w:sz="6" w:space="0" w:color="auto"/>
            </w:tcBorders>
            <w:shd w:val="clear" w:color="auto" w:fill="auto"/>
            <w:vAlign w:val="center"/>
            <w:hideMark/>
          </w:tcPr>
          <w:p w14:paraId="6986DB4F" w14:textId="77777777" w:rsidR="006A39E4" w:rsidRPr="00FC2405" w:rsidRDefault="006A39E4" w:rsidP="00815DAE">
            <w:pPr>
              <w:jc w:val="right"/>
              <w:textAlignment w:val="baseline"/>
              <w:rPr>
                <w:color w:val="FF0000"/>
                <w:sz w:val="20"/>
                <w:szCs w:val="20"/>
              </w:rPr>
            </w:pPr>
            <w:r w:rsidRPr="00FC2405">
              <w:rPr>
                <w:color w:val="FF0000"/>
                <w:sz w:val="20"/>
                <w:szCs w:val="20"/>
              </w:rPr>
              <w:t>5,495 </w:t>
            </w:r>
          </w:p>
        </w:tc>
        <w:tc>
          <w:tcPr>
            <w:tcW w:w="819" w:type="pct"/>
            <w:tcBorders>
              <w:top w:val="nil"/>
              <w:left w:val="nil"/>
              <w:bottom w:val="single" w:sz="6" w:space="0" w:color="auto"/>
              <w:right w:val="single" w:sz="6" w:space="0" w:color="auto"/>
            </w:tcBorders>
            <w:shd w:val="clear" w:color="auto" w:fill="auto"/>
            <w:vAlign w:val="center"/>
            <w:hideMark/>
          </w:tcPr>
          <w:p w14:paraId="759847B4" w14:textId="77777777" w:rsidR="006A39E4" w:rsidRPr="00FC2405" w:rsidRDefault="006A39E4" w:rsidP="00815DAE">
            <w:pPr>
              <w:jc w:val="right"/>
              <w:textAlignment w:val="baseline"/>
              <w:rPr>
                <w:color w:val="FF0000"/>
                <w:sz w:val="20"/>
                <w:szCs w:val="20"/>
              </w:rPr>
            </w:pPr>
            <w:r w:rsidRPr="00FC2405">
              <w:rPr>
                <w:color w:val="FF0000"/>
                <w:sz w:val="20"/>
                <w:szCs w:val="20"/>
              </w:rPr>
              <w:t>6,150 </w:t>
            </w:r>
          </w:p>
        </w:tc>
        <w:tc>
          <w:tcPr>
            <w:tcW w:w="819" w:type="pct"/>
            <w:tcBorders>
              <w:top w:val="nil"/>
              <w:left w:val="nil"/>
              <w:bottom w:val="single" w:sz="6" w:space="0" w:color="auto"/>
              <w:right w:val="single" w:sz="6" w:space="0" w:color="auto"/>
            </w:tcBorders>
            <w:shd w:val="clear" w:color="auto" w:fill="auto"/>
            <w:vAlign w:val="center"/>
            <w:hideMark/>
          </w:tcPr>
          <w:p w14:paraId="6E03B4B5" w14:textId="77777777" w:rsidR="006A39E4" w:rsidRPr="00FC2405" w:rsidRDefault="006A39E4" w:rsidP="00815DAE">
            <w:pPr>
              <w:jc w:val="right"/>
              <w:textAlignment w:val="baseline"/>
              <w:rPr>
                <w:color w:val="FF0000"/>
                <w:sz w:val="20"/>
                <w:szCs w:val="20"/>
              </w:rPr>
            </w:pPr>
            <w:r w:rsidRPr="00FC2405">
              <w:rPr>
                <w:color w:val="FF0000"/>
                <w:sz w:val="20"/>
                <w:szCs w:val="20"/>
              </w:rPr>
              <w:t>801 </w:t>
            </w:r>
          </w:p>
        </w:tc>
        <w:tc>
          <w:tcPr>
            <w:tcW w:w="899" w:type="pct"/>
            <w:tcBorders>
              <w:top w:val="nil"/>
              <w:left w:val="nil"/>
              <w:bottom w:val="single" w:sz="6" w:space="0" w:color="auto"/>
              <w:right w:val="single" w:sz="6" w:space="0" w:color="auto"/>
            </w:tcBorders>
            <w:shd w:val="clear" w:color="auto" w:fill="auto"/>
            <w:vAlign w:val="bottom"/>
            <w:hideMark/>
          </w:tcPr>
          <w:p w14:paraId="1F386863" w14:textId="77777777" w:rsidR="006A39E4" w:rsidRPr="00FC2405" w:rsidRDefault="006A39E4" w:rsidP="00815DAE">
            <w:pPr>
              <w:jc w:val="right"/>
              <w:textAlignment w:val="baseline"/>
              <w:rPr>
                <w:color w:val="FF0000"/>
                <w:sz w:val="20"/>
                <w:szCs w:val="20"/>
              </w:rPr>
            </w:pPr>
            <w:r w:rsidRPr="00FC2405">
              <w:rPr>
                <w:color w:val="FF0000"/>
                <w:sz w:val="20"/>
                <w:szCs w:val="20"/>
              </w:rPr>
              <w:t>30,188 </w:t>
            </w:r>
          </w:p>
        </w:tc>
      </w:tr>
      <w:tr w:rsidR="006A39E4" w:rsidRPr="005E69CA" w14:paraId="109ED0D5" w14:textId="77777777" w:rsidTr="00FC2405">
        <w:trPr>
          <w:trHeight w:val="135"/>
        </w:trPr>
        <w:tc>
          <w:tcPr>
            <w:tcW w:w="947" w:type="pct"/>
            <w:tcBorders>
              <w:top w:val="nil"/>
              <w:left w:val="single" w:sz="6" w:space="0" w:color="auto"/>
              <w:bottom w:val="single" w:sz="6" w:space="0" w:color="auto"/>
              <w:right w:val="single" w:sz="6" w:space="0" w:color="auto"/>
            </w:tcBorders>
            <w:shd w:val="clear" w:color="auto" w:fill="auto"/>
            <w:hideMark/>
          </w:tcPr>
          <w:p w14:paraId="4A35B158" w14:textId="77777777" w:rsidR="006A39E4" w:rsidRPr="00FC2405" w:rsidRDefault="006A39E4" w:rsidP="00815DAE">
            <w:pPr>
              <w:textAlignment w:val="baseline"/>
              <w:rPr>
                <w:color w:val="FF0000"/>
                <w:sz w:val="20"/>
                <w:szCs w:val="20"/>
              </w:rPr>
            </w:pPr>
            <w:r w:rsidRPr="00FC2405">
              <w:rPr>
                <w:color w:val="FF0000"/>
                <w:sz w:val="20"/>
                <w:szCs w:val="20"/>
              </w:rPr>
              <w:t>Town </w:t>
            </w:r>
          </w:p>
        </w:tc>
        <w:tc>
          <w:tcPr>
            <w:tcW w:w="706" w:type="pct"/>
            <w:tcBorders>
              <w:top w:val="nil"/>
              <w:left w:val="nil"/>
              <w:bottom w:val="single" w:sz="6" w:space="0" w:color="auto"/>
              <w:right w:val="single" w:sz="6" w:space="0" w:color="auto"/>
            </w:tcBorders>
            <w:shd w:val="clear" w:color="auto" w:fill="auto"/>
            <w:vAlign w:val="center"/>
            <w:hideMark/>
          </w:tcPr>
          <w:p w14:paraId="08E156A9" w14:textId="77777777" w:rsidR="006A39E4" w:rsidRPr="00FC2405" w:rsidRDefault="006A39E4" w:rsidP="00815DAE">
            <w:pPr>
              <w:jc w:val="right"/>
              <w:textAlignment w:val="baseline"/>
              <w:rPr>
                <w:color w:val="FF0000"/>
                <w:sz w:val="20"/>
                <w:szCs w:val="20"/>
              </w:rPr>
            </w:pPr>
            <w:r w:rsidRPr="00FC2405">
              <w:rPr>
                <w:color w:val="FF0000"/>
                <w:sz w:val="20"/>
                <w:szCs w:val="20"/>
              </w:rPr>
              <w:t>5,714 </w:t>
            </w:r>
          </w:p>
        </w:tc>
        <w:tc>
          <w:tcPr>
            <w:tcW w:w="811" w:type="pct"/>
            <w:tcBorders>
              <w:top w:val="nil"/>
              <w:left w:val="nil"/>
              <w:bottom w:val="single" w:sz="6" w:space="0" w:color="auto"/>
              <w:right w:val="single" w:sz="6" w:space="0" w:color="auto"/>
            </w:tcBorders>
            <w:shd w:val="clear" w:color="auto" w:fill="auto"/>
            <w:vAlign w:val="center"/>
            <w:hideMark/>
          </w:tcPr>
          <w:p w14:paraId="47C65521" w14:textId="77777777" w:rsidR="006A39E4" w:rsidRPr="00FC2405" w:rsidRDefault="006A39E4" w:rsidP="00815DAE">
            <w:pPr>
              <w:jc w:val="right"/>
              <w:textAlignment w:val="baseline"/>
              <w:rPr>
                <w:color w:val="FF0000"/>
                <w:sz w:val="20"/>
                <w:szCs w:val="20"/>
              </w:rPr>
            </w:pPr>
            <w:r w:rsidRPr="00FC2405">
              <w:rPr>
                <w:color w:val="FF0000"/>
                <w:sz w:val="20"/>
                <w:szCs w:val="20"/>
              </w:rPr>
              <w:t>2,392 </w:t>
            </w:r>
          </w:p>
        </w:tc>
        <w:tc>
          <w:tcPr>
            <w:tcW w:w="819" w:type="pct"/>
            <w:tcBorders>
              <w:top w:val="nil"/>
              <w:left w:val="nil"/>
              <w:bottom w:val="single" w:sz="6" w:space="0" w:color="auto"/>
              <w:right w:val="single" w:sz="6" w:space="0" w:color="auto"/>
            </w:tcBorders>
            <w:shd w:val="clear" w:color="auto" w:fill="auto"/>
            <w:vAlign w:val="center"/>
            <w:hideMark/>
          </w:tcPr>
          <w:p w14:paraId="1EBCB49F" w14:textId="77777777" w:rsidR="006A39E4" w:rsidRPr="00FC2405" w:rsidRDefault="006A39E4" w:rsidP="00815DAE">
            <w:pPr>
              <w:jc w:val="right"/>
              <w:textAlignment w:val="baseline"/>
              <w:rPr>
                <w:color w:val="FF0000"/>
                <w:sz w:val="20"/>
                <w:szCs w:val="20"/>
              </w:rPr>
            </w:pPr>
            <w:r w:rsidRPr="00FC2405">
              <w:rPr>
                <w:color w:val="FF0000"/>
                <w:sz w:val="20"/>
                <w:szCs w:val="20"/>
              </w:rPr>
              <w:t>3,623 </w:t>
            </w:r>
          </w:p>
        </w:tc>
        <w:tc>
          <w:tcPr>
            <w:tcW w:w="819" w:type="pct"/>
            <w:tcBorders>
              <w:top w:val="nil"/>
              <w:left w:val="nil"/>
              <w:bottom w:val="single" w:sz="6" w:space="0" w:color="auto"/>
              <w:right w:val="single" w:sz="6" w:space="0" w:color="auto"/>
            </w:tcBorders>
            <w:shd w:val="clear" w:color="auto" w:fill="auto"/>
            <w:vAlign w:val="center"/>
            <w:hideMark/>
          </w:tcPr>
          <w:p w14:paraId="486A053D" w14:textId="77777777" w:rsidR="006A39E4" w:rsidRPr="00FC2405" w:rsidRDefault="006A39E4" w:rsidP="00815DAE">
            <w:pPr>
              <w:jc w:val="right"/>
              <w:textAlignment w:val="baseline"/>
              <w:rPr>
                <w:color w:val="FF0000"/>
                <w:sz w:val="20"/>
                <w:szCs w:val="20"/>
              </w:rPr>
            </w:pPr>
            <w:r w:rsidRPr="00FC2405">
              <w:rPr>
                <w:color w:val="FF0000"/>
                <w:sz w:val="20"/>
                <w:szCs w:val="20"/>
              </w:rPr>
              <w:t>507 </w:t>
            </w:r>
          </w:p>
        </w:tc>
        <w:tc>
          <w:tcPr>
            <w:tcW w:w="899" w:type="pct"/>
            <w:tcBorders>
              <w:top w:val="nil"/>
              <w:left w:val="nil"/>
              <w:bottom w:val="single" w:sz="6" w:space="0" w:color="auto"/>
              <w:right w:val="single" w:sz="6" w:space="0" w:color="auto"/>
            </w:tcBorders>
            <w:shd w:val="clear" w:color="auto" w:fill="auto"/>
            <w:vAlign w:val="bottom"/>
            <w:hideMark/>
          </w:tcPr>
          <w:p w14:paraId="2657C7F5" w14:textId="77777777" w:rsidR="006A39E4" w:rsidRPr="00FC2405" w:rsidRDefault="006A39E4" w:rsidP="00815DAE">
            <w:pPr>
              <w:jc w:val="right"/>
              <w:textAlignment w:val="baseline"/>
              <w:rPr>
                <w:color w:val="FF0000"/>
                <w:sz w:val="20"/>
                <w:szCs w:val="20"/>
              </w:rPr>
            </w:pPr>
            <w:r w:rsidRPr="00FC2405">
              <w:rPr>
                <w:color w:val="FF0000"/>
                <w:sz w:val="20"/>
                <w:szCs w:val="20"/>
              </w:rPr>
              <w:t>12,236 </w:t>
            </w:r>
          </w:p>
        </w:tc>
      </w:tr>
      <w:tr w:rsidR="006A39E4" w:rsidRPr="005E69CA" w14:paraId="26D2724D" w14:textId="77777777" w:rsidTr="00FC2405">
        <w:trPr>
          <w:trHeight w:val="135"/>
        </w:trPr>
        <w:tc>
          <w:tcPr>
            <w:tcW w:w="947" w:type="pct"/>
            <w:tcBorders>
              <w:top w:val="nil"/>
              <w:left w:val="single" w:sz="6" w:space="0" w:color="auto"/>
              <w:bottom w:val="single" w:sz="6" w:space="0" w:color="auto"/>
              <w:right w:val="single" w:sz="6" w:space="0" w:color="auto"/>
            </w:tcBorders>
            <w:shd w:val="clear" w:color="auto" w:fill="auto"/>
            <w:hideMark/>
          </w:tcPr>
          <w:p w14:paraId="37BE3227" w14:textId="77777777" w:rsidR="006A39E4" w:rsidRPr="00FC2405" w:rsidRDefault="006A39E4" w:rsidP="00815DAE">
            <w:pPr>
              <w:textAlignment w:val="baseline"/>
              <w:rPr>
                <w:color w:val="FF0000"/>
                <w:sz w:val="20"/>
                <w:szCs w:val="20"/>
              </w:rPr>
            </w:pPr>
            <w:r w:rsidRPr="00FC2405">
              <w:rPr>
                <w:color w:val="FF0000"/>
                <w:sz w:val="20"/>
                <w:szCs w:val="20"/>
              </w:rPr>
              <w:t>Rural </w:t>
            </w:r>
          </w:p>
        </w:tc>
        <w:tc>
          <w:tcPr>
            <w:tcW w:w="706" w:type="pct"/>
            <w:tcBorders>
              <w:top w:val="nil"/>
              <w:left w:val="nil"/>
              <w:bottom w:val="single" w:sz="6" w:space="0" w:color="auto"/>
              <w:right w:val="single" w:sz="6" w:space="0" w:color="auto"/>
            </w:tcBorders>
            <w:shd w:val="clear" w:color="auto" w:fill="auto"/>
            <w:vAlign w:val="center"/>
            <w:hideMark/>
          </w:tcPr>
          <w:p w14:paraId="1696D38B" w14:textId="77777777" w:rsidR="006A39E4" w:rsidRPr="00FC2405" w:rsidRDefault="006A39E4" w:rsidP="00815DAE">
            <w:pPr>
              <w:jc w:val="right"/>
              <w:textAlignment w:val="baseline"/>
              <w:rPr>
                <w:color w:val="FF0000"/>
                <w:sz w:val="20"/>
                <w:szCs w:val="20"/>
              </w:rPr>
            </w:pPr>
            <w:r w:rsidRPr="00FC2405">
              <w:rPr>
                <w:color w:val="FF0000"/>
                <w:sz w:val="20"/>
                <w:szCs w:val="20"/>
              </w:rPr>
              <w:t>11,794 </w:t>
            </w:r>
          </w:p>
        </w:tc>
        <w:tc>
          <w:tcPr>
            <w:tcW w:w="811" w:type="pct"/>
            <w:tcBorders>
              <w:top w:val="nil"/>
              <w:left w:val="nil"/>
              <w:bottom w:val="single" w:sz="6" w:space="0" w:color="auto"/>
              <w:right w:val="single" w:sz="6" w:space="0" w:color="auto"/>
            </w:tcBorders>
            <w:shd w:val="clear" w:color="auto" w:fill="auto"/>
            <w:vAlign w:val="center"/>
            <w:hideMark/>
          </w:tcPr>
          <w:p w14:paraId="333E3903" w14:textId="77777777" w:rsidR="006A39E4" w:rsidRPr="00FC2405" w:rsidRDefault="006A39E4" w:rsidP="00815DAE">
            <w:pPr>
              <w:jc w:val="right"/>
              <w:textAlignment w:val="baseline"/>
              <w:rPr>
                <w:color w:val="FF0000"/>
                <w:sz w:val="20"/>
                <w:szCs w:val="20"/>
              </w:rPr>
            </w:pPr>
            <w:r w:rsidRPr="00FC2405">
              <w:rPr>
                <w:color w:val="FF0000"/>
                <w:sz w:val="20"/>
                <w:szCs w:val="20"/>
              </w:rPr>
              <w:t>3,493 </w:t>
            </w:r>
          </w:p>
        </w:tc>
        <w:tc>
          <w:tcPr>
            <w:tcW w:w="819" w:type="pct"/>
            <w:tcBorders>
              <w:top w:val="nil"/>
              <w:left w:val="nil"/>
              <w:bottom w:val="single" w:sz="6" w:space="0" w:color="auto"/>
              <w:right w:val="single" w:sz="6" w:space="0" w:color="auto"/>
            </w:tcBorders>
            <w:shd w:val="clear" w:color="auto" w:fill="auto"/>
            <w:vAlign w:val="center"/>
            <w:hideMark/>
          </w:tcPr>
          <w:p w14:paraId="751E06CC" w14:textId="77777777" w:rsidR="006A39E4" w:rsidRPr="00FC2405" w:rsidRDefault="006A39E4" w:rsidP="00815DAE">
            <w:pPr>
              <w:jc w:val="right"/>
              <w:textAlignment w:val="baseline"/>
              <w:rPr>
                <w:color w:val="FF0000"/>
                <w:sz w:val="20"/>
                <w:szCs w:val="20"/>
              </w:rPr>
            </w:pPr>
            <w:r w:rsidRPr="00FC2405">
              <w:rPr>
                <w:color w:val="FF0000"/>
                <w:sz w:val="20"/>
                <w:szCs w:val="20"/>
              </w:rPr>
              <w:t>6,655 </w:t>
            </w:r>
          </w:p>
        </w:tc>
        <w:tc>
          <w:tcPr>
            <w:tcW w:w="819" w:type="pct"/>
            <w:tcBorders>
              <w:top w:val="nil"/>
              <w:left w:val="nil"/>
              <w:bottom w:val="single" w:sz="6" w:space="0" w:color="auto"/>
              <w:right w:val="single" w:sz="6" w:space="0" w:color="auto"/>
            </w:tcBorders>
            <w:shd w:val="clear" w:color="auto" w:fill="auto"/>
            <w:vAlign w:val="center"/>
            <w:hideMark/>
          </w:tcPr>
          <w:p w14:paraId="1BF7B0BB" w14:textId="77777777" w:rsidR="006A39E4" w:rsidRPr="00FC2405" w:rsidRDefault="006A39E4" w:rsidP="00815DAE">
            <w:pPr>
              <w:jc w:val="right"/>
              <w:textAlignment w:val="baseline"/>
              <w:rPr>
                <w:color w:val="FF0000"/>
                <w:sz w:val="20"/>
                <w:szCs w:val="20"/>
              </w:rPr>
            </w:pPr>
            <w:r w:rsidRPr="00FC2405">
              <w:rPr>
                <w:color w:val="FF0000"/>
                <w:sz w:val="20"/>
                <w:szCs w:val="20"/>
              </w:rPr>
              <w:t>2,824 </w:t>
            </w:r>
          </w:p>
        </w:tc>
        <w:tc>
          <w:tcPr>
            <w:tcW w:w="899" w:type="pct"/>
            <w:tcBorders>
              <w:top w:val="nil"/>
              <w:left w:val="nil"/>
              <w:bottom w:val="single" w:sz="6" w:space="0" w:color="auto"/>
              <w:right w:val="single" w:sz="6" w:space="0" w:color="auto"/>
            </w:tcBorders>
            <w:shd w:val="clear" w:color="auto" w:fill="auto"/>
            <w:vAlign w:val="bottom"/>
            <w:hideMark/>
          </w:tcPr>
          <w:p w14:paraId="0843A9B6" w14:textId="77777777" w:rsidR="006A39E4" w:rsidRPr="00FC2405" w:rsidRDefault="006A39E4" w:rsidP="00815DAE">
            <w:pPr>
              <w:jc w:val="right"/>
              <w:textAlignment w:val="baseline"/>
              <w:rPr>
                <w:color w:val="FF0000"/>
                <w:sz w:val="20"/>
                <w:szCs w:val="20"/>
              </w:rPr>
            </w:pPr>
            <w:r w:rsidRPr="00FC2405">
              <w:rPr>
                <w:color w:val="FF0000"/>
                <w:sz w:val="20"/>
                <w:szCs w:val="20"/>
              </w:rPr>
              <w:t>24,766 </w:t>
            </w:r>
          </w:p>
        </w:tc>
      </w:tr>
      <w:tr w:rsidR="006A39E4" w:rsidRPr="005E69CA" w14:paraId="271038BF" w14:textId="77777777" w:rsidTr="00FC2405">
        <w:trPr>
          <w:trHeight w:val="135"/>
        </w:trPr>
        <w:tc>
          <w:tcPr>
            <w:tcW w:w="947" w:type="pct"/>
            <w:tcBorders>
              <w:top w:val="nil"/>
              <w:left w:val="single" w:sz="6" w:space="0" w:color="auto"/>
              <w:bottom w:val="single" w:sz="6" w:space="0" w:color="auto"/>
              <w:right w:val="single" w:sz="6" w:space="0" w:color="auto"/>
            </w:tcBorders>
            <w:shd w:val="clear" w:color="auto" w:fill="auto"/>
            <w:vAlign w:val="bottom"/>
            <w:hideMark/>
          </w:tcPr>
          <w:p w14:paraId="7277BCE0" w14:textId="77777777" w:rsidR="006A39E4" w:rsidRPr="00FC2405" w:rsidRDefault="006A39E4" w:rsidP="00815DAE">
            <w:pPr>
              <w:textAlignment w:val="baseline"/>
              <w:rPr>
                <w:b/>
                <w:color w:val="FF0000"/>
                <w:sz w:val="20"/>
                <w:szCs w:val="20"/>
              </w:rPr>
            </w:pPr>
            <w:r w:rsidRPr="00FC2405">
              <w:rPr>
                <w:b/>
                <w:color w:val="FF0000"/>
                <w:sz w:val="20"/>
                <w:szCs w:val="20"/>
              </w:rPr>
              <w:t>Total </w:t>
            </w:r>
          </w:p>
        </w:tc>
        <w:tc>
          <w:tcPr>
            <w:tcW w:w="706" w:type="pct"/>
            <w:tcBorders>
              <w:top w:val="nil"/>
              <w:left w:val="nil"/>
              <w:bottom w:val="single" w:sz="6" w:space="0" w:color="auto"/>
              <w:right w:val="single" w:sz="6" w:space="0" w:color="auto"/>
            </w:tcBorders>
            <w:shd w:val="clear" w:color="auto" w:fill="auto"/>
            <w:vAlign w:val="center"/>
            <w:hideMark/>
          </w:tcPr>
          <w:p w14:paraId="7695D375" w14:textId="77777777" w:rsidR="006A39E4" w:rsidRPr="00FC2405" w:rsidRDefault="006A39E4" w:rsidP="00815DAE">
            <w:pPr>
              <w:jc w:val="right"/>
              <w:textAlignment w:val="baseline"/>
              <w:rPr>
                <w:b/>
                <w:color w:val="FF0000"/>
                <w:sz w:val="20"/>
                <w:szCs w:val="20"/>
              </w:rPr>
            </w:pPr>
            <w:r w:rsidRPr="00FC2405">
              <w:rPr>
                <w:b/>
                <w:bCs/>
                <w:color w:val="FF0000"/>
                <w:sz w:val="20"/>
                <w:szCs w:val="20"/>
              </w:rPr>
              <w:t>50,515 </w:t>
            </w:r>
          </w:p>
        </w:tc>
        <w:tc>
          <w:tcPr>
            <w:tcW w:w="811" w:type="pct"/>
            <w:tcBorders>
              <w:top w:val="nil"/>
              <w:left w:val="nil"/>
              <w:bottom w:val="single" w:sz="6" w:space="0" w:color="auto"/>
              <w:right w:val="single" w:sz="6" w:space="0" w:color="auto"/>
            </w:tcBorders>
            <w:shd w:val="clear" w:color="auto" w:fill="auto"/>
            <w:vAlign w:val="center"/>
            <w:hideMark/>
          </w:tcPr>
          <w:p w14:paraId="6CDE39E5" w14:textId="77777777" w:rsidR="006A39E4" w:rsidRPr="00FC2405" w:rsidRDefault="006A39E4" w:rsidP="00815DAE">
            <w:pPr>
              <w:jc w:val="right"/>
              <w:textAlignment w:val="baseline"/>
              <w:rPr>
                <w:b/>
                <w:color w:val="FF0000"/>
                <w:sz w:val="20"/>
                <w:szCs w:val="20"/>
              </w:rPr>
            </w:pPr>
            <w:r w:rsidRPr="00FC2405">
              <w:rPr>
                <w:b/>
                <w:bCs/>
                <w:color w:val="FF0000"/>
                <w:sz w:val="20"/>
                <w:szCs w:val="20"/>
              </w:rPr>
              <w:t>15,233 </w:t>
            </w:r>
          </w:p>
        </w:tc>
        <w:tc>
          <w:tcPr>
            <w:tcW w:w="819" w:type="pct"/>
            <w:tcBorders>
              <w:top w:val="nil"/>
              <w:left w:val="nil"/>
              <w:bottom w:val="single" w:sz="6" w:space="0" w:color="auto"/>
              <w:right w:val="single" w:sz="6" w:space="0" w:color="auto"/>
            </w:tcBorders>
            <w:shd w:val="clear" w:color="auto" w:fill="auto"/>
            <w:vAlign w:val="center"/>
            <w:hideMark/>
          </w:tcPr>
          <w:p w14:paraId="245FF2EA" w14:textId="77777777" w:rsidR="006A39E4" w:rsidRPr="00FC2405" w:rsidRDefault="006A39E4" w:rsidP="00815DAE">
            <w:pPr>
              <w:jc w:val="right"/>
              <w:textAlignment w:val="baseline"/>
              <w:rPr>
                <w:b/>
                <w:color w:val="FF0000"/>
                <w:sz w:val="20"/>
                <w:szCs w:val="20"/>
              </w:rPr>
            </w:pPr>
            <w:r w:rsidRPr="00FC2405">
              <w:rPr>
                <w:b/>
                <w:bCs/>
                <w:color w:val="FF0000"/>
                <w:sz w:val="20"/>
                <w:szCs w:val="20"/>
              </w:rPr>
              <w:t>22,426 </w:t>
            </w:r>
          </w:p>
        </w:tc>
        <w:tc>
          <w:tcPr>
            <w:tcW w:w="819" w:type="pct"/>
            <w:tcBorders>
              <w:top w:val="nil"/>
              <w:left w:val="nil"/>
              <w:bottom w:val="single" w:sz="6" w:space="0" w:color="auto"/>
              <w:right w:val="single" w:sz="6" w:space="0" w:color="auto"/>
            </w:tcBorders>
            <w:shd w:val="clear" w:color="auto" w:fill="auto"/>
            <w:vAlign w:val="center"/>
            <w:hideMark/>
          </w:tcPr>
          <w:p w14:paraId="0FF6C411" w14:textId="77777777" w:rsidR="006A39E4" w:rsidRPr="00FC2405" w:rsidRDefault="006A39E4" w:rsidP="00815DAE">
            <w:pPr>
              <w:jc w:val="right"/>
              <w:textAlignment w:val="baseline"/>
              <w:rPr>
                <w:b/>
                <w:color w:val="FF0000"/>
                <w:sz w:val="20"/>
                <w:szCs w:val="20"/>
              </w:rPr>
            </w:pPr>
            <w:r w:rsidRPr="00FC2405">
              <w:rPr>
                <w:b/>
                <w:bCs/>
                <w:color w:val="FF0000"/>
                <w:sz w:val="20"/>
                <w:szCs w:val="20"/>
              </w:rPr>
              <w:t>5,080 </w:t>
            </w:r>
          </w:p>
        </w:tc>
        <w:tc>
          <w:tcPr>
            <w:tcW w:w="899" w:type="pct"/>
            <w:tcBorders>
              <w:top w:val="nil"/>
              <w:left w:val="nil"/>
              <w:bottom w:val="single" w:sz="6" w:space="0" w:color="auto"/>
              <w:right w:val="single" w:sz="6" w:space="0" w:color="auto"/>
            </w:tcBorders>
            <w:shd w:val="clear" w:color="auto" w:fill="auto"/>
            <w:vAlign w:val="bottom"/>
            <w:hideMark/>
          </w:tcPr>
          <w:p w14:paraId="08CC777A" w14:textId="77777777" w:rsidR="006A39E4" w:rsidRPr="00FC2405" w:rsidRDefault="006A39E4" w:rsidP="00815DAE">
            <w:pPr>
              <w:jc w:val="right"/>
              <w:textAlignment w:val="baseline"/>
              <w:rPr>
                <w:b/>
                <w:color w:val="FF0000"/>
                <w:sz w:val="20"/>
                <w:szCs w:val="20"/>
              </w:rPr>
            </w:pPr>
            <w:r w:rsidRPr="00FC2405">
              <w:rPr>
                <w:b/>
                <w:color w:val="FF0000"/>
                <w:sz w:val="20"/>
                <w:szCs w:val="20"/>
              </w:rPr>
              <w:t>93,254 </w:t>
            </w:r>
          </w:p>
        </w:tc>
      </w:tr>
    </w:tbl>
    <w:p w14:paraId="30EE8CFA" w14:textId="77777777" w:rsidR="004D5F68" w:rsidRDefault="006A39E4" w:rsidP="006A39E4">
      <w:pPr>
        <w:tabs>
          <w:tab w:val="left" w:pos="0"/>
        </w:tabs>
        <w:spacing w:after="60"/>
        <w:ind w:left="907" w:hanging="907"/>
        <w:rPr>
          <w:color w:val="FF0000"/>
        </w:rPr>
      </w:pPr>
      <w:r w:rsidRPr="005E69CA">
        <w:rPr>
          <w:color w:val="FF0000"/>
        </w:rPr>
        <w:t>SOURCE: 2017-18 CCD.</w:t>
      </w:r>
    </w:p>
    <w:p w14:paraId="0B5EF035" w14:textId="48BDB5A6" w:rsidR="006A39E4" w:rsidRPr="00C06D30" w:rsidRDefault="006A39E4" w:rsidP="006A39E4">
      <w:pPr>
        <w:spacing w:after="200"/>
        <w:rPr>
          <w:rFonts w:eastAsia="Malgun Gothic"/>
          <w:sz w:val="18"/>
          <w:szCs w:val="18"/>
        </w:rPr>
      </w:pPr>
    </w:p>
    <w:p w14:paraId="5431D2DB" w14:textId="77777777" w:rsidR="006A39E4" w:rsidRPr="00837A78" w:rsidRDefault="006A39E4" w:rsidP="006A39E4">
      <w:pPr>
        <w:pStyle w:val="FootnoteText"/>
        <w:rPr>
          <w:szCs w:val="18"/>
        </w:rPr>
      </w:pPr>
      <w:r w:rsidRPr="00837A78">
        <w:rPr>
          <w:rStyle w:val="FootnoteReference"/>
        </w:rPr>
        <w:footnoteRef/>
      </w:r>
      <w:r w:rsidRPr="00837A78">
        <w:rPr>
          <w:szCs w:val="18"/>
        </w:rPr>
        <w:t xml:space="preserve"> If the 2018-19 CCD is not available as of early January in 2020, the most recently available CCD as of that date will be used instead.</w:t>
      </w:r>
    </w:p>
    <w:p w14:paraId="1672FED7" w14:textId="77777777" w:rsidR="006A39E4" w:rsidRDefault="006A39E4" w:rsidP="006A39E4">
      <w:pPr>
        <w:rPr>
          <w:strike/>
          <w:color w:val="FF0000"/>
          <w:sz w:val="18"/>
          <w:szCs w:val="18"/>
        </w:rPr>
      </w:pPr>
      <w:r w:rsidRPr="005E69CA">
        <w:rPr>
          <w:rStyle w:val="FootnoteReference"/>
          <w:strike/>
          <w:color w:val="FF0000"/>
        </w:rPr>
        <w:t>2</w:t>
      </w:r>
      <w:r w:rsidRPr="005E69CA">
        <w:rPr>
          <w:strike/>
          <w:color w:val="FF0000"/>
          <w:sz w:val="18"/>
          <w:szCs w:val="18"/>
        </w:rPr>
        <w:t xml:space="preserve"> The definition for the school level categories may change for the NTPS 2020-21, pending a final decision from NCES about creating a consistent definition across NCES studies. If this change occurs and impacts the final sample design for the 2020-21 NTPS, NCES will submit a change request to this submission by April 2020.</w:t>
      </w:r>
    </w:p>
    <w:p w14:paraId="54A74B6E" w14:textId="77777777" w:rsidR="006A39E4" w:rsidRPr="005E69CA" w:rsidRDefault="006A39E4" w:rsidP="006A39E4">
      <w:pPr>
        <w:tabs>
          <w:tab w:val="left" w:pos="0"/>
        </w:tabs>
        <w:spacing w:after="60"/>
        <w:rPr>
          <w:rFonts w:eastAsia="Calibri"/>
          <w:b/>
          <w:bCs/>
          <w:color w:val="FF0000"/>
          <w:sz w:val="18"/>
          <w:szCs w:val="18"/>
        </w:rPr>
      </w:pPr>
      <w:r>
        <w:rPr>
          <w:color w:val="FF0000"/>
          <w:sz w:val="18"/>
          <w:szCs w:val="18"/>
          <w:vertAlign w:val="superscript"/>
        </w:rPr>
        <w:t xml:space="preserve">2 </w:t>
      </w:r>
      <w:r w:rsidRPr="005E69CA">
        <w:rPr>
          <w:color w:val="FF0000"/>
          <w:sz w:val="18"/>
          <w:szCs w:val="18"/>
        </w:rPr>
        <w:t>Rather than defining school level for public schools by the highest and lowest grades offered at the school, starting with the 2017-18 CCD, ED revised the logic to derive LEVEL with the primary goal of recategorizing as many of the schools in the “Other” category (for NTPS, these schools are categorized as Combined) into categories that are more meaningful for data users. In particular, in Table 1, primary schools are schools in which grades K, 1, 2, 3, or 4 are offered and the number of primary grades is greater than number of middle grades; middle schools are schools in which grades 5, 6, 7, or 8 are offered and the number of middle grades is greater than number of elementary or secondary grades; high school are schools in which grades 9, 10, 11, or 12 are offered and the number of high grades is greater than number of middle grades; and combined schools are schools with both primary and high grades.</w:t>
      </w:r>
    </w:p>
    <w:p w14:paraId="34002F48" w14:textId="77777777" w:rsidR="008D171B" w:rsidRDefault="008D171B" w:rsidP="008F6F3D">
      <w:pPr>
        <w:widowControl w:val="0"/>
        <w:rPr>
          <w:highlight w:val="yellow"/>
        </w:rPr>
      </w:pPr>
    </w:p>
    <w:p w14:paraId="710EFFE6" w14:textId="77777777" w:rsidR="004D5F68" w:rsidRPr="00FC2405" w:rsidRDefault="006A39E4" w:rsidP="0016211D">
      <w:pPr>
        <w:pStyle w:val="ListParagraph"/>
        <w:widowControl w:val="0"/>
        <w:numPr>
          <w:ilvl w:val="0"/>
          <w:numId w:val="39"/>
        </w:numPr>
        <w:rPr>
          <w:rFonts w:ascii="Times New Roman" w:hAnsi="Times New Roman"/>
          <w:i/>
          <w:iCs/>
          <w:sz w:val="24"/>
          <w:szCs w:val="24"/>
        </w:rPr>
      </w:pPr>
      <w:r w:rsidRPr="00FC2405">
        <w:rPr>
          <w:rFonts w:ascii="Times New Roman" w:hAnsi="Times New Roman"/>
          <w:i/>
          <w:iCs/>
          <w:sz w:val="24"/>
          <w:szCs w:val="24"/>
        </w:rPr>
        <w:t>Page</w:t>
      </w:r>
      <w:r w:rsidR="0016211D" w:rsidRPr="00FC2405">
        <w:rPr>
          <w:rFonts w:ascii="Times New Roman" w:hAnsi="Times New Roman"/>
          <w:i/>
          <w:iCs/>
          <w:sz w:val="24"/>
          <w:szCs w:val="24"/>
        </w:rPr>
        <w:t xml:space="preserve"> 5 – </w:t>
      </w:r>
      <w:r w:rsidR="00E0717E" w:rsidRPr="00FC2405">
        <w:rPr>
          <w:rFonts w:ascii="Times New Roman" w:hAnsi="Times New Roman"/>
          <w:i/>
          <w:iCs/>
          <w:sz w:val="24"/>
          <w:szCs w:val="24"/>
        </w:rPr>
        <w:t xml:space="preserve">Because there was no change to definitions for school level categories for private schools, we have </w:t>
      </w:r>
      <w:r w:rsidR="00040975" w:rsidRPr="00FC2405">
        <w:rPr>
          <w:rFonts w:ascii="Times New Roman" w:hAnsi="Times New Roman"/>
          <w:i/>
          <w:iCs/>
          <w:sz w:val="24"/>
          <w:szCs w:val="24"/>
        </w:rPr>
        <w:t xml:space="preserve">left Table 2 unchanged and </w:t>
      </w:r>
      <w:r w:rsidR="00E0717E" w:rsidRPr="00FC2405">
        <w:rPr>
          <w:rFonts w:ascii="Times New Roman" w:hAnsi="Times New Roman"/>
          <w:i/>
          <w:iCs/>
          <w:sz w:val="24"/>
          <w:szCs w:val="24"/>
        </w:rPr>
        <w:t>deleted the mention of the possibility of that change.</w:t>
      </w:r>
    </w:p>
    <w:p w14:paraId="495B0E6C" w14:textId="4AA32D55" w:rsidR="00FE1A20" w:rsidRPr="00CD523F" w:rsidRDefault="00FE1A20" w:rsidP="00FE1A20">
      <w:pPr>
        <w:keepNext/>
        <w:tabs>
          <w:tab w:val="left" w:pos="900"/>
        </w:tabs>
        <w:spacing w:before="240" w:after="60"/>
        <w:ind w:left="907" w:hanging="907"/>
        <w:rPr>
          <w:rFonts w:eastAsia="Calibri"/>
          <w:b/>
          <w:bCs/>
        </w:rPr>
      </w:pPr>
      <w:r w:rsidRPr="00CD523F">
        <w:rPr>
          <w:rFonts w:eastAsia="Calibri"/>
          <w:b/>
          <w:bCs/>
        </w:rPr>
        <w:t>Table 2.</w:t>
      </w:r>
      <w:r w:rsidRPr="00CD523F">
        <w:rPr>
          <w:rFonts w:eastAsia="Calibri"/>
          <w:b/>
          <w:bCs/>
        </w:rPr>
        <w:tab/>
        <w:t>Respondent universe by school level and urbanicity for the proposed private school sample, based on the 2017-18 Private School Survey (PSS)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4"/>
        <w:gridCol w:w="1590"/>
        <w:gridCol w:w="1830"/>
        <w:gridCol w:w="1830"/>
        <w:gridCol w:w="1980"/>
      </w:tblGrid>
      <w:tr w:rsidR="00FE1A20" w:rsidRPr="00CD523F" w14:paraId="0A0A9374" w14:textId="77777777" w:rsidTr="00815DAE">
        <w:trPr>
          <w:trHeight w:val="135"/>
        </w:trPr>
        <w:tc>
          <w:tcPr>
            <w:tcW w:w="9344" w:type="dxa"/>
            <w:gridSpan w:val="5"/>
            <w:tcBorders>
              <w:top w:val="outset" w:sz="6" w:space="0" w:color="auto"/>
              <w:left w:val="outset" w:sz="6" w:space="0" w:color="auto"/>
              <w:bottom w:val="outset" w:sz="6" w:space="0" w:color="auto"/>
              <w:right w:val="outset" w:sz="6" w:space="0" w:color="auto"/>
            </w:tcBorders>
            <w:shd w:val="clear" w:color="auto" w:fill="auto"/>
            <w:vAlign w:val="bottom"/>
            <w:hideMark/>
          </w:tcPr>
          <w:p w14:paraId="45452E35" w14:textId="700ACA22" w:rsidR="00FE1A20" w:rsidRPr="00CD523F" w:rsidRDefault="00FE1A20" w:rsidP="00815DAE">
            <w:pPr>
              <w:jc w:val="center"/>
              <w:textAlignment w:val="baseline"/>
            </w:pPr>
            <w:r w:rsidRPr="00CD523F">
              <w:rPr>
                <w:b/>
                <w:bCs/>
                <w:sz w:val="22"/>
                <w:szCs w:val="22"/>
              </w:rPr>
              <w:t>School level</w:t>
            </w:r>
            <w:r w:rsidRPr="00F411A8">
              <w:rPr>
                <w:b/>
                <w:bCs/>
                <w:strike/>
                <w:color w:val="FF0000"/>
                <w:sz w:val="22"/>
                <w:szCs w:val="22"/>
                <w:vertAlign w:val="superscript"/>
              </w:rPr>
              <w:t>3</w:t>
            </w:r>
          </w:p>
        </w:tc>
      </w:tr>
      <w:tr w:rsidR="00FE1A20" w:rsidRPr="00CD523F" w14:paraId="2C11096F" w14:textId="77777777" w:rsidTr="00815DAE">
        <w:trPr>
          <w:trHeight w:val="135"/>
        </w:trPr>
        <w:tc>
          <w:tcPr>
            <w:tcW w:w="2114" w:type="dxa"/>
            <w:tcBorders>
              <w:top w:val="nil"/>
              <w:left w:val="single" w:sz="6" w:space="0" w:color="auto"/>
              <w:bottom w:val="single" w:sz="6" w:space="0" w:color="auto"/>
              <w:right w:val="single" w:sz="6" w:space="0" w:color="auto"/>
            </w:tcBorders>
            <w:shd w:val="clear" w:color="auto" w:fill="auto"/>
            <w:vAlign w:val="bottom"/>
            <w:hideMark/>
          </w:tcPr>
          <w:p w14:paraId="52C787B4" w14:textId="77777777" w:rsidR="00FE1A20" w:rsidRPr="00CD523F" w:rsidRDefault="00FE1A20" w:rsidP="00815DAE">
            <w:pPr>
              <w:textAlignment w:val="baseline"/>
            </w:pPr>
            <w:r w:rsidRPr="00CD523F">
              <w:rPr>
                <w:b/>
                <w:bCs/>
                <w:sz w:val="22"/>
                <w:szCs w:val="22"/>
              </w:rPr>
              <w:t>Region</w:t>
            </w:r>
            <w:r w:rsidRPr="00CD523F">
              <w:rPr>
                <w:sz w:val="22"/>
                <w:szCs w:val="22"/>
              </w:rPr>
              <w:t> </w:t>
            </w:r>
          </w:p>
        </w:tc>
        <w:tc>
          <w:tcPr>
            <w:tcW w:w="1590" w:type="dxa"/>
            <w:tcBorders>
              <w:top w:val="nil"/>
              <w:left w:val="nil"/>
              <w:bottom w:val="single" w:sz="6" w:space="0" w:color="auto"/>
              <w:right w:val="single" w:sz="6" w:space="0" w:color="auto"/>
            </w:tcBorders>
            <w:shd w:val="clear" w:color="auto" w:fill="auto"/>
            <w:vAlign w:val="bottom"/>
            <w:hideMark/>
          </w:tcPr>
          <w:p w14:paraId="4BADF7EE" w14:textId="77777777" w:rsidR="00FE1A20" w:rsidRPr="00CD523F" w:rsidRDefault="00FE1A20" w:rsidP="00815DAE">
            <w:pPr>
              <w:jc w:val="center"/>
              <w:textAlignment w:val="baseline"/>
            </w:pPr>
            <w:r w:rsidRPr="00CD523F">
              <w:rPr>
                <w:b/>
                <w:bCs/>
                <w:sz w:val="22"/>
                <w:szCs w:val="22"/>
              </w:rPr>
              <w:t>Elementary</w:t>
            </w:r>
            <w:r w:rsidRPr="00CD523F">
              <w:rPr>
                <w:sz w:val="22"/>
                <w:szCs w:val="22"/>
              </w:rPr>
              <w:t> </w:t>
            </w:r>
          </w:p>
        </w:tc>
        <w:tc>
          <w:tcPr>
            <w:tcW w:w="1830" w:type="dxa"/>
            <w:tcBorders>
              <w:top w:val="nil"/>
              <w:left w:val="nil"/>
              <w:bottom w:val="single" w:sz="6" w:space="0" w:color="auto"/>
              <w:right w:val="single" w:sz="6" w:space="0" w:color="auto"/>
            </w:tcBorders>
            <w:shd w:val="clear" w:color="auto" w:fill="auto"/>
            <w:vAlign w:val="bottom"/>
            <w:hideMark/>
          </w:tcPr>
          <w:p w14:paraId="6C0D42BF" w14:textId="77777777" w:rsidR="00FE1A20" w:rsidRPr="00CD523F" w:rsidRDefault="00FE1A20" w:rsidP="00815DAE">
            <w:pPr>
              <w:jc w:val="center"/>
              <w:textAlignment w:val="baseline"/>
            </w:pPr>
            <w:r w:rsidRPr="00CD523F">
              <w:rPr>
                <w:b/>
                <w:bCs/>
                <w:sz w:val="22"/>
                <w:szCs w:val="22"/>
              </w:rPr>
              <w:t>Secondary</w:t>
            </w:r>
            <w:r w:rsidRPr="00CD523F">
              <w:rPr>
                <w:sz w:val="22"/>
                <w:szCs w:val="22"/>
              </w:rPr>
              <w:t> </w:t>
            </w:r>
          </w:p>
        </w:tc>
        <w:tc>
          <w:tcPr>
            <w:tcW w:w="1830" w:type="dxa"/>
            <w:tcBorders>
              <w:top w:val="nil"/>
              <w:left w:val="nil"/>
              <w:bottom w:val="single" w:sz="6" w:space="0" w:color="auto"/>
              <w:right w:val="single" w:sz="6" w:space="0" w:color="auto"/>
            </w:tcBorders>
            <w:shd w:val="clear" w:color="auto" w:fill="auto"/>
            <w:vAlign w:val="bottom"/>
            <w:hideMark/>
          </w:tcPr>
          <w:p w14:paraId="53C678B2" w14:textId="77777777" w:rsidR="00FE1A20" w:rsidRPr="00CD523F" w:rsidRDefault="00FE1A20" w:rsidP="00815DAE">
            <w:pPr>
              <w:jc w:val="center"/>
              <w:textAlignment w:val="baseline"/>
            </w:pPr>
            <w:r w:rsidRPr="00CD523F">
              <w:rPr>
                <w:b/>
                <w:bCs/>
                <w:sz w:val="22"/>
                <w:szCs w:val="22"/>
              </w:rPr>
              <w:t>Combined</w:t>
            </w:r>
            <w:r w:rsidRPr="00CD523F">
              <w:rPr>
                <w:sz w:val="22"/>
                <w:szCs w:val="22"/>
              </w:rPr>
              <w:t> </w:t>
            </w:r>
          </w:p>
        </w:tc>
        <w:tc>
          <w:tcPr>
            <w:tcW w:w="1980" w:type="dxa"/>
            <w:tcBorders>
              <w:top w:val="nil"/>
              <w:left w:val="nil"/>
              <w:bottom w:val="single" w:sz="6" w:space="0" w:color="auto"/>
              <w:right w:val="single" w:sz="6" w:space="0" w:color="auto"/>
            </w:tcBorders>
            <w:shd w:val="clear" w:color="auto" w:fill="auto"/>
            <w:vAlign w:val="bottom"/>
            <w:hideMark/>
          </w:tcPr>
          <w:p w14:paraId="0011204E" w14:textId="77777777" w:rsidR="00FE1A20" w:rsidRPr="00CD523F" w:rsidRDefault="00FE1A20" w:rsidP="00815DAE">
            <w:pPr>
              <w:jc w:val="center"/>
              <w:textAlignment w:val="baseline"/>
            </w:pPr>
            <w:r w:rsidRPr="00CD523F">
              <w:rPr>
                <w:b/>
                <w:bCs/>
                <w:sz w:val="22"/>
                <w:szCs w:val="22"/>
              </w:rPr>
              <w:t>Total</w:t>
            </w:r>
            <w:r w:rsidRPr="00CD523F">
              <w:rPr>
                <w:sz w:val="22"/>
                <w:szCs w:val="22"/>
              </w:rPr>
              <w:t> </w:t>
            </w:r>
          </w:p>
        </w:tc>
      </w:tr>
      <w:tr w:rsidR="00FE1A20" w:rsidRPr="00CD523F" w14:paraId="4D12D04D" w14:textId="77777777" w:rsidTr="00815DAE">
        <w:trPr>
          <w:trHeight w:val="135"/>
        </w:trPr>
        <w:tc>
          <w:tcPr>
            <w:tcW w:w="2114" w:type="dxa"/>
            <w:tcBorders>
              <w:top w:val="nil"/>
              <w:left w:val="single" w:sz="6" w:space="0" w:color="auto"/>
              <w:bottom w:val="single" w:sz="6" w:space="0" w:color="auto"/>
              <w:right w:val="single" w:sz="6" w:space="0" w:color="auto"/>
            </w:tcBorders>
            <w:shd w:val="clear" w:color="auto" w:fill="auto"/>
            <w:vAlign w:val="bottom"/>
            <w:hideMark/>
          </w:tcPr>
          <w:p w14:paraId="24A3AA8A" w14:textId="77777777" w:rsidR="00FE1A20" w:rsidRPr="00CD523F" w:rsidRDefault="00FE1A20" w:rsidP="00815DAE">
            <w:pPr>
              <w:textAlignment w:val="baseline"/>
            </w:pPr>
            <w:r w:rsidRPr="00CD523F">
              <w:rPr>
                <w:sz w:val="22"/>
                <w:szCs w:val="22"/>
              </w:rPr>
              <w:t>Central City </w:t>
            </w:r>
          </w:p>
        </w:tc>
        <w:tc>
          <w:tcPr>
            <w:tcW w:w="1590" w:type="dxa"/>
            <w:tcBorders>
              <w:top w:val="nil"/>
              <w:left w:val="nil"/>
              <w:bottom w:val="single" w:sz="6" w:space="0" w:color="auto"/>
              <w:right w:val="single" w:sz="6" w:space="0" w:color="auto"/>
            </w:tcBorders>
            <w:shd w:val="clear" w:color="auto" w:fill="auto"/>
            <w:vAlign w:val="bottom"/>
            <w:hideMark/>
          </w:tcPr>
          <w:p w14:paraId="35D22EA0" w14:textId="77777777" w:rsidR="00FE1A20" w:rsidRPr="00CD523F" w:rsidRDefault="00FE1A20" w:rsidP="00815DAE">
            <w:pPr>
              <w:jc w:val="right"/>
              <w:textAlignment w:val="baseline"/>
            </w:pPr>
            <w:r w:rsidRPr="00CD523F">
              <w:rPr>
                <w:sz w:val="22"/>
                <w:szCs w:val="22"/>
              </w:rPr>
              <w:t>4,621 </w:t>
            </w:r>
          </w:p>
        </w:tc>
        <w:tc>
          <w:tcPr>
            <w:tcW w:w="1830" w:type="dxa"/>
            <w:tcBorders>
              <w:top w:val="nil"/>
              <w:left w:val="nil"/>
              <w:bottom w:val="single" w:sz="6" w:space="0" w:color="auto"/>
              <w:right w:val="single" w:sz="6" w:space="0" w:color="auto"/>
            </w:tcBorders>
            <w:shd w:val="clear" w:color="auto" w:fill="auto"/>
            <w:vAlign w:val="bottom"/>
            <w:hideMark/>
          </w:tcPr>
          <w:p w14:paraId="5B537655" w14:textId="77777777" w:rsidR="00FE1A20" w:rsidRPr="00CD523F" w:rsidRDefault="00FE1A20" w:rsidP="00815DAE">
            <w:pPr>
              <w:jc w:val="right"/>
              <w:textAlignment w:val="baseline"/>
            </w:pPr>
            <w:r w:rsidRPr="00CD523F">
              <w:rPr>
                <w:sz w:val="22"/>
                <w:szCs w:val="22"/>
              </w:rPr>
              <w:t>1,070 </w:t>
            </w:r>
          </w:p>
        </w:tc>
        <w:tc>
          <w:tcPr>
            <w:tcW w:w="1830" w:type="dxa"/>
            <w:tcBorders>
              <w:top w:val="nil"/>
              <w:left w:val="nil"/>
              <w:bottom w:val="single" w:sz="6" w:space="0" w:color="auto"/>
              <w:right w:val="single" w:sz="6" w:space="0" w:color="auto"/>
            </w:tcBorders>
            <w:shd w:val="clear" w:color="auto" w:fill="auto"/>
            <w:vAlign w:val="bottom"/>
            <w:hideMark/>
          </w:tcPr>
          <w:p w14:paraId="2BEF7C4A" w14:textId="77777777" w:rsidR="00FE1A20" w:rsidRPr="00CD523F" w:rsidRDefault="00FE1A20" w:rsidP="00815DAE">
            <w:pPr>
              <w:jc w:val="right"/>
              <w:textAlignment w:val="baseline"/>
            </w:pPr>
            <w:r w:rsidRPr="00CD523F">
              <w:rPr>
                <w:sz w:val="22"/>
                <w:szCs w:val="22"/>
              </w:rPr>
              <w:t>2,555 </w:t>
            </w:r>
          </w:p>
        </w:tc>
        <w:tc>
          <w:tcPr>
            <w:tcW w:w="1980" w:type="dxa"/>
            <w:tcBorders>
              <w:top w:val="nil"/>
              <w:left w:val="nil"/>
              <w:bottom w:val="single" w:sz="6" w:space="0" w:color="auto"/>
              <w:right w:val="single" w:sz="6" w:space="0" w:color="auto"/>
            </w:tcBorders>
            <w:shd w:val="clear" w:color="auto" w:fill="auto"/>
            <w:vAlign w:val="bottom"/>
            <w:hideMark/>
          </w:tcPr>
          <w:p w14:paraId="1D7FDB75" w14:textId="77777777" w:rsidR="00FE1A20" w:rsidRPr="00CD523F" w:rsidRDefault="00FE1A20" w:rsidP="00815DAE">
            <w:pPr>
              <w:jc w:val="right"/>
              <w:textAlignment w:val="baseline"/>
            </w:pPr>
            <w:r w:rsidRPr="00CD523F">
              <w:rPr>
                <w:sz w:val="22"/>
                <w:szCs w:val="22"/>
              </w:rPr>
              <w:t>8,246 </w:t>
            </w:r>
          </w:p>
        </w:tc>
      </w:tr>
      <w:tr w:rsidR="00FE1A20" w:rsidRPr="00CD523F" w14:paraId="12BD2131" w14:textId="77777777" w:rsidTr="00815DAE">
        <w:trPr>
          <w:trHeight w:val="135"/>
        </w:trPr>
        <w:tc>
          <w:tcPr>
            <w:tcW w:w="2114" w:type="dxa"/>
            <w:tcBorders>
              <w:top w:val="nil"/>
              <w:left w:val="single" w:sz="6" w:space="0" w:color="auto"/>
              <w:bottom w:val="single" w:sz="6" w:space="0" w:color="auto"/>
              <w:right w:val="single" w:sz="6" w:space="0" w:color="auto"/>
            </w:tcBorders>
            <w:shd w:val="clear" w:color="auto" w:fill="auto"/>
            <w:hideMark/>
          </w:tcPr>
          <w:p w14:paraId="65CDE7AC" w14:textId="77777777" w:rsidR="00FE1A20" w:rsidRPr="00CD523F" w:rsidRDefault="00FE1A20" w:rsidP="00815DAE">
            <w:pPr>
              <w:textAlignment w:val="baseline"/>
            </w:pPr>
            <w:r w:rsidRPr="00CD523F">
              <w:rPr>
                <w:sz w:val="22"/>
                <w:szCs w:val="22"/>
              </w:rPr>
              <w:t>Suburban </w:t>
            </w:r>
          </w:p>
        </w:tc>
        <w:tc>
          <w:tcPr>
            <w:tcW w:w="1590" w:type="dxa"/>
            <w:tcBorders>
              <w:top w:val="nil"/>
              <w:left w:val="nil"/>
              <w:bottom w:val="single" w:sz="6" w:space="0" w:color="auto"/>
              <w:right w:val="single" w:sz="6" w:space="0" w:color="auto"/>
            </w:tcBorders>
            <w:shd w:val="clear" w:color="auto" w:fill="auto"/>
            <w:vAlign w:val="bottom"/>
            <w:hideMark/>
          </w:tcPr>
          <w:p w14:paraId="273D9930" w14:textId="77777777" w:rsidR="00FE1A20" w:rsidRPr="00CD523F" w:rsidRDefault="00FE1A20" w:rsidP="00815DAE">
            <w:pPr>
              <w:jc w:val="right"/>
              <w:textAlignment w:val="baseline"/>
            </w:pPr>
            <w:r w:rsidRPr="00CD523F">
              <w:rPr>
                <w:sz w:val="22"/>
                <w:szCs w:val="22"/>
              </w:rPr>
              <w:t>4,649 </w:t>
            </w:r>
          </w:p>
        </w:tc>
        <w:tc>
          <w:tcPr>
            <w:tcW w:w="1830" w:type="dxa"/>
            <w:tcBorders>
              <w:top w:val="nil"/>
              <w:left w:val="nil"/>
              <w:bottom w:val="single" w:sz="6" w:space="0" w:color="auto"/>
              <w:right w:val="single" w:sz="6" w:space="0" w:color="auto"/>
            </w:tcBorders>
            <w:shd w:val="clear" w:color="auto" w:fill="auto"/>
            <w:vAlign w:val="bottom"/>
            <w:hideMark/>
          </w:tcPr>
          <w:p w14:paraId="012A88E7" w14:textId="77777777" w:rsidR="00FE1A20" w:rsidRPr="00CD523F" w:rsidRDefault="00FE1A20" w:rsidP="00815DAE">
            <w:pPr>
              <w:jc w:val="right"/>
              <w:textAlignment w:val="baseline"/>
            </w:pPr>
            <w:r w:rsidRPr="00CD523F">
              <w:rPr>
                <w:sz w:val="22"/>
                <w:szCs w:val="22"/>
              </w:rPr>
              <w:t>854 </w:t>
            </w:r>
          </w:p>
        </w:tc>
        <w:tc>
          <w:tcPr>
            <w:tcW w:w="1830" w:type="dxa"/>
            <w:tcBorders>
              <w:top w:val="nil"/>
              <w:left w:val="nil"/>
              <w:bottom w:val="single" w:sz="6" w:space="0" w:color="auto"/>
              <w:right w:val="single" w:sz="6" w:space="0" w:color="auto"/>
            </w:tcBorders>
            <w:shd w:val="clear" w:color="auto" w:fill="auto"/>
            <w:vAlign w:val="bottom"/>
            <w:hideMark/>
          </w:tcPr>
          <w:p w14:paraId="57D2BDD0" w14:textId="77777777" w:rsidR="00FE1A20" w:rsidRPr="00CD523F" w:rsidRDefault="00FE1A20" w:rsidP="00815DAE">
            <w:pPr>
              <w:jc w:val="right"/>
              <w:textAlignment w:val="baseline"/>
            </w:pPr>
            <w:r w:rsidRPr="00CD523F">
              <w:rPr>
                <w:sz w:val="22"/>
                <w:szCs w:val="22"/>
              </w:rPr>
              <w:t>2,903 </w:t>
            </w:r>
          </w:p>
        </w:tc>
        <w:tc>
          <w:tcPr>
            <w:tcW w:w="1980" w:type="dxa"/>
            <w:tcBorders>
              <w:top w:val="nil"/>
              <w:left w:val="nil"/>
              <w:bottom w:val="single" w:sz="6" w:space="0" w:color="auto"/>
              <w:right w:val="single" w:sz="6" w:space="0" w:color="auto"/>
            </w:tcBorders>
            <w:shd w:val="clear" w:color="auto" w:fill="auto"/>
            <w:vAlign w:val="bottom"/>
            <w:hideMark/>
          </w:tcPr>
          <w:p w14:paraId="4AC8C1BC" w14:textId="77777777" w:rsidR="00FE1A20" w:rsidRPr="00CD523F" w:rsidRDefault="00FE1A20" w:rsidP="00815DAE">
            <w:pPr>
              <w:jc w:val="right"/>
              <w:textAlignment w:val="baseline"/>
            </w:pPr>
            <w:r w:rsidRPr="00CD523F">
              <w:rPr>
                <w:sz w:val="22"/>
                <w:szCs w:val="22"/>
              </w:rPr>
              <w:t>8,406 </w:t>
            </w:r>
          </w:p>
        </w:tc>
      </w:tr>
      <w:tr w:rsidR="00FE1A20" w:rsidRPr="00CD523F" w14:paraId="5537B2D9" w14:textId="77777777" w:rsidTr="00815DAE">
        <w:trPr>
          <w:trHeight w:val="135"/>
        </w:trPr>
        <w:tc>
          <w:tcPr>
            <w:tcW w:w="2114" w:type="dxa"/>
            <w:tcBorders>
              <w:top w:val="nil"/>
              <w:left w:val="single" w:sz="6" w:space="0" w:color="auto"/>
              <w:bottom w:val="single" w:sz="6" w:space="0" w:color="auto"/>
              <w:right w:val="single" w:sz="6" w:space="0" w:color="auto"/>
            </w:tcBorders>
            <w:shd w:val="clear" w:color="auto" w:fill="auto"/>
            <w:hideMark/>
          </w:tcPr>
          <w:p w14:paraId="7CAF0ABF" w14:textId="77777777" w:rsidR="00FE1A20" w:rsidRPr="00CD523F" w:rsidRDefault="00FE1A20" w:rsidP="00815DAE">
            <w:pPr>
              <w:textAlignment w:val="baseline"/>
            </w:pPr>
            <w:r w:rsidRPr="00CD523F">
              <w:rPr>
                <w:sz w:val="22"/>
                <w:szCs w:val="22"/>
              </w:rPr>
              <w:t>Town </w:t>
            </w:r>
          </w:p>
        </w:tc>
        <w:tc>
          <w:tcPr>
            <w:tcW w:w="1590" w:type="dxa"/>
            <w:tcBorders>
              <w:top w:val="nil"/>
              <w:left w:val="nil"/>
              <w:bottom w:val="single" w:sz="6" w:space="0" w:color="auto"/>
              <w:right w:val="single" w:sz="6" w:space="0" w:color="auto"/>
            </w:tcBorders>
            <w:shd w:val="clear" w:color="auto" w:fill="auto"/>
            <w:vAlign w:val="bottom"/>
            <w:hideMark/>
          </w:tcPr>
          <w:p w14:paraId="623C3932" w14:textId="77777777" w:rsidR="00FE1A20" w:rsidRPr="00CD523F" w:rsidRDefault="00FE1A20" w:rsidP="00815DAE">
            <w:pPr>
              <w:jc w:val="right"/>
              <w:textAlignment w:val="baseline"/>
            </w:pPr>
            <w:r w:rsidRPr="00CD523F">
              <w:rPr>
                <w:sz w:val="22"/>
                <w:szCs w:val="22"/>
              </w:rPr>
              <w:t>1,234 </w:t>
            </w:r>
          </w:p>
        </w:tc>
        <w:tc>
          <w:tcPr>
            <w:tcW w:w="1830" w:type="dxa"/>
            <w:tcBorders>
              <w:top w:val="nil"/>
              <w:left w:val="nil"/>
              <w:bottom w:val="single" w:sz="6" w:space="0" w:color="auto"/>
              <w:right w:val="single" w:sz="6" w:space="0" w:color="auto"/>
            </w:tcBorders>
            <w:shd w:val="clear" w:color="auto" w:fill="auto"/>
            <w:vAlign w:val="bottom"/>
            <w:hideMark/>
          </w:tcPr>
          <w:p w14:paraId="3B6B1E16" w14:textId="77777777" w:rsidR="00FE1A20" w:rsidRPr="00CD523F" w:rsidRDefault="00FE1A20" w:rsidP="00815DAE">
            <w:pPr>
              <w:jc w:val="right"/>
              <w:textAlignment w:val="baseline"/>
            </w:pPr>
            <w:r w:rsidRPr="00CD523F">
              <w:rPr>
                <w:sz w:val="22"/>
                <w:szCs w:val="22"/>
              </w:rPr>
              <w:t>148 </w:t>
            </w:r>
          </w:p>
        </w:tc>
        <w:tc>
          <w:tcPr>
            <w:tcW w:w="1830" w:type="dxa"/>
            <w:tcBorders>
              <w:top w:val="nil"/>
              <w:left w:val="nil"/>
              <w:bottom w:val="single" w:sz="6" w:space="0" w:color="auto"/>
              <w:right w:val="single" w:sz="6" w:space="0" w:color="auto"/>
            </w:tcBorders>
            <w:shd w:val="clear" w:color="auto" w:fill="auto"/>
            <w:vAlign w:val="bottom"/>
            <w:hideMark/>
          </w:tcPr>
          <w:p w14:paraId="176E138D" w14:textId="77777777" w:rsidR="00FE1A20" w:rsidRPr="00CD523F" w:rsidRDefault="00FE1A20" w:rsidP="00815DAE">
            <w:pPr>
              <w:jc w:val="right"/>
              <w:textAlignment w:val="baseline"/>
            </w:pPr>
            <w:r w:rsidRPr="00CD523F">
              <w:rPr>
                <w:sz w:val="22"/>
                <w:szCs w:val="22"/>
              </w:rPr>
              <w:t>731 </w:t>
            </w:r>
          </w:p>
        </w:tc>
        <w:tc>
          <w:tcPr>
            <w:tcW w:w="1980" w:type="dxa"/>
            <w:tcBorders>
              <w:top w:val="nil"/>
              <w:left w:val="nil"/>
              <w:bottom w:val="single" w:sz="6" w:space="0" w:color="auto"/>
              <w:right w:val="single" w:sz="6" w:space="0" w:color="auto"/>
            </w:tcBorders>
            <w:shd w:val="clear" w:color="auto" w:fill="auto"/>
            <w:vAlign w:val="bottom"/>
            <w:hideMark/>
          </w:tcPr>
          <w:p w14:paraId="74F0CEBA" w14:textId="77777777" w:rsidR="00FE1A20" w:rsidRPr="00CD523F" w:rsidRDefault="00FE1A20" w:rsidP="00815DAE">
            <w:pPr>
              <w:jc w:val="right"/>
              <w:textAlignment w:val="baseline"/>
            </w:pPr>
            <w:r w:rsidRPr="00CD523F">
              <w:rPr>
                <w:sz w:val="22"/>
                <w:szCs w:val="22"/>
              </w:rPr>
              <w:t>2,113 </w:t>
            </w:r>
          </w:p>
        </w:tc>
      </w:tr>
      <w:tr w:rsidR="00FE1A20" w:rsidRPr="00CD523F" w14:paraId="39A9628F" w14:textId="77777777" w:rsidTr="00815DAE">
        <w:trPr>
          <w:trHeight w:val="135"/>
        </w:trPr>
        <w:tc>
          <w:tcPr>
            <w:tcW w:w="2114" w:type="dxa"/>
            <w:tcBorders>
              <w:top w:val="nil"/>
              <w:left w:val="single" w:sz="6" w:space="0" w:color="auto"/>
              <w:bottom w:val="single" w:sz="6" w:space="0" w:color="auto"/>
              <w:right w:val="single" w:sz="6" w:space="0" w:color="auto"/>
            </w:tcBorders>
            <w:shd w:val="clear" w:color="auto" w:fill="auto"/>
            <w:hideMark/>
          </w:tcPr>
          <w:p w14:paraId="54D523A5" w14:textId="77777777" w:rsidR="00FE1A20" w:rsidRPr="00CD523F" w:rsidRDefault="00FE1A20" w:rsidP="00815DAE">
            <w:pPr>
              <w:textAlignment w:val="baseline"/>
            </w:pPr>
            <w:r w:rsidRPr="00CD523F">
              <w:rPr>
                <w:sz w:val="22"/>
                <w:szCs w:val="22"/>
              </w:rPr>
              <w:t>Rural </w:t>
            </w:r>
          </w:p>
        </w:tc>
        <w:tc>
          <w:tcPr>
            <w:tcW w:w="1590" w:type="dxa"/>
            <w:tcBorders>
              <w:top w:val="nil"/>
              <w:left w:val="nil"/>
              <w:bottom w:val="single" w:sz="6" w:space="0" w:color="auto"/>
              <w:right w:val="single" w:sz="6" w:space="0" w:color="auto"/>
            </w:tcBorders>
            <w:shd w:val="clear" w:color="auto" w:fill="auto"/>
            <w:vAlign w:val="bottom"/>
            <w:hideMark/>
          </w:tcPr>
          <w:p w14:paraId="0FC5519A" w14:textId="77777777" w:rsidR="00FE1A20" w:rsidRPr="00CD523F" w:rsidRDefault="00FE1A20" w:rsidP="00815DAE">
            <w:pPr>
              <w:jc w:val="right"/>
              <w:textAlignment w:val="baseline"/>
            </w:pPr>
            <w:r w:rsidRPr="00CD523F">
              <w:rPr>
                <w:sz w:val="22"/>
                <w:szCs w:val="22"/>
              </w:rPr>
              <w:t>2,735 </w:t>
            </w:r>
          </w:p>
        </w:tc>
        <w:tc>
          <w:tcPr>
            <w:tcW w:w="1830" w:type="dxa"/>
            <w:tcBorders>
              <w:top w:val="nil"/>
              <w:left w:val="nil"/>
              <w:bottom w:val="single" w:sz="6" w:space="0" w:color="auto"/>
              <w:right w:val="single" w:sz="6" w:space="0" w:color="auto"/>
            </w:tcBorders>
            <w:shd w:val="clear" w:color="auto" w:fill="auto"/>
            <w:vAlign w:val="bottom"/>
            <w:hideMark/>
          </w:tcPr>
          <w:p w14:paraId="1FD84090" w14:textId="77777777" w:rsidR="00FE1A20" w:rsidRPr="00CD523F" w:rsidRDefault="00FE1A20" w:rsidP="00815DAE">
            <w:pPr>
              <w:jc w:val="right"/>
              <w:textAlignment w:val="baseline"/>
            </w:pPr>
            <w:r w:rsidRPr="00CD523F">
              <w:rPr>
                <w:sz w:val="22"/>
                <w:szCs w:val="22"/>
              </w:rPr>
              <w:t>447 </w:t>
            </w:r>
          </w:p>
        </w:tc>
        <w:tc>
          <w:tcPr>
            <w:tcW w:w="1830" w:type="dxa"/>
            <w:tcBorders>
              <w:top w:val="nil"/>
              <w:left w:val="nil"/>
              <w:bottom w:val="single" w:sz="6" w:space="0" w:color="auto"/>
              <w:right w:val="single" w:sz="6" w:space="0" w:color="auto"/>
            </w:tcBorders>
            <w:shd w:val="clear" w:color="auto" w:fill="auto"/>
            <w:vAlign w:val="bottom"/>
            <w:hideMark/>
          </w:tcPr>
          <w:p w14:paraId="46318FF5" w14:textId="77777777" w:rsidR="00FE1A20" w:rsidRPr="00CD523F" w:rsidRDefault="00FE1A20" w:rsidP="00815DAE">
            <w:pPr>
              <w:jc w:val="right"/>
              <w:textAlignment w:val="baseline"/>
            </w:pPr>
            <w:r w:rsidRPr="00CD523F">
              <w:rPr>
                <w:sz w:val="22"/>
                <w:szCs w:val="22"/>
              </w:rPr>
              <w:t>1,882 </w:t>
            </w:r>
          </w:p>
        </w:tc>
        <w:tc>
          <w:tcPr>
            <w:tcW w:w="1980" w:type="dxa"/>
            <w:tcBorders>
              <w:top w:val="nil"/>
              <w:left w:val="nil"/>
              <w:bottom w:val="single" w:sz="6" w:space="0" w:color="auto"/>
              <w:right w:val="single" w:sz="6" w:space="0" w:color="auto"/>
            </w:tcBorders>
            <w:shd w:val="clear" w:color="auto" w:fill="auto"/>
            <w:vAlign w:val="bottom"/>
            <w:hideMark/>
          </w:tcPr>
          <w:p w14:paraId="766C73F5" w14:textId="77777777" w:rsidR="00FE1A20" w:rsidRPr="00CD523F" w:rsidRDefault="00FE1A20" w:rsidP="00815DAE">
            <w:pPr>
              <w:jc w:val="right"/>
              <w:textAlignment w:val="baseline"/>
            </w:pPr>
            <w:r w:rsidRPr="00CD523F">
              <w:rPr>
                <w:sz w:val="22"/>
                <w:szCs w:val="22"/>
              </w:rPr>
              <w:t>5,064 </w:t>
            </w:r>
          </w:p>
        </w:tc>
      </w:tr>
      <w:tr w:rsidR="00FE1A20" w:rsidRPr="00CD523F" w14:paraId="67A14200" w14:textId="77777777" w:rsidTr="00815DAE">
        <w:trPr>
          <w:trHeight w:val="135"/>
        </w:trPr>
        <w:tc>
          <w:tcPr>
            <w:tcW w:w="2114" w:type="dxa"/>
            <w:tcBorders>
              <w:top w:val="nil"/>
              <w:left w:val="single" w:sz="6" w:space="0" w:color="auto"/>
              <w:bottom w:val="single" w:sz="6" w:space="0" w:color="auto"/>
              <w:right w:val="single" w:sz="6" w:space="0" w:color="auto"/>
            </w:tcBorders>
            <w:shd w:val="clear" w:color="auto" w:fill="auto"/>
            <w:vAlign w:val="bottom"/>
            <w:hideMark/>
          </w:tcPr>
          <w:p w14:paraId="3236D8CC" w14:textId="77777777" w:rsidR="00FE1A20" w:rsidRPr="00CD523F" w:rsidRDefault="00FE1A20" w:rsidP="00815DAE">
            <w:pPr>
              <w:textAlignment w:val="baseline"/>
              <w:rPr>
                <w:b/>
              </w:rPr>
            </w:pPr>
            <w:r w:rsidRPr="00CD523F">
              <w:rPr>
                <w:b/>
                <w:sz w:val="22"/>
                <w:szCs w:val="22"/>
              </w:rPr>
              <w:t>Total </w:t>
            </w:r>
          </w:p>
        </w:tc>
        <w:tc>
          <w:tcPr>
            <w:tcW w:w="1590" w:type="dxa"/>
            <w:tcBorders>
              <w:top w:val="nil"/>
              <w:left w:val="nil"/>
              <w:bottom w:val="single" w:sz="6" w:space="0" w:color="auto"/>
              <w:right w:val="single" w:sz="6" w:space="0" w:color="auto"/>
            </w:tcBorders>
            <w:shd w:val="clear" w:color="auto" w:fill="auto"/>
            <w:vAlign w:val="bottom"/>
            <w:hideMark/>
          </w:tcPr>
          <w:p w14:paraId="7D27E392" w14:textId="77777777" w:rsidR="00FE1A20" w:rsidRPr="00CD523F" w:rsidRDefault="00FE1A20" w:rsidP="00815DAE">
            <w:pPr>
              <w:jc w:val="right"/>
              <w:textAlignment w:val="baseline"/>
              <w:rPr>
                <w:b/>
              </w:rPr>
            </w:pPr>
            <w:r w:rsidRPr="00CD523F">
              <w:rPr>
                <w:b/>
                <w:sz w:val="22"/>
                <w:szCs w:val="22"/>
              </w:rPr>
              <w:t>13,239 </w:t>
            </w:r>
          </w:p>
        </w:tc>
        <w:tc>
          <w:tcPr>
            <w:tcW w:w="1830" w:type="dxa"/>
            <w:tcBorders>
              <w:top w:val="nil"/>
              <w:left w:val="nil"/>
              <w:bottom w:val="single" w:sz="6" w:space="0" w:color="auto"/>
              <w:right w:val="single" w:sz="6" w:space="0" w:color="auto"/>
            </w:tcBorders>
            <w:shd w:val="clear" w:color="auto" w:fill="auto"/>
            <w:vAlign w:val="bottom"/>
            <w:hideMark/>
          </w:tcPr>
          <w:p w14:paraId="7E525398" w14:textId="77777777" w:rsidR="00FE1A20" w:rsidRPr="00CD523F" w:rsidRDefault="00FE1A20" w:rsidP="00815DAE">
            <w:pPr>
              <w:jc w:val="right"/>
              <w:textAlignment w:val="baseline"/>
              <w:rPr>
                <w:b/>
              </w:rPr>
            </w:pPr>
            <w:r w:rsidRPr="00CD523F">
              <w:rPr>
                <w:b/>
                <w:sz w:val="22"/>
                <w:szCs w:val="22"/>
              </w:rPr>
              <w:t>2,519 </w:t>
            </w:r>
          </w:p>
        </w:tc>
        <w:tc>
          <w:tcPr>
            <w:tcW w:w="1830" w:type="dxa"/>
            <w:tcBorders>
              <w:top w:val="nil"/>
              <w:left w:val="nil"/>
              <w:bottom w:val="single" w:sz="6" w:space="0" w:color="auto"/>
              <w:right w:val="single" w:sz="6" w:space="0" w:color="auto"/>
            </w:tcBorders>
            <w:shd w:val="clear" w:color="auto" w:fill="auto"/>
            <w:vAlign w:val="bottom"/>
            <w:hideMark/>
          </w:tcPr>
          <w:p w14:paraId="375DDC4A" w14:textId="77777777" w:rsidR="00FE1A20" w:rsidRPr="00CD523F" w:rsidRDefault="00FE1A20" w:rsidP="00815DAE">
            <w:pPr>
              <w:jc w:val="right"/>
              <w:textAlignment w:val="baseline"/>
              <w:rPr>
                <w:b/>
              </w:rPr>
            </w:pPr>
            <w:r w:rsidRPr="00CD523F">
              <w:rPr>
                <w:b/>
                <w:sz w:val="22"/>
                <w:szCs w:val="22"/>
              </w:rPr>
              <w:t>8,071 </w:t>
            </w:r>
          </w:p>
        </w:tc>
        <w:tc>
          <w:tcPr>
            <w:tcW w:w="1980" w:type="dxa"/>
            <w:tcBorders>
              <w:top w:val="nil"/>
              <w:left w:val="nil"/>
              <w:bottom w:val="single" w:sz="6" w:space="0" w:color="auto"/>
              <w:right w:val="single" w:sz="6" w:space="0" w:color="auto"/>
            </w:tcBorders>
            <w:shd w:val="clear" w:color="auto" w:fill="auto"/>
            <w:vAlign w:val="bottom"/>
            <w:hideMark/>
          </w:tcPr>
          <w:p w14:paraId="26D8D648" w14:textId="77777777" w:rsidR="00FE1A20" w:rsidRPr="00CD523F" w:rsidRDefault="00FE1A20" w:rsidP="00815DAE">
            <w:pPr>
              <w:jc w:val="right"/>
              <w:textAlignment w:val="baseline"/>
              <w:rPr>
                <w:b/>
              </w:rPr>
            </w:pPr>
            <w:r w:rsidRPr="00CD523F">
              <w:rPr>
                <w:b/>
                <w:sz w:val="22"/>
                <w:szCs w:val="22"/>
              </w:rPr>
              <w:t>23,829 </w:t>
            </w:r>
          </w:p>
        </w:tc>
      </w:tr>
    </w:tbl>
    <w:p w14:paraId="1F3AF4E1" w14:textId="77777777" w:rsidR="004D5F68" w:rsidRDefault="00FE1A20" w:rsidP="00FE1A20">
      <w:pPr>
        <w:keepNext/>
        <w:tabs>
          <w:tab w:val="left" w:pos="900"/>
        </w:tabs>
        <w:spacing w:after="60"/>
        <w:ind w:left="907" w:hanging="907"/>
        <w:rPr>
          <w:sz w:val="22"/>
          <w:szCs w:val="22"/>
        </w:rPr>
      </w:pPr>
      <w:r w:rsidRPr="00CD523F">
        <w:rPr>
          <w:sz w:val="22"/>
          <w:szCs w:val="22"/>
        </w:rPr>
        <w:t>SOURCE: 2017-18 PSS.</w:t>
      </w:r>
    </w:p>
    <w:p w14:paraId="50174EB1" w14:textId="677C1B94" w:rsidR="00FE1A20" w:rsidRDefault="00FE1A20" w:rsidP="00FE1A20">
      <w:pPr>
        <w:widowControl w:val="0"/>
        <w:rPr>
          <w:highlight w:val="yellow"/>
        </w:rPr>
      </w:pPr>
    </w:p>
    <w:p w14:paraId="2E7F4622" w14:textId="7FE487E3" w:rsidR="00FE1A20" w:rsidRPr="006A39E4" w:rsidRDefault="006A39E4" w:rsidP="00FE1A20">
      <w:pPr>
        <w:spacing w:after="200"/>
        <w:rPr>
          <w:rFonts w:eastAsia="Malgun Gothic"/>
          <w:strike/>
          <w:color w:val="FF0000"/>
        </w:rPr>
      </w:pPr>
      <w:r>
        <w:rPr>
          <w:strike/>
          <w:color w:val="FF0000"/>
          <w:sz w:val="18"/>
          <w:szCs w:val="18"/>
          <w:vertAlign w:val="superscript"/>
        </w:rPr>
        <w:lastRenderedPageBreak/>
        <w:t>3</w:t>
      </w:r>
      <w:r w:rsidR="00FE1A20" w:rsidRPr="006A39E4">
        <w:rPr>
          <w:strike/>
          <w:color w:val="FF0000"/>
          <w:sz w:val="18"/>
          <w:szCs w:val="18"/>
          <w:vertAlign w:val="superscript"/>
        </w:rPr>
        <w:t xml:space="preserve"> </w:t>
      </w:r>
      <w:r w:rsidR="00FE1A20" w:rsidRPr="006A39E4">
        <w:rPr>
          <w:strike/>
          <w:color w:val="FF0000"/>
          <w:sz w:val="18"/>
          <w:szCs w:val="18"/>
        </w:rPr>
        <w:t>The definition for the school level categories may change for the NTPS 2020-21, pending a final decision from NCES about creating a consistent definition across NCES studies. If this change occurs and impacts the final sample design for the 2020-21 NTPS, NCES will submit a change request to this submis</w:t>
      </w:r>
      <w:r w:rsidR="00DF2DC5" w:rsidRPr="006A39E4">
        <w:rPr>
          <w:strike/>
          <w:color w:val="FF0000"/>
          <w:sz w:val="18"/>
          <w:szCs w:val="18"/>
        </w:rPr>
        <w:t>sion by April 2020</w:t>
      </w:r>
      <w:r w:rsidRPr="006A39E4">
        <w:rPr>
          <w:strike/>
          <w:color w:val="FF0000"/>
          <w:sz w:val="18"/>
          <w:szCs w:val="18"/>
        </w:rPr>
        <w:t>.</w:t>
      </w:r>
    </w:p>
    <w:p w14:paraId="773B9766" w14:textId="77777777" w:rsidR="004D5F68" w:rsidRPr="00FC2405" w:rsidRDefault="006A39E4" w:rsidP="006A39E4">
      <w:pPr>
        <w:pStyle w:val="ListParagraph"/>
        <w:widowControl w:val="0"/>
        <w:numPr>
          <w:ilvl w:val="0"/>
          <w:numId w:val="39"/>
        </w:numPr>
        <w:rPr>
          <w:rFonts w:ascii="Times New Roman" w:hAnsi="Times New Roman"/>
          <w:i/>
          <w:iCs/>
          <w:sz w:val="24"/>
          <w:szCs w:val="24"/>
        </w:rPr>
      </w:pPr>
      <w:r w:rsidRPr="00FC2405">
        <w:rPr>
          <w:rFonts w:ascii="Times New Roman" w:hAnsi="Times New Roman"/>
          <w:i/>
          <w:iCs/>
          <w:sz w:val="24"/>
          <w:szCs w:val="24"/>
        </w:rPr>
        <w:t xml:space="preserve">Page 8 – Because there is no longer any </w:t>
      </w:r>
      <w:r w:rsidR="00651AFE" w:rsidRPr="00FC2405">
        <w:rPr>
          <w:rFonts w:ascii="Times New Roman" w:hAnsi="Times New Roman"/>
          <w:i/>
          <w:iCs/>
          <w:sz w:val="24"/>
          <w:szCs w:val="24"/>
        </w:rPr>
        <w:t>intention</w:t>
      </w:r>
      <w:r w:rsidRPr="00FC2405">
        <w:rPr>
          <w:rFonts w:ascii="Times New Roman" w:hAnsi="Times New Roman"/>
          <w:i/>
          <w:iCs/>
          <w:sz w:val="24"/>
          <w:szCs w:val="24"/>
        </w:rPr>
        <w:t xml:space="preserve"> to change the oversampling plan for private schools, we have deleted the mention of the possibility of doing so.</w:t>
      </w:r>
    </w:p>
    <w:p w14:paraId="08B36239" w14:textId="33D115BC" w:rsidR="00FE1A20" w:rsidRPr="00F605D6" w:rsidRDefault="00FE1A20" w:rsidP="00FE1A20">
      <w:pPr>
        <w:widowControl w:val="0"/>
      </w:pPr>
    </w:p>
    <w:p w14:paraId="33F1CF40" w14:textId="77777777" w:rsidR="00FE1A20" w:rsidRPr="00751493" w:rsidRDefault="00FE1A20" w:rsidP="00FE1A20">
      <w:pPr>
        <w:pStyle w:val="L1-FlLSp12"/>
        <w:spacing w:after="120" w:line="240" w:lineRule="auto"/>
        <w:rPr>
          <w:rFonts w:ascii="Times New Roman" w:hAnsi="Times New Roman"/>
          <w:b/>
          <w:bCs/>
          <w:i/>
          <w:iCs/>
          <w:szCs w:val="24"/>
        </w:rPr>
      </w:pPr>
      <w:r w:rsidRPr="00751493">
        <w:rPr>
          <w:rFonts w:ascii="Times New Roman" w:hAnsi="Times New Roman"/>
          <w:b/>
          <w:bCs/>
          <w:i/>
          <w:iCs/>
          <w:szCs w:val="24"/>
        </w:rPr>
        <w:t>Sampling – Private Schools</w:t>
      </w:r>
    </w:p>
    <w:p w14:paraId="5EA88717" w14:textId="77777777" w:rsidR="00FE1A20" w:rsidRPr="00603DD9" w:rsidRDefault="00FE1A20" w:rsidP="00FE1A20">
      <w:pPr>
        <w:pStyle w:val="L1-FlLSp12"/>
        <w:tabs>
          <w:tab w:val="left" w:pos="720"/>
        </w:tabs>
        <w:spacing w:after="120" w:line="240" w:lineRule="auto"/>
        <w:rPr>
          <w:rFonts w:ascii="Times New Roman" w:hAnsi="Times New Roman"/>
          <w:szCs w:val="24"/>
        </w:rPr>
      </w:pPr>
      <w:r>
        <w:rPr>
          <w:rFonts w:ascii="Times New Roman" w:hAnsi="Times New Roman"/>
          <w:lang w:eastAsia="ko-KR"/>
        </w:rPr>
        <w:t>The NTPS private school sample will be roughly the same as the private school survey from Schools and Staffing Survey (SASS) 2011-12: a school sample size of 3,000 and a number of completed school interviews of about 1,750. For the 2017-18 NTPS, the sample size was 4,000 (expecting 2,266 completed school interviews) to achieve sufficient power for an embedded experiment.</w:t>
      </w:r>
    </w:p>
    <w:p w14:paraId="02536A15" w14:textId="3A0E804B" w:rsidR="00FE1A20" w:rsidRPr="006A39E4" w:rsidRDefault="005F47C2" w:rsidP="00FE1A20">
      <w:pPr>
        <w:pStyle w:val="L1-FlLSp12"/>
        <w:widowControl w:val="0"/>
        <w:spacing w:line="240" w:lineRule="auto"/>
        <w:rPr>
          <w:rFonts w:ascii="Times New Roman" w:hAnsi="Times New Roman"/>
          <w:strike/>
          <w:color w:val="FF0000"/>
          <w:szCs w:val="24"/>
        </w:rPr>
      </w:pPr>
      <w:r w:rsidRPr="00651AFE">
        <w:rPr>
          <w:rFonts w:ascii="Times New Roman" w:hAnsi="Times New Roman"/>
          <w:szCs w:val="24"/>
        </w:rPr>
        <w:t>The sampling plan</w:t>
      </w:r>
      <w:r w:rsidRPr="00651AFE">
        <w:rPr>
          <w:rFonts w:ascii="Times New Roman" w:hAnsi="Times New Roman"/>
          <w:lang w:eastAsia="ko-KR"/>
        </w:rPr>
        <w:t xml:space="preserve"> </w:t>
      </w:r>
      <w:r w:rsidRPr="00651AFE">
        <w:rPr>
          <w:rFonts w:ascii="Times New Roman" w:hAnsi="Times New Roman"/>
        </w:rPr>
        <w:t>oversamples as follows</w:t>
      </w:r>
      <w:r w:rsidRPr="006A39E4">
        <w:rPr>
          <w:rFonts w:ascii="Times New Roman" w:hAnsi="Times New Roman"/>
          <w:strike/>
          <w:color w:val="FF0000"/>
        </w:rPr>
        <w:t>, and any changes to oversampling, should they occur will be provided in a change request by April 2020</w:t>
      </w:r>
      <w:r w:rsidRPr="00651AFE">
        <w:rPr>
          <w:rFonts w:ascii="Times New Roman" w:hAnsi="Times New Roman"/>
        </w:rPr>
        <w:t>:</w:t>
      </w:r>
    </w:p>
    <w:p w14:paraId="697F5B98" w14:textId="77777777" w:rsidR="00DF2DC5" w:rsidRPr="00603DD9" w:rsidRDefault="00DF2DC5" w:rsidP="00FE1A20">
      <w:pPr>
        <w:pStyle w:val="L1-FlLSp12"/>
        <w:widowControl w:val="0"/>
        <w:spacing w:line="240" w:lineRule="auto"/>
        <w:rPr>
          <w:rFonts w:ascii="Times New Roman" w:hAnsi="Times New Roman"/>
          <w:szCs w:val="24"/>
        </w:rPr>
      </w:pPr>
    </w:p>
    <w:p w14:paraId="55194A3F" w14:textId="77777777" w:rsidR="00FE1A20" w:rsidRPr="00603DD9" w:rsidRDefault="00FE1A20" w:rsidP="00FE1A20">
      <w:pPr>
        <w:pStyle w:val="L1-FlLSp12"/>
        <w:numPr>
          <w:ilvl w:val="2"/>
          <w:numId w:val="40"/>
        </w:numPr>
        <w:spacing w:after="60" w:line="240" w:lineRule="auto"/>
        <w:ind w:left="720"/>
        <w:rPr>
          <w:rFonts w:ascii="Times New Roman" w:hAnsi="Times New Roman"/>
          <w:szCs w:val="24"/>
        </w:rPr>
      </w:pPr>
      <w:r w:rsidRPr="00603DD9">
        <w:rPr>
          <w:rFonts w:ascii="Times New Roman" w:hAnsi="Times New Roman"/>
          <w:szCs w:val="24"/>
        </w:rPr>
        <w:t>Elementary schools are sampled at a rate proportional to the measure of size;</w:t>
      </w:r>
    </w:p>
    <w:p w14:paraId="46422995" w14:textId="77777777" w:rsidR="00FE1A20" w:rsidRPr="00603DD9" w:rsidRDefault="00FE1A20" w:rsidP="00FE1A20">
      <w:pPr>
        <w:pStyle w:val="L1-FlLSp12"/>
        <w:numPr>
          <w:ilvl w:val="2"/>
          <w:numId w:val="40"/>
        </w:numPr>
        <w:spacing w:after="60" w:line="240" w:lineRule="auto"/>
        <w:ind w:left="720"/>
        <w:rPr>
          <w:rFonts w:ascii="Times New Roman" w:hAnsi="Times New Roman"/>
          <w:szCs w:val="24"/>
        </w:rPr>
      </w:pPr>
      <w:r w:rsidRPr="00603DD9">
        <w:rPr>
          <w:rFonts w:ascii="Times New Roman" w:hAnsi="Times New Roman"/>
          <w:szCs w:val="24"/>
        </w:rPr>
        <w:t>Secondary schools are sampled at a rate proportional to 3 times the measure of size;</w:t>
      </w:r>
    </w:p>
    <w:p w14:paraId="734209AD" w14:textId="77777777" w:rsidR="00FE1A20" w:rsidRPr="00603DD9" w:rsidRDefault="00FE1A20" w:rsidP="00FE1A20">
      <w:pPr>
        <w:pStyle w:val="L1-FlLSp12"/>
        <w:numPr>
          <w:ilvl w:val="2"/>
          <w:numId w:val="40"/>
        </w:numPr>
        <w:spacing w:after="60" w:line="240" w:lineRule="auto"/>
        <w:ind w:left="720"/>
        <w:rPr>
          <w:rFonts w:ascii="Times New Roman" w:hAnsi="Times New Roman"/>
          <w:szCs w:val="24"/>
        </w:rPr>
      </w:pPr>
      <w:r w:rsidRPr="00603DD9">
        <w:rPr>
          <w:rFonts w:ascii="Times New Roman" w:hAnsi="Times New Roman"/>
          <w:szCs w:val="24"/>
        </w:rPr>
        <w:t>Combined schools are sampled at a rate proportional to 1.2 times the measure of size;</w:t>
      </w:r>
    </w:p>
    <w:p w14:paraId="477A15CD" w14:textId="77777777" w:rsidR="00FE1A20" w:rsidRDefault="00FE1A20" w:rsidP="00FE1A20">
      <w:pPr>
        <w:pStyle w:val="L1-FlLSp12"/>
        <w:numPr>
          <w:ilvl w:val="2"/>
          <w:numId w:val="40"/>
        </w:numPr>
        <w:spacing w:after="60" w:line="240" w:lineRule="auto"/>
        <w:ind w:left="720"/>
        <w:rPr>
          <w:rFonts w:ascii="Times New Roman" w:hAnsi="Times New Roman"/>
          <w:szCs w:val="24"/>
        </w:rPr>
      </w:pPr>
      <w:r w:rsidRPr="00603DD9">
        <w:rPr>
          <w:rFonts w:ascii="Times New Roman" w:hAnsi="Times New Roman"/>
          <w:szCs w:val="24"/>
        </w:rPr>
        <w:t>The oversampling rates for Nonsectarian schools are increased by an additional factor of 1.25 (e.g. the oversampling rate for Nonsectarian secondary schools is 3 ×1.25 = 3.75); and</w:t>
      </w:r>
    </w:p>
    <w:p w14:paraId="31A33F4D" w14:textId="77777777" w:rsidR="00FE1A20" w:rsidRDefault="00FE1A20" w:rsidP="00FE1A20">
      <w:pPr>
        <w:pStyle w:val="L1-FlLSp12"/>
        <w:numPr>
          <w:ilvl w:val="2"/>
          <w:numId w:val="40"/>
        </w:numPr>
        <w:tabs>
          <w:tab w:val="left" w:pos="810"/>
        </w:tabs>
        <w:spacing w:after="120" w:line="240" w:lineRule="auto"/>
        <w:ind w:left="720"/>
        <w:rPr>
          <w:rFonts w:ascii="Times New Roman" w:hAnsi="Times New Roman"/>
          <w:szCs w:val="24"/>
        </w:rPr>
      </w:pPr>
      <w:r w:rsidRPr="00603DD9">
        <w:rPr>
          <w:rFonts w:ascii="Times New Roman" w:hAnsi="Times New Roman"/>
          <w:szCs w:val="24"/>
        </w:rPr>
        <w:t>The oversampling rates for Baptist schools are increased by an additional factor of 1.1 (e.g. the oversampling rate for Baptist combined schools is 1.2 ×1.1 = 1.32).</w:t>
      </w:r>
    </w:p>
    <w:sectPr w:rsidR="00FE1A20" w:rsidSect="00207E42">
      <w:headerReference w:type="even" r:id="rId12"/>
      <w:footerReference w:type="default" r:id="rId13"/>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328EC" w14:textId="77777777" w:rsidR="00E924C5" w:rsidRDefault="00E924C5">
      <w:r>
        <w:separator/>
      </w:r>
    </w:p>
  </w:endnote>
  <w:endnote w:type="continuationSeparator" w:id="0">
    <w:p w14:paraId="51C6B347" w14:textId="77777777" w:rsidR="00E924C5" w:rsidRDefault="00E924C5">
      <w:r>
        <w:continuationSeparator/>
      </w:r>
    </w:p>
  </w:endnote>
  <w:endnote w:type="continuationNotice" w:id="1">
    <w:p w14:paraId="67531F42" w14:textId="77777777" w:rsidR="00E924C5" w:rsidRDefault="00E92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33F26816" w14:textId="470574E5" w:rsidR="00B20BD3" w:rsidRDefault="00B20BD3">
        <w:pPr>
          <w:pStyle w:val="Footer"/>
          <w:jc w:val="center"/>
        </w:pPr>
        <w:r>
          <w:fldChar w:fldCharType="begin"/>
        </w:r>
        <w:r>
          <w:instrText xml:space="preserve"> PAGE   \* MERGEFORMAT </w:instrText>
        </w:r>
        <w:r>
          <w:fldChar w:fldCharType="separate"/>
        </w:r>
        <w:r w:rsidR="00240775">
          <w:rPr>
            <w:noProof/>
          </w:rPr>
          <w:t>2</w:t>
        </w:r>
        <w:r>
          <w:rPr>
            <w:noProof/>
          </w:rPr>
          <w:fldChar w:fldCharType="end"/>
        </w:r>
      </w:p>
    </w:sdtContent>
  </w:sdt>
  <w:p w14:paraId="758FEC54" w14:textId="77777777" w:rsidR="00B20BD3" w:rsidRDefault="00B20BD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DA3C1" w14:textId="77777777" w:rsidR="00E924C5" w:rsidRDefault="00E924C5">
      <w:r>
        <w:separator/>
      </w:r>
    </w:p>
  </w:footnote>
  <w:footnote w:type="continuationSeparator" w:id="0">
    <w:p w14:paraId="1BDEF188" w14:textId="77777777" w:rsidR="00E924C5" w:rsidRDefault="00E924C5">
      <w:r>
        <w:continuationSeparator/>
      </w:r>
    </w:p>
  </w:footnote>
  <w:footnote w:type="continuationNotice" w:id="1">
    <w:p w14:paraId="2B030BAB" w14:textId="77777777" w:rsidR="00E924C5" w:rsidRDefault="00E924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FDE0" w14:textId="77777777" w:rsidR="00B20BD3" w:rsidRDefault="00B20BD3">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59E"/>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AC7107"/>
    <w:multiLevelType w:val="hybridMultilevel"/>
    <w:tmpl w:val="C76A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92106F"/>
    <w:multiLevelType w:val="hybridMultilevel"/>
    <w:tmpl w:val="F76EB858"/>
    <w:lvl w:ilvl="0" w:tplc="DA56BA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F43DCF"/>
    <w:multiLevelType w:val="multilevel"/>
    <w:tmpl w:val="926E08E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720A0"/>
    <w:multiLevelType w:val="hybridMultilevel"/>
    <w:tmpl w:val="5008D67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5D81353"/>
    <w:multiLevelType w:val="hybridMultilevel"/>
    <w:tmpl w:val="2C06655A"/>
    <w:lvl w:ilvl="0" w:tplc="0F18508E">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8660C5"/>
    <w:multiLevelType w:val="hybridMultilevel"/>
    <w:tmpl w:val="561E20A4"/>
    <w:lvl w:ilvl="0" w:tplc="8F9CE946">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E6F019B"/>
    <w:multiLevelType w:val="multilevel"/>
    <w:tmpl w:val="ACE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A073B0"/>
    <w:multiLevelType w:val="hybridMultilevel"/>
    <w:tmpl w:val="0C86B9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2FC72D26"/>
    <w:multiLevelType w:val="hybridMultilevel"/>
    <w:tmpl w:val="7D0E19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EC7E44"/>
    <w:multiLevelType w:val="hybridMultilevel"/>
    <w:tmpl w:val="8D4C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E952CF9"/>
    <w:multiLevelType w:val="hybridMultilevel"/>
    <w:tmpl w:val="75165DAE"/>
    <w:lvl w:ilvl="0" w:tplc="4D8A1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DD7132"/>
    <w:multiLevelType w:val="multilevel"/>
    <w:tmpl w:val="CCD8366C"/>
    <w:lvl w:ilvl="0">
      <w:start w:val="1"/>
      <w:numFmt w:val="bullet"/>
      <w:lvlText w:val="o"/>
      <w:lvlJc w:val="left"/>
      <w:pPr>
        <w:tabs>
          <w:tab w:val="num" w:pos="2520"/>
        </w:tabs>
        <w:ind w:left="2520" w:hanging="360"/>
      </w:pPr>
      <w:rPr>
        <w:rFonts w:ascii="Courier New" w:hAnsi="Courier New"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24">
    <w:nsid w:val="41CC0037"/>
    <w:multiLevelType w:val="hybridMultilevel"/>
    <w:tmpl w:val="8AFC5AAE"/>
    <w:lvl w:ilvl="0" w:tplc="62E6A3E4">
      <w:start w:val="1"/>
      <w:numFmt w:val="bullet"/>
      <w:lvlText w:val=""/>
      <w:lvlJc w:val="left"/>
      <w:pPr>
        <w:tabs>
          <w:tab w:val="num" w:pos="360"/>
        </w:tabs>
        <w:ind w:left="360" w:hanging="360"/>
      </w:pPr>
      <w:rPr>
        <w:rFonts w:ascii="Symbol" w:hAnsi="Symbol" w:hint="default"/>
        <w:sz w:val="24"/>
      </w:rPr>
    </w:lvl>
    <w:lvl w:ilvl="1" w:tplc="E500C300">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5">
    <w:nsid w:val="42B1483D"/>
    <w:multiLevelType w:val="hybridMultilevel"/>
    <w:tmpl w:val="05E0D7C2"/>
    <w:lvl w:ilvl="0" w:tplc="0F1850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3EB4F32"/>
    <w:multiLevelType w:val="hybridMultilevel"/>
    <w:tmpl w:val="0D942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905D5"/>
    <w:multiLevelType w:val="hybridMultilevel"/>
    <w:tmpl w:val="BFEC52BC"/>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8">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496A20BE"/>
    <w:multiLevelType w:val="hybridMultilevel"/>
    <w:tmpl w:val="0EF667CE"/>
    <w:lvl w:ilvl="0" w:tplc="E22A0990">
      <w:start w:val="2004"/>
      <w:numFmt w:val="bullet"/>
      <w:lvlText w:val=""/>
      <w:lvlJc w:val="left"/>
      <w:pPr>
        <w:tabs>
          <w:tab w:val="num" w:pos="900"/>
        </w:tabs>
        <w:ind w:left="900" w:hanging="360"/>
      </w:pPr>
      <w:rPr>
        <w:rFonts w:ascii="Symbol" w:eastAsia="Times New Roman" w:hAnsi="Symbol" w:cs="Arial"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535A615C"/>
    <w:multiLevelType w:val="hybridMultilevel"/>
    <w:tmpl w:val="90BA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57D3006B"/>
    <w:multiLevelType w:val="hybridMultilevel"/>
    <w:tmpl w:val="F65A81D6"/>
    <w:lvl w:ilvl="0" w:tplc="90F80A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2F92433"/>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6C414183"/>
    <w:multiLevelType w:val="hybridMultilevel"/>
    <w:tmpl w:val="EDF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CD06B2"/>
    <w:multiLevelType w:val="hybridMultilevel"/>
    <w:tmpl w:val="2E8C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6"/>
  </w:num>
  <w:num w:numId="4">
    <w:abstractNumId w:val="37"/>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9"/>
  </w:num>
  <w:num w:numId="9">
    <w:abstractNumId w:val="14"/>
  </w:num>
  <w:num w:numId="10">
    <w:abstractNumId w:val="19"/>
  </w:num>
  <w:num w:numId="11">
    <w:abstractNumId w:val="17"/>
  </w:num>
  <w:num w:numId="12">
    <w:abstractNumId w:val="1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 w:numId="16">
    <w:abstractNumId w:val="20"/>
  </w:num>
  <w:num w:numId="17">
    <w:abstractNumId w:val="3"/>
  </w:num>
  <w:num w:numId="18">
    <w:abstractNumId w:val="1"/>
  </w:num>
  <w:num w:numId="19">
    <w:abstractNumId w:val="15"/>
  </w:num>
  <w:num w:numId="20">
    <w:abstractNumId w:val="24"/>
  </w:num>
  <w:num w:numId="21">
    <w:abstractNumId w:val="30"/>
  </w:num>
  <w:num w:numId="22">
    <w:abstractNumId w:val="27"/>
  </w:num>
  <w:num w:numId="23">
    <w:abstractNumId w:val="0"/>
  </w:num>
  <w:num w:numId="24">
    <w:abstractNumId w:val="23"/>
  </w:num>
  <w:num w:numId="25">
    <w:abstractNumId w:val="16"/>
  </w:num>
  <w:num w:numId="26">
    <w:abstractNumId w:val="10"/>
  </w:num>
  <w:num w:numId="27">
    <w:abstractNumId w:val="35"/>
  </w:num>
  <w:num w:numId="28">
    <w:abstractNumId w:val="5"/>
  </w:num>
  <w:num w:numId="29">
    <w:abstractNumId w:val="34"/>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29"/>
  </w:num>
  <w:num w:numId="33">
    <w:abstractNumId w:val="36"/>
  </w:num>
  <w:num w:numId="34">
    <w:abstractNumId w:val="13"/>
  </w:num>
  <w:num w:numId="35">
    <w:abstractNumId w:val="22"/>
  </w:num>
  <w:num w:numId="36">
    <w:abstractNumId w:val="18"/>
  </w:num>
  <w:num w:numId="37">
    <w:abstractNumId w:val="32"/>
  </w:num>
  <w:num w:numId="38">
    <w:abstractNumId w:val="21"/>
  </w:num>
  <w:num w:numId="39">
    <w:abstractNumId w:val="26"/>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2559"/>
    <w:rsid w:val="000028D2"/>
    <w:rsid w:val="00003171"/>
    <w:rsid w:val="00004942"/>
    <w:rsid w:val="000148E5"/>
    <w:rsid w:val="00015F74"/>
    <w:rsid w:val="00016E97"/>
    <w:rsid w:val="00016F48"/>
    <w:rsid w:val="00021520"/>
    <w:rsid w:val="000227D8"/>
    <w:rsid w:val="000237B6"/>
    <w:rsid w:val="00026D24"/>
    <w:rsid w:val="00034778"/>
    <w:rsid w:val="00034BCE"/>
    <w:rsid w:val="000360AA"/>
    <w:rsid w:val="00037B40"/>
    <w:rsid w:val="00040175"/>
    <w:rsid w:val="00040975"/>
    <w:rsid w:val="000409A3"/>
    <w:rsid w:val="00040BC2"/>
    <w:rsid w:val="00043BAF"/>
    <w:rsid w:val="0004519B"/>
    <w:rsid w:val="000520EB"/>
    <w:rsid w:val="0005249A"/>
    <w:rsid w:val="00052FD5"/>
    <w:rsid w:val="000537AA"/>
    <w:rsid w:val="00054505"/>
    <w:rsid w:val="0005595A"/>
    <w:rsid w:val="0005668B"/>
    <w:rsid w:val="000623E3"/>
    <w:rsid w:val="000642A2"/>
    <w:rsid w:val="000650B2"/>
    <w:rsid w:val="00071633"/>
    <w:rsid w:val="0007293E"/>
    <w:rsid w:val="00073EA3"/>
    <w:rsid w:val="00075654"/>
    <w:rsid w:val="0007600F"/>
    <w:rsid w:val="00080A18"/>
    <w:rsid w:val="0008164A"/>
    <w:rsid w:val="00081989"/>
    <w:rsid w:val="00081A1A"/>
    <w:rsid w:val="00084F1D"/>
    <w:rsid w:val="0008530A"/>
    <w:rsid w:val="00085D18"/>
    <w:rsid w:val="00086C1B"/>
    <w:rsid w:val="00087175"/>
    <w:rsid w:val="000910F8"/>
    <w:rsid w:val="00092D40"/>
    <w:rsid w:val="000935F8"/>
    <w:rsid w:val="0009624B"/>
    <w:rsid w:val="00097642"/>
    <w:rsid w:val="000A2BC2"/>
    <w:rsid w:val="000A2EB9"/>
    <w:rsid w:val="000A361F"/>
    <w:rsid w:val="000A3E8C"/>
    <w:rsid w:val="000A64CB"/>
    <w:rsid w:val="000A65A0"/>
    <w:rsid w:val="000B559B"/>
    <w:rsid w:val="000B6FFB"/>
    <w:rsid w:val="000C14F8"/>
    <w:rsid w:val="000C6B30"/>
    <w:rsid w:val="000C6FF1"/>
    <w:rsid w:val="000C7907"/>
    <w:rsid w:val="000D00E3"/>
    <w:rsid w:val="000D2D03"/>
    <w:rsid w:val="000D740B"/>
    <w:rsid w:val="000E20DB"/>
    <w:rsid w:val="000E3482"/>
    <w:rsid w:val="000E3EE7"/>
    <w:rsid w:val="000E4457"/>
    <w:rsid w:val="000E462B"/>
    <w:rsid w:val="000E6B74"/>
    <w:rsid w:val="000F0F6C"/>
    <w:rsid w:val="000F1D53"/>
    <w:rsid w:val="00100049"/>
    <w:rsid w:val="001022E0"/>
    <w:rsid w:val="001035AF"/>
    <w:rsid w:val="0011040D"/>
    <w:rsid w:val="001104B5"/>
    <w:rsid w:val="001106E4"/>
    <w:rsid w:val="001107AC"/>
    <w:rsid w:val="001155FD"/>
    <w:rsid w:val="00116F6A"/>
    <w:rsid w:val="00120855"/>
    <w:rsid w:val="00121388"/>
    <w:rsid w:val="0013234E"/>
    <w:rsid w:val="001325AB"/>
    <w:rsid w:val="001347BD"/>
    <w:rsid w:val="00134806"/>
    <w:rsid w:val="00137A37"/>
    <w:rsid w:val="00141449"/>
    <w:rsid w:val="00141602"/>
    <w:rsid w:val="00142213"/>
    <w:rsid w:val="001423D7"/>
    <w:rsid w:val="00142F21"/>
    <w:rsid w:val="00143831"/>
    <w:rsid w:val="00143CCC"/>
    <w:rsid w:val="00146450"/>
    <w:rsid w:val="00146B69"/>
    <w:rsid w:val="001502A3"/>
    <w:rsid w:val="00150A36"/>
    <w:rsid w:val="00156F2C"/>
    <w:rsid w:val="00161954"/>
    <w:rsid w:val="0016211D"/>
    <w:rsid w:val="00164B62"/>
    <w:rsid w:val="001666EC"/>
    <w:rsid w:val="0017043C"/>
    <w:rsid w:val="00171FFF"/>
    <w:rsid w:val="00172488"/>
    <w:rsid w:val="00174377"/>
    <w:rsid w:val="00174A49"/>
    <w:rsid w:val="0017703F"/>
    <w:rsid w:val="00177485"/>
    <w:rsid w:val="00177D06"/>
    <w:rsid w:val="0018287C"/>
    <w:rsid w:val="00183FB9"/>
    <w:rsid w:val="001843AE"/>
    <w:rsid w:val="00184DF3"/>
    <w:rsid w:val="00184FED"/>
    <w:rsid w:val="00185E89"/>
    <w:rsid w:val="001869AE"/>
    <w:rsid w:val="0019187E"/>
    <w:rsid w:val="001918D8"/>
    <w:rsid w:val="00194453"/>
    <w:rsid w:val="0019469C"/>
    <w:rsid w:val="00194F9A"/>
    <w:rsid w:val="001A0238"/>
    <w:rsid w:val="001A269D"/>
    <w:rsid w:val="001A2725"/>
    <w:rsid w:val="001A43B8"/>
    <w:rsid w:val="001A60C7"/>
    <w:rsid w:val="001A7109"/>
    <w:rsid w:val="001A7C89"/>
    <w:rsid w:val="001B15CB"/>
    <w:rsid w:val="001B27F4"/>
    <w:rsid w:val="001B51CF"/>
    <w:rsid w:val="001B5B26"/>
    <w:rsid w:val="001B62D8"/>
    <w:rsid w:val="001B6BD2"/>
    <w:rsid w:val="001B7ECC"/>
    <w:rsid w:val="001C4368"/>
    <w:rsid w:val="001C443B"/>
    <w:rsid w:val="001C4665"/>
    <w:rsid w:val="001C4FA2"/>
    <w:rsid w:val="001D1E49"/>
    <w:rsid w:val="001D32C2"/>
    <w:rsid w:val="001D48CF"/>
    <w:rsid w:val="001D5696"/>
    <w:rsid w:val="001E3C6D"/>
    <w:rsid w:val="001E453A"/>
    <w:rsid w:val="001E475E"/>
    <w:rsid w:val="001E6D7A"/>
    <w:rsid w:val="001F3C39"/>
    <w:rsid w:val="001F4030"/>
    <w:rsid w:val="001F5652"/>
    <w:rsid w:val="002008EF"/>
    <w:rsid w:val="00200D05"/>
    <w:rsid w:val="00201B4E"/>
    <w:rsid w:val="00202382"/>
    <w:rsid w:val="002029FE"/>
    <w:rsid w:val="00204DC8"/>
    <w:rsid w:val="00204EC3"/>
    <w:rsid w:val="00207E42"/>
    <w:rsid w:val="002145B9"/>
    <w:rsid w:val="0021494B"/>
    <w:rsid w:val="002151DA"/>
    <w:rsid w:val="00215C30"/>
    <w:rsid w:val="00226AEE"/>
    <w:rsid w:val="002305F8"/>
    <w:rsid w:val="00232B17"/>
    <w:rsid w:val="00237A0E"/>
    <w:rsid w:val="00240775"/>
    <w:rsid w:val="00241713"/>
    <w:rsid w:val="002451CB"/>
    <w:rsid w:val="00246DD3"/>
    <w:rsid w:val="0025009B"/>
    <w:rsid w:val="002526C7"/>
    <w:rsid w:val="002559BF"/>
    <w:rsid w:val="00257429"/>
    <w:rsid w:val="00263D7E"/>
    <w:rsid w:val="00263F83"/>
    <w:rsid w:val="00267F0C"/>
    <w:rsid w:val="002717E7"/>
    <w:rsid w:val="0027358C"/>
    <w:rsid w:val="00276F00"/>
    <w:rsid w:val="00277797"/>
    <w:rsid w:val="00281686"/>
    <w:rsid w:val="002855DA"/>
    <w:rsid w:val="00286C7E"/>
    <w:rsid w:val="002872FD"/>
    <w:rsid w:val="0029166E"/>
    <w:rsid w:val="002954B4"/>
    <w:rsid w:val="00296BF9"/>
    <w:rsid w:val="002A0094"/>
    <w:rsid w:val="002A5B7E"/>
    <w:rsid w:val="002A7553"/>
    <w:rsid w:val="002B3840"/>
    <w:rsid w:val="002B4BD2"/>
    <w:rsid w:val="002B557E"/>
    <w:rsid w:val="002B642E"/>
    <w:rsid w:val="002B665B"/>
    <w:rsid w:val="002B6DE5"/>
    <w:rsid w:val="002B7CBC"/>
    <w:rsid w:val="002C18AE"/>
    <w:rsid w:val="002C32A6"/>
    <w:rsid w:val="002C3312"/>
    <w:rsid w:val="002C43B0"/>
    <w:rsid w:val="002C750F"/>
    <w:rsid w:val="002D01E2"/>
    <w:rsid w:val="002D34C1"/>
    <w:rsid w:val="002D7224"/>
    <w:rsid w:val="002E0CB1"/>
    <w:rsid w:val="002E34EA"/>
    <w:rsid w:val="002E5E18"/>
    <w:rsid w:val="002E6593"/>
    <w:rsid w:val="002F00C7"/>
    <w:rsid w:val="002F059C"/>
    <w:rsid w:val="002F4659"/>
    <w:rsid w:val="002F522B"/>
    <w:rsid w:val="003029B7"/>
    <w:rsid w:val="00302A69"/>
    <w:rsid w:val="0030586F"/>
    <w:rsid w:val="003103BD"/>
    <w:rsid w:val="003200C7"/>
    <w:rsid w:val="00326551"/>
    <w:rsid w:val="003308B7"/>
    <w:rsid w:val="00330CD4"/>
    <w:rsid w:val="00330DF3"/>
    <w:rsid w:val="00332A11"/>
    <w:rsid w:val="0033332C"/>
    <w:rsid w:val="003345F0"/>
    <w:rsid w:val="00335504"/>
    <w:rsid w:val="00336449"/>
    <w:rsid w:val="003479C8"/>
    <w:rsid w:val="0035035A"/>
    <w:rsid w:val="003510C4"/>
    <w:rsid w:val="00352E80"/>
    <w:rsid w:val="00352F35"/>
    <w:rsid w:val="003530FD"/>
    <w:rsid w:val="0035369E"/>
    <w:rsid w:val="003547E7"/>
    <w:rsid w:val="00354B78"/>
    <w:rsid w:val="00355A38"/>
    <w:rsid w:val="00355F38"/>
    <w:rsid w:val="00357279"/>
    <w:rsid w:val="00360B25"/>
    <w:rsid w:val="0036195F"/>
    <w:rsid w:val="00363842"/>
    <w:rsid w:val="00365405"/>
    <w:rsid w:val="00366AC3"/>
    <w:rsid w:val="00367DE5"/>
    <w:rsid w:val="00370848"/>
    <w:rsid w:val="00376124"/>
    <w:rsid w:val="0037710B"/>
    <w:rsid w:val="003804A2"/>
    <w:rsid w:val="003805AC"/>
    <w:rsid w:val="003805C1"/>
    <w:rsid w:val="00381B73"/>
    <w:rsid w:val="00383320"/>
    <w:rsid w:val="00384346"/>
    <w:rsid w:val="003855C2"/>
    <w:rsid w:val="00385C6C"/>
    <w:rsid w:val="0038665B"/>
    <w:rsid w:val="00394461"/>
    <w:rsid w:val="00394569"/>
    <w:rsid w:val="003965C4"/>
    <w:rsid w:val="00396ED0"/>
    <w:rsid w:val="003A1B30"/>
    <w:rsid w:val="003A2D62"/>
    <w:rsid w:val="003A3CC2"/>
    <w:rsid w:val="003A797A"/>
    <w:rsid w:val="003B29BE"/>
    <w:rsid w:val="003B36CE"/>
    <w:rsid w:val="003C11F8"/>
    <w:rsid w:val="003C3A66"/>
    <w:rsid w:val="003C6577"/>
    <w:rsid w:val="003C6D20"/>
    <w:rsid w:val="003D0ECC"/>
    <w:rsid w:val="003D0EE1"/>
    <w:rsid w:val="003D4730"/>
    <w:rsid w:val="003D5346"/>
    <w:rsid w:val="003D5E60"/>
    <w:rsid w:val="003D737C"/>
    <w:rsid w:val="003D7C27"/>
    <w:rsid w:val="003F1DD9"/>
    <w:rsid w:val="003F22CC"/>
    <w:rsid w:val="003F2EB5"/>
    <w:rsid w:val="003F4077"/>
    <w:rsid w:val="003F4DB8"/>
    <w:rsid w:val="003F4FC2"/>
    <w:rsid w:val="003F6EF4"/>
    <w:rsid w:val="00403FCD"/>
    <w:rsid w:val="00404267"/>
    <w:rsid w:val="00405343"/>
    <w:rsid w:val="00406CDE"/>
    <w:rsid w:val="00407BE1"/>
    <w:rsid w:val="00410094"/>
    <w:rsid w:val="00410846"/>
    <w:rsid w:val="00416CCB"/>
    <w:rsid w:val="00421D9B"/>
    <w:rsid w:val="00423961"/>
    <w:rsid w:val="00423DAD"/>
    <w:rsid w:val="0042614E"/>
    <w:rsid w:val="004268C9"/>
    <w:rsid w:val="00426EBB"/>
    <w:rsid w:val="00436125"/>
    <w:rsid w:val="004367C0"/>
    <w:rsid w:val="00444FF8"/>
    <w:rsid w:val="00450CC6"/>
    <w:rsid w:val="00452B5B"/>
    <w:rsid w:val="0045544D"/>
    <w:rsid w:val="00463D67"/>
    <w:rsid w:val="00463F87"/>
    <w:rsid w:val="00464456"/>
    <w:rsid w:val="004647B2"/>
    <w:rsid w:val="004702E9"/>
    <w:rsid w:val="0047088D"/>
    <w:rsid w:val="00473DB3"/>
    <w:rsid w:val="00474972"/>
    <w:rsid w:val="00476902"/>
    <w:rsid w:val="004770ED"/>
    <w:rsid w:val="00481ECD"/>
    <w:rsid w:val="00482476"/>
    <w:rsid w:val="004862BB"/>
    <w:rsid w:val="00486BE0"/>
    <w:rsid w:val="0048758A"/>
    <w:rsid w:val="00487CED"/>
    <w:rsid w:val="00490E2F"/>
    <w:rsid w:val="004961A0"/>
    <w:rsid w:val="0049674A"/>
    <w:rsid w:val="004974C5"/>
    <w:rsid w:val="004A25B4"/>
    <w:rsid w:val="004A2C63"/>
    <w:rsid w:val="004A2F36"/>
    <w:rsid w:val="004A5664"/>
    <w:rsid w:val="004A61D9"/>
    <w:rsid w:val="004B17CC"/>
    <w:rsid w:val="004B2ACB"/>
    <w:rsid w:val="004B37FE"/>
    <w:rsid w:val="004B5457"/>
    <w:rsid w:val="004C0DA7"/>
    <w:rsid w:val="004C1457"/>
    <w:rsid w:val="004C4221"/>
    <w:rsid w:val="004C4362"/>
    <w:rsid w:val="004C4CBD"/>
    <w:rsid w:val="004C730D"/>
    <w:rsid w:val="004D099B"/>
    <w:rsid w:val="004D1504"/>
    <w:rsid w:val="004D25EC"/>
    <w:rsid w:val="004D2FA4"/>
    <w:rsid w:val="004D4CA9"/>
    <w:rsid w:val="004D5F68"/>
    <w:rsid w:val="004E0012"/>
    <w:rsid w:val="004E1509"/>
    <w:rsid w:val="004E366D"/>
    <w:rsid w:val="004E5378"/>
    <w:rsid w:val="004E607B"/>
    <w:rsid w:val="004E6EF6"/>
    <w:rsid w:val="004F3308"/>
    <w:rsid w:val="004F373B"/>
    <w:rsid w:val="004F524C"/>
    <w:rsid w:val="004F59D8"/>
    <w:rsid w:val="004F6A0B"/>
    <w:rsid w:val="004F7B62"/>
    <w:rsid w:val="00502DE8"/>
    <w:rsid w:val="005041F1"/>
    <w:rsid w:val="0050477F"/>
    <w:rsid w:val="00507C55"/>
    <w:rsid w:val="00510396"/>
    <w:rsid w:val="00510645"/>
    <w:rsid w:val="0051724F"/>
    <w:rsid w:val="00524385"/>
    <w:rsid w:val="00526400"/>
    <w:rsid w:val="00532758"/>
    <w:rsid w:val="00532CDB"/>
    <w:rsid w:val="00534E7B"/>
    <w:rsid w:val="0053516E"/>
    <w:rsid w:val="005351A2"/>
    <w:rsid w:val="00536DEA"/>
    <w:rsid w:val="00540294"/>
    <w:rsid w:val="00541650"/>
    <w:rsid w:val="00541F6D"/>
    <w:rsid w:val="005472FC"/>
    <w:rsid w:val="00553539"/>
    <w:rsid w:val="00554030"/>
    <w:rsid w:val="00562224"/>
    <w:rsid w:val="005623CA"/>
    <w:rsid w:val="0056247C"/>
    <w:rsid w:val="00562722"/>
    <w:rsid w:val="0056575E"/>
    <w:rsid w:val="00567BA2"/>
    <w:rsid w:val="005703D8"/>
    <w:rsid w:val="00573FEB"/>
    <w:rsid w:val="005742B4"/>
    <w:rsid w:val="0057666B"/>
    <w:rsid w:val="00576E30"/>
    <w:rsid w:val="0057771D"/>
    <w:rsid w:val="005818C0"/>
    <w:rsid w:val="0058291B"/>
    <w:rsid w:val="00584B04"/>
    <w:rsid w:val="005861C9"/>
    <w:rsid w:val="0058773C"/>
    <w:rsid w:val="00591368"/>
    <w:rsid w:val="005966E0"/>
    <w:rsid w:val="0059785A"/>
    <w:rsid w:val="005A04EC"/>
    <w:rsid w:val="005A10C0"/>
    <w:rsid w:val="005A13AF"/>
    <w:rsid w:val="005A2EFA"/>
    <w:rsid w:val="005A387F"/>
    <w:rsid w:val="005A5D25"/>
    <w:rsid w:val="005B0D6F"/>
    <w:rsid w:val="005B414E"/>
    <w:rsid w:val="005B629E"/>
    <w:rsid w:val="005C040C"/>
    <w:rsid w:val="005C0793"/>
    <w:rsid w:val="005C2B90"/>
    <w:rsid w:val="005C2E26"/>
    <w:rsid w:val="005C3D92"/>
    <w:rsid w:val="005C4BA2"/>
    <w:rsid w:val="005C4D06"/>
    <w:rsid w:val="005C5977"/>
    <w:rsid w:val="005C5E41"/>
    <w:rsid w:val="005D1877"/>
    <w:rsid w:val="005D43CF"/>
    <w:rsid w:val="005D5721"/>
    <w:rsid w:val="005D629C"/>
    <w:rsid w:val="005F269B"/>
    <w:rsid w:val="005F47C2"/>
    <w:rsid w:val="005F499A"/>
    <w:rsid w:val="005F693A"/>
    <w:rsid w:val="005F7402"/>
    <w:rsid w:val="00602A8A"/>
    <w:rsid w:val="00602EA4"/>
    <w:rsid w:val="00603F16"/>
    <w:rsid w:val="00604525"/>
    <w:rsid w:val="0060478B"/>
    <w:rsid w:val="006056BC"/>
    <w:rsid w:val="00606621"/>
    <w:rsid w:val="00606EDA"/>
    <w:rsid w:val="00611991"/>
    <w:rsid w:val="00614A17"/>
    <w:rsid w:val="00615383"/>
    <w:rsid w:val="00615A8F"/>
    <w:rsid w:val="00616847"/>
    <w:rsid w:val="00621251"/>
    <w:rsid w:val="006219D2"/>
    <w:rsid w:val="00622B19"/>
    <w:rsid w:val="0062442A"/>
    <w:rsid w:val="006255EC"/>
    <w:rsid w:val="006255FC"/>
    <w:rsid w:val="0062790F"/>
    <w:rsid w:val="00627E50"/>
    <w:rsid w:val="00633C76"/>
    <w:rsid w:val="00635BDC"/>
    <w:rsid w:val="0063684A"/>
    <w:rsid w:val="00642580"/>
    <w:rsid w:val="00650EE9"/>
    <w:rsid w:val="00651278"/>
    <w:rsid w:val="00651AFE"/>
    <w:rsid w:val="00652926"/>
    <w:rsid w:val="00652BD3"/>
    <w:rsid w:val="0065349B"/>
    <w:rsid w:val="006541F5"/>
    <w:rsid w:val="006544CC"/>
    <w:rsid w:val="0065590F"/>
    <w:rsid w:val="00656B8E"/>
    <w:rsid w:val="006608A5"/>
    <w:rsid w:val="00662230"/>
    <w:rsid w:val="00666402"/>
    <w:rsid w:val="00671343"/>
    <w:rsid w:val="00671E14"/>
    <w:rsid w:val="00671FAE"/>
    <w:rsid w:val="00673253"/>
    <w:rsid w:val="006736E8"/>
    <w:rsid w:val="006764DB"/>
    <w:rsid w:val="006852AD"/>
    <w:rsid w:val="00687548"/>
    <w:rsid w:val="006908B5"/>
    <w:rsid w:val="006A3425"/>
    <w:rsid w:val="006A39E4"/>
    <w:rsid w:val="006A460B"/>
    <w:rsid w:val="006A7AA8"/>
    <w:rsid w:val="006B1269"/>
    <w:rsid w:val="006B1E9E"/>
    <w:rsid w:val="006B23A5"/>
    <w:rsid w:val="006B787D"/>
    <w:rsid w:val="006B7A17"/>
    <w:rsid w:val="006C09A8"/>
    <w:rsid w:val="006C0B93"/>
    <w:rsid w:val="006C45CE"/>
    <w:rsid w:val="006C4830"/>
    <w:rsid w:val="006C4B87"/>
    <w:rsid w:val="006C6733"/>
    <w:rsid w:val="006D11C4"/>
    <w:rsid w:val="006D14EA"/>
    <w:rsid w:val="006D2A7B"/>
    <w:rsid w:val="006D499B"/>
    <w:rsid w:val="006D6478"/>
    <w:rsid w:val="006D74BC"/>
    <w:rsid w:val="006E02B4"/>
    <w:rsid w:val="006E0A9E"/>
    <w:rsid w:val="006E1CC4"/>
    <w:rsid w:val="006E292A"/>
    <w:rsid w:val="006E678D"/>
    <w:rsid w:val="006F0BAD"/>
    <w:rsid w:val="006F2603"/>
    <w:rsid w:val="006F26A1"/>
    <w:rsid w:val="006F2AA5"/>
    <w:rsid w:val="006F47B7"/>
    <w:rsid w:val="006F605E"/>
    <w:rsid w:val="007054CC"/>
    <w:rsid w:val="00706349"/>
    <w:rsid w:val="00710BD0"/>
    <w:rsid w:val="00711D1A"/>
    <w:rsid w:val="00713704"/>
    <w:rsid w:val="007150F3"/>
    <w:rsid w:val="00715D8F"/>
    <w:rsid w:val="00717268"/>
    <w:rsid w:val="00717CB9"/>
    <w:rsid w:val="00721553"/>
    <w:rsid w:val="00722ACA"/>
    <w:rsid w:val="00724ADF"/>
    <w:rsid w:val="00726185"/>
    <w:rsid w:val="00734943"/>
    <w:rsid w:val="00735F3E"/>
    <w:rsid w:val="007360FB"/>
    <w:rsid w:val="007368E5"/>
    <w:rsid w:val="00737E25"/>
    <w:rsid w:val="007408B5"/>
    <w:rsid w:val="0074519C"/>
    <w:rsid w:val="007451A6"/>
    <w:rsid w:val="0075066E"/>
    <w:rsid w:val="007517A3"/>
    <w:rsid w:val="007526AB"/>
    <w:rsid w:val="0075702D"/>
    <w:rsid w:val="00757764"/>
    <w:rsid w:val="00757D83"/>
    <w:rsid w:val="007604AE"/>
    <w:rsid w:val="00760990"/>
    <w:rsid w:val="00760CD9"/>
    <w:rsid w:val="0076259A"/>
    <w:rsid w:val="00763E2A"/>
    <w:rsid w:val="0076593C"/>
    <w:rsid w:val="0076645B"/>
    <w:rsid w:val="007664E6"/>
    <w:rsid w:val="007675DA"/>
    <w:rsid w:val="00770A91"/>
    <w:rsid w:val="00772FE7"/>
    <w:rsid w:val="0077427A"/>
    <w:rsid w:val="007749D9"/>
    <w:rsid w:val="007770C9"/>
    <w:rsid w:val="00781B23"/>
    <w:rsid w:val="00783191"/>
    <w:rsid w:val="00783A1B"/>
    <w:rsid w:val="00787137"/>
    <w:rsid w:val="007878D5"/>
    <w:rsid w:val="007978E6"/>
    <w:rsid w:val="007A035A"/>
    <w:rsid w:val="007A10B5"/>
    <w:rsid w:val="007A11E1"/>
    <w:rsid w:val="007A2F9B"/>
    <w:rsid w:val="007A4929"/>
    <w:rsid w:val="007A4C3B"/>
    <w:rsid w:val="007A59E3"/>
    <w:rsid w:val="007B218F"/>
    <w:rsid w:val="007B22AF"/>
    <w:rsid w:val="007B4B91"/>
    <w:rsid w:val="007B5390"/>
    <w:rsid w:val="007B7257"/>
    <w:rsid w:val="007C12E9"/>
    <w:rsid w:val="007C4E0F"/>
    <w:rsid w:val="007C5BC1"/>
    <w:rsid w:val="007C61B7"/>
    <w:rsid w:val="007C6FC7"/>
    <w:rsid w:val="007C73ED"/>
    <w:rsid w:val="007D1A90"/>
    <w:rsid w:val="007D2586"/>
    <w:rsid w:val="007D4252"/>
    <w:rsid w:val="007D637B"/>
    <w:rsid w:val="007D64A0"/>
    <w:rsid w:val="007D6DCD"/>
    <w:rsid w:val="007D78BA"/>
    <w:rsid w:val="007D7D03"/>
    <w:rsid w:val="007E02D8"/>
    <w:rsid w:val="007E27E4"/>
    <w:rsid w:val="007F064E"/>
    <w:rsid w:val="007F3139"/>
    <w:rsid w:val="007F569D"/>
    <w:rsid w:val="0080101E"/>
    <w:rsid w:val="008027A9"/>
    <w:rsid w:val="00805799"/>
    <w:rsid w:val="008111EC"/>
    <w:rsid w:val="00811649"/>
    <w:rsid w:val="00812778"/>
    <w:rsid w:val="00814A62"/>
    <w:rsid w:val="0081647D"/>
    <w:rsid w:val="00820A26"/>
    <w:rsid w:val="008210EE"/>
    <w:rsid w:val="00824320"/>
    <w:rsid w:val="008251CC"/>
    <w:rsid w:val="00827359"/>
    <w:rsid w:val="0083232D"/>
    <w:rsid w:val="00833193"/>
    <w:rsid w:val="008342DA"/>
    <w:rsid w:val="0084075E"/>
    <w:rsid w:val="008412D6"/>
    <w:rsid w:val="00841D7F"/>
    <w:rsid w:val="0084372C"/>
    <w:rsid w:val="00850AAE"/>
    <w:rsid w:val="00851228"/>
    <w:rsid w:val="00860449"/>
    <w:rsid w:val="00860AC2"/>
    <w:rsid w:val="00860F0F"/>
    <w:rsid w:val="00861350"/>
    <w:rsid w:val="0087130D"/>
    <w:rsid w:val="00871F13"/>
    <w:rsid w:val="008739DA"/>
    <w:rsid w:val="00876579"/>
    <w:rsid w:val="008778BA"/>
    <w:rsid w:val="00880C4C"/>
    <w:rsid w:val="00881396"/>
    <w:rsid w:val="00883F68"/>
    <w:rsid w:val="0088526F"/>
    <w:rsid w:val="00890574"/>
    <w:rsid w:val="0089271A"/>
    <w:rsid w:val="008951A9"/>
    <w:rsid w:val="00897DF7"/>
    <w:rsid w:val="008A023A"/>
    <w:rsid w:val="008A339A"/>
    <w:rsid w:val="008A49CC"/>
    <w:rsid w:val="008A6626"/>
    <w:rsid w:val="008A7CE5"/>
    <w:rsid w:val="008A7F2A"/>
    <w:rsid w:val="008B0EA2"/>
    <w:rsid w:val="008B4772"/>
    <w:rsid w:val="008B51E9"/>
    <w:rsid w:val="008B6705"/>
    <w:rsid w:val="008B70F5"/>
    <w:rsid w:val="008C04B1"/>
    <w:rsid w:val="008C52C8"/>
    <w:rsid w:val="008C54CD"/>
    <w:rsid w:val="008C558E"/>
    <w:rsid w:val="008C6967"/>
    <w:rsid w:val="008C6C47"/>
    <w:rsid w:val="008D171B"/>
    <w:rsid w:val="008D1E7F"/>
    <w:rsid w:val="008D6E37"/>
    <w:rsid w:val="008E0603"/>
    <w:rsid w:val="008E34D2"/>
    <w:rsid w:val="008E6643"/>
    <w:rsid w:val="008F0C81"/>
    <w:rsid w:val="008F12AA"/>
    <w:rsid w:val="008F13A1"/>
    <w:rsid w:val="008F3E6E"/>
    <w:rsid w:val="008F6F3D"/>
    <w:rsid w:val="008F77D6"/>
    <w:rsid w:val="00900196"/>
    <w:rsid w:val="00900919"/>
    <w:rsid w:val="00904576"/>
    <w:rsid w:val="009051BA"/>
    <w:rsid w:val="00905A84"/>
    <w:rsid w:val="0090692C"/>
    <w:rsid w:val="00907AED"/>
    <w:rsid w:val="009104AD"/>
    <w:rsid w:val="0091161A"/>
    <w:rsid w:val="0091581B"/>
    <w:rsid w:val="0091702B"/>
    <w:rsid w:val="00920369"/>
    <w:rsid w:val="00921113"/>
    <w:rsid w:val="00925899"/>
    <w:rsid w:val="00926A83"/>
    <w:rsid w:val="00926FD3"/>
    <w:rsid w:val="009303DF"/>
    <w:rsid w:val="009329EC"/>
    <w:rsid w:val="00934379"/>
    <w:rsid w:val="00935494"/>
    <w:rsid w:val="00937C48"/>
    <w:rsid w:val="0094072D"/>
    <w:rsid w:val="009438BB"/>
    <w:rsid w:val="00945738"/>
    <w:rsid w:val="009474BF"/>
    <w:rsid w:val="00950005"/>
    <w:rsid w:val="00952971"/>
    <w:rsid w:val="00954A86"/>
    <w:rsid w:val="00955759"/>
    <w:rsid w:val="009607DE"/>
    <w:rsid w:val="0096145D"/>
    <w:rsid w:val="00961E2D"/>
    <w:rsid w:val="0096524E"/>
    <w:rsid w:val="009668A2"/>
    <w:rsid w:val="00970A9E"/>
    <w:rsid w:val="00970D11"/>
    <w:rsid w:val="00973AEC"/>
    <w:rsid w:val="00976243"/>
    <w:rsid w:val="0098515B"/>
    <w:rsid w:val="009861E6"/>
    <w:rsid w:val="00986827"/>
    <w:rsid w:val="00990758"/>
    <w:rsid w:val="00992BEE"/>
    <w:rsid w:val="00994A12"/>
    <w:rsid w:val="00996D30"/>
    <w:rsid w:val="009A1FEF"/>
    <w:rsid w:val="009A5A10"/>
    <w:rsid w:val="009A6F75"/>
    <w:rsid w:val="009B0AEC"/>
    <w:rsid w:val="009B23DE"/>
    <w:rsid w:val="009B4A44"/>
    <w:rsid w:val="009B4C60"/>
    <w:rsid w:val="009C0894"/>
    <w:rsid w:val="009C4893"/>
    <w:rsid w:val="009C7455"/>
    <w:rsid w:val="009D129A"/>
    <w:rsid w:val="009D23A9"/>
    <w:rsid w:val="009D3170"/>
    <w:rsid w:val="009D5B14"/>
    <w:rsid w:val="009E06C0"/>
    <w:rsid w:val="009E1A10"/>
    <w:rsid w:val="009E6456"/>
    <w:rsid w:val="009E7A7F"/>
    <w:rsid w:val="009E7F49"/>
    <w:rsid w:val="009F2BA8"/>
    <w:rsid w:val="009F3477"/>
    <w:rsid w:val="009F4CB3"/>
    <w:rsid w:val="009F6D3C"/>
    <w:rsid w:val="009F7218"/>
    <w:rsid w:val="00A002FC"/>
    <w:rsid w:val="00A01190"/>
    <w:rsid w:val="00A0487C"/>
    <w:rsid w:val="00A04CC6"/>
    <w:rsid w:val="00A104D5"/>
    <w:rsid w:val="00A14445"/>
    <w:rsid w:val="00A14E21"/>
    <w:rsid w:val="00A14F97"/>
    <w:rsid w:val="00A15E94"/>
    <w:rsid w:val="00A20F68"/>
    <w:rsid w:val="00A241E0"/>
    <w:rsid w:val="00A24A66"/>
    <w:rsid w:val="00A25B58"/>
    <w:rsid w:val="00A27030"/>
    <w:rsid w:val="00A306F7"/>
    <w:rsid w:val="00A30DB4"/>
    <w:rsid w:val="00A31D6A"/>
    <w:rsid w:val="00A35944"/>
    <w:rsid w:val="00A3655C"/>
    <w:rsid w:val="00A475A4"/>
    <w:rsid w:val="00A47692"/>
    <w:rsid w:val="00A47FD7"/>
    <w:rsid w:val="00A50423"/>
    <w:rsid w:val="00A5214F"/>
    <w:rsid w:val="00A53C95"/>
    <w:rsid w:val="00A54EBE"/>
    <w:rsid w:val="00A5639F"/>
    <w:rsid w:val="00A60A00"/>
    <w:rsid w:val="00A65AE1"/>
    <w:rsid w:val="00A678A4"/>
    <w:rsid w:val="00A702FA"/>
    <w:rsid w:val="00A714D3"/>
    <w:rsid w:val="00A72E9B"/>
    <w:rsid w:val="00A75303"/>
    <w:rsid w:val="00A770D6"/>
    <w:rsid w:val="00A7716F"/>
    <w:rsid w:val="00A77AFB"/>
    <w:rsid w:val="00A8097E"/>
    <w:rsid w:val="00A84E3D"/>
    <w:rsid w:val="00A857B6"/>
    <w:rsid w:val="00A963BC"/>
    <w:rsid w:val="00A977A7"/>
    <w:rsid w:val="00AA0E80"/>
    <w:rsid w:val="00AA1FB7"/>
    <w:rsid w:val="00AA2076"/>
    <w:rsid w:val="00AB165B"/>
    <w:rsid w:val="00AB3D09"/>
    <w:rsid w:val="00AB72F9"/>
    <w:rsid w:val="00AC1706"/>
    <w:rsid w:val="00AC2A59"/>
    <w:rsid w:val="00AC42BD"/>
    <w:rsid w:val="00AC55CD"/>
    <w:rsid w:val="00AD19B4"/>
    <w:rsid w:val="00AD43BB"/>
    <w:rsid w:val="00AD6427"/>
    <w:rsid w:val="00AD65AE"/>
    <w:rsid w:val="00AD721D"/>
    <w:rsid w:val="00AD785A"/>
    <w:rsid w:val="00AE20C8"/>
    <w:rsid w:val="00AE36AA"/>
    <w:rsid w:val="00AE36FC"/>
    <w:rsid w:val="00AE49EF"/>
    <w:rsid w:val="00AE65F0"/>
    <w:rsid w:val="00AE7E1E"/>
    <w:rsid w:val="00AF4736"/>
    <w:rsid w:val="00AF4A73"/>
    <w:rsid w:val="00AF63CB"/>
    <w:rsid w:val="00AF7EB7"/>
    <w:rsid w:val="00B034B6"/>
    <w:rsid w:val="00B0482C"/>
    <w:rsid w:val="00B13A59"/>
    <w:rsid w:val="00B17878"/>
    <w:rsid w:val="00B20BD3"/>
    <w:rsid w:val="00B23522"/>
    <w:rsid w:val="00B2664A"/>
    <w:rsid w:val="00B26977"/>
    <w:rsid w:val="00B34094"/>
    <w:rsid w:val="00B34C76"/>
    <w:rsid w:val="00B4143D"/>
    <w:rsid w:val="00B42518"/>
    <w:rsid w:val="00B43076"/>
    <w:rsid w:val="00B44534"/>
    <w:rsid w:val="00B452EF"/>
    <w:rsid w:val="00B4554C"/>
    <w:rsid w:val="00B459D6"/>
    <w:rsid w:val="00B472C5"/>
    <w:rsid w:val="00B52FB6"/>
    <w:rsid w:val="00B56552"/>
    <w:rsid w:val="00B57161"/>
    <w:rsid w:val="00B60B80"/>
    <w:rsid w:val="00B6159B"/>
    <w:rsid w:val="00B6188B"/>
    <w:rsid w:val="00B64CF2"/>
    <w:rsid w:val="00B656B3"/>
    <w:rsid w:val="00B668AD"/>
    <w:rsid w:val="00B70610"/>
    <w:rsid w:val="00B732F7"/>
    <w:rsid w:val="00B73BD6"/>
    <w:rsid w:val="00B73DE3"/>
    <w:rsid w:val="00B7413D"/>
    <w:rsid w:val="00B74C6C"/>
    <w:rsid w:val="00B76D7D"/>
    <w:rsid w:val="00B80B1B"/>
    <w:rsid w:val="00B81E14"/>
    <w:rsid w:val="00B8272A"/>
    <w:rsid w:val="00B86364"/>
    <w:rsid w:val="00B9258B"/>
    <w:rsid w:val="00B93AB5"/>
    <w:rsid w:val="00B95A8E"/>
    <w:rsid w:val="00B9753D"/>
    <w:rsid w:val="00BA06DC"/>
    <w:rsid w:val="00BA19F4"/>
    <w:rsid w:val="00BA21ED"/>
    <w:rsid w:val="00BA3A9D"/>
    <w:rsid w:val="00BB0185"/>
    <w:rsid w:val="00BB2467"/>
    <w:rsid w:val="00BB2548"/>
    <w:rsid w:val="00BB4885"/>
    <w:rsid w:val="00BB5D88"/>
    <w:rsid w:val="00BB6BB6"/>
    <w:rsid w:val="00BC1855"/>
    <w:rsid w:val="00BC3B5D"/>
    <w:rsid w:val="00BC662C"/>
    <w:rsid w:val="00BD2A45"/>
    <w:rsid w:val="00BD714E"/>
    <w:rsid w:val="00BD769D"/>
    <w:rsid w:val="00BD76EC"/>
    <w:rsid w:val="00BD7A89"/>
    <w:rsid w:val="00BE11F5"/>
    <w:rsid w:val="00BE14C6"/>
    <w:rsid w:val="00BE3AD8"/>
    <w:rsid w:val="00BE438C"/>
    <w:rsid w:val="00BE44DC"/>
    <w:rsid w:val="00BE526A"/>
    <w:rsid w:val="00BE52C9"/>
    <w:rsid w:val="00BE6816"/>
    <w:rsid w:val="00BF2D14"/>
    <w:rsid w:val="00BF354A"/>
    <w:rsid w:val="00C0296D"/>
    <w:rsid w:val="00C037FF"/>
    <w:rsid w:val="00C04248"/>
    <w:rsid w:val="00C07116"/>
    <w:rsid w:val="00C1044C"/>
    <w:rsid w:val="00C12C5B"/>
    <w:rsid w:val="00C13380"/>
    <w:rsid w:val="00C2010F"/>
    <w:rsid w:val="00C2153D"/>
    <w:rsid w:val="00C259A9"/>
    <w:rsid w:val="00C311CF"/>
    <w:rsid w:val="00C32AF0"/>
    <w:rsid w:val="00C34B70"/>
    <w:rsid w:val="00C36045"/>
    <w:rsid w:val="00C36A1E"/>
    <w:rsid w:val="00C37357"/>
    <w:rsid w:val="00C40B43"/>
    <w:rsid w:val="00C4167F"/>
    <w:rsid w:val="00C436F5"/>
    <w:rsid w:val="00C46BC0"/>
    <w:rsid w:val="00C5098B"/>
    <w:rsid w:val="00C510F6"/>
    <w:rsid w:val="00C52138"/>
    <w:rsid w:val="00C53049"/>
    <w:rsid w:val="00C56A4A"/>
    <w:rsid w:val="00C63418"/>
    <w:rsid w:val="00C64734"/>
    <w:rsid w:val="00C65ED9"/>
    <w:rsid w:val="00C66CBD"/>
    <w:rsid w:val="00C707D1"/>
    <w:rsid w:val="00C729FA"/>
    <w:rsid w:val="00C738AE"/>
    <w:rsid w:val="00C749F7"/>
    <w:rsid w:val="00C7501B"/>
    <w:rsid w:val="00C77691"/>
    <w:rsid w:val="00C77D05"/>
    <w:rsid w:val="00C80884"/>
    <w:rsid w:val="00C8430A"/>
    <w:rsid w:val="00C85251"/>
    <w:rsid w:val="00C853E5"/>
    <w:rsid w:val="00C869A9"/>
    <w:rsid w:val="00CA190D"/>
    <w:rsid w:val="00CA230D"/>
    <w:rsid w:val="00CA754B"/>
    <w:rsid w:val="00CA7BD4"/>
    <w:rsid w:val="00CA7D9A"/>
    <w:rsid w:val="00CB2054"/>
    <w:rsid w:val="00CB49F3"/>
    <w:rsid w:val="00CB4EF6"/>
    <w:rsid w:val="00CC03A4"/>
    <w:rsid w:val="00CC0A6C"/>
    <w:rsid w:val="00CC0EE1"/>
    <w:rsid w:val="00CC2936"/>
    <w:rsid w:val="00CC5C68"/>
    <w:rsid w:val="00CC65CB"/>
    <w:rsid w:val="00CC6E01"/>
    <w:rsid w:val="00CD147C"/>
    <w:rsid w:val="00CD3411"/>
    <w:rsid w:val="00CD4E94"/>
    <w:rsid w:val="00CD513B"/>
    <w:rsid w:val="00CE19E9"/>
    <w:rsid w:val="00CE3349"/>
    <w:rsid w:val="00CE5228"/>
    <w:rsid w:val="00CE76B5"/>
    <w:rsid w:val="00CE7988"/>
    <w:rsid w:val="00CF0129"/>
    <w:rsid w:val="00CF0A2D"/>
    <w:rsid w:val="00CF0C19"/>
    <w:rsid w:val="00CF140A"/>
    <w:rsid w:val="00CF418E"/>
    <w:rsid w:val="00CF7CCF"/>
    <w:rsid w:val="00D00EB4"/>
    <w:rsid w:val="00D011E4"/>
    <w:rsid w:val="00D018C6"/>
    <w:rsid w:val="00D0456E"/>
    <w:rsid w:val="00D0621E"/>
    <w:rsid w:val="00D07FA6"/>
    <w:rsid w:val="00D10131"/>
    <w:rsid w:val="00D1192E"/>
    <w:rsid w:val="00D124E3"/>
    <w:rsid w:val="00D13067"/>
    <w:rsid w:val="00D165D7"/>
    <w:rsid w:val="00D24D0D"/>
    <w:rsid w:val="00D316F1"/>
    <w:rsid w:val="00D323D0"/>
    <w:rsid w:val="00D324BB"/>
    <w:rsid w:val="00D3301D"/>
    <w:rsid w:val="00D344F0"/>
    <w:rsid w:val="00D4103C"/>
    <w:rsid w:val="00D43F7F"/>
    <w:rsid w:val="00D46398"/>
    <w:rsid w:val="00D51340"/>
    <w:rsid w:val="00D55096"/>
    <w:rsid w:val="00D574CE"/>
    <w:rsid w:val="00D6026F"/>
    <w:rsid w:val="00D615B8"/>
    <w:rsid w:val="00D623AD"/>
    <w:rsid w:val="00D63162"/>
    <w:rsid w:val="00D70D93"/>
    <w:rsid w:val="00D70E91"/>
    <w:rsid w:val="00D720AE"/>
    <w:rsid w:val="00D75153"/>
    <w:rsid w:val="00D75A44"/>
    <w:rsid w:val="00D75E93"/>
    <w:rsid w:val="00D7644A"/>
    <w:rsid w:val="00D777DD"/>
    <w:rsid w:val="00D81FC1"/>
    <w:rsid w:val="00D841C7"/>
    <w:rsid w:val="00D8492D"/>
    <w:rsid w:val="00D86B30"/>
    <w:rsid w:val="00D90962"/>
    <w:rsid w:val="00D964E4"/>
    <w:rsid w:val="00D96B2D"/>
    <w:rsid w:val="00DA12CA"/>
    <w:rsid w:val="00DA15A0"/>
    <w:rsid w:val="00DA1673"/>
    <w:rsid w:val="00DA18C7"/>
    <w:rsid w:val="00DA7C7B"/>
    <w:rsid w:val="00DB0B39"/>
    <w:rsid w:val="00DB24CD"/>
    <w:rsid w:val="00DB4EC8"/>
    <w:rsid w:val="00DB6394"/>
    <w:rsid w:val="00DB7C18"/>
    <w:rsid w:val="00DC13A2"/>
    <w:rsid w:val="00DC22C3"/>
    <w:rsid w:val="00DC2BD8"/>
    <w:rsid w:val="00DC331A"/>
    <w:rsid w:val="00DC3CD3"/>
    <w:rsid w:val="00DC738C"/>
    <w:rsid w:val="00DC77AA"/>
    <w:rsid w:val="00DD0730"/>
    <w:rsid w:val="00DD0B01"/>
    <w:rsid w:val="00DD2458"/>
    <w:rsid w:val="00DD2654"/>
    <w:rsid w:val="00DD38B8"/>
    <w:rsid w:val="00DD3FFC"/>
    <w:rsid w:val="00DE0DCA"/>
    <w:rsid w:val="00DE0DE5"/>
    <w:rsid w:val="00DE742C"/>
    <w:rsid w:val="00DE7BF1"/>
    <w:rsid w:val="00DF2DC5"/>
    <w:rsid w:val="00DF4952"/>
    <w:rsid w:val="00DF4BB5"/>
    <w:rsid w:val="00DF6873"/>
    <w:rsid w:val="00E02F14"/>
    <w:rsid w:val="00E03D63"/>
    <w:rsid w:val="00E03EEB"/>
    <w:rsid w:val="00E04766"/>
    <w:rsid w:val="00E047BE"/>
    <w:rsid w:val="00E047EE"/>
    <w:rsid w:val="00E0501C"/>
    <w:rsid w:val="00E06602"/>
    <w:rsid w:val="00E0717E"/>
    <w:rsid w:val="00E1424D"/>
    <w:rsid w:val="00E1456F"/>
    <w:rsid w:val="00E21A8B"/>
    <w:rsid w:val="00E237BA"/>
    <w:rsid w:val="00E2391B"/>
    <w:rsid w:val="00E2448C"/>
    <w:rsid w:val="00E24E73"/>
    <w:rsid w:val="00E261E9"/>
    <w:rsid w:val="00E27E6C"/>
    <w:rsid w:val="00E30B70"/>
    <w:rsid w:val="00E3167D"/>
    <w:rsid w:val="00E3333F"/>
    <w:rsid w:val="00E34120"/>
    <w:rsid w:val="00E54192"/>
    <w:rsid w:val="00E54656"/>
    <w:rsid w:val="00E55F26"/>
    <w:rsid w:val="00E56742"/>
    <w:rsid w:val="00E56FFB"/>
    <w:rsid w:val="00E61EF8"/>
    <w:rsid w:val="00E630C4"/>
    <w:rsid w:val="00E64712"/>
    <w:rsid w:val="00E66258"/>
    <w:rsid w:val="00E66C91"/>
    <w:rsid w:val="00E717DB"/>
    <w:rsid w:val="00E75CDC"/>
    <w:rsid w:val="00E75F26"/>
    <w:rsid w:val="00E77498"/>
    <w:rsid w:val="00E77E05"/>
    <w:rsid w:val="00E8012B"/>
    <w:rsid w:val="00E82733"/>
    <w:rsid w:val="00E852AF"/>
    <w:rsid w:val="00E921E0"/>
    <w:rsid w:val="00E924C5"/>
    <w:rsid w:val="00E92D07"/>
    <w:rsid w:val="00E95109"/>
    <w:rsid w:val="00E96A7C"/>
    <w:rsid w:val="00E9790B"/>
    <w:rsid w:val="00EA0130"/>
    <w:rsid w:val="00EA0542"/>
    <w:rsid w:val="00EA0C96"/>
    <w:rsid w:val="00EA22BD"/>
    <w:rsid w:val="00EA2422"/>
    <w:rsid w:val="00EA434F"/>
    <w:rsid w:val="00EA4F96"/>
    <w:rsid w:val="00EA69BE"/>
    <w:rsid w:val="00EB1D0F"/>
    <w:rsid w:val="00EB7058"/>
    <w:rsid w:val="00EC0068"/>
    <w:rsid w:val="00EC0440"/>
    <w:rsid w:val="00EC0B78"/>
    <w:rsid w:val="00EC312D"/>
    <w:rsid w:val="00EC3BE4"/>
    <w:rsid w:val="00EC4172"/>
    <w:rsid w:val="00EC4D5B"/>
    <w:rsid w:val="00EC555D"/>
    <w:rsid w:val="00EC7658"/>
    <w:rsid w:val="00EC7BB8"/>
    <w:rsid w:val="00ED0CDA"/>
    <w:rsid w:val="00ED1956"/>
    <w:rsid w:val="00EE72C8"/>
    <w:rsid w:val="00EF0525"/>
    <w:rsid w:val="00EF0887"/>
    <w:rsid w:val="00EF1C3E"/>
    <w:rsid w:val="00EF1D7D"/>
    <w:rsid w:val="00EF1F97"/>
    <w:rsid w:val="00EF2EC7"/>
    <w:rsid w:val="00F02EA3"/>
    <w:rsid w:val="00F03332"/>
    <w:rsid w:val="00F03A4E"/>
    <w:rsid w:val="00F042A7"/>
    <w:rsid w:val="00F07F99"/>
    <w:rsid w:val="00F1251E"/>
    <w:rsid w:val="00F15805"/>
    <w:rsid w:val="00F16F1A"/>
    <w:rsid w:val="00F23426"/>
    <w:rsid w:val="00F25A8D"/>
    <w:rsid w:val="00F31707"/>
    <w:rsid w:val="00F36CBA"/>
    <w:rsid w:val="00F411A8"/>
    <w:rsid w:val="00F41826"/>
    <w:rsid w:val="00F43220"/>
    <w:rsid w:val="00F50D72"/>
    <w:rsid w:val="00F516BD"/>
    <w:rsid w:val="00F52679"/>
    <w:rsid w:val="00F5650A"/>
    <w:rsid w:val="00F601F3"/>
    <w:rsid w:val="00F60558"/>
    <w:rsid w:val="00F605D6"/>
    <w:rsid w:val="00F63243"/>
    <w:rsid w:val="00F6376D"/>
    <w:rsid w:val="00F63E5C"/>
    <w:rsid w:val="00F65C90"/>
    <w:rsid w:val="00F65EBC"/>
    <w:rsid w:val="00F66F35"/>
    <w:rsid w:val="00F7255F"/>
    <w:rsid w:val="00F75F9A"/>
    <w:rsid w:val="00F83547"/>
    <w:rsid w:val="00F83DE3"/>
    <w:rsid w:val="00F86316"/>
    <w:rsid w:val="00F87496"/>
    <w:rsid w:val="00F91716"/>
    <w:rsid w:val="00F91857"/>
    <w:rsid w:val="00F91D72"/>
    <w:rsid w:val="00F92BD5"/>
    <w:rsid w:val="00F93E2B"/>
    <w:rsid w:val="00F95B2F"/>
    <w:rsid w:val="00F969A9"/>
    <w:rsid w:val="00FA02FB"/>
    <w:rsid w:val="00FA0445"/>
    <w:rsid w:val="00FA131F"/>
    <w:rsid w:val="00FA167F"/>
    <w:rsid w:val="00FA254A"/>
    <w:rsid w:val="00FA28E4"/>
    <w:rsid w:val="00FA37D7"/>
    <w:rsid w:val="00FA4ED2"/>
    <w:rsid w:val="00FA672A"/>
    <w:rsid w:val="00FB1B43"/>
    <w:rsid w:val="00FB296D"/>
    <w:rsid w:val="00FB5FCD"/>
    <w:rsid w:val="00FC2405"/>
    <w:rsid w:val="00FC42D8"/>
    <w:rsid w:val="00FC45E5"/>
    <w:rsid w:val="00FD1C74"/>
    <w:rsid w:val="00FD47BD"/>
    <w:rsid w:val="00FE0040"/>
    <w:rsid w:val="00FE097C"/>
    <w:rsid w:val="00FE1A20"/>
    <w:rsid w:val="00FE2BB2"/>
    <w:rsid w:val="00FE3576"/>
    <w:rsid w:val="00FE69DA"/>
    <w:rsid w:val="00FE7DEA"/>
    <w:rsid w:val="00FF01C3"/>
    <w:rsid w:val="00FF33FF"/>
    <w:rsid w:val="00FF3B6F"/>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E3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18"/>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table" w:customStyle="1" w:styleId="GridTable1Light-Accent51">
    <w:name w:val="Grid Table 1 Light - Accent 51"/>
    <w:basedOn w:val="TableNormal"/>
    <w:uiPriority w:val="46"/>
    <w:rsid w:val="0058773C"/>
    <w:rPr>
      <w:rFonts w:ascii="Cambria" w:hAnsi="Cambri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L1-FlLSp12">
    <w:name w:val="L1-FlL Sp&amp;1/2"/>
    <w:basedOn w:val="Normal"/>
    <w:link w:val="L1-FlLSp12Char"/>
    <w:uiPriority w:val="99"/>
    <w:rsid w:val="008D171B"/>
    <w:pPr>
      <w:tabs>
        <w:tab w:val="left" w:pos="1152"/>
      </w:tabs>
      <w:spacing w:line="360" w:lineRule="atLeast"/>
    </w:pPr>
    <w:rPr>
      <w:rFonts w:ascii="Garamond" w:eastAsiaTheme="minorEastAsia" w:hAnsi="Garamond"/>
      <w:szCs w:val="20"/>
    </w:rPr>
  </w:style>
  <w:style w:type="paragraph" w:customStyle="1" w:styleId="N3-3rdBullet">
    <w:name w:val="N3-3rd Bullet"/>
    <w:basedOn w:val="Normal"/>
    <w:uiPriority w:val="99"/>
    <w:rsid w:val="008D171B"/>
    <w:pPr>
      <w:numPr>
        <w:numId w:val="38"/>
      </w:numPr>
      <w:spacing w:after="240" w:line="240" w:lineRule="atLeast"/>
    </w:pPr>
    <w:rPr>
      <w:rFonts w:ascii="Garamond" w:eastAsiaTheme="minorEastAsia" w:hAnsi="Garamond"/>
      <w:szCs w:val="20"/>
    </w:rPr>
  </w:style>
  <w:style w:type="character" w:customStyle="1" w:styleId="L1-FlLSp12Char">
    <w:name w:val="L1-FlL Sp&amp;1/2 Char"/>
    <w:link w:val="L1-FlLSp12"/>
    <w:uiPriority w:val="99"/>
    <w:locked/>
    <w:rsid w:val="008D171B"/>
    <w:rPr>
      <w:rFonts w:ascii="Garamond" w:eastAsiaTheme="minorEastAsia"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18"/>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table" w:customStyle="1" w:styleId="GridTable1Light-Accent51">
    <w:name w:val="Grid Table 1 Light - Accent 51"/>
    <w:basedOn w:val="TableNormal"/>
    <w:uiPriority w:val="46"/>
    <w:rsid w:val="0058773C"/>
    <w:rPr>
      <w:rFonts w:ascii="Cambria" w:hAnsi="Cambri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L1-FlLSp12">
    <w:name w:val="L1-FlL Sp&amp;1/2"/>
    <w:basedOn w:val="Normal"/>
    <w:link w:val="L1-FlLSp12Char"/>
    <w:uiPriority w:val="99"/>
    <w:rsid w:val="008D171B"/>
    <w:pPr>
      <w:tabs>
        <w:tab w:val="left" w:pos="1152"/>
      </w:tabs>
      <w:spacing w:line="360" w:lineRule="atLeast"/>
    </w:pPr>
    <w:rPr>
      <w:rFonts w:ascii="Garamond" w:eastAsiaTheme="minorEastAsia" w:hAnsi="Garamond"/>
      <w:szCs w:val="20"/>
    </w:rPr>
  </w:style>
  <w:style w:type="paragraph" w:customStyle="1" w:styleId="N3-3rdBullet">
    <w:name w:val="N3-3rd Bullet"/>
    <w:basedOn w:val="Normal"/>
    <w:uiPriority w:val="99"/>
    <w:rsid w:val="008D171B"/>
    <w:pPr>
      <w:numPr>
        <w:numId w:val="38"/>
      </w:numPr>
      <w:spacing w:after="240" w:line="240" w:lineRule="atLeast"/>
    </w:pPr>
    <w:rPr>
      <w:rFonts w:ascii="Garamond" w:eastAsiaTheme="minorEastAsia" w:hAnsi="Garamond"/>
      <w:szCs w:val="20"/>
    </w:rPr>
  </w:style>
  <w:style w:type="character" w:customStyle="1" w:styleId="L1-FlLSp12Char">
    <w:name w:val="L1-FlL Sp&amp;1/2 Char"/>
    <w:link w:val="L1-FlLSp12"/>
    <w:uiPriority w:val="99"/>
    <w:locked/>
    <w:rsid w:val="008D171B"/>
    <w:rPr>
      <w:rFonts w:ascii="Garamond" w:eastAsiaTheme="minorEastAsia"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E1C690-B92F-4DBA-AC5C-0D7189A9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8A64E-41F6-4BB4-9DE8-A4286CF9FA82}">
  <ds:schemaRefs>
    <ds:schemaRef ds:uri="http://schemas.microsoft.com/sharepoint/v3/contenttype/forms"/>
  </ds:schemaRefs>
</ds:datastoreItem>
</file>

<file path=customXml/itemProps3.xml><?xml version="1.0" encoding="utf-8"?>
<ds:datastoreItem xmlns:ds="http://schemas.openxmlformats.org/officeDocument/2006/customXml" ds:itemID="{166DACCF-95D0-4209-92D1-51B24B521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41DC87-8B55-4F42-8B4C-AC068D09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2019-10-24T17:01:00Z</cp:lastPrinted>
  <dcterms:created xsi:type="dcterms:W3CDTF">2019-11-12T15:45:00Z</dcterms:created>
  <dcterms:modified xsi:type="dcterms:W3CDTF">2019-11-12T15:45:00Z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