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58ED" w:rsidR="00EB3E6F" w:rsidP="00641EFB" w:rsidRDefault="00325F2E" w14:paraId="03533191" w14:textId="77777777">
      <w:pPr>
        <w:spacing w:after="0" w:line="240" w:lineRule="auto"/>
        <w:jc w:val="center"/>
        <w:rPr>
          <w:szCs w:val="24"/>
        </w:rPr>
      </w:pPr>
      <w:r w:rsidRPr="00E758ED">
        <w:rPr>
          <w:szCs w:val="24"/>
        </w:rPr>
        <w:t xml:space="preserve"> </w:t>
      </w:r>
      <w:r w:rsidRPr="00E758ED" w:rsidR="00FD66F1">
        <w:rPr>
          <w:szCs w:val="24"/>
        </w:rPr>
        <w:t>Supporting Statement</w:t>
      </w:r>
      <w:r w:rsidRPr="00E758ED" w:rsidR="00E0171E">
        <w:rPr>
          <w:szCs w:val="24"/>
        </w:rPr>
        <w:t xml:space="preserve"> for</w:t>
      </w:r>
    </w:p>
    <w:p w:rsidRPr="00E758ED" w:rsidR="00A96B65" w:rsidP="00F2758C" w:rsidRDefault="00FD66F1" w14:paraId="03533194" w14:textId="688FD2A0">
      <w:pPr>
        <w:spacing w:after="0" w:line="240" w:lineRule="auto"/>
        <w:jc w:val="center"/>
        <w:rPr>
          <w:b/>
          <w:szCs w:val="24"/>
        </w:rPr>
      </w:pPr>
      <w:r w:rsidRPr="00E758ED">
        <w:rPr>
          <w:b/>
          <w:szCs w:val="24"/>
        </w:rPr>
        <w:t>FERC-</w:t>
      </w:r>
      <w:r w:rsidRPr="00E758ED" w:rsidR="002A28F1">
        <w:rPr>
          <w:b/>
          <w:szCs w:val="24"/>
        </w:rPr>
        <w:t>919</w:t>
      </w:r>
      <w:r w:rsidRPr="00E758ED" w:rsidR="00040A41">
        <w:rPr>
          <w:b/>
          <w:szCs w:val="24"/>
        </w:rPr>
        <w:t>A</w:t>
      </w:r>
      <w:r w:rsidRPr="00E758ED" w:rsidR="00F2758C">
        <w:rPr>
          <w:b/>
          <w:szCs w:val="24"/>
        </w:rPr>
        <w:t>, Final Rule on Data Collection for Analytics and Surveillance and Market-Based Rate Purposes</w:t>
      </w:r>
      <w:r w:rsidRPr="00E758ED" w:rsidR="00726341">
        <w:rPr>
          <w:b/>
          <w:szCs w:val="24"/>
        </w:rPr>
        <w:t>, Docket No. RM16-17-000</w:t>
      </w:r>
      <w:r w:rsidRPr="00E758ED" w:rsidR="00F2758C">
        <w:rPr>
          <w:b/>
          <w:szCs w:val="24"/>
        </w:rPr>
        <w:t xml:space="preserve"> </w:t>
      </w:r>
      <w:r w:rsidRPr="00E758ED" w:rsidR="002A28F1">
        <w:rPr>
          <w:b/>
          <w:szCs w:val="24"/>
        </w:rPr>
        <w:t xml:space="preserve"> </w:t>
      </w:r>
    </w:p>
    <w:p w:rsidRPr="00E758ED" w:rsidR="00FD66F1" w:rsidP="00FD66F1" w:rsidRDefault="00FD66F1" w14:paraId="03533195" w14:textId="77777777">
      <w:pPr>
        <w:spacing w:after="0"/>
        <w:jc w:val="center"/>
        <w:rPr>
          <w:szCs w:val="24"/>
        </w:rPr>
      </w:pPr>
    </w:p>
    <w:p w:rsidR="00D85C5B" w:rsidP="00A13551" w:rsidRDefault="00407B78" w14:paraId="0353319D" w14:textId="616CDB4C">
      <w:pPr>
        <w:spacing w:after="0" w:line="240" w:lineRule="auto"/>
        <w:rPr>
          <w:szCs w:val="24"/>
        </w:rPr>
      </w:pPr>
      <w:r w:rsidRPr="00E758ED">
        <w:rPr>
          <w:szCs w:val="24"/>
        </w:rPr>
        <w:t>The Federal Energy Regulatory Commission (FERC</w:t>
      </w:r>
      <w:r w:rsidRPr="00E758ED" w:rsidR="0013054D">
        <w:rPr>
          <w:szCs w:val="24"/>
        </w:rPr>
        <w:t xml:space="preserve"> or Commission</w:t>
      </w:r>
      <w:r w:rsidRPr="00E758ED">
        <w:rPr>
          <w:szCs w:val="24"/>
        </w:rPr>
        <w:t>) requests that the Office of Management and Budget (OMB) review and approv</w:t>
      </w:r>
      <w:r w:rsidRPr="00E758ED" w:rsidR="0013054D">
        <w:rPr>
          <w:szCs w:val="24"/>
        </w:rPr>
        <w:t xml:space="preserve">e </w:t>
      </w:r>
      <w:r w:rsidRPr="00E758ED" w:rsidR="00726341">
        <w:rPr>
          <w:szCs w:val="24"/>
        </w:rPr>
        <w:t>the FERC-919</w:t>
      </w:r>
      <w:r w:rsidR="00B34397">
        <w:rPr>
          <w:szCs w:val="24"/>
        </w:rPr>
        <w:t>A</w:t>
      </w:r>
      <w:r w:rsidRPr="00E758ED" w:rsidR="00726341">
        <w:rPr>
          <w:szCs w:val="24"/>
        </w:rPr>
        <w:t xml:space="preserve"> </w:t>
      </w:r>
      <w:r w:rsidR="0074174B">
        <w:rPr>
          <w:szCs w:val="24"/>
        </w:rPr>
        <w:t>(</w:t>
      </w:r>
      <w:r w:rsidRPr="00E758ED" w:rsidR="00726341">
        <w:rPr>
          <w:szCs w:val="24"/>
        </w:rPr>
        <w:t>OMB Control Number 1902-</w:t>
      </w:r>
      <w:r w:rsidR="00624834">
        <w:rPr>
          <w:szCs w:val="24"/>
        </w:rPr>
        <w:t>TBD</w:t>
      </w:r>
      <w:r w:rsidRPr="00E758ED" w:rsidR="00726341">
        <w:rPr>
          <w:szCs w:val="24"/>
        </w:rPr>
        <w:t>), as modified in the final rule in Docket No. RM16-17-000.</w:t>
      </w:r>
      <w:r w:rsidR="00795DEB">
        <w:rPr>
          <w:rStyle w:val="FootnoteReference"/>
          <w:szCs w:val="24"/>
        </w:rPr>
        <w:footnoteReference w:id="2"/>
      </w:r>
    </w:p>
    <w:p w:rsidR="00816112" w:rsidP="00A13551" w:rsidRDefault="00816112" w14:paraId="26CFD9B7" w14:textId="4CF094CC">
      <w:pPr>
        <w:spacing w:after="0" w:line="240" w:lineRule="auto"/>
        <w:rPr>
          <w:szCs w:val="24"/>
        </w:rPr>
      </w:pPr>
    </w:p>
    <w:p w:rsidRPr="00E758ED" w:rsidR="00816112" w:rsidP="00A13551" w:rsidRDefault="00816112" w14:paraId="4489478D" w14:textId="38933223">
      <w:pPr>
        <w:spacing w:after="0" w:line="240" w:lineRule="auto"/>
        <w:rPr>
          <w:szCs w:val="24"/>
        </w:rPr>
      </w:pPr>
      <w:r>
        <w:rPr>
          <w:szCs w:val="24"/>
        </w:rPr>
        <w:t>Please note that the FERC-919A is a temporary “placeholder” information collection.  The information collection requirements related to the RM16-17-000 Final Rule would normally be submitted under FERC-919 (OMB Control No. 1902-0234).  However, FERC-919 is under OMB review for another unrelated Commission activity.</w:t>
      </w:r>
      <w:r w:rsidR="00402589">
        <w:rPr>
          <w:szCs w:val="24"/>
        </w:rPr>
        <w:t xml:space="preserve"> Commission staff is using the FERC-919A information collection to facilitate a timely submission and review of the RM16-17-000 Final Rule.</w:t>
      </w:r>
    </w:p>
    <w:p w:rsidRPr="00E758ED" w:rsidR="00407B78" w:rsidP="00641EFB" w:rsidRDefault="00407B78" w14:paraId="0353319F" w14:textId="77777777">
      <w:pPr>
        <w:spacing w:after="0" w:line="240" w:lineRule="auto"/>
        <w:rPr>
          <w:szCs w:val="24"/>
        </w:rPr>
      </w:pPr>
    </w:p>
    <w:p w:rsidRPr="006A510E" w:rsidR="00A72E7B" w:rsidP="006A510E" w:rsidRDefault="00A72E7B" w14:paraId="035331A0" w14:textId="5A1AAC20">
      <w:pPr>
        <w:pStyle w:val="FERCparanumber"/>
      </w:pPr>
      <w:r w:rsidRPr="006A510E">
        <w:t>CIRCUMSTANCES THAT MAKE THE COLLECTION OF INFORMATION NECESSARY</w:t>
      </w:r>
    </w:p>
    <w:p w:rsidRPr="00E758ED" w:rsidR="00726341" w:rsidP="00632B16" w:rsidRDefault="00726341" w14:paraId="2CD59C82" w14:textId="28C41F20">
      <w:pPr>
        <w:widowControl w:val="0"/>
        <w:autoSpaceDE w:val="0"/>
        <w:autoSpaceDN w:val="0"/>
        <w:adjustRightInd w:val="0"/>
        <w:spacing w:after="0" w:line="240" w:lineRule="auto"/>
        <w:rPr>
          <w:rFonts w:eastAsia="Times New Roman"/>
          <w:szCs w:val="24"/>
        </w:rPr>
      </w:pPr>
      <w:r w:rsidRPr="00E758ED">
        <w:rPr>
          <w:rFonts w:eastAsia="Times New Roman"/>
          <w:szCs w:val="24"/>
        </w:rPr>
        <w:t>Compliance with Federal Power Act (FPA) sections 205</w:t>
      </w:r>
      <w:r w:rsidRPr="00E758ED">
        <w:rPr>
          <w:rStyle w:val="FootnoteReference"/>
        </w:rPr>
        <w:footnoteReference w:id="3"/>
      </w:r>
      <w:r w:rsidRPr="00E758ED">
        <w:rPr>
          <w:rFonts w:eastAsia="Times New Roman"/>
          <w:szCs w:val="24"/>
        </w:rPr>
        <w:t xml:space="preserve"> and 206</w:t>
      </w:r>
      <w:r w:rsidRPr="00E758ED">
        <w:rPr>
          <w:rStyle w:val="FootnoteReference"/>
        </w:rPr>
        <w:footnoteReference w:id="4"/>
      </w:r>
      <w:r w:rsidRPr="00E758ED">
        <w:rPr>
          <w:rFonts w:eastAsia="Times New Roman"/>
          <w:szCs w:val="24"/>
        </w:rPr>
        <w:t xml:space="preserve"> make the FERC-919</w:t>
      </w:r>
      <w:r w:rsidR="00AD3BD2">
        <w:rPr>
          <w:rFonts w:eastAsia="Times New Roman"/>
          <w:szCs w:val="24"/>
        </w:rPr>
        <w:t>A</w:t>
      </w:r>
      <w:r w:rsidRPr="00E758ED">
        <w:rPr>
          <w:rFonts w:eastAsia="Times New Roman"/>
          <w:szCs w:val="24"/>
        </w:rPr>
        <w:t xml:space="preserve"> information collection necessary.  Specifically, section 205 of the FPA requires just and reasonable rates and charges.  Section 206 allows the Commission to revoke a s</w:t>
      </w:r>
      <w:r w:rsidR="00624632">
        <w:rPr>
          <w:rFonts w:eastAsia="Times New Roman"/>
          <w:szCs w:val="24"/>
        </w:rPr>
        <w:t xml:space="preserve">eller’s market-based rate </w:t>
      </w:r>
      <w:r w:rsidRPr="00E758ED">
        <w:rPr>
          <w:rFonts w:eastAsia="Times New Roman"/>
          <w:szCs w:val="24"/>
        </w:rPr>
        <w:t xml:space="preserve">authorization if it determines that the seller may have gained market power since its original authorization to charge market-based rates.  </w:t>
      </w:r>
    </w:p>
    <w:p w:rsidRPr="00E758ED" w:rsidR="00726341" w:rsidP="00632B16" w:rsidRDefault="00726341" w14:paraId="19E1FAED" w14:textId="77777777">
      <w:pPr>
        <w:widowControl w:val="0"/>
        <w:autoSpaceDE w:val="0"/>
        <w:autoSpaceDN w:val="0"/>
        <w:adjustRightInd w:val="0"/>
        <w:spacing w:after="0" w:line="240" w:lineRule="auto"/>
        <w:rPr>
          <w:rFonts w:eastAsia="Times New Roman"/>
          <w:szCs w:val="24"/>
        </w:rPr>
      </w:pPr>
    </w:p>
    <w:p w:rsidRPr="00E758ED" w:rsidR="00726341" w:rsidP="00632B16" w:rsidRDefault="00726341" w14:paraId="0D640575" w14:textId="5C92DC86">
      <w:pPr>
        <w:widowControl w:val="0"/>
        <w:autoSpaceDE w:val="0"/>
        <w:autoSpaceDN w:val="0"/>
        <w:adjustRightInd w:val="0"/>
        <w:spacing w:after="0" w:line="240" w:lineRule="auto"/>
        <w:rPr>
          <w:rFonts w:eastAsia="Times New Roman"/>
          <w:szCs w:val="24"/>
        </w:rPr>
      </w:pPr>
      <w:r w:rsidRPr="00E758ED">
        <w:rPr>
          <w:rFonts w:eastAsia="Times New Roman"/>
          <w:szCs w:val="24"/>
        </w:rPr>
        <w:t>The information collection requirements for FERC-919</w:t>
      </w:r>
      <w:r w:rsidR="00AD3BD2">
        <w:rPr>
          <w:rFonts w:eastAsia="Times New Roman"/>
          <w:szCs w:val="24"/>
        </w:rPr>
        <w:t>A</w:t>
      </w:r>
      <w:r w:rsidRPr="00E758ED">
        <w:rPr>
          <w:rFonts w:eastAsia="Times New Roman"/>
          <w:szCs w:val="24"/>
        </w:rPr>
        <w:t xml:space="preserve"> (prior to the modifications made by the final rule in Docket No. RM16-17-000) are:</w:t>
      </w:r>
    </w:p>
    <w:p w:rsidRPr="00E758ED" w:rsidR="00726341" w:rsidP="00632B16" w:rsidRDefault="00726341" w14:paraId="51320530" w14:textId="77777777">
      <w:pPr>
        <w:widowControl w:val="0"/>
        <w:autoSpaceDE w:val="0"/>
        <w:autoSpaceDN w:val="0"/>
        <w:adjustRightInd w:val="0"/>
        <w:spacing w:after="0" w:line="240" w:lineRule="auto"/>
        <w:ind w:left="360" w:hanging="360"/>
        <w:rPr>
          <w:rFonts w:eastAsia="Times New Roman"/>
          <w:szCs w:val="24"/>
        </w:rPr>
      </w:pPr>
    </w:p>
    <w:p w:rsidRPr="00E758ED" w:rsidR="00726341" w:rsidP="00632B16" w:rsidRDefault="00726341" w14:paraId="06FDD84F" w14:textId="77777777">
      <w:pPr>
        <w:widowControl w:val="0"/>
        <w:numPr>
          <w:ilvl w:val="0"/>
          <w:numId w:val="17"/>
        </w:numPr>
        <w:autoSpaceDE w:val="0"/>
        <w:autoSpaceDN w:val="0"/>
        <w:adjustRightInd w:val="0"/>
        <w:spacing w:after="0" w:line="240" w:lineRule="auto"/>
        <w:rPr>
          <w:rFonts w:eastAsia="Times New Roman"/>
          <w:szCs w:val="24"/>
        </w:rPr>
      </w:pPr>
      <w:r w:rsidRPr="00E758ED">
        <w:rPr>
          <w:rFonts w:eastAsia="Times New Roman"/>
          <w:szCs w:val="24"/>
        </w:rPr>
        <w:t>Initial market power analyses to qualify for authority to charge market-based rates</w:t>
      </w:r>
      <w:r w:rsidRPr="00E758ED">
        <w:rPr>
          <w:rStyle w:val="FootnoteReference"/>
        </w:rPr>
        <w:footnoteReference w:id="5"/>
      </w:r>
    </w:p>
    <w:p w:rsidRPr="00E758ED" w:rsidR="00726341" w:rsidP="00632B16" w:rsidRDefault="00726341" w14:paraId="53600851" w14:textId="77777777">
      <w:pPr>
        <w:widowControl w:val="0"/>
        <w:numPr>
          <w:ilvl w:val="0"/>
          <w:numId w:val="17"/>
        </w:numPr>
        <w:autoSpaceDE w:val="0"/>
        <w:autoSpaceDN w:val="0"/>
        <w:adjustRightInd w:val="0"/>
        <w:spacing w:after="0" w:line="240" w:lineRule="auto"/>
        <w:rPr>
          <w:rFonts w:eastAsia="Times New Roman"/>
          <w:szCs w:val="24"/>
        </w:rPr>
      </w:pPr>
      <w:r w:rsidRPr="00E758ED">
        <w:rPr>
          <w:rFonts w:eastAsia="Times New Roman"/>
          <w:szCs w:val="24"/>
        </w:rPr>
        <w:lastRenderedPageBreak/>
        <w:t>Triennial market power analysis in Category 2 seller updates</w:t>
      </w:r>
      <w:r w:rsidRPr="00E758ED">
        <w:rPr>
          <w:rStyle w:val="FootnoteReference"/>
        </w:rPr>
        <w:footnoteReference w:id="6"/>
      </w:r>
    </w:p>
    <w:p w:rsidRPr="00E758ED" w:rsidR="00726341" w:rsidP="00632B16" w:rsidRDefault="00726341" w14:paraId="262BFF6B" w14:textId="77777777">
      <w:pPr>
        <w:widowControl w:val="0"/>
        <w:numPr>
          <w:ilvl w:val="0"/>
          <w:numId w:val="17"/>
        </w:numPr>
        <w:autoSpaceDE w:val="0"/>
        <w:autoSpaceDN w:val="0"/>
        <w:adjustRightInd w:val="0"/>
        <w:spacing w:after="0" w:line="240" w:lineRule="auto"/>
        <w:rPr>
          <w:rFonts w:eastAsia="Times New Roman"/>
          <w:szCs w:val="24"/>
        </w:rPr>
      </w:pPr>
      <w:r w:rsidRPr="00E758ED">
        <w:rPr>
          <w:rFonts w:eastAsia="Times New Roman"/>
          <w:szCs w:val="24"/>
        </w:rPr>
        <w:t>Notices of change in status</w:t>
      </w:r>
      <w:r w:rsidRPr="00E758ED">
        <w:rPr>
          <w:rStyle w:val="FootnoteReference"/>
        </w:rPr>
        <w:footnoteReference w:id="7"/>
      </w:r>
    </w:p>
    <w:p w:rsidR="00C17D0A" w:rsidP="00632B16" w:rsidRDefault="00C17D0A" w14:paraId="7A97F782" w14:textId="77777777">
      <w:pPr>
        <w:spacing w:after="0" w:line="240" w:lineRule="auto"/>
        <w:rPr>
          <w:rFonts w:eastAsia="Times New Roman"/>
          <w:szCs w:val="24"/>
        </w:rPr>
      </w:pPr>
    </w:p>
    <w:p w:rsidR="00624632" w:rsidP="00632B16" w:rsidRDefault="00ED65C5" w14:paraId="25D1AB18" w14:textId="2F9A6773">
      <w:pPr>
        <w:spacing w:after="0" w:line="240" w:lineRule="auto"/>
        <w:rPr>
          <w:rFonts w:eastAsia="Calibri"/>
          <w:szCs w:val="24"/>
        </w:rPr>
      </w:pPr>
      <w:r w:rsidRPr="00E758ED">
        <w:rPr>
          <w:rFonts w:eastAsia="Calibri"/>
          <w:szCs w:val="24"/>
        </w:rPr>
        <w:t xml:space="preserve">The </w:t>
      </w:r>
      <w:r w:rsidRPr="00E758ED" w:rsidR="00247B6F">
        <w:rPr>
          <w:rFonts w:eastAsia="Calibri"/>
          <w:szCs w:val="24"/>
        </w:rPr>
        <w:t>f</w:t>
      </w:r>
      <w:r w:rsidRPr="00E758ED" w:rsidR="004331B5">
        <w:rPr>
          <w:rFonts w:eastAsia="Calibri"/>
          <w:szCs w:val="24"/>
        </w:rPr>
        <w:t xml:space="preserve">inal </w:t>
      </w:r>
      <w:r w:rsidRPr="00E758ED" w:rsidR="00247B6F">
        <w:rPr>
          <w:rFonts w:eastAsia="Calibri"/>
          <w:szCs w:val="24"/>
        </w:rPr>
        <w:t>r</w:t>
      </w:r>
      <w:r w:rsidRPr="00E758ED" w:rsidR="004331B5">
        <w:rPr>
          <w:rFonts w:eastAsia="Calibri"/>
          <w:szCs w:val="24"/>
        </w:rPr>
        <w:t>ule</w:t>
      </w:r>
      <w:r w:rsidRPr="00E758ED">
        <w:rPr>
          <w:rFonts w:eastAsia="Calibri"/>
          <w:szCs w:val="24"/>
        </w:rPr>
        <w:t xml:space="preserve"> amend</w:t>
      </w:r>
      <w:r w:rsidRPr="00E758ED" w:rsidR="004331B5">
        <w:rPr>
          <w:rFonts w:eastAsia="Calibri"/>
          <w:szCs w:val="24"/>
        </w:rPr>
        <w:t>s</w:t>
      </w:r>
      <w:r w:rsidRPr="00E758ED">
        <w:rPr>
          <w:rFonts w:eastAsia="Calibri"/>
          <w:szCs w:val="24"/>
        </w:rPr>
        <w:t xml:space="preserve"> </w:t>
      </w:r>
      <w:r w:rsidRPr="00E758ED" w:rsidR="004331B5">
        <w:rPr>
          <w:rFonts w:eastAsia="Calibri"/>
          <w:szCs w:val="24"/>
        </w:rPr>
        <w:t>the Commission’s</w:t>
      </w:r>
      <w:r w:rsidRPr="00E758ED" w:rsidR="007C3591">
        <w:rPr>
          <w:rFonts w:eastAsia="Calibri"/>
          <w:szCs w:val="24"/>
        </w:rPr>
        <w:t xml:space="preserve"> regulations govern</w:t>
      </w:r>
      <w:r w:rsidR="00345C0F">
        <w:rPr>
          <w:rFonts w:eastAsia="Calibri"/>
          <w:szCs w:val="24"/>
        </w:rPr>
        <w:t xml:space="preserve">ing market-based rates </w:t>
      </w:r>
      <w:r w:rsidR="00D0532B">
        <w:rPr>
          <w:rFonts w:eastAsia="Calibri"/>
          <w:szCs w:val="24"/>
        </w:rPr>
        <w:t xml:space="preserve">for </w:t>
      </w:r>
      <w:r w:rsidRPr="00E758ED" w:rsidR="00D0532B">
        <w:rPr>
          <w:rFonts w:eastAsia="Calibri"/>
          <w:szCs w:val="24"/>
        </w:rPr>
        <w:t>public</w:t>
      </w:r>
      <w:r w:rsidRPr="00E758ED" w:rsidR="007C3591">
        <w:rPr>
          <w:rFonts w:eastAsia="Calibri"/>
          <w:szCs w:val="24"/>
        </w:rPr>
        <w:t xml:space="preserve"> utilities</w:t>
      </w:r>
      <w:r w:rsidRPr="00E758ED" w:rsidR="00CD37F8">
        <w:rPr>
          <w:rFonts w:eastAsia="Calibri"/>
          <w:szCs w:val="24"/>
        </w:rPr>
        <w:t>.</w:t>
      </w:r>
      <w:r w:rsidR="00AB742F">
        <w:rPr>
          <w:rFonts w:eastAsia="Calibri"/>
          <w:szCs w:val="24"/>
        </w:rPr>
        <w:t xml:space="preserve">  </w:t>
      </w:r>
      <w:r w:rsidR="00CC2237">
        <w:rPr>
          <w:rFonts w:eastAsia="Calibri"/>
          <w:szCs w:val="24"/>
        </w:rPr>
        <w:t>Rather than collecting certain information through transmittal letters and attached spreadsheets,</w:t>
      </w:r>
      <w:r w:rsidR="00D5001D">
        <w:rPr>
          <w:rFonts w:eastAsia="Calibri"/>
          <w:szCs w:val="24"/>
        </w:rPr>
        <w:t xml:space="preserve"> i.e.,</w:t>
      </w:r>
      <w:r w:rsidR="00CC2237">
        <w:rPr>
          <w:rFonts w:eastAsia="Calibri"/>
          <w:szCs w:val="24"/>
        </w:rPr>
        <w:t xml:space="preserve"> the current information collection </w:t>
      </w:r>
      <w:r w:rsidR="00D5001D">
        <w:rPr>
          <w:rFonts w:eastAsia="Calibri"/>
          <w:szCs w:val="24"/>
        </w:rPr>
        <w:t>process</w:t>
      </w:r>
      <w:r w:rsidR="00CC2237">
        <w:rPr>
          <w:rFonts w:eastAsia="Calibri"/>
          <w:szCs w:val="24"/>
        </w:rPr>
        <w:t>, t</w:t>
      </w:r>
      <w:r w:rsidRPr="00AB742F" w:rsidR="00AB742F">
        <w:rPr>
          <w:rFonts w:eastAsia="Calibri"/>
          <w:szCs w:val="24"/>
        </w:rPr>
        <w:t xml:space="preserve">he Commission </w:t>
      </w:r>
      <w:r w:rsidR="00CC2237">
        <w:rPr>
          <w:rFonts w:eastAsia="Calibri"/>
          <w:szCs w:val="24"/>
        </w:rPr>
        <w:t>instead</w:t>
      </w:r>
      <w:r w:rsidR="00B12659">
        <w:rPr>
          <w:rFonts w:eastAsia="Calibri"/>
          <w:szCs w:val="24"/>
        </w:rPr>
        <w:t xml:space="preserve"> will</w:t>
      </w:r>
      <w:r w:rsidR="00CC2237">
        <w:rPr>
          <w:rFonts w:eastAsia="Calibri"/>
          <w:szCs w:val="24"/>
        </w:rPr>
        <w:t xml:space="preserve"> </w:t>
      </w:r>
      <w:r w:rsidRPr="00AB742F" w:rsidR="00AB742F">
        <w:rPr>
          <w:rFonts w:eastAsia="Calibri"/>
          <w:szCs w:val="24"/>
        </w:rPr>
        <w:t xml:space="preserve">collect </w:t>
      </w:r>
      <w:r w:rsidR="00CC2237">
        <w:rPr>
          <w:rFonts w:eastAsia="Calibri"/>
          <w:szCs w:val="24"/>
        </w:rPr>
        <w:t>this</w:t>
      </w:r>
      <w:r w:rsidRPr="00AB742F" w:rsidR="00CC2237">
        <w:rPr>
          <w:rFonts w:eastAsia="Calibri"/>
          <w:szCs w:val="24"/>
        </w:rPr>
        <w:t xml:space="preserve"> </w:t>
      </w:r>
      <w:r w:rsidRPr="00AB742F" w:rsidR="00AB742F">
        <w:rPr>
          <w:rFonts w:eastAsia="Calibri"/>
          <w:szCs w:val="24"/>
        </w:rPr>
        <w:t>information in a consolidated and streamlined manner through a relational database.  The relational database construct modernizes the Commission’s data collection processes, eliminates duplications, and renders i</w:t>
      </w:r>
      <w:r w:rsidR="00AD3BD2">
        <w:rPr>
          <w:rFonts w:eastAsia="Calibri"/>
          <w:szCs w:val="24"/>
        </w:rPr>
        <w:t>nformation collected u</w:t>
      </w:r>
      <w:r w:rsidRPr="00AB742F" w:rsidR="00AB742F">
        <w:rPr>
          <w:rFonts w:eastAsia="Calibri"/>
          <w:szCs w:val="24"/>
        </w:rPr>
        <w:t xml:space="preserve">sable and accessible.  </w:t>
      </w:r>
      <w:r w:rsidR="00D20F6E">
        <w:rPr>
          <w:rFonts w:eastAsia="Calibri"/>
          <w:szCs w:val="24"/>
        </w:rPr>
        <w:t>With the creation of the relational database, each Seller</w:t>
      </w:r>
      <w:r w:rsidRPr="00A70F33" w:rsidR="00F20C6C">
        <w:rPr>
          <w:rStyle w:val="FootnoteReference"/>
        </w:rPr>
        <w:footnoteReference w:id="8"/>
      </w:r>
      <w:r w:rsidR="00D20F6E">
        <w:rPr>
          <w:rFonts w:eastAsia="Calibri"/>
          <w:szCs w:val="24"/>
        </w:rPr>
        <w:t xml:space="preserve"> will enter its own assets (and those of any of its non-market-based rate affiliates) and the database will automatically add in the assets of the Seller’s market-based rate affiliates</w:t>
      </w:r>
      <w:r w:rsidR="00E67468">
        <w:rPr>
          <w:rFonts w:eastAsia="Calibri"/>
          <w:szCs w:val="24"/>
        </w:rPr>
        <w:t>, who have themselves entered their own assets</w:t>
      </w:r>
      <w:r w:rsidR="00D20F6E">
        <w:rPr>
          <w:rFonts w:eastAsia="Calibri"/>
          <w:szCs w:val="24"/>
        </w:rPr>
        <w:t>.  This will eliminate duplicative reporting of assets by Sellers and their market-based rate affiliates</w:t>
      </w:r>
      <w:r w:rsidR="00E67468">
        <w:rPr>
          <w:rFonts w:eastAsia="Calibri"/>
          <w:szCs w:val="24"/>
        </w:rPr>
        <w:t>, saving Sellers time and money</w:t>
      </w:r>
      <w:r w:rsidR="00D20F6E">
        <w:rPr>
          <w:rFonts w:eastAsia="Calibri"/>
          <w:szCs w:val="24"/>
        </w:rPr>
        <w:t xml:space="preserve">. </w:t>
      </w:r>
      <w:r w:rsidR="00E67468">
        <w:rPr>
          <w:rFonts w:eastAsia="Calibri"/>
          <w:szCs w:val="24"/>
        </w:rPr>
        <w:t xml:space="preserve"> </w:t>
      </w:r>
      <w:r w:rsidRPr="00AB742F" w:rsidR="00AB742F">
        <w:rPr>
          <w:rFonts w:eastAsia="Calibri"/>
          <w:szCs w:val="24"/>
        </w:rPr>
        <w:t xml:space="preserve">The Commission </w:t>
      </w:r>
      <w:r w:rsidR="00475748">
        <w:rPr>
          <w:rFonts w:eastAsia="Calibri"/>
          <w:szCs w:val="24"/>
        </w:rPr>
        <w:t>does</w:t>
      </w:r>
      <w:r w:rsidRPr="00AB742F" w:rsidR="00AB742F">
        <w:rPr>
          <w:rFonts w:eastAsia="Calibri"/>
          <w:szCs w:val="24"/>
        </w:rPr>
        <w:t xml:space="preserve"> not adopt the proposal from the NOPR to collect Connected Entity data from </w:t>
      </w:r>
      <w:r w:rsidR="00CC2237">
        <w:rPr>
          <w:rFonts w:eastAsia="Times New Roman"/>
          <w:szCs w:val="24"/>
        </w:rPr>
        <w:t>S</w:t>
      </w:r>
      <w:r w:rsidRPr="00AB742F" w:rsidR="00AB742F">
        <w:rPr>
          <w:rFonts w:eastAsia="Calibri"/>
          <w:szCs w:val="24"/>
        </w:rPr>
        <w:t xml:space="preserve">ellers and entities trading virtual </w:t>
      </w:r>
      <w:r w:rsidR="00D35721">
        <w:rPr>
          <w:rFonts w:eastAsia="Calibri"/>
          <w:szCs w:val="24"/>
        </w:rPr>
        <w:t xml:space="preserve">products </w:t>
      </w:r>
      <w:r w:rsidRPr="00AB742F" w:rsidR="00AB742F">
        <w:rPr>
          <w:rFonts w:eastAsia="Calibri"/>
          <w:szCs w:val="24"/>
        </w:rPr>
        <w:t>or holding financial transmission rights in this final rule</w:t>
      </w:r>
      <w:r w:rsidR="00AB742F">
        <w:rPr>
          <w:rFonts w:eastAsia="Calibri"/>
          <w:szCs w:val="24"/>
        </w:rPr>
        <w:t xml:space="preserve">.  </w:t>
      </w:r>
    </w:p>
    <w:p w:rsidR="00624632" w:rsidP="00632B16" w:rsidRDefault="00624632" w14:paraId="70900785" w14:textId="77777777">
      <w:pPr>
        <w:spacing w:after="0" w:line="240" w:lineRule="auto"/>
        <w:rPr>
          <w:rFonts w:eastAsia="Calibri"/>
          <w:szCs w:val="24"/>
        </w:rPr>
      </w:pPr>
    </w:p>
    <w:p w:rsidRPr="00E758ED" w:rsidR="00CD37F8" w:rsidP="00632B16" w:rsidRDefault="00AB742F" w14:paraId="7CF81B7F" w14:textId="517F6484">
      <w:pPr>
        <w:spacing w:after="0" w:line="240" w:lineRule="auto"/>
        <w:rPr>
          <w:rFonts w:eastAsia="Calibri"/>
          <w:szCs w:val="24"/>
        </w:rPr>
      </w:pPr>
      <w:r w:rsidRPr="00AB742F">
        <w:rPr>
          <w:rFonts w:eastAsia="Calibri"/>
          <w:szCs w:val="24"/>
        </w:rPr>
        <w:t xml:space="preserve">With respect to the </w:t>
      </w:r>
      <w:r w:rsidR="00624632">
        <w:rPr>
          <w:rFonts w:eastAsia="Times New Roman"/>
          <w:szCs w:val="24"/>
        </w:rPr>
        <w:t xml:space="preserve">market-based rate </w:t>
      </w:r>
      <w:r w:rsidRPr="00AB742F">
        <w:rPr>
          <w:rFonts w:eastAsia="Calibri"/>
          <w:szCs w:val="24"/>
        </w:rPr>
        <w:t>p</w:t>
      </w:r>
      <w:r w:rsidR="00624632">
        <w:rPr>
          <w:rFonts w:eastAsia="Calibri"/>
          <w:szCs w:val="24"/>
        </w:rPr>
        <w:t>rogram, the Commission adop</w:t>
      </w:r>
      <w:r w:rsidRPr="00AB742F">
        <w:rPr>
          <w:rFonts w:eastAsia="Calibri"/>
          <w:szCs w:val="24"/>
        </w:rPr>
        <w:t>t</w:t>
      </w:r>
      <w:r w:rsidR="00624632">
        <w:rPr>
          <w:rFonts w:eastAsia="Calibri"/>
          <w:szCs w:val="24"/>
        </w:rPr>
        <w:t>s</w:t>
      </w:r>
      <w:r w:rsidRPr="00AB742F">
        <w:rPr>
          <w:rFonts w:eastAsia="Calibri"/>
          <w:szCs w:val="24"/>
        </w:rPr>
        <w:t xml:space="preserve"> changes that reduce and clarify the scope of ownership information that Sellers must provide as part of their </w:t>
      </w:r>
      <w:r w:rsidR="00624632">
        <w:rPr>
          <w:rFonts w:eastAsia="Times New Roman"/>
          <w:szCs w:val="24"/>
        </w:rPr>
        <w:t xml:space="preserve">market-based rate </w:t>
      </w:r>
      <w:r w:rsidRPr="00AB742F">
        <w:rPr>
          <w:rFonts w:eastAsia="Calibri"/>
          <w:szCs w:val="24"/>
        </w:rPr>
        <w:t>filings</w:t>
      </w:r>
      <w:r w:rsidR="00624632">
        <w:rPr>
          <w:rFonts w:eastAsia="Calibri"/>
          <w:szCs w:val="24"/>
        </w:rPr>
        <w:t xml:space="preserve">.  </w:t>
      </w:r>
      <w:r w:rsidR="00E67468">
        <w:rPr>
          <w:rFonts w:eastAsia="Calibri"/>
          <w:szCs w:val="24"/>
        </w:rPr>
        <w:t xml:space="preserve">Currently </w:t>
      </w:r>
      <w:r w:rsidR="00200971">
        <w:rPr>
          <w:rFonts w:eastAsia="Calibri"/>
          <w:szCs w:val="24"/>
        </w:rPr>
        <w:t>a S</w:t>
      </w:r>
      <w:r w:rsidR="00E67468">
        <w:rPr>
          <w:rFonts w:eastAsia="Calibri"/>
          <w:szCs w:val="24"/>
        </w:rPr>
        <w:t>eller</w:t>
      </w:r>
      <w:r w:rsidR="00200971">
        <w:rPr>
          <w:rFonts w:eastAsia="Calibri"/>
          <w:szCs w:val="24"/>
        </w:rPr>
        <w:t xml:space="preserve"> is</w:t>
      </w:r>
      <w:r w:rsidR="00E67468">
        <w:rPr>
          <w:rFonts w:eastAsia="Calibri"/>
          <w:szCs w:val="24"/>
        </w:rPr>
        <w:t xml:space="preserve"> required to </w:t>
      </w:r>
      <w:r w:rsidR="00200971">
        <w:rPr>
          <w:rFonts w:eastAsia="Calibri"/>
          <w:szCs w:val="24"/>
        </w:rPr>
        <w:t>provide information regarding its affiliates and its upstream ownership and to trace upstream ownership until all upstream owners are identified</w:t>
      </w:r>
      <w:r w:rsidR="00152AAF">
        <w:rPr>
          <w:rFonts w:eastAsia="Calibri"/>
          <w:szCs w:val="24"/>
        </w:rPr>
        <w:t>.</w:t>
      </w:r>
      <w:r w:rsidR="00200971">
        <w:rPr>
          <w:rFonts w:eastAsia="Calibri"/>
          <w:szCs w:val="24"/>
        </w:rPr>
        <w:t xml:space="preserve">  Sellers also must describe the business activities of </w:t>
      </w:r>
      <w:r w:rsidR="00152AAF">
        <w:rPr>
          <w:rFonts w:eastAsia="Calibri"/>
          <w:szCs w:val="24"/>
        </w:rPr>
        <w:t>their</w:t>
      </w:r>
      <w:r w:rsidR="00200971">
        <w:rPr>
          <w:rFonts w:eastAsia="Calibri"/>
          <w:szCs w:val="24"/>
        </w:rPr>
        <w:t xml:space="preserve"> owners, explaining whether they are in any way involved in the energy industry.  </w:t>
      </w:r>
      <w:r w:rsidR="00152AAF">
        <w:rPr>
          <w:rFonts w:eastAsia="Calibri"/>
          <w:szCs w:val="24"/>
        </w:rPr>
        <w:t>When the final rule takes effect,</w:t>
      </w:r>
      <w:r w:rsidR="00200971">
        <w:rPr>
          <w:rFonts w:eastAsia="Calibri"/>
          <w:szCs w:val="24"/>
        </w:rPr>
        <w:t xml:space="preserve"> </w:t>
      </w:r>
      <w:r w:rsidR="00D35721">
        <w:rPr>
          <w:rFonts w:eastAsia="Calibri"/>
          <w:szCs w:val="24"/>
        </w:rPr>
        <w:t xml:space="preserve">a </w:t>
      </w:r>
      <w:r w:rsidR="00200971">
        <w:rPr>
          <w:rFonts w:eastAsia="Calibri"/>
          <w:szCs w:val="24"/>
        </w:rPr>
        <w:t xml:space="preserve">Seller will </w:t>
      </w:r>
      <w:r w:rsidR="00152AAF">
        <w:rPr>
          <w:rFonts w:eastAsia="Calibri"/>
          <w:szCs w:val="24"/>
        </w:rPr>
        <w:t>no longer</w:t>
      </w:r>
      <w:r w:rsidR="00200971">
        <w:rPr>
          <w:rFonts w:eastAsia="Calibri"/>
          <w:szCs w:val="24"/>
        </w:rPr>
        <w:t xml:space="preserve"> </w:t>
      </w:r>
      <w:r w:rsidR="001A388F">
        <w:rPr>
          <w:rFonts w:eastAsia="Calibri"/>
          <w:szCs w:val="24"/>
        </w:rPr>
        <w:t>be required</w:t>
      </w:r>
      <w:r w:rsidR="00200971">
        <w:rPr>
          <w:rFonts w:eastAsia="Calibri"/>
          <w:szCs w:val="24"/>
        </w:rPr>
        <w:t xml:space="preserve"> to describe all </w:t>
      </w:r>
      <w:r w:rsidR="00152AAF">
        <w:rPr>
          <w:rFonts w:eastAsia="Calibri"/>
          <w:szCs w:val="24"/>
        </w:rPr>
        <w:t xml:space="preserve">of its </w:t>
      </w:r>
      <w:r w:rsidR="00200971">
        <w:rPr>
          <w:rFonts w:eastAsia="Calibri"/>
          <w:szCs w:val="24"/>
        </w:rPr>
        <w:t>owners</w:t>
      </w:r>
      <w:r w:rsidR="00152AAF">
        <w:rPr>
          <w:rFonts w:eastAsia="Calibri"/>
          <w:szCs w:val="24"/>
        </w:rPr>
        <w:t xml:space="preserve">. </w:t>
      </w:r>
      <w:r w:rsidR="00200971">
        <w:rPr>
          <w:rFonts w:eastAsia="Calibri"/>
          <w:szCs w:val="24"/>
        </w:rPr>
        <w:t xml:space="preserve"> </w:t>
      </w:r>
      <w:r w:rsidR="00152AAF">
        <w:rPr>
          <w:rFonts w:eastAsia="Calibri"/>
          <w:szCs w:val="24"/>
        </w:rPr>
        <w:t>I</w:t>
      </w:r>
      <w:r w:rsidR="00200971">
        <w:rPr>
          <w:rFonts w:eastAsia="Calibri"/>
          <w:szCs w:val="24"/>
        </w:rPr>
        <w:t>nstead</w:t>
      </w:r>
      <w:r w:rsidR="00152AAF">
        <w:rPr>
          <w:rFonts w:eastAsia="Calibri"/>
          <w:szCs w:val="24"/>
        </w:rPr>
        <w:t>,</w:t>
      </w:r>
      <w:r w:rsidR="00200971">
        <w:rPr>
          <w:rFonts w:eastAsia="Calibri"/>
          <w:szCs w:val="24"/>
        </w:rPr>
        <w:t xml:space="preserve"> a Seller will only need to provide information on its ultimate upstream affiliates, i.e., the furthest upstream affiliates in the ownership chain.  </w:t>
      </w:r>
      <w:r w:rsidR="00624632">
        <w:rPr>
          <w:rFonts w:eastAsia="Calibri"/>
          <w:szCs w:val="24"/>
        </w:rPr>
        <w:t>In addition, the Commission modifies</w:t>
      </w:r>
      <w:r>
        <w:rPr>
          <w:rFonts w:eastAsia="Calibri"/>
          <w:szCs w:val="24"/>
        </w:rPr>
        <w:t xml:space="preserve"> its regulations to</w:t>
      </w:r>
      <w:r w:rsidRPr="00AB742F">
        <w:rPr>
          <w:rFonts w:eastAsia="Calibri"/>
          <w:szCs w:val="24"/>
        </w:rPr>
        <w:t xml:space="preserve"> change the information required in a Seller’s asset appendix as well as the format through which such information must be submitted</w:t>
      </w:r>
      <w:r w:rsidR="00200971">
        <w:rPr>
          <w:rFonts w:eastAsia="Calibri"/>
          <w:szCs w:val="24"/>
        </w:rPr>
        <w:t xml:space="preserve">, i.e., </w:t>
      </w:r>
      <w:r w:rsidR="00152AAF">
        <w:rPr>
          <w:rFonts w:eastAsia="Calibri"/>
          <w:szCs w:val="24"/>
        </w:rPr>
        <w:t xml:space="preserve">as noted above, </w:t>
      </w:r>
      <w:r w:rsidR="00336E57">
        <w:rPr>
          <w:rFonts w:eastAsia="Calibri"/>
          <w:szCs w:val="24"/>
        </w:rPr>
        <w:t>moving from a spreadsheet format to a</w:t>
      </w:r>
      <w:r w:rsidR="00200971">
        <w:rPr>
          <w:rFonts w:eastAsia="Calibri"/>
          <w:szCs w:val="24"/>
        </w:rPr>
        <w:t xml:space="preserve"> relational database format</w:t>
      </w:r>
      <w:r w:rsidRPr="00AB742F">
        <w:rPr>
          <w:rFonts w:eastAsia="Calibri"/>
          <w:szCs w:val="24"/>
        </w:rPr>
        <w:t>.</w:t>
      </w:r>
      <w:r>
        <w:rPr>
          <w:rFonts w:eastAsia="Calibri"/>
          <w:szCs w:val="24"/>
        </w:rPr>
        <w:t xml:space="preserve">  The revised regulations will </w:t>
      </w:r>
      <w:r w:rsidRPr="00AB742F">
        <w:rPr>
          <w:rFonts w:eastAsia="Calibri"/>
          <w:szCs w:val="24"/>
        </w:rPr>
        <w:t>require a Seller to update the relational database on a monthly basis to reflect any changes th</w:t>
      </w:r>
      <w:r>
        <w:rPr>
          <w:rFonts w:eastAsia="Calibri"/>
          <w:szCs w:val="24"/>
        </w:rPr>
        <w:t xml:space="preserve">at have occurred but will also </w:t>
      </w:r>
      <w:r w:rsidRPr="00AB742F">
        <w:rPr>
          <w:rFonts w:eastAsia="Calibri"/>
          <w:szCs w:val="24"/>
        </w:rPr>
        <w:t xml:space="preserve">extend the change in status filing requirement to a quarterly filing obligation.  Finally, the Commission </w:t>
      </w:r>
      <w:r w:rsidR="00D0532B">
        <w:rPr>
          <w:rFonts w:eastAsia="Calibri"/>
          <w:szCs w:val="24"/>
        </w:rPr>
        <w:lastRenderedPageBreak/>
        <w:t>modifies</w:t>
      </w:r>
      <w:r w:rsidRPr="00AB742F">
        <w:rPr>
          <w:rFonts w:eastAsia="Calibri"/>
          <w:szCs w:val="24"/>
        </w:rPr>
        <w:t xml:space="preserve"> its regulations </w:t>
      </w:r>
      <w:r>
        <w:rPr>
          <w:rFonts w:eastAsia="Calibri"/>
          <w:szCs w:val="24"/>
        </w:rPr>
        <w:t xml:space="preserve">to </w:t>
      </w:r>
      <w:r w:rsidRPr="00AB742F">
        <w:rPr>
          <w:rFonts w:eastAsia="Calibri"/>
          <w:szCs w:val="24"/>
        </w:rPr>
        <w:t>eliminate the requirement that Sellers submit corporate organizational charts.</w:t>
      </w:r>
    </w:p>
    <w:p w:rsidRPr="00E758ED" w:rsidR="00A978BD" w:rsidP="00632B16" w:rsidRDefault="00A978BD" w14:paraId="035331B8" w14:textId="77777777">
      <w:pPr>
        <w:spacing w:after="0" w:line="240" w:lineRule="auto"/>
        <w:rPr>
          <w:szCs w:val="24"/>
        </w:rPr>
      </w:pPr>
    </w:p>
    <w:p w:rsidRPr="00E758ED" w:rsidR="00A72E7B" w:rsidP="00632B16" w:rsidRDefault="00EB3E6F" w14:paraId="035331B9" w14:textId="77777777">
      <w:pPr>
        <w:pStyle w:val="FERCparanumber"/>
      </w:pPr>
      <w:r w:rsidRPr="00E758ED">
        <w:t>HOW, BY WHOM, AND FOR WHAT PURPOSE THE INFORMATION IS TO BE USED AND THE CONSEQUENCES OF NOT COLLECTING THE INFORMATION</w:t>
      </w:r>
    </w:p>
    <w:p w:rsidRPr="00E758ED" w:rsidR="00092293" w:rsidP="00632B16" w:rsidRDefault="001C284A" w14:paraId="28575BF3" w14:textId="16BDE7A6">
      <w:pPr>
        <w:spacing w:after="0" w:line="240" w:lineRule="auto"/>
        <w:rPr>
          <w:szCs w:val="24"/>
        </w:rPr>
      </w:pPr>
      <w:r w:rsidRPr="00E758ED">
        <w:rPr>
          <w:szCs w:val="24"/>
        </w:rPr>
        <w:t xml:space="preserve">The purpose of this data collection is to </w:t>
      </w:r>
      <w:r w:rsidRPr="00E758ED" w:rsidR="00C63D68">
        <w:rPr>
          <w:szCs w:val="24"/>
        </w:rPr>
        <w:t>modernize and streamline the Commission’s data collection by</w:t>
      </w:r>
      <w:r w:rsidRPr="00E758ED">
        <w:rPr>
          <w:szCs w:val="24"/>
        </w:rPr>
        <w:t xml:space="preserve"> </w:t>
      </w:r>
      <w:r w:rsidRPr="00E758ED" w:rsidR="00C63D68">
        <w:rPr>
          <w:szCs w:val="24"/>
        </w:rPr>
        <w:t xml:space="preserve">requiring </w:t>
      </w:r>
      <w:r w:rsidR="00D0532B">
        <w:rPr>
          <w:szCs w:val="24"/>
        </w:rPr>
        <w:t>currently filed</w:t>
      </w:r>
      <w:r w:rsidR="00FC26A1">
        <w:rPr>
          <w:szCs w:val="24"/>
        </w:rPr>
        <w:t xml:space="preserve"> market-based rate</w:t>
      </w:r>
      <w:r w:rsidRPr="00E758ED">
        <w:rPr>
          <w:szCs w:val="24"/>
        </w:rPr>
        <w:t xml:space="preserve"> information and </w:t>
      </w:r>
      <w:r w:rsidRPr="00E758ED" w:rsidR="00C63D68">
        <w:rPr>
          <w:szCs w:val="24"/>
        </w:rPr>
        <w:t>new</w:t>
      </w:r>
      <w:r w:rsidRPr="00E758ED">
        <w:rPr>
          <w:szCs w:val="24"/>
        </w:rPr>
        <w:t xml:space="preserve"> information to be collected </w:t>
      </w:r>
      <w:r w:rsidR="00047FEC">
        <w:rPr>
          <w:szCs w:val="24"/>
        </w:rPr>
        <w:t>i</w:t>
      </w:r>
      <w:r w:rsidRPr="00E758ED">
        <w:rPr>
          <w:szCs w:val="24"/>
        </w:rPr>
        <w:t>n a consolidated and streamlined manner through a relational database</w:t>
      </w:r>
      <w:r w:rsidR="007B7DD6">
        <w:rPr>
          <w:szCs w:val="24"/>
        </w:rPr>
        <w:t xml:space="preserve">.  </w:t>
      </w:r>
      <w:r w:rsidR="00F20C6C">
        <w:rPr>
          <w:szCs w:val="24"/>
        </w:rPr>
        <w:t>As discussed above, t</w:t>
      </w:r>
      <w:r w:rsidR="007B7DD6">
        <w:rPr>
          <w:szCs w:val="24"/>
        </w:rPr>
        <w:t>his</w:t>
      </w:r>
      <w:r w:rsidRPr="00E758ED">
        <w:rPr>
          <w:szCs w:val="24"/>
        </w:rPr>
        <w:t xml:space="preserve"> will eliminate duplication and render information more usable and </w:t>
      </w:r>
      <w:r w:rsidR="007B7DD6">
        <w:rPr>
          <w:szCs w:val="24"/>
        </w:rPr>
        <w:t>accessible to the Commission</w:t>
      </w:r>
      <w:r w:rsidRPr="00E758ED" w:rsidR="00C63D68">
        <w:rPr>
          <w:szCs w:val="24"/>
        </w:rPr>
        <w:t xml:space="preserve"> and to the public</w:t>
      </w:r>
      <w:r w:rsidRPr="00E758ED">
        <w:rPr>
          <w:szCs w:val="24"/>
        </w:rPr>
        <w:t xml:space="preserve">. </w:t>
      </w:r>
      <w:r w:rsidR="00047FEC">
        <w:rPr>
          <w:szCs w:val="24"/>
        </w:rPr>
        <w:t xml:space="preserve"> The new information that will be collected includes unit-specific generation information and </w:t>
      </w:r>
      <w:r w:rsidR="00D0532B">
        <w:rPr>
          <w:szCs w:val="24"/>
        </w:rPr>
        <w:t>long-term</w:t>
      </w:r>
      <w:r w:rsidR="00047FEC">
        <w:rPr>
          <w:szCs w:val="24"/>
        </w:rPr>
        <w:t xml:space="preserve"> firm sales information</w:t>
      </w:r>
      <w:r w:rsidR="00F20C6C">
        <w:rPr>
          <w:szCs w:val="24"/>
        </w:rPr>
        <w:t>, which will support information already included in a Seller’s horizontal market power indicative screens</w:t>
      </w:r>
      <w:r w:rsidR="00047FEC">
        <w:rPr>
          <w:szCs w:val="24"/>
        </w:rPr>
        <w:t>.  This information will appear as part of the Seller’s asset appendix, which will be automatically generated by the relational dat</w:t>
      </w:r>
      <w:r w:rsidR="003E562F">
        <w:rPr>
          <w:szCs w:val="24"/>
        </w:rPr>
        <w:t>a</w:t>
      </w:r>
      <w:r w:rsidR="00047FEC">
        <w:rPr>
          <w:szCs w:val="24"/>
        </w:rPr>
        <w:t>b</w:t>
      </w:r>
      <w:r w:rsidR="003E562F">
        <w:rPr>
          <w:szCs w:val="24"/>
        </w:rPr>
        <w:t>a</w:t>
      </w:r>
      <w:r w:rsidR="00047FEC">
        <w:rPr>
          <w:szCs w:val="24"/>
        </w:rPr>
        <w:t>se and retrievable by the Commission and the public.</w:t>
      </w:r>
      <w:r w:rsidR="003418CC">
        <w:rPr>
          <w:szCs w:val="24"/>
        </w:rPr>
        <w:t xml:space="preserve"> </w:t>
      </w:r>
      <w:r w:rsidR="006D5207">
        <w:rPr>
          <w:szCs w:val="24"/>
        </w:rPr>
        <w:t xml:space="preserve"> </w:t>
      </w:r>
      <w:r w:rsidR="003418CC">
        <w:rPr>
          <w:szCs w:val="24"/>
        </w:rPr>
        <w:t xml:space="preserve">This information collection </w:t>
      </w:r>
      <w:r w:rsidRPr="003418CC" w:rsidR="003418CC">
        <w:rPr>
          <w:szCs w:val="24"/>
        </w:rPr>
        <w:t xml:space="preserve">will assist </w:t>
      </w:r>
      <w:r w:rsidR="007B7DD6">
        <w:rPr>
          <w:szCs w:val="24"/>
        </w:rPr>
        <w:t>the Commission</w:t>
      </w:r>
      <w:r w:rsidRPr="003418CC" w:rsidR="003418CC">
        <w:rPr>
          <w:szCs w:val="24"/>
        </w:rPr>
        <w:t xml:space="preserve"> </w:t>
      </w:r>
      <w:r w:rsidR="00D35721">
        <w:rPr>
          <w:szCs w:val="24"/>
        </w:rPr>
        <w:t xml:space="preserve">in </w:t>
      </w:r>
      <w:r w:rsidRPr="003418CC" w:rsidR="003418CC">
        <w:rPr>
          <w:szCs w:val="24"/>
        </w:rPr>
        <w:t>ensur</w:t>
      </w:r>
      <w:r w:rsidR="00D35721">
        <w:rPr>
          <w:szCs w:val="24"/>
        </w:rPr>
        <w:t>ing that</w:t>
      </w:r>
      <w:r w:rsidRPr="003418CC" w:rsidR="003418CC">
        <w:rPr>
          <w:szCs w:val="24"/>
        </w:rPr>
        <w:t xml:space="preserve"> rates are just and reasonable</w:t>
      </w:r>
      <w:r w:rsidR="00375259">
        <w:rPr>
          <w:szCs w:val="24"/>
        </w:rPr>
        <w:t xml:space="preserve"> and that a Seller does not possess horizontal market power</w:t>
      </w:r>
      <w:r w:rsidR="00F20C6C">
        <w:rPr>
          <w:szCs w:val="24"/>
        </w:rPr>
        <w:t xml:space="preserve"> </w:t>
      </w:r>
      <w:r w:rsidR="00375259">
        <w:rPr>
          <w:szCs w:val="24"/>
        </w:rPr>
        <w:t>through</w:t>
      </w:r>
      <w:r w:rsidR="00F20C6C">
        <w:rPr>
          <w:szCs w:val="24"/>
        </w:rPr>
        <w:t xml:space="preserve"> better validation of the information included in the Seller’s horizontal market power indicative screens</w:t>
      </w:r>
      <w:r w:rsidR="00375259">
        <w:rPr>
          <w:szCs w:val="24"/>
        </w:rPr>
        <w:t>.</w:t>
      </w:r>
      <w:r w:rsidR="00E802E2">
        <w:rPr>
          <w:rStyle w:val="FootnoteReference"/>
          <w:szCs w:val="24"/>
        </w:rPr>
        <w:footnoteReference w:id="9"/>
      </w:r>
      <w:r w:rsidRPr="003418CC" w:rsidR="003418CC">
        <w:rPr>
          <w:szCs w:val="24"/>
        </w:rPr>
        <w:t xml:space="preserve">  Failing to meet this </w:t>
      </w:r>
      <w:r w:rsidR="00945CC1">
        <w:rPr>
          <w:szCs w:val="24"/>
        </w:rPr>
        <w:t xml:space="preserve">statutory </w:t>
      </w:r>
      <w:r w:rsidRPr="003418CC" w:rsidR="003418CC">
        <w:rPr>
          <w:szCs w:val="24"/>
        </w:rPr>
        <w:t>responsibility could result in public utilities charging rates that are not just and reasonable.</w:t>
      </w:r>
    </w:p>
    <w:p w:rsidRPr="00E758ED" w:rsidR="00EB3E6F" w:rsidP="00632B16" w:rsidRDefault="00EB3E6F" w14:paraId="035331BE" w14:textId="2F40C3AC">
      <w:pPr>
        <w:spacing w:after="0" w:line="240" w:lineRule="auto"/>
        <w:rPr>
          <w:szCs w:val="24"/>
        </w:rPr>
      </w:pPr>
    </w:p>
    <w:p w:rsidRPr="00E758ED" w:rsidR="00EB3E6F" w:rsidP="00632B16" w:rsidRDefault="00EB3E6F" w14:paraId="035331BF" w14:textId="77777777">
      <w:pPr>
        <w:pStyle w:val="FERCparanumber"/>
      </w:pPr>
      <w:r w:rsidRPr="00E758ED">
        <w:t>DESCRIBE ANY CONSIDERATION OF THE USE OF IMPROVED INFORMATION TECHNOLOGY TO REDUCE THE BURDEN AND TECHNICAL OR LEGAL OBSTACLES TO REDUCING BURDEN</w:t>
      </w:r>
    </w:p>
    <w:p w:rsidRPr="00E758ED" w:rsidR="001F65FC" w:rsidP="00632B16" w:rsidRDefault="00C66CD2" w14:paraId="035331C1" w14:textId="5E6A9208">
      <w:pPr>
        <w:spacing w:after="0" w:line="240" w:lineRule="auto"/>
        <w:rPr>
          <w:szCs w:val="24"/>
        </w:rPr>
      </w:pPr>
      <w:r w:rsidRPr="00E758ED">
        <w:rPr>
          <w:szCs w:val="24"/>
        </w:rPr>
        <w:t xml:space="preserve">The final rule uses a </w:t>
      </w:r>
      <w:r w:rsidRPr="00E758ED" w:rsidR="003B390D">
        <w:rPr>
          <w:szCs w:val="24"/>
        </w:rPr>
        <w:t>relational database</w:t>
      </w:r>
      <w:r w:rsidRPr="00E758ED">
        <w:rPr>
          <w:szCs w:val="24"/>
        </w:rPr>
        <w:t xml:space="preserve"> construct</w:t>
      </w:r>
      <w:r w:rsidRPr="00E758ED" w:rsidR="003B390D">
        <w:rPr>
          <w:szCs w:val="24"/>
        </w:rPr>
        <w:t xml:space="preserve">, which will eliminate duplication and render information collected more accessible to the Commission and to the public.  </w:t>
      </w:r>
    </w:p>
    <w:p w:rsidRPr="00E758ED" w:rsidR="009D7EF5" w:rsidP="00632B16" w:rsidRDefault="009D7EF5" w14:paraId="035331C2" w14:textId="77777777">
      <w:pPr>
        <w:spacing w:after="0" w:line="240" w:lineRule="auto"/>
        <w:rPr>
          <w:szCs w:val="24"/>
        </w:rPr>
      </w:pPr>
    </w:p>
    <w:p w:rsidRPr="00E758ED" w:rsidR="00EB3E6F" w:rsidP="00632B16" w:rsidRDefault="00EB3E6F" w14:paraId="035331C3" w14:textId="77777777">
      <w:pPr>
        <w:pStyle w:val="FERCparanumber"/>
      </w:pPr>
      <w:r w:rsidRPr="00E758ED">
        <w:lastRenderedPageBreak/>
        <w:t>DESCRIBE EFFORTS TO IDENTIF</w:t>
      </w:r>
      <w:r w:rsidRPr="00E758ED" w:rsidR="00730A00">
        <w:t>Y</w:t>
      </w:r>
      <w:r w:rsidRPr="00E758ED">
        <w:t xml:space="preserve"> DUPLICATION AND SHOW SPECIFICALLY WHY ANY SIMILAR INFORMATION ALREADY AVAILABLE CANNOT BE USED OR MODIFIED FOR USE FOR THE PURPOSE(S) DESCRIBED IN INSTRUCTION NO. 2</w:t>
      </w:r>
    </w:p>
    <w:p w:rsidRPr="00E758ED" w:rsidR="00251161" w:rsidP="00632B16" w:rsidRDefault="00251161" w14:paraId="035331C5" w14:textId="20458B88">
      <w:pPr>
        <w:spacing w:after="0" w:line="240" w:lineRule="auto"/>
        <w:rPr>
          <w:szCs w:val="24"/>
        </w:rPr>
      </w:pPr>
      <w:r w:rsidRPr="00E758ED">
        <w:rPr>
          <w:szCs w:val="24"/>
        </w:rPr>
        <w:t>The Commission periodically reviews filing requirements concurrent with OMB review or as the Commission deems necessary to eliminate duplicative filing and to minimize the filing burden.</w:t>
      </w:r>
    </w:p>
    <w:p w:rsidRPr="00E758ED" w:rsidR="00251161" w:rsidP="00632B16" w:rsidRDefault="00251161" w14:paraId="035331C6" w14:textId="77777777">
      <w:pPr>
        <w:spacing w:after="0" w:line="240" w:lineRule="auto"/>
        <w:rPr>
          <w:szCs w:val="24"/>
        </w:rPr>
      </w:pPr>
    </w:p>
    <w:p w:rsidRPr="00E758ED" w:rsidR="00EB3E6F" w:rsidP="00632B16" w:rsidRDefault="00046434" w14:paraId="035331C7" w14:textId="30523F9F">
      <w:pPr>
        <w:spacing w:after="0" w:line="240" w:lineRule="auto"/>
        <w:rPr>
          <w:szCs w:val="24"/>
        </w:rPr>
      </w:pPr>
      <w:r w:rsidRPr="00E758ED">
        <w:rPr>
          <w:szCs w:val="24"/>
        </w:rPr>
        <w:t xml:space="preserve">This final rule </w:t>
      </w:r>
      <w:r w:rsidRPr="00E758ED" w:rsidR="003B390D">
        <w:rPr>
          <w:szCs w:val="24"/>
        </w:rPr>
        <w:t xml:space="preserve">changes </w:t>
      </w:r>
      <w:r w:rsidRPr="00E758ED">
        <w:rPr>
          <w:szCs w:val="24"/>
        </w:rPr>
        <w:t xml:space="preserve">the </w:t>
      </w:r>
      <w:r w:rsidRPr="00E758ED" w:rsidR="003B390D">
        <w:rPr>
          <w:szCs w:val="24"/>
        </w:rPr>
        <w:t xml:space="preserve">method for collecting </w:t>
      </w:r>
      <w:r w:rsidR="007B7DD6">
        <w:rPr>
          <w:szCs w:val="24"/>
        </w:rPr>
        <w:t>market-based rate</w:t>
      </w:r>
      <w:r w:rsidRPr="00E758ED" w:rsidR="003B390D">
        <w:rPr>
          <w:szCs w:val="24"/>
        </w:rPr>
        <w:t xml:space="preserve"> information</w:t>
      </w:r>
      <w:r w:rsidRPr="00E758ED" w:rsidR="00391981">
        <w:rPr>
          <w:szCs w:val="24"/>
        </w:rPr>
        <w:t xml:space="preserve"> </w:t>
      </w:r>
      <w:r w:rsidRPr="00E758ED" w:rsidR="008F54D4">
        <w:rPr>
          <w:szCs w:val="24"/>
        </w:rPr>
        <w:t xml:space="preserve">in order </w:t>
      </w:r>
      <w:r w:rsidRPr="00E758ED">
        <w:rPr>
          <w:szCs w:val="24"/>
        </w:rPr>
        <w:t>to</w:t>
      </w:r>
      <w:r w:rsidRPr="00E758ED" w:rsidR="00E462BF">
        <w:rPr>
          <w:szCs w:val="24"/>
        </w:rPr>
        <w:t xml:space="preserve"> </w:t>
      </w:r>
      <w:r w:rsidRPr="00E758ED" w:rsidR="008F54D4">
        <w:rPr>
          <w:szCs w:val="24"/>
        </w:rPr>
        <w:t xml:space="preserve">modernize </w:t>
      </w:r>
      <w:r w:rsidR="00CA21DF">
        <w:rPr>
          <w:szCs w:val="24"/>
        </w:rPr>
        <w:t>the Commission’s</w:t>
      </w:r>
      <w:r w:rsidRPr="00E758ED" w:rsidR="008F54D4">
        <w:rPr>
          <w:szCs w:val="24"/>
        </w:rPr>
        <w:t xml:space="preserve"> data collection, and</w:t>
      </w:r>
      <w:r w:rsidR="007B7DD6">
        <w:rPr>
          <w:szCs w:val="24"/>
        </w:rPr>
        <w:t xml:space="preserve"> render information collected </w:t>
      </w:r>
      <w:r w:rsidRPr="00E758ED" w:rsidR="00391981">
        <w:rPr>
          <w:szCs w:val="24"/>
        </w:rPr>
        <w:t xml:space="preserve">more </w:t>
      </w:r>
      <w:r w:rsidRPr="00E758ED" w:rsidR="008F54D4">
        <w:rPr>
          <w:szCs w:val="24"/>
        </w:rPr>
        <w:t xml:space="preserve">usable and accessible for the Commission </w:t>
      </w:r>
      <w:r w:rsidRPr="00E758ED">
        <w:rPr>
          <w:szCs w:val="24"/>
        </w:rPr>
        <w:t>and to the public.</w:t>
      </w:r>
      <w:r w:rsidRPr="00E758ED" w:rsidR="008F54D4">
        <w:rPr>
          <w:szCs w:val="24"/>
        </w:rPr>
        <w:t xml:space="preserve">   </w:t>
      </w:r>
    </w:p>
    <w:p w:rsidRPr="00E758ED" w:rsidR="0029126C" w:rsidP="00632B16" w:rsidRDefault="0029126C" w14:paraId="035331C8" w14:textId="77777777">
      <w:pPr>
        <w:spacing w:after="0" w:line="240" w:lineRule="auto"/>
        <w:rPr>
          <w:szCs w:val="24"/>
        </w:rPr>
      </w:pPr>
    </w:p>
    <w:p w:rsidRPr="00E758ED" w:rsidR="0029126C" w:rsidP="00632B16" w:rsidRDefault="003B390D" w14:paraId="035331C9" w14:textId="518B6B5C">
      <w:pPr>
        <w:spacing w:after="0" w:line="240" w:lineRule="auto"/>
        <w:rPr>
          <w:szCs w:val="24"/>
        </w:rPr>
      </w:pPr>
      <w:r w:rsidRPr="00E758ED">
        <w:rPr>
          <w:szCs w:val="24"/>
        </w:rPr>
        <w:t xml:space="preserve">With respect to asset appendix information currently filed by </w:t>
      </w:r>
      <w:r w:rsidR="007B7DD6">
        <w:rPr>
          <w:szCs w:val="24"/>
        </w:rPr>
        <w:t>Sellers</w:t>
      </w:r>
      <w:r w:rsidRPr="00E758ED">
        <w:rPr>
          <w:szCs w:val="24"/>
        </w:rPr>
        <w:t>, t</w:t>
      </w:r>
      <w:r w:rsidRPr="00E758ED" w:rsidR="0029126C">
        <w:rPr>
          <w:szCs w:val="24"/>
        </w:rPr>
        <w:t xml:space="preserve">he </w:t>
      </w:r>
      <w:r w:rsidRPr="00E758ED" w:rsidR="00046434">
        <w:rPr>
          <w:szCs w:val="24"/>
        </w:rPr>
        <w:t>final rul</w:t>
      </w:r>
      <w:r w:rsidRPr="00E758ED" w:rsidR="007D69FF">
        <w:rPr>
          <w:szCs w:val="24"/>
        </w:rPr>
        <w:t>e</w:t>
      </w:r>
      <w:r w:rsidRPr="00E758ED" w:rsidR="00046434">
        <w:rPr>
          <w:szCs w:val="24"/>
        </w:rPr>
        <w:t xml:space="preserve"> requires that </w:t>
      </w:r>
      <w:r w:rsidRPr="00E758ED">
        <w:rPr>
          <w:szCs w:val="24"/>
        </w:rPr>
        <w:t xml:space="preserve">certain reporting requirements for generators be based on </w:t>
      </w:r>
      <w:r w:rsidRPr="00E758ED" w:rsidR="0029126C">
        <w:rPr>
          <w:szCs w:val="24"/>
        </w:rPr>
        <w:t xml:space="preserve">the Plant Name, Plant Code, Generator ID and Unit Code (if applicable) information from the Energy Information Agency (EIA) Form EIA-860 database.  This aligns the Commission data collection with the EIA data collection procedures, essentially adopting the EIA nomenclature, which should simplify regulatory requirements </w:t>
      </w:r>
      <w:r w:rsidRPr="00E758ED" w:rsidR="00391981">
        <w:rPr>
          <w:szCs w:val="24"/>
        </w:rPr>
        <w:t xml:space="preserve">and avoid duplication of requirements </w:t>
      </w:r>
      <w:r w:rsidRPr="00E758ED" w:rsidR="0029126C">
        <w:rPr>
          <w:szCs w:val="24"/>
        </w:rPr>
        <w:t xml:space="preserve">for the industry.  </w:t>
      </w:r>
    </w:p>
    <w:p w:rsidRPr="00E758ED" w:rsidR="00EB3E6F" w:rsidP="00632B16" w:rsidRDefault="00EB3E6F" w14:paraId="035331CC" w14:textId="77777777">
      <w:pPr>
        <w:spacing w:after="0" w:line="240" w:lineRule="auto"/>
        <w:rPr>
          <w:szCs w:val="24"/>
        </w:rPr>
      </w:pPr>
    </w:p>
    <w:p w:rsidRPr="00E758ED" w:rsidR="00EB3E6F" w:rsidP="00632B16" w:rsidRDefault="00EB3E6F" w14:paraId="035331CD" w14:textId="77777777">
      <w:pPr>
        <w:pStyle w:val="FERCparanumber"/>
      </w:pPr>
      <w:r w:rsidRPr="00E758ED">
        <w:t>METHODS USED TO MINIMIZE THE BURDEN IN COLLECTION OF INFORMATION INVOLVING SMALL ENTITIES</w:t>
      </w:r>
    </w:p>
    <w:p w:rsidRPr="00E758ED" w:rsidR="00003CE1" w:rsidP="00632B16" w:rsidRDefault="00003CE1" w14:paraId="035331CF" w14:textId="33D581DF">
      <w:pPr>
        <w:spacing w:after="0" w:line="240" w:lineRule="auto"/>
        <w:rPr>
          <w:szCs w:val="24"/>
          <w:lang w:val="x-none"/>
        </w:rPr>
      </w:pPr>
      <w:r w:rsidRPr="00E758ED">
        <w:rPr>
          <w:szCs w:val="24"/>
          <w:lang w:val="x-none"/>
        </w:rPr>
        <w:t>The economic impact of thi</w:t>
      </w:r>
      <w:r w:rsidR="00364963">
        <w:rPr>
          <w:szCs w:val="24"/>
        </w:rPr>
        <w:t>s final</w:t>
      </w:r>
      <w:r w:rsidRPr="00E758ED">
        <w:rPr>
          <w:szCs w:val="24"/>
          <w:lang w:val="x-none"/>
        </w:rPr>
        <w:t xml:space="preserve"> rule is directly related to the</w:t>
      </w:r>
      <w:r w:rsidRPr="00E758ED">
        <w:rPr>
          <w:szCs w:val="24"/>
        </w:rPr>
        <w:t xml:space="preserve"> size and</w:t>
      </w:r>
      <w:r w:rsidRPr="00E758ED">
        <w:rPr>
          <w:szCs w:val="24"/>
          <w:lang w:val="x-none"/>
        </w:rPr>
        <w:t xml:space="preserve"> complexity of the organization, that is, </w:t>
      </w:r>
      <w:r w:rsidRPr="00E758ED">
        <w:rPr>
          <w:szCs w:val="24"/>
        </w:rPr>
        <w:t>the more generation assets it owns or controls,</w:t>
      </w:r>
      <w:r w:rsidRPr="00E758ED">
        <w:rPr>
          <w:szCs w:val="24"/>
          <w:lang w:val="x-none"/>
        </w:rPr>
        <w:t xml:space="preserve"> the more information must be reported. Therefore, it is reasonable to </w:t>
      </w:r>
      <w:r w:rsidRPr="00E758ED">
        <w:rPr>
          <w:szCs w:val="24"/>
        </w:rPr>
        <w:t>assume</w:t>
      </w:r>
      <w:r w:rsidRPr="00E758ED">
        <w:rPr>
          <w:szCs w:val="24"/>
          <w:lang w:val="x-none"/>
        </w:rPr>
        <w:t xml:space="preserve"> that the cost of complying for small entities will be significantly less than the cost for large ones</w:t>
      </w:r>
      <w:r w:rsidRPr="00E758ED">
        <w:rPr>
          <w:szCs w:val="24"/>
        </w:rPr>
        <w:t xml:space="preserve">, and the amount of information that </w:t>
      </w:r>
      <w:r w:rsidR="00945CC1">
        <w:rPr>
          <w:szCs w:val="24"/>
        </w:rPr>
        <w:t>small entities</w:t>
      </w:r>
      <w:r w:rsidRPr="00E758ED" w:rsidR="00945CC1">
        <w:rPr>
          <w:szCs w:val="24"/>
        </w:rPr>
        <w:t xml:space="preserve"> </w:t>
      </w:r>
      <w:r w:rsidRPr="00E758ED">
        <w:rPr>
          <w:szCs w:val="24"/>
        </w:rPr>
        <w:t>will be required to collect, maintain, and transmit is likely to be small</w:t>
      </w:r>
      <w:r w:rsidRPr="00E758ED" w:rsidR="00BB6054">
        <w:rPr>
          <w:szCs w:val="24"/>
        </w:rPr>
        <w:t>.</w:t>
      </w:r>
    </w:p>
    <w:p w:rsidRPr="00E758ED" w:rsidR="00003CE1" w:rsidP="00632B16" w:rsidRDefault="00003CE1" w14:paraId="035331D0" w14:textId="77777777">
      <w:pPr>
        <w:spacing w:after="0" w:line="240" w:lineRule="auto"/>
        <w:rPr>
          <w:szCs w:val="24"/>
        </w:rPr>
      </w:pPr>
    </w:p>
    <w:p w:rsidRPr="00E758ED" w:rsidR="00EB3E6F" w:rsidP="00632B16" w:rsidRDefault="00EB3E6F" w14:paraId="035331D3" w14:textId="77777777">
      <w:pPr>
        <w:pStyle w:val="FERCparanumber"/>
      </w:pPr>
      <w:r w:rsidRPr="00E758ED">
        <w:t>CONSEQUENCE TO FEDERAL PROGRAM IF COLLECTION WERE CONDUCTED LESS FREQUENTLY</w:t>
      </w:r>
    </w:p>
    <w:p w:rsidR="008037DE" w:rsidP="00632B16" w:rsidRDefault="00454FB3" w14:paraId="7BCA5D72" w14:textId="23A50396">
      <w:pPr>
        <w:spacing w:after="0" w:line="240" w:lineRule="auto"/>
        <w:rPr>
          <w:szCs w:val="24"/>
        </w:rPr>
      </w:pPr>
      <w:r w:rsidRPr="00E758ED">
        <w:rPr>
          <w:szCs w:val="24"/>
        </w:rPr>
        <w:t>Section 205 of the FPA mandates</w:t>
      </w:r>
      <w:r w:rsidRPr="00E758ED" w:rsidR="00044824">
        <w:rPr>
          <w:szCs w:val="24"/>
        </w:rPr>
        <w:t xml:space="preserve"> </w:t>
      </w:r>
      <w:r w:rsidRPr="00E758ED">
        <w:rPr>
          <w:szCs w:val="24"/>
        </w:rPr>
        <w:t>just and reasonable rates</w:t>
      </w:r>
      <w:r w:rsidR="002F5149">
        <w:rPr>
          <w:szCs w:val="24"/>
        </w:rPr>
        <w:t xml:space="preserve">. </w:t>
      </w:r>
      <w:r w:rsidR="009075A8">
        <w:rPr>
          <w:szCs w:val="24"/>
        </w:rPr>
        <w:t xml:space="preserve"> </w:t>
      </w:r>
      <w:r w:rsidRPr="008037DE" w:rsidR="008037DE">
        <w:rPr>
          <w:szCs w:val="24"/>
        </w:rPr>
        <w:t>The Commission requires information that comes from FERC-919</w:t>
      </w:r>
      <w:r w:rsidR="008037DE">
        <w:rPr>
          <w:szCs w:val="24"/>
        </w:rPr>
        <w:t>A</w:t>
      </w:r>
      <w:r w:rsidRPr="008037DE" w:rsidR="008037DE">
        <w:rPr>
          <w:szCs w:val="24"/>
        </w:rPr>
        <w:t xml:space="preserve"> to meet its statutory requirements.  </w:t>
      </w:r>
    </w:p>
    <w:p w:rsidRPr="00E758ED" w:rsidR="003A6137" w:rsidP="00632B16" w:rsidRDefault="003A6137" w14:paraId="207E4B71" w14:textId="4186BA7C">
      <w:pPr>
        <w:spacing w:after="0" w:line="240" w:lineRule="auto"/>
        <w:rPr>
          <w:szCs w:val="24"/>
        </w:rPr>
      </w:pPr>
    </w:p>
    <w:p w:rsidRPr="00E758ED" w:rsidR="00E705EA" w:rsidP="00632B16" w:rsidRDefault="00BF7B9F" w14:paraId="035331DC" w14:textId="7069CA5F">
      <w:pPr>
        <w:pStyle w:val="FERCparanumber"/>
        <w:numPr>
          <w:ilvl w:val="0"/>
          <w:numId w:val="0"/>
        </w:numPr>
      </w:pPr>
      <w:r w:rsidRPr="002B3B80">
        <w:rPr>
          <w:b w:val="0"/>
        </w:rPr>
        <w:lastRenderedPageBreak/>
        <w:t xml:space="preserve">The final rule requires </w:t>
      </w:r>
      <w:r w:rsidR="008037DE">
        <w:rPr>
          <w:b w:val="0"/>
        </w:rPr>
        <w:t>S</w:t>
      </w:r>
      <w:r w:rsidRPr="002B3B80" w:rsidR="00EB4D6D">
        <w:rPr>
          <w:b w:val="0"/>
        </w:rPr>
        <w:t>ellers</w:t>
      </w:r>
      <w:r w:rsidRPr="002B3B80">
        <w:rPr>
          <w:b w:val="0"/>
        </w:rPr>
        <w:t xml:space="preserve"> to update the relational database on a monthly basis, which is a change from the quarterly updates </w:t>
      </w:r>
      <w:r w:rsidRPr="002B3B80" w:rsidR="00C40F36">
        <w:rPr>
          <w:b w:val="0"/>
        </w:rPr>
        <w:t xml:space="preserve">as </w:t>
      </w:r>
      <w:r w:rsidRPr="002B3B80">
        <w:rPr>
          <w:b w:val="0"/>
        </w:rPr>
        <w:t>proposed in the NOPR.</w:t>
      </w:r>
      <w:r w:rsidRPr="002B3B80" w:rsidR="00CE4736">
        <w:rPr>
          <w:b w:val="0"/>
        </w:rPr>
        <w:t xml:space="preserve"> </w:t>
      </w:r>
      <w:r w:rsidRPr="002B3B80" w:rsidR="00EB4D6D">
        <w:rPr>
          <w:b w:val="0"/>
        </w:rPr>
        <w:t xml:space="preserve"> </w:t>
      </w:r>
      <w:r w:rsidRPr="002B3B80" w:rsidR="00C40F36">
        <w:rPr>
          <w:rFonts w:eastAsiaTheme="minorHAnsi"/>
          <w:b w:val="0"/>
        </w:rPr>
        <w:t>Quarterly database updates would not be sufficient to maintain the level of accuracy the Commission</w:t>
      </w:r>
      <w:r w:rsidRPr="000F5965" w:rsidR="00C40F36">
        <w:rPr>
          <w:rFonts w:eastAsiaTheme="minorHAnsi"/>
          <w:b w:val="0"/>
        </w:rPr>
        <w:t xml:space="preserve"> needs for</w:t>
      </w:r>
      <w:r w:rsidR="008037DE">
        <w:rPr>
          <w:rFonts w:eastAsiaTheme="minorHAnsi"/>
          <w:b w:val="0"/>
        </w:rPr>
        <w:t xml:space="preserve"> the</w:t>
      </w:r>
      <w:r w:rsidRPr="000F5965" w:rsidR="00C40F36">
        <w:rPr>
          <w:rFonts w:eastAsiaTheme="minorHAnsi"/>
          <w:b w:val="0"/>
        </w:rPr>
        <w:t xml:space="preserve"> market-based rates program</w:t>
      </w:r>
      <w:r w:rsidR="00D02502">
        <w:rPr>
          <w:rFonts w:eastAsiaTheme="minorHAnsi"/>
          <w:b w:val="0"/>
        </w:rPr>
        <w:t>, as Sellers now will be relying on information submitted by their affiliates in order for the relational database to create complete asset appendices needed for new applications, change in status filings, and triennial market-power updates</w:t>
      </w:r>
      <w:r w:rsidRPr="000F5965" w:rsidR="00C40F36">
        <w:rPr>
          <w:rFonts w:eastAsiaTheme="minorHAnsi"/>
          <w:b w:val="0"/>
        </w:rPr>
        <w:t>.</w:t>
      </w:r>
      <w:r w:rsidR="00985703">
        <w:rPr>
          <w:rFonts w:eastAsiaTheme="minorHAnsi"/>
          <w:b w:val="0"/>
        </w:rPr>
        <w:t xml:space="preserve"> </w:t>
      </w:r>
      <w:r w:rsidRPr="000F5965" w:rsidR="00C40F36">
        <w:rPr>
          <w:rFonts w:eastAsiaTheme="minorHAnsi"/>
          <w:b w:val="0"/>
        </w:rPr>
        <w:t xml:space="preserve"> </w:t>
      </w:r>
      <w:r w:rsidRPr="000F5965" w:rsidR="00D03F10">
        <w:rPr>
          <w:b w:val="0"/>
        </w:rPr>
        <w:t xml:space="preserve">If the Commission were to adopt a quarterly database submission requirement, the last database update prior to the submission of </w:t>
      </w:r>
      <w:r w:rsidR="00DA35DD">
        <w:rPr>
          <w:b w:val="0"/>
        </w:rPr>
        <w:t>filings</w:t>
      </w:r>
      <w:r w:rsidRPr="000F5965" w:rsidR="00D03F10">
        <w:rPr>
          <w:b w:val="0"/>
        </w:rPr>
        <w:t xml:space="preserve"> would be due on April 30 or October 31, respectively.  This means that when preparing their triennial</w:t>
      </w:r>
      <w:r w:rsidR="007E5D12">
        <w:rPr>
          <w:b w:val="0"/>
        </w:rPr>
        <w:t xml:space="preserve"> and initial application</w:t>
      </w:r>
      <w:r w:rsidRPr="000F5965" w:rsidR="00D03F10">
        <w:rPr>
          <w:b w:val="0"/>
        </w:rPr>
        <w:t xml:space="preserve"> filings, Sellers would need to rely on, and their asset appendices would contain, data that is 60 days old o</w:t>
      </w:r>
      <w:r w:rsidR="008037DE">
        <w:rPr>
          <w:b w:val="0"/>
        </w:rPr>
        <w:t xml:space="preserve">r older.  This large time lag </w:t>
      </w:r>
      <w:r w:rsidRPr="000F5965" w:rsidR="00D03F10">
        <w:rPr>
          <w:b w:val="0"/>
        </w:rPr>
        <w:t>could result in inaccurate asset appendices.  A monthly submission requirement, with submissions due by the 15th of each month, ensures that Sellers have the most current possible data for both their triennial and chan</w:t>
      </w:r>
      <w:r w:rsidRPr="008037DE" w:rsidR="00D03F10">
        <w:rPr>
          <w:b w:val="0"/>
        </w:rPr>
        <w:t xml:space="preserve">ge in status filings.  </w:t>
      </w:r>
      <w:r w:rsidR="00985703">
        <w:rPr>
          <w:b w:val="0"/>
        </w:rPr>
        <w:t>Lastly, collection of this</w:t>
      </w:r>
      <w:r w:rsidRPr="008037DE" w:rsidR="00EB4D6D">
        <w:rPr>
          <w:b w:val="0"/>
        </w:rPr>
        <w:t xml:space="preserve"> </w:t>
      </w:r>
      <w:r w:rsidRPr="008037DE" w:rsidR="00904581">
        <w:rPr>
          <w:b w:val="0"/>
        </w:rPr>
        <w:t xml:space="preserve">information </w:t>
      </w:r>
      <w:r w:rsidRPr="008037DE" w:rsidR="00EB4D6D">
        <w:rPr>
          <w:b w:val="0"/>
        </w:rPr>
        <w:t>on a less frequent basis</w:t>
      </w:r>
      <w:r w:rsidR="00985703">
        <w:rPr>
          <w:b w:val="0"/>
        </w:rPr>
        <w:t xml:space="preserve"> </w:t>
      </w:r>
      <w:r w:rsidRPr="008037DE" w:rsidR="00EE2020">
        <w:rPr>
          <w:b w:val="0"/>
        </w:rPr>
        <w:t xml:space="preserve">would affect </w:t>
      </w:r>
      <w:r w:rsidRPr="008037DE" w:rsidR="00904581">
        <w:rPr>
          <w:b w:val="0"/>
        </w:rPr>
        <w:t>the Commission</w:t>
      </w:r>
      <w:r w:rsidRPr="008037DE" w:rsidR="00EE2020">
        <w:rPr>
          <w:b w:val="0"/>
        </w:rPr>
        <w:t>’s ability to determine</w:t>
      </w:r>
      <w:r w:rsidRPr="008037DE" w:rsidR="00EB4D6D">
        <w:rPr>
          <w:b w:val="0"/>
        </w:rPr>
        <w:t xml:space="preserve"> </w:t>
      </w:r>
      <w:r w:rsidRPr="008037DE" w:rsidR="00EE2020">
        <w:rPr>
          <w:b w:val="0"/>
        </w:rPr>
        <w:t xml:space="preserve">whether a </w:t>
      </w:r>
      <w:r w:rsidR="008037DE">
        <w:rPr>
          <w:b w:val="0"/>
        </w:rPr>
        <w:t>Seller’s</w:t>
      </w:r>
      <w:r w:rsidRPr="008037DE" w:rsidR="00EE2020">
        <w:rPr>
          <w:b w:val="0"/>
        </w:rPr>
        <w:t xml:space="preserve"> rates continue to be just and reasonable</w:t>
      </w:r>
      <w:r w:rsidR="007E5D12">
        <w:rPr>
          <w:b w:val="0"/>
        </w:rPr>
        <w:t xml:space="preserve"> and the Commission’s ability to provide market oversight</w:t>
      </w:r>
      <w:r w:rsidRPr="008037DE" w:rsidR="00EB4D6D">
        <w:rPr>
          <w:b w:val="0"/>
        </w:rPr>
        <w:t>.</w:t>
      </w:r>
      <w:r w:rsidR="00D02502">
        <w:rPr>
          <w:b w:val="0"/>
        </w:rPr>
        <w:t xml:space="preserve">  </w:t>
      </w:r>
      <w:r w:rsidR="00597418">
        <w:rPr>
          <w:b w:val="0"/>
        </w:rPr>
        <w:t>Currently, the Commission requires sellers to file notices of changes in status within 30 days of any relevant changes to the conditions the Commission relied upon when granting a seller market-based rate authority.  The Commission</w:t>
      </w:r>
      <w:r w:rsidR="00D02502">
        <w:rPr>
          <w:b w:val="0"/>
        </w:rPr>
        <w:t xml:space="preserve"> </w:t>
      </w:r>
      <w:r w:rsidR="00AD29C4">
        <w:rPr>
          <w:b w:val="0"/>
        </w:rPr>
        <w:t>modified</w:t>
      </w:r>
      <w:r w:rsidR="007F2C37">
        <w:rPr>
          <w:b w:val="0"/>
        </w:rPr>
        <w:t xml:space="preserve"> </w:t>
      </w:r>
      <w:r w:rsidR="00597418">
        <w:rPr>
          <w:b w:val="0"/>
        </w:rPr>
        <w:t>this requirement</w:t>
      </w:r>
      <w:r w:rsidR="00D02502">
        <w:rPr>
          <w:b w:val="0"/>
        </w:rPr>
        <w:t xml:space="preserve"> </w:t>
      </w:r>
      <w:r w:rsidR="00AD29C4">
        <w:rPr>
          <w:b w:val="0"/>
        </w:rPr>
        <w:t xml:space="preserve">to </w:t>
      </w:r>
      <w:r w:rsidR="00D02502">
        <w:rPr>
          <w:b w:val="0"/>
        </w:rPr>
        <w:t>a quarterly requirement</w:t>
      </w:r>
      <w:r w:rsidR="00451BA3">
        <w:rPr>
          <w:b w:val="0"/>
        </w:rPr>
        <w:t xml:space="preserve"> to</w:t>
      </w:r>
      <w:r w:rsidR="00D02502">
        <w:rPr>
          <w:b w:val="0"/>
        </w:rPr>
        <w:t xml:space="preserve"> </w:t>
      </w:r>
      <w:r w:rsidR="00FD57ED">
        <w:rPr>
          <w:b w:val="0"/>
        </w:rPr>
        <w:t>reduce</w:t>
      </w:r>
      <w:r w:rsidR="00D02502">
        <w:rPr>
          <w:b w:val="0"/>
        </w:rPr>
        <w:t xml:space="preserve"> the number of </w:t>
      </w:r>
      <w:r w:rsidR="007F2C37">
        <w:rPr>
          <w:b w:val="0"/>
        </w:rPr>
        <w:t xml:space="preserve">change in status </w:t>
      </w:r>
      <w:r w:rsidR="00D02502">
        <w:rPr>
          <w:b w:val="0"/>
        </w:rPr>
        <w:t>filings that will need to be made.</w:t>
      </w:r>
      <w:r w:rsidR="00D35721">
        <w:rPr>
          <w:b w:val="0"/>
        </w:rPr>
        <w:t xml:space="preserve">  </w:t>
      </w:r>
      <w:r w:rsidR="00451BA3">
        <w:rPr>
          <w:b w:val="0"/>
        </w:rPr>
        <w:t xml:space="preserve">The monthly submission requirements are significantly less burdensome than change in status filings and ensure that the Commission remains aware of any major changes.  </w:t>
      </w:r>
      <w:r w:rsidR="00D35721">
        <w:rPr>
          <w:b w:val="0"/>
        </w:rPr>
        <w:t>Further, the monthly submission requirement</w:t>
      </w:r>
      <w:r w:rsidR="00DE5F50">
        <w:rPr>
          <w:b w:val="0"/>
        </w:rPr>
        <w:t xml:space="preserve"> only applies when a Seller has information to update.  </w:t>
      </w:r>
      <w:r w:rsidR="0050422E">
        <w:rPr>
          <w:b w:val="0"/>
        </w:rPr>
        <w:t>The Commission</w:t>
      </w:r>
      <w:r w:rsidR="00DE5F50">
        <w:rPr>
          <w:b w:val="0"/>
        </w:rPr>
        <w:t xml:space="preserve"> anticipate</w:t>
      </w:r>
      <w:r w:rsidR="0050422E">
        <w:rPr>
          <w:b w:val="0"/>
        </w:rPr>
        <w:t>s</w:t>
      </w:r>
      <w:r w:rsidR="00DE5F50">
        <w:rPr>
          <w:b w:val="0"/>
        </w:rPr>
        <w:t xml:space="preserve"> that Sellers will not have to make submissions every month, but rather once a year</w:t>
      </w:r>
      <w:r w:rsidR="00ED0609">
        <w:rPr>
          <w:b w:val="0"/>
        </w:rPr>
        <w:t xml:space="preserve"> or less</w:t>
      </w:r>
      <w:r w:rsidR="00DE5F50">
        <w:rPr>
          <w:b w:val="0"/>
        </w:rPr>
        <w:t>.</w:t>
      </w:r>
    </w:p>
    <w:p w:rsidRPr="00E758ED" w:rsidR="00EB3E6F" w:rsidP="00632B16" w:rsidRDefault="00EB3E6F" w14:paraId="035331DD" w14:textId="77777777">
      <w:pPr>
        <w:pStyle w:val="FERCparanumber"/>
      </w:pPr>
      <w:r w:rsidRPr="00E758ED">
        <w:t>EXPLAIN ANY SPECIAL CIRCUMSTANCES RELATING TO THE INFORMATION COLLECTION</w:t>
      </w:r>
    </w:p>
    <w:p w:rsidR="00D54DFD" w:rsidP="00632B16" w:rsidRDefault="00D54DFD" w14:paraId="035331E0" w14:textId="6DF19432">
      <w:pPr>
        <w:spacing w:after="0" w:line="240" w:lineRule="auto"/>
        <w:rPr>
          <w:szCs w:val="24"/>
        </w:rPr>
      </w:pPr>
      <w:r w:rsidRPr="00E758ED">
        <w:rPr>
          <w:szCs w:val="24"/>
        </w:rPr>
        <w:t>FERC-919</w:t>
      </w:r>
      <w:r w:rsidRPr="00E758ED" w:rsidR="00F40FFD">
        <w:rPr>
          <w:szCs w:val="24"/>
        </w:rPr>
        <w:t>A</w:t>
      </w:r>
      <w:r w:rsidRPr="00E758ED">
        <w:rPr>
          <w:szCs w:val="24"/>
        </w:rPr>
        <w:t xml:space="preserve"> ha</w:t>
      </w:r>
      <w:r w:rsidRPr="00E758ED" w:rsidR="00C40F36">
        <w:rPr>
          <w:szCs w:val="24"/>
        </w:rPr>
        <w:t>s</w:t>
      </w:r>
      <w:r w:rsidRPr="00E758ED">
        <w:rPr>
          <w:szCs w:val="24"/>
        </w:rPr>
        <w:t xml:space="preserve"> no special circumstance</w:t>
      </w:r>
      <w:r w:rsidRPr="00E758ED" w:rsidR="0010626D">
        <w:rPr>
          <w:szCs w:val="24"/>
        </w:rPr>
        <w:t>s</w:t>
      </w:r>
      <w:r w:rsidRPr="00E758ED">
        <w:rPr>
          <w:szCs w:val="24"/>
        </w:rPr>
        <w:t xml:space="preserve"> related to the information collection. </w:t>
      </w:r>
    </w:p>
    <w:p w:rsidRPr="00E758ED" w:rsidR="00CA0FA0" w:rsidP="00632B16" w:rsidRDefault="00CA0FA0" w14:paraId="1B837E08" w14:textId="77777777">
      <w:pPr>
        <w:spacing w:after="0" w:line="240" w:lineRule="auto"/>
        <w:rPr>
          <w:szCs w:val="24"/>
        </w:rPr>
      </w:pPr>
    </w:p>
    <w:p w:rsidR="00EB3E6F" w:rsidP="00632B16" w:rsidRDefault="00EB3E6F" w14:paraId="035331E1" w14:textId="54CA2B0B">
      <w:pPr>
        <w:pStyle w:val="FERCparanumber"/>
      </w:pPr>
      <w:r w:rsidRPr="00E758ED">
        <w:t>DESCRIBE EFFORT</w:t>
      </w:r>
      <w:r w:rsidRPr="00E758ED">
        <w:rPr>
          <w:bCs/>
          <w:szCs w:val="26"/>
        </w:rPr>
        <w:t>S</w:t>
      </w:r>
      <w:r w:rsidRPr="00E758ED">
        <w:t xml:space="preserve"> TO CONSULT OUTSIDE THE AGENCY: SUMMARIZE PUBLIC COMMENTS AND THE AGENCY’S RESPONSE</w:t>
      </w:r>
    </w:p>
    <w:p w:rsidR="00EA0A18" w:rsidP="00632B16" w:rsidRDefault="00EE1B8F" w14:paraId="40F6BA93" w14:textId="4C269B13">
      <w:pPr>
        <w:spacing w:after="0" w:line="240" w:lineRule="auto"/>
        <w:rPr>
          <w:szCs w:val="24"/>
        </w:rPr>
      </w:pPr>
      <w:r w:rsidRPr="00E758ED">
        <w:rPr>
          <w:szCs w:val="24"/>
        </w:rPr>
        <w:t xml:space="preserve">When formulating this </w:t>
      </w:r>
      <w:r w:rsidRPr="00E758ED" w:rsidR="00C40F36">
        <w:rPr>
          <w:szCs w:val="24"/>
        </w:rPr>
        <w:t>final rule</w:t>
      </w:r>
      <w:r w:rsidRPr="00E758ED">
        <w:rPr>
          <w:szCs w:val="24"/>
        </w:rPr>
        <w:t>, t</w:t>
      </w:r>
      <w:r w:rsidRPr="00E758ED" w:rsidR="008F1572">
        <w:rPr>
          <w:szCs w:val="24"/>
        </w:rPr>
        <w:t xml:space="preserve">he Commission considered the comments submitted in </w:t>
      </w:r>
      <w:r w:rsidRPr="00E758ED" w:rsidR="00C40F36">
        <w:rPr>
          <w:szCs w:val="24"/>
        </w:rPr>
        <w:t>response to</w:t>
      </w:r>
      <w:r w:rsidR="00761221">
        <w:rPr>
          <w:szCs w:val="24"/>
        </w:rPr>
        <w:t xml:space="preserve"> the NOPR</w:t>
      </w:r>
      <w:r w:rsidR="00B74279">
        <w:rPr>
          <w:rStyle w:val="FootnoteReference"/>
          <w:szCs w:val="24"/>
        </w:rPr>
        <w:footnoteReference w:id="10"/>
      </w:r>
      <w:r w:rsidRPr="00E758ED" w:rsidR="008F1572">
        <w:rPr>
          <w:szCs w:val="24"/>
        </w:rPr>
        <w:t xml:space="preserve"> and</w:t>
      </w:r>
      <w:r w:rsidRPr="00E758ED" w:rsidR="00C40F36">
        <w:rPr>
          <w:szCs w:val="24"/>
        </w:rPr>
        <w:t xml:space="preserve"> has</w:t>
      </w:r>
      <w:r w:rsidR="00761221">
        <w:rPr>
          <w:szCs w:val="24"/>
        </w:rPr>
        <w:t xml:space="preserve"> </w:t>
      </w:r>
      <w:r w:rsidRPr="00E758ED">
        <w:rPr>
          <w:szCs w:val="24"/>
        </w:rPr>
        <w:t xml:space="preserve">eliminated large portions of the data proposed for </w:t>
      </w:r>
      <w:r w:rsidRPr="00E758ED">
        <w:rPr>
          <w:szCs w:val="24"/>
        </w:rPr>
        <w:lastRenderedPageBreak/>
        <w:t xml:space="preserve">collection in </w:t>
      </w:r>
      <w:r w:rsidR="00761221">
        <w:rPr>
          <w:szCs w:val="24"/>
        </w:rPr>
        <w:t>the</w:t>
      </w:r>
      <w:r w:rsidRPr="00E758ED">
        <w:rPr>
          <w:szCs w:val="24"/>
        </w:rPr>
        <w:t xml:space="preserve"> NOPR. </w:t>
      </w:r>
      <w:r w:rsidRPr="00E758ED" w:rsidR="005C36B0">
        <w:rPr>
          <w:szCs w:val="24"/>
        </w:rPr>
        <w:t xml:space="preserve"> </w:t>
      </w:r>
      <w:r w:rsidRPr="00E758ED" w:rsidR="00C40F36">
        <w:rPr>
          <w:szCs w:val="24"/>
        </w:rPr>
        <w:t xml:space="preserve">Specifically, the Commission </w:t>
      </w:r>
      <w:r w:rsidR="00B30CBD">
        <w:rPr>
          <w:szCs w:val="24"/>
        </w:rPr>
        <w:t>does not adopt the proposal from the NOPR</w:t>
      </w:r>
      <w:r w:rsidRPr="00E758ED" w:rsidR="00C40F36">
        <w:rPr>
          <w:szCs w:val="24"/>
        </w:rPr>
        <w:t xml:space="preserve"> to require</w:t>
      </w:r>
      <w:r w:rsidR="00920098">
        <w:rPr>
          <w:szCs w:val="24"/>
        </w:rPr>
        <w:t xml:space="preserve"> Sellers</w:t>
      </w:r>
      <w:r w:rsidRPr="00E758ED" w:rsidR="00C40F36">
        <w:rPr>
          <w:szCs w:val="24"/>
        </w:rPr>
        <w:t xml:space="preserve"> to submit information about their Connected Entities</w:t>
      </w:r>
      <w:r w:rsidR="00B30CBD">
        <w:rPr>
          <w:szCs w:val="24"/>
        </w:rPr>
        <w:t xml:space="preserve"> in this final rule</w:t>
      </w:r>
      <w:r w:rsidRPr="00E758ED" w:rsidR="00C40F36">
        <w:rPr>
          <w:szCs w:val="24"/>
        </w:rPr>
        <w:t>.</w:t>
      </w:r>
      <w:r w:rsidRPr="00E758ED">
        <w:rPr>
          <w:szCs w:val="24"/>
        </w:rPr>
        <w:t xml:space="preserve"> </w:t>
      </w:r>
      <w:r w:rsidRPr="00E758ED" w:rsidR="005C36B0">
        <w:rPr>
          <w:szCs w:val="24"/>
        </w:rPr>
        <w:t xml:space="preserve"> </w:t>
      </w:r>
      <w:r w:rsidRPr="00E758ED" w:rsidR="007401B3">
        <w:rPr>
          <w:szCs w:val="24"/>
        </w:rPr>
        <w:t xml:space="preserve">Commission staff </w:t>
      </w:r>
      <w:r w:rsidRPr="00E758ED">
        <w:rPr>
          <w:szCs w:val="24"/>
        </w:rPr>
        <w:t xml:space="preserve">also </w:t>
      </w:r>
      <w:r w:rsidRPr="00E758ED" w:rsidR="007401B3">
        <w:rPr>
          <w:szCs w:val="24"/>
        </w:rPr>
        <w:t xml:space="preserve">held </w:t>
      </w:r>
      <w:r w:rsidR="00EA0A18">
        <w:rPr>
          <w:szCs w:val="24"/>
        </w:rPr>
        <w:t>two technical workshops</w:t>
      </w:r>
      <w:r w:rsidRPr="00E758ED" w:rsidR="007401B3">
        <w:rPr>
          <w:szCs w:val="24"/>
        </w:rPr>
        <w:t xml:space="preserve"> with memb</w:t>
      </w:r>
      <w:r w:rsidR="00920098">
        <w:rPr>
          <w:szCs w:val="24"/>
        </w:rPr>
        <w:t xml:space="preserve">ers of the industry prior to </w:t>
      </w:r>
      <w:r w:rsidRPr="00E758ED" w:rsidR="007401B3">
        <w:rPr>
          <w:szCs w:val="24"/>
        </w:rPr>
        <w:t xml:space="preserve">issuing </w:t>
      </w:r>
      <w:r w:rsidRPr="00E758ED" w:rsidR="00C40F36">
        <w:rPr>
          <w:szCs w:val="24"/>
        </w:rPr>
        <w:t>this final rule</w:t>
      </w:r>
      <w:r w:rsidRPr="00E758ED" w:rsidR="007401B3">
        <w:rPr>
          <w:szCs w:val="24"/>
        </w:rPr>
        <w:t>.</w:t>
      </w:r>
      <w:r w:rsidR="00577D51">
        <w:rPr>
          <w:rStyle w:val="FootnoteReference"/>
          <w:szCs w:val="24"/>
        </w:rPr>
        <w:footnoteReference w:id="11"/>
      </w:r>
      <w:r w:rsidR="003E3C50">
        <w:rPr>
          <w:szCs w:val="24"/>
        </w:rPr>
        <w:t xml:space="preserve">  </w:t>
      </w:r>
    </w:p>
    <w:p w:rsidRPr="00E758ED" w:rsidR="00016333" w:rsidP="00632B16" w:rsidRDefault="00016333" w14:paraId="2529052D" w14:textId="77777777">
      <w:pPr>
        <w:spacing w:after="0" w:line="240" w:lineRule="auto"/>
        <w:rPr>
          <w:szCs w:val="24"/>
        </w:rPr>
      </w:pPr>
    </w:p>
    <w:p w:rsidR="00E12167" w:rsidP="00632B16" w:rsidRDefault="003E3C50" w14:paraId="59EC638D" w14:textId="104F3971">
      <w:pPr>
        <w:spacing w:after="0" w:line="240" w:lineRule="auto"/>
        <w:rPr>
          <w:szCs w:val="24"/>
        </w:rPr>
      </w:pPr>
      <w:r>
        <w:rPr>
          <w:szCs w:val="24"/>
        </w:rPr>
        <w:t>All comments are summarized and addres</w:t>
      </w:r>
      <w:r w:rsidRPr="003B0CBE">
        <w:rPr>
          <w:szCs w:val="24"/>
        </w:rPr>
        <w:t xml:space="preserve">sed in the final rule. </w:t>
      </w:r>
      <w:r w:rsidRPr="003B0CBE" w:rsidR="009075A8">
        <w:rPr>
          <w:szCs w:val="24"/>
        </w:rPr>
        <w:t xml:space="preserve"> </w:t>
      </w:r>
    </w:p>
    <w:p w:rsidR="00E12167" w:rsidP="00632B16" w:rsidRDefault="00E12167" w14:paraId="7F5FB5B6" w14:textId="77777777">
      <w:pPr>
        <w:spacing w:after="0" w:line="240" w:lineRule="auto"/>
        <w:rPr>
          <w:szCs w:val="24"/>
        </w:rPr>
      </w:pPr>
    </w:p>
    <w:p w:rsidR="00FC6C3B" w:rsidP="00632B16" w:rsidRDefault="003E3C50" w14:paraId="5ADD373C" w14:textId="5CB3F8E1">
      <w:pPr>
        <w:spacing w:after="0" w:line="240" w:lineRule="auto"/>
        <w:rPr>
          <w:szCs w:val="24"/>
        </w:rPr>
      </w:pPr>
      <w:r w:rsidRPr="003B0CBE">
        <w:rPr>
          <w:szCs w:val="24"/>
        </w:rPr>
        <w:t xml:space="preserve">The final rule (issued July 18, 2019) was published in the Federal Register on </w:t>
      </w:r>
      <w:r w:rsidRPr="003B0CBE" w:rsidR="00986CD7">
        <w:rPr>
          <w:szCs w:val="24"/>
        </w:rPr>
        <w:t xml:space="preserve">July </w:t>
      </w:r>
      <w:r w:rsidRPr="003B0CBE" w:rsidR="00B81322">
        <w:rPr>
          <w:szCs w:val="24"/>
        </w:rPr>
        <w:t>26</w:t>
      </w:r>
      <w:r w:rsidRPr="003B0CBE">
        <w:rPr>
          <w:szCs w:val="24"/>
        </w:rPr>
        <w:t>, 2019.</w:t>
      </w:r>
      <w:r w:rsidRPr="003B0CBE">
        <w:rPr>
          <w:rStyle w:val="FootnoteReference"/>
          <w:szCs w:val="24"/>
        </w:rPr>
        <w:footnoteReference w:id="12"/>
      </w:r>
    </w:p>
    <w:p w:rsidRPr="00E758ED" w:rsidR="00EB3E6F" w:rsidP="00632B16" w:rsidRDefault="00EB3E6F" w14:paraId="035331E6" w14:textId="77777777">
      <w:pPr>
        <w:spacing w:after="0" w:line="240" w:lineRule="auto"/>
        <w:rPr>
          <w:szCs w:val="24"/>
        </w:rPr>
      </w:pPr>
    </w:p>
    <w:p w:rsidRPr="00E758ED" w:rsidR="00EB3E6F" w:rsidP="00632B16" w:rsidRDefault="00D80FBD" w14:paraId="035331E7" w14:textId="77777777">
      <w:pPr>
        <w:pStyle w:val="FERCparanumber"/>
      </w:pPr>
      <w:r w:rsidRPr="00E758ED">
        <w:t>EXPLAIN ANY PAYMENT OR GIFTS TO RESPONDENTS</w:t>
      </w:r>
    </w:p>
    <w:p w:rsidRPr="00E758ED" w:rsidR="00251161" w:rsidP="00632B16" w:rsidRDefault="00251161" w14:paraId="035331E9" w14:textId="0476B6A8">
      <w:pPr>
        <w:spacing w:line="240" w:lineRule="auto"/>
        <w:rPr>
          <w:szCs w:val="24"/>
        </w:rPr>
      </w:pPr>
      <w:r w:rsidRPr="00E758ED">
        <w:rPr>
          <w:szCs w:val="24"/>
        </w:rPr>
        <w:t>The Commission does not make payments or provide gifts to respondents related to</w:t>
      </w:r>
      <w:r w:rsidRPr="00E758ED" w:rsidR="006E0D79">
        <w:rPr>
          <w:szCs w:val="24"/>
        </w:rPr>
        <w:t xml:space="preserve"> FERC-919</w:t>
      </w:r>
      <w:r w:rsidRPr="00E758ED" w:rsidR="00F40FFD">
        <w:rPr>
          <w:szCs w:val="24"/>
        </w:rPr>
        <w:t>A</w:t>
      </w:r>
      <w:r w:rsidRPr="00E758ED" w:rsidR="00C40F36">
        <w:rPr>
          <w:szCs w:val="24"/>
        </w:rPr>
        <w:t>.</w:t>
      </w:r>
      <w:r w:rsidRPr="00E758ED" w:rsidR="006E0D79">
        <w:rPr>
          <w:szCs w:val="24"/>
        </w:rPr>
        <w:t xml:space="preserve"> </w:t>
      </w:r>
    </w:p>
    <w:p w:rsidRPr="00E758ED" w:rsidR="00D80FBD" w:rsidP="00632B16" w:rsidRDefault="00D80FBD" w14:paraId="035331EA" w14:textId="77777777">
      <w:pPr>
        <w:pStyle w:val="FERCparanumber"/>
      </w:pPr>
      <w:r w:rsidRPr="00E758ED">
        <w:t>DESCRIBE ANY ASSURANCE OF CONFIDENTIALITY PROVIDED TO RESPONDENTS</w:t>
      </w:r>
    </w:p>
    <w:p w:rsidR="00E758ED" w:rsidP="00632B16" w:rsidRDefault="00FC6C3B" w14:paraId="7A1EE2E8" w14:textId="786AF4CA">
      <w:pPr>
        <w:spacing w:after="0" w:line="240" w:lineRule="auto"/>
        <w:rPr>
          <w:szCs w:val="24"/>
        </w:rPr>
      </w:pPr>
      <w:r w:rsidRPr="00A70F33">
        <w:rPr>
          <w:szCs w:val="26"/>
        </w:rPr>
        <w:t xml:space="preserve">The Commission does not consider the information collected in filings to be confidential.  However, the Commission will consider specific requests for confidential treatment (e.g. Critical Energy/Electric Infrastructure Information [CEII] or non-public) to the extent permitted by law and </w:t>
      </w:r>
      <w:r>
        <w:rPr>
          <w:szCs w:val="26"/>
        </w:rPr>
        <w:t>Commission</w:t>
      </w:r>
      <w:r w:rsidRPr="00A70F33">
        <w:rPr>
          <w:szCs w:val="26"/>
        </w:rPr>
        <w:t xml:space="preserve"> regulations.</w:t>
      </w:r>
      <w:r w:rsidRPr="00A70F33">
        <w:rPr>
          <w:rStyle w:val="FootnoteReference"/>
        </w:rPr>
        <w:footnoteReference w:id="13"/>
      </w:r>
      <w:r w:rsidRPr="00A70F33">
        <w:rPr>
          <w:szCs w:val="26"/>
        </w:rPr>
        <w:t xml:space="preserve"> The Commission will review each request for confidential treatment on a case-by-case basis.</w:t>
      </w:r>
      <w:r>
        <w:rPr>
          <w:szCs w:val="26"/>
        </w:rPr>
        <w:t xml:space="preserve">  </w:t>
      </w:r>
      <w:r w:rsidR="00F43765">
        <w:rPr>
          <w:szCs w:val="24"/>
        </w:rPr>
        <w:t>However, t</w:t>
      </w:r>
      <w:r w:rsidRPr="00E758ED" w:rsidR="00A7548D">
        <w:rPr>
          <w:szCs w:val="24"/>
        </w:rPr>
        <w:t>he Commission expects that all submissions into the relational database will be public.</w:t>
      </w:r>
    </w:p>
    <w:p w:rsidR="00E758ED" w:rsidP="00632B16" w:rsidRDefault="00E758ED" w14:paraId="1BEF2A7D" w14:textId="413EDC23">
      <w:pPr>
        <w:spacing w:after="0" w:line="240" w:lineRule="auto"/>
        <w:rPr>
          <w:szCs w:val="24"/>
          <w:vertAlign w:val="superscript"/>
        </w:rPr>
      </w:pPr>
    </w:p>
    <w:p w:rsidRPr="00E758ED" w:rsidR="00263AAD" w:rsidP="00632B16" w:rsidRDefault="00263AAD" w14:paraId="035331ED" w14:textId="413DC69E">
      <w:pPr>
        <w:pStyle w:val="FERCparanumber"/>
      </w:pPr>
      <w:r w:rsidRPr="00E758ED">
        <w:t>PROVIDE ADDITIONAL JUSTIFICATION FOR ANY QUESTIONS OF A SENSITIVE NATURE, SUCH AS SEXUAL BEHAVIOR AND ATTITUDES, RELIGIOUS BELIEFS, AND OTHER MATTERS THAT ARE COMMONLY CONSIDERED PRIVATE.</w:t>
      </w:r>
    </w:p>
    <w:p w:rsidRPr="00E758ED" w:rsidR="006055FC" w:rsidP="00632B16" w:rsidRDefault="006055FC" w14:paraId="035331EF" w14:textId="3AF0CE2D">
      <w:pPr>
        <w:spacing w:after="0" w:line="240" w:lineRule="auto"/>
        <w:rPr>
          <w:szCs w:val="24"/>
        </w:rPr>
      </w:pPr>
      <w:r w:rsidRPr="00E758ED">
        <w:rPr>
          <w:szCs w:val="24"/>
        </w:rPr>
        <w:t>There are no questions of a sensitive nature that are considered private</w:t>
      </w:r>
      <w:r w:rsidRPr="00E758ED" w:rsidR="00E9555B">
        <w:rPr>
          <w:szCs w:val="24"/>
        </w:rPr>
        <w:t xml:space="preserve"> in FERC-919</w:t>
      </w:r>
      <w:r w:rsidRPr="00E758ED" w:rsidR="00F40FFD">
        <w:rPr>
          <w:szCs w:val="24"/>
        </w:rPr>
        <w:t>A</w:t>
      </w:r>
      <w:r w:rsidRPr="00E758ED" w:rsidR="00F02FEB">
        <w:rPr>
          <w:szCs w:val="24"/>
        </w:rPr>
        <w:t>.</w:t>
      </w:r>
    </w:p>
    <w:p w:rsidRPr="00E758ED" w:rsidR="005B09C3" w:rsidP="00632B16" w:rsidRDefault="005B09C3" w14:paraId="035331F0" w14:textId="77777777">
      <w:pPr>
        <w:spacing w:after="0" w:line="240" w:lineRule="auto"/>
        <w:rPr>
          <w:szCs w:val="24"/>
        </w:rPr>
      </w:pPr>
    </w:p>
    <w:p w:rsidRPr="00E758ED" w:rsidR="00D80FBD" w:rsidP="00632B16" w:rsidRDefault="00D80FBD" w14:paraId="035331F1" w14:textId="77777777">
      <w:pPr>
        <w:pStyle w:val="FERCparanumber"/>
      </w:pPr>
      <w:r w:rsidRPr="00E758ED">
        <w:t>ESTIMATED BURDEN OF COLLECTION OF INFORMATION</w:t>
      </w:r>
    </w:p>
    <w:p w:rsidRPr="00BC75D0" w:rsidR="00BC75D0" w:rsidP="00632B16" w:rsidRDefault="00BC75D0" w14:paraId="0B40E6E5" w14:textId="48711DF9">
      <w:pPr>
        <w:spacing w:after="0" w:line="240" w:lineRule="auto"/>
        <w:rPr>
          <w:b/>
          <w:szCs w:val="24"/>
        </w:rPr>
      </w:pPr>
      <w:r w:rsidRPr="00BC75D0">
        <w:rPr>
          <w:b/>
          <w:szCs w:val="24"/>
        </w:rPr>
        <w:t>Estimated Burden and Cost in Final Rule RM16-17-000</w:t>
      </w:r>
      <w:r>
        <w:rPr>
          <w:b/>
          <w:szCs w:val="24"/>
        </w:rPr>
        <w:t xml:space="preserve"> (FERC-919A)</w:t>
      </w:r>
      <w:r w:rsidRPr="00BC75D0">
        <w:rPr>
          <w:b/>
          <w:szCs w:val="24"/>
        </w:rPr>
        <w:t>:</w:t>
      </w:r>
    </w:p>
    <w:p w:rsidR="00155D3E" w:rsidP="00632B16" w:rsidRDefault="00337C1F" w14:paraId="4232F6F6" w14:textId="23E8DACA">
      <w:pPr>
        <w:spacing w:after="0" w:line="240" w:lineRule="auto"/>
        <w:rPr>
          <w:noProof/>
          <w:szCs w:val="24"/>
        </w:rPr>
      </w:pPr>
      <w:r w:rsidRPr="00E758ED">
        <w:rPr>
          <w:szCs w:val="24"/>
        </w:rPr>
        <w:t xml:space="preserve">The Commission recognizes that there will be an initial implementation burden associated with providing the requested data.  </w:t>
      </w:r>
      <w:r>
        <w:rPr>
          <w:szCs w:val="24"/>
        </w:rPr>
        <w:t>Sellers</w:t>
      </w:r>
      <w:r w:rsidRPr="00E758ED">
        <w:rPr>
          <w:szCs w:val="24"/>
        </w:rPr>
        <w:t xml:space="preserve"> already submit most of the requested information to the Commission as part of their applications, notices of change in status</w:t>
      </w:r>
      <w:r w:rsidR="0050422E">
        <w:rPr>
          <w:szCs w:val="24"/>
        </w:rPr>
        <w:t>,</w:t>
      </w:r>
      <w:r w:rsidRPr="00E758ED">
        <w:rPr>
          <w:szCs w:val="24"/>
        </w:rPr>
        <w:t xml:space="preserve"> and triennial updated market power analyses</w:t>
      </w:r>
      <w:r w:rsidR="007547D0">
        <w:rPr>
          <w:szCs w:val="24"/>
        </w:rPr>
        <w:t>, so the information that Sellers are required to submit should be readily available</w:t>
      </w:r>
      <w:r w:rsidR="009E3510">
        <w:rPr>
          <w:szCs w:val="24"/>
        </w:rPr>
        <w:t xml:space="preserve"> to them</w:t>
      </w:r>
      <w:r w:rsidR="00CA4B51">
        <w:rPr>
          <w:szCs w:val="24"/>
        </w:rPr>
        <w:t xml:space="preserve"> </w:t>
      </w:r>
      <w:r w:rsidR="002542B6">
        <w:rPr>
          <w:szCs w:val="24"/>
        </w:rPr>
        <w:t xml:space="preserve">for submission </w:t>
      </w:r>
      <w:r w:rsidR="00B73C29">
        <w:rPr>
          <w:szCs w:val="24"/>
        </w:rPr>
        <w:t>in</w:t>
      </w:r>
      <w:r w:rsidR="002542B6">
        <w:rPr>
          <w:szCs w:val="24"/>
        </w:rPr>
        <w:t>to</w:t>
      </w:r>
      <w:r w:rsidR="00B73C29">
        <w:rPr>
          <w:szCs w:val="24"/>
        </w:rPr>
        <w:t xml:space="preserve"> the database </w:t>
      </w:r>
      <w:r w:rsidRPr="00E758ED">
        <w:rPr>
          <w:szCs w:val="24"/>
        </w:rPr>
        <w:t xml:space="preserve">. </w:t>
      </w:r>
      <w:r w:rsidR="007547D0">
        <w:rPr>
          <w:szCs w:val="24"/>
        </w:rPr>
        <w:t xml:space="preserve"> </w:t>
      </w:r>
      <w:r w:rsidR="009E3510">
        <w:rPr>
          <w:szCs w:val="24"/>
        </w:rPr>
        <w:t xml:space="preserve">Thus, the bulk of </w:t>
      </w:r>
      <w:r w:rsidR="002542B6">
        <w:rPr>
          <w:szCs w:val="24"/>
        </w:rPr>
        <w:t xml:space="preserve">burden is from </w:t>
      </w:r>
      <w:r w:rsidR="009E3510">
        <w:rPr>
          <w:szCs w:val="24"/>
        </w:rPr>
        <w:t>initial implementation stem</w:t>
      </w:r>
      <w:r w:rsidR="002542B6">
        <w:rPr>
          <w:szCs w:val="24"/>
        </w:rPr>
        <w:t>ming</w:t>
      </w:r>
      <w:r w:rsidR="009E3510">
        <w:rPr>
          <w:szCs w:val="24"/>
        </w:rPr>
        <w:t xml:space="preserve"> from Sellers reformatting this data and learning how to submit it into the database. </w:t>
      </w:r>
      <w:r w:rsidRPr="00E758ED">
        <w:rPr>
          <w:szCs w:val="24"/>
        </w:rPr>
        <w:t xml:space="preserve"> </w:t>
      </w:r>
      <w:r>
        <w:rPr>
          <w:szCs w:val="24"/>
        </w:rPr>
        <w:t>As discussed in Questions No. 1 and 5, t</w:t>
      </w:r>
      <w:r w:rsidRPr="00E758ED">
        <w:rPr>
          <w:szCs w:val="24"/>
        </w:rPr>
        <w:t xml:space="preserve">he </w:t>
      </w:r>
      <w:r>
        <w:rPr>
          <w:szCs w:val="24"/>
        </w:rPr>
        <w:t xml:space="preserve">final </w:t>
      </w:r>
      <w:r w:rsidRPr="00E758ED">
        <w:rPr>
          <w:szCs w:val="24"/>
        </w:rPr>
        <w:t xml:space="preserve">rule enlarges the scope of some information to be collected while also reducing requirements for some existing collections.  </w:t>
      </w:r>
      <w:r w:rsidRPr="00E758ED">
        <w:rPr>
          <w:noProof/>
          <w:szCs w:val="24"/>
        </w:rPr>
        <w:t xml:space="preserve">The estimated burden and cost </w:t>
      </w:r>
      <w:r>
        <w:rPr>
          <w:noProof/>
          <w:szCs w:val="24"/>
        </w:rPr>
        <w:t>in</w:t>
      </w:r>
      <w:r w:rsidRPr="00E758ED">
        <w:rPr>
          <w:noProof/>
          <w:szCs w:val="24"/>
        </w:rPr>
        <w:t xml:space="preserve"> final rule </w:t>
      </w:r>
      <w:r>
        <w:rPr>
          <w:noProof/>
          <w:szCs w:val="24"/>
        </w:rPr>
        <w:t>in Docket No. RM16-17-000</w:t>
      </w:r>
      <w:r w:rsidR="00BC75D0">
        <w:rPr>
          <w:noProof/>
          <w:szCs w:val="24"/>
        </w:rPr>
        <w:t xml:space="preserve"> follows</w:t>
      </w:r>
      <w:r>
        <w:rPr>
          <w:noProof/>
          <w:szCs w:val="24"/>
        </w:rPr>
        <w:t>:</w:t>
      </w:r>
      <w:r w:rsidRPr="00844559">
        <w:rPr>
          <w:rStyle w:val="FootnoteReference"/>
        </w:rPr>
        <w:footnoteReference w:id="14"/>
      </w:r>
      <w:r w:rsidRPr="00E758ED">
        <w:rPr>
          <w:noProof/>
          <w:szCs w:val="24"/>
        </w:rPr>
        <w:t xml:space="preserve"> </w:t>
      </w:r>
      <w:r w:rsidR="00CA4B51">
        <w:rPr>
          <w:noProof/>
          <w:szCs w:val="24"/>
        </w:rPr>
        <w:t xml:space="preserve"> </w:t>
      </w:r>
    </w:p>
    <w:p w:rsidRPr="00E758ED" w:rsidR="00E32C15" w:rsidP="00632B16" w:rsidRDefault="00BF1282" w14:paraId="03533202" w14:textId="62250B64">
      <w:pPr>
        <w:spacing w:after="0" w:line="240" w:lineRule="auto"/>
        <w:rPr>
          <w:noProof/>
        </w:rPr>
      </w:pPr>
      <w:bookmarkStart w:name="_GoBack" w:id="0"/>
      <w:r w:rsidRPr="00E758ED">
        <w:rPr>
          <w:noProof/>
        </w:rPr>
        <w:lastRenderedPageBreak/>
        <w:drawing>
          <wp:inline distT="0" distB="0" distL="0" distR="0" wp14:anchorId="21FF06E5" wp14:editId="19663926">
            <wp:extent cx="5934075" cy="43312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311" cy="4338754"/>
                    </a:xfrm>
                    <a:prstGeom prst="rect">
                      <a:avLst/>
                    </a:prstGeom>
                    <a:noFill/>
                    <a:ln>
                      <a:noFill/>
                    </a:ln>
                  </pic:spPr>
                </pic:pic>
              </a:graphicData>
            </a:graphic>
          </wp:inline>
        </w:drawing>
      </w:r>
      <w:bookmarkEnd w:id="0"/>
    </w:p>
    <w:p w:rsidR="003A121A" w:rsidP="00632B16" w:rsidRDefault="003A121A" w14:paraId="03533204" w14:textId="247F7CEE">
      <w:pPr>
        <w:spacing w:after="0" w:line="240" w:lineRule="auto"/>
        <w:rPr>
          <w:szCs w:val="24"/>
        </w:rPr>
      </w:pPr>
    </w:p>
    <w:p w:rsidR="00337C1F" w:rsidP="00632B16" w:rsidRDefault="00337C1F" w14:paraId="473F13D6" w14:textId="136EF34B">
      <w:pPr>
        <w:spacing w:after="0" w:line="240" w:lineRule="auto"/>
        <w:rPr>
          <w:szCs w:val="24"/>
        </w:rPr>
      </w:pPr>
      <w:r>
        <w:rPr>
          <w:szCs w:val="24"/>
        </w:rPr>
        <w:t>The Commission</w:t>
      </w:r>
      <w:r w:rsidRPr="00E758ED">
        <w:rPr>
          <w:szCs w:val="24"/>
        </w:rPr>
        <w:t xml:space="preserve"> estimate</w:t>
      </w:r>
      <w:r>
        <w:rPr>
          <w:szCs w:val="24"/>
        </w:rPr>
        <w:t>s</w:t>
      </w:r>
      <w:r w:rsidRPr="00E758ED">
        <w:rPr>
          <w:szCs w:val="24"/>
        </w:rPr>
        <w:t xml:space="preserve"> that there are 2,500 </w:t>
      </w:r>
      <w:r>
        <w:rPr>
          <w:szCs w:val="24"/>
        </w:rPr>
        <w:t>Sellers,</w:t>
      </w:r>
      <w:r w:rsidRPr="00E758ED">
        <w:rPr>
          <w:szCs w:val="24"/>
        </w:rPr>
        <w:t xml:space="preserve"> of those approximately 1,000 are Category 1 in all regions and 1,500 are Category 2 in one or more regions.  </w:t>
      </w:r>
      <w:r w:rsidR="00A04A2B">
        <w:rPr>
          <w:szCs w:val="24"/>
        </w:rPr>
        <w:t>In the first year</w:t>
      </w:r>
      <w:r w:rsidRPr="00E758ED">
        <w:rPr>
          <w:szCs w:val="24"/>
        </w:rPr>
        <w:t xml:space="preserve">, </w:t>
      </w:r>
      <w:r>
        <w:rPr>
          <w:szCs w:val="24"/>
        </w:rPr>
        <w:t>the average S</w:t>
      </w:r>
      <w:r w:rsidRPr="00E758ED">
        <w:rPr>
          <w:szCs w:val="24"/>
        </w:rPr>
        <w:t>eller will spend 35 to 78 hours collecting and providing this additional information, with an ongoing burden in subsequent years of</w:t>
      </w:r>
      <w:r w:rsidR="005D7FFC">
        <w:rPr>
          <w:szCs w:val="24"/>
        </w:rPr>
        <w:t xml:space="preserve"> approximately</w:t>
      </w:r>
      <w:r w:rsidR="00A04A2B">
        <w:rPr>
          <w:szCs w:val="24"/>
        </w:rPr>
        <w:t xml:space="preserve"> </w:t>
      </w:r>
      <w:r w:rsidRPr="00E758ED">
        <w:rPr>
          <w:szCs w:val="24"/>
        </w:rPr>
        <w:t>1.</w:t>
      </w:r>
      <w:r w:rsidR="005D7FFC">
        <w:rPr>
          <w:szCs w:val="24"/>
        </w:rPr>
        <w:t>5</w:t>
      </w:r>
      <w:r w:rsidRPr="00E758ED">
        <w:rPr>
          <w:szCs w:val="24"/>
        </w:rPr>
        <w:t xml:space="preserve"> to 6 hours.</w:t>
      </w:r>
      <w:r w:rsidR="00577D51">
        <w:rPr>
          <w:szCs w:val="24"/>
        </w:rPr>
        <w:t xml:space="preserve"> </w:t>
      </w:r>
      <w:r>
        <w:rPr>
          <w:szCs w:val="24"/>
        </w:rPr>
        <w:t xml:space="preserve"> Further,</w:t>
      </w:r>
      <w:r w:rsidRPr="003373BC">
        <w:rPr>
          <w:szCs w:val="24"/>
        </w:rPr>
        <w:t xml:space="preserve"> because Category 1 sellers are not typically aff</w:t>
      </w:r>
      <w:r>
        <w:rPr>
          <w:szCs w:val="24"/>
        </w:rPr>
        <w:t>iliated with much generation, the Commission</w:t>
      </w:r>
      <w:r w:rsidRPr="003373BC">
        <w:rPr>
          <w:szCs w:val="24"/>
        </w:rPr>
        <w:t xml:space="preserve"> estimate</w:t>
      </w:r>
      <w:r>
        <w:rPr>
          <w:szCs w:val="24"/>
        </w:rPr>
        <w:t>s</w:t>
      </w:r>
      <w:r w:rsidRPr="003373BC">
        <w:rPr>
          <w:szCs w:val="24"/>
        </w:rPr>
        <w:t xml:space="preserve"> that about one-third of Category 1 sellers will report ongoing monthly and quarterly information.</w:t>
      </w:r>
      <w:r>
        <w:rPr>
          <w:szCs w:val="24"/>
        </w:rPr>
        <w:t xml:space="preserve">  </w:t>
      </w:r>
    </w:p>
    <w:p w:rsidRPr="00E758ED" w:rsidR="00337C1F" w:rsidP="00632B16" w:rsidRDefault="00337C1F" w14:paraId="7865B2B5" w14:textId="77777777">
      <w:pPr>
        <w:spacing w:after="0" w:line="240" w:lineRule="auto"/>
        <w:rPr>
          <w:szCs w:val="24"/>
        </w:rPr>
      </w:pPr>
    </w:p>
    <w:p w:rsidRPr="00E758ED" w:rsidR="00D80FBD" w:rsidP="00632B16" w:rsidRDefault="00E636D7" w14:paraId="03533207" w14:textId="77777777">
      <w:pPr>
        <w:pStyle w:val="FERCparanumber"/>
      </w:pPr>
      <w:r w:rsidRPr="00E758ED">
        <w:t>ESTIMATE OF THE TOTAL ANNUAL COST BURDEN TO RESPONDENTS</w:t>
      </w:r>
    </w:p>
    <w:p w:rsidRPr="00E758ED" w:rsidR="0090741D" w:rsidP="00632B16" w:rsidRDefault="008344B1" w14:paraId="03533209" w14:textId="1930C762">
      <w:pPr>
        <w:spacing w:after="0" w:line="240" w:lineRule="auto"/>
        <w:rPr>
          <w:szCs w:val="24"/>
        </w:rPr>
      </w:pPr>
      <w:r w:rsidRPr="00E758ED">
        <w:rPr>
          <w:szCs w:val="24"/>
        </w:rPr>
        <w:t>There are no capital or start-up costs associated with FERC-919</w:t>
      </w:r>
      <w:r w:rsidRPr="00E758ED" w:rsidR="00192737">
        <w:rPr>
          <w:szCs w:val="24"/>
        </w:rPr>
        <w:t>A</w:t>
      </w:r>
      <w:r w:rsidRPr="00E758ED" w:rsidR="00170C3B">
        <w:rPr>
          <w:szCs w:val="24"/>
        </w:rPr>
        <w:t>.</w:t>
      </w:r>
      <w:r w:rsidRPr="00E758ED">
        <w:rPr>
          <w:szCs w:val="24"/>
        </w:rPr>
        <w:t xml:space="preserve">  All of the costs</w:t>
      </w:r>
      <w:r w:rsidRPr="00E758ED" w:rsidR="00192737">
        <w:rPr>
          <w:szCs w:val="24"/>
        </w:rPr>
        <w:t xml:space="preserve"> in the final rule</w:t>
      </w:r>
      <w:r w:rsidRPr="00E758ED">
        <w:rPr>
          <w:szCs w:val="24"/>
        </w:rPr>
        <w:t xml:space="preserve"> are associated with the burden hours and accounted for in Question</w:t>
      </w:r>
      <w:r w:rsidRPr="00E758ED" w:rsidR="00467B68">
        <w:rPr>
          <w:szCs w:val="24"/>
        </w:rPr>
        <w:t>s</w:t>
      </w:r>
      <w:r w:rsidRPr="00E758ED">
        <w:rPr>
          <w:szCs w:val="24"/>
        </w:rPr>
        <w:t xml:space="preserve"> </w:t>
      </w:r>
      <w:r w:rsidR="00115E3C">
        <w:rPr>
          <w:szCs w:val="24"/>
        </w:rPr>
        <w:t>#</w:t>
      </w:r>
      <w:r w:rsidRPr="00E758ED">
        <w:rPr>
          <w:szCs w:val="24"/>
        </w:rPr>
        <w:t>12</w:t>
      </w:r>
      <w:r w:rsidRPr="00E758ED" w:rsidR="00467B68">
        <w:rPr>
          <w:szCs w:val="24"/>
        </w:rPr>
        <w:t xml:space="preserve"> and 15</w:t>
      </w:r>
      <w:r w:rsidRPr="00E758ED">
        <w:rPr>
          <w:szCs w:val="24"/>
        </w:rPr>
        <w:t>.</w:t>
      </w:r>
    </w:p>
    <w:p w:rsidRPr="00E758ED" w:rsidR="00E636D7" w:rsidP="00632B16" w:rsidRDefault="00E636D7" w14:paraId="0353320A" w14:textId="77777777">
      <w:pPr>
        <w:spacing w:after="0" w:line="240" w:lineRule="auto"/>
        <w:rPr>
          <w:szCs w:val="24"/>
        </w:rPr>
      </w:pPr>
    </w:p>
    <w:p w:rsidRPr="00E758ED" w:rsidR="00380519" w:rsidP="00632B16" w:rsidRDefault="00A276F5" w14:paraId="0353320B" w14:textId="77777777">
      <w:pPr>
        <w:pStyle w:val="FERCparanumber"/>
      </w:pPr>
      <w:r w:rsidRPr="00E758ED">
        <w:t>ESTIMATED ANNUALIZED COST TO FEDERAL GOVERNMENT</w:t>
      </w:r>
      <w:r w:rsidRPr="00E758ED" w:rsidR="00764BC0">
        <w:t xml:space="preserve"> </w:t>
      </w:r>
    </w:p>
    <w:p w:rsidR="00532537" w:rsidP="00632B16" w:rsidRDefault="00532537" w14:paraId="134EA95D" w14:textId="5E5837AA">
      <w:pPr>
        <w:pStyle w:val="ListParagraph"/>
        <w:spacing w:after="0" w:line="240" w:lineRule="auto"/>
        <w:ind w:left="0"/>
        <w:rPr>
          <w:szCs w:val="24"/>
        </w:rPr>
      </w:pPr>
      <w:r>
        <w:rPr>
          <w:szCs w:val="24"/>
        </w:rPr>
        <w:t xml:space="preserve">The </w:t>
      </w:r>
      <w:r w:rsidRPr="00532537">
        <w:rPr>
          <w:szCs w:val="24"/>
        </w:rPr>
        <w:t>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r>
        <w:rPr>
          <w:szCs w:val="24"/>
        </w:rPr>
        <w:t xml:space="preserve">  </w:t>
      </w:r>
      <w:r w:rsidRPr="00532537">
        <w:rPr>
          <w:szCs w:val="24"/>
        </w:rPr>
        <w:t xml:space="preserve">The estimates </w:t>
      </w:r>
      <w:r>
        <w:rPr>
          <w:szCs w:val="24"/>
        </w:rPr>
        <w:t xml:space="preserve">provided below include the entire FERC-919 and </w:t>
      </w:r>
      <w:r w:rsidRPr="00532537">
        <w:rPr>
          <w:szCs w:val="24"/>
        </w:rPr>
        <w:t>areas affected by t</w:t>
      </w:r>
      <w:r>
        <w:rPr>
          <w:szCs w:val="24"/>
        </w:rPr>
        <w:t>he FERC-919A</w:t>
      </w:r>
      <w:r w:rsidR="00816112">
        <w:rPr>
          <w:szCs w:val="24"/>
        </w:rPr>
        <w:t xml:space="preserve"> information collection by the Final Rule in RM16-17-000</w:t>
      </w:r>
      <w:r w:rsidRPr="00532537">
        <w:rPr>
          <w:szCs w:val="24"/>
        </w:rPr>
        <w:t>.</w:t>
      </w:r>
    </w:p>
    <w:p w:rsidR="00816112" w:rsidP="00632B16" w:rsidRDefault="00816112" w14:paraId="795C6B12" w14:textId="77777777">
      <w:pPr>
        <w:pStyle w:val="ListParagraph"/>
        <w:spacing w:after="0" w:line="240" w:lineRule="auto"/>
        <w:ind w:left="0"/>
        <w:rPr>
          <w:szCs w:val="24"/>
        </w:rPr>
      </w:pPr>
    </w:p>
    <w:p w:rsidR="007B213A" w:rsidP="00632B16" w:rsidRDefault="00727155" w14:paraId="0353320D" w14:textId="69847B1C">
      <w:pPr>
        <w:pStyle w:val="ListParagraph"/>
        <w:spacing w:after="0" w:line="240" w:lineRule="auto"/>
        <w:ind w:left="0"/>
        <w:rPr>
          <w:szCs w:val="24"/>
        </w:rPr>
      </w:pPr>
      <w:r w:rsidRPr="00E758ED">
        <w:rPr>
          <w:szCs w:val="24"/>
        </w:rPr>
        <w:t xml:space="preserve">The estimated </w:t>
      </w:r>
      <w:r w:rsidR="00532537">
        <w:rPr>
          <w:szCs w:val="24"/>
        </w:rPr>
        <w:t xml:space="preserve">annual </w:t>
      </w:r>
      <w:r w:rsidRPr="00E758ED">
        <w:rPr>
          <w:szCs w:val="24"/>
        </w:rPr>
        <w:t xml:space="preserve">federal cost related </w:t>
      </w:r>
      <w:r w:rsidR="00532537">
        <w:rPr>
          <w:szCs w:val="24"/>
        </w:rPr>
        <w:t>for FERC-919 and FERC-919A</w:t>
      </w:r>
      <w:r w:rsidRPr="00E758ED">
        <w:rPr>
          <w:szCs w:val="24"/>
        </w:rPr>
        <w:t xml:space="preserve"> follows</w:t>
      </w:r>
      <w:r w:rsidRPr="00E758ED" w:rsidR="00380519">
        <w:rPr>
          <w:szCs w:val="24"/>
        </w:rPr>
        <w:t>:</w:t>
      </w:r>
    </w:p>
    <w:p w:rsidRPr="00E758ED" w:rsidR="00B01E0D" w:rsidP="00632B16" w:rsidRDefault="00B01E0D" w14:paraId="34DE00CF" w14:textId="77777777">
      <w:pPr>
        <w:pStyle w:val="ListParagraph"/>
        <w:spacing w:after="0" w:line="240" w:lineRule="auto"/>
        <w:ind w:left="0"/>
        <w:rPr>
          <w:szCs w:val="24"/>
        </w:rPr>
      </w:pPr>
    </w:p>
    <w:tbl>
      <w:tblPr>
        <w:tblW w:w="8635" w:type="dxa"/>
        <w:tblLook w:val="04A0" w:firstRow="1" w:lastRow="0" w:firstColumn="1" w:lastColumn="0" w:noHBand="0" w:noVBand="1"/>
      </w:tblPr>
      <w:tblGrid>
        <w:gridCol w:w="3235"/>
        <w:gridCol w:w="1620"/>
        <w:gridCol w:w="1710"/>
        <w:gridCol w:w="2070"/>
      </w:tblGrid>
      <w:tr w:rsidRPr="002F5A68" w:rsidR="002F5A68" w:rsidTr="005C48BB" w14:paraId="6CB70D5D" w14:textId="77777777">
        <w:trPr>
          <w:trHeight w:val="544"/>
        </w:trPr>
        <w:tc>
          <w:tcPr>
            <w:tcW w:w="4855" w:type="dxa"/>
            <w:gridSpan w:val="2"/>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2F5A68" w:rsidR="002F5A68" w:rsidP="00632B16" w:rsidRDefault="002F5A68" w14:paraId="63DCE04B" w14:textId="77777777">
            <w:pPr>
              <w:spacing w:line="240" w:lineRule="auto"/>
              <w:jc w:val="center"/>
              <w:rPr>
                <w:rFonts w:eastAsia="Times New Roman"/>
                <w:sz w:val="24"/>
                <w:szCs w:val="24"/>
              </w:rPr>
            </w:pPr>
            <w:r w:rsidRPr="002F5A68">
              <w:rPr>
                <w:rFonts w:eastAsia="Times New Roman"/>
                <w:sz w:val="24"/>
                <w:szCs w:val="24"/>
              </w:rPr>
              <w:t> </w:t>
            </w:r>
          </w:p>
        </w:tc>
        <w:tc>
          <w:tcPr>
            <w:tcW w:w="1710" w:type="dxa"/>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2F5A68" w:rsidR="002F5A68" w:rsidP="00632B16" w:rsidRDefault="002F5A68" w14:paraId="2B9597D5" w14:textId="48F223DF">
            <w:pPr>
              <w:spacing w:after="0" w:line="240" w:lineRule="auto"/>
              <w:rPr>
                <w:rFonts w:eastAsia="Times New Roman"/>
                <w:b/>
                <w:bCs/>
                <w:sz w:val="24"/>
                <w:szCs w:val="24"/>
              </w:rPr>
            </w:pPr>
            <w:r w:rsidRPr="002F5A68">
              <w:rPr>
                <w:rFonts w:eastAsia="Times New Roman"/>
                <w:b/>
                <w:bCs/>
                <w:sz w:val="24"/>
                <w:szCs w:val="24"/>
              </w:rPr>
              <w:t>Number of Employees (FTE)</w:t>
            </w:r>
            <w:r w:rsidRPr="00CA0FA0" w:rsidR="00EA5A55">
              <w:rPr>
                <w:rStyle w:val="FootnoteReference"/>
                <w:sz w:val="24"/>
                <w:szCs w:val="24"/>
              </w:rPr>
              <w:t xml:space="preserve"> </w:t>
            </w:r>
            <w:r w:rsidRPr="00CA0FA0" w:rsidR="00EA5A55">
              <w:rPr>
                <w:rStyle w:val="FootnoteReference"/>
                <w:sz w:val="24"/>
                <w:szCs w:val="24"/>
              </w:rPr>
              <w:footnoteReference w:id="15"/>
            </w:r>
          </w:p>
        </w:tc>
        <w:tc>
          <w:tcPr>
            <w:tcW w:w="2070" w:type="dxa"/>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2F5A68" w:rsidR="002F5A68" w:rsidP="00632B16" w:rsidRDefault="002F5A68" w14:paraId="24EE8027" w14:textId="77777777">
            <w:pPr>
              <w:spacing w:after="0" w:line="240" w:lineRule="auto"/>
              <w:rPr>
                <w:rFonts w:eastAsia="Times New Roman"/>
                <w:b/>
                <w:bCs/>
                <w:sz w:val="24"/>
                <w:szCs w:val="24"/>
              </w:rPr>
            </w:pPr>
            <w:r w:rsidRPr="002F5A68">
              <w:rPr>
                <w:rFonts w:eastAsia="Times New Roman"/>
                <w:b/>
                <w:bCs/>
                <w:sz w:val="24"/>
                <w:szCs w:val="24"/>
              </w:rPr>
              <w:t>Estimated Annual Federal Cost</w:t>
            </w:r>
          </w:p>
        </w:tc>
      </w:tr>
      <w:tr w:rsidRPr="002F5A68" w:rsidR="002F5A68" w:rsidTr="005C48BB" w14:paraId="4D4DF6C8" w14:textId="77777777">
        <w:trPr>
          <w:trHeight w:val="630"/>
        </w:trPr>
        <w:tc>
          <w:tcPr>
            <w:tcW w:w="4855" w:type="dxa"/>
            <w:gridSpan w:val="2"/>
            <w:vMerge/>
            <w:tcBorders>
              <w:top w:val="single" w:color="auto" w:sz="4" w:space="0"/>
              <w:left w:val="single" w:color="auto" w:sz="4" w:space="0"/>
              <w:bottom w:val="single" w:color="auto" w:sz="4" w:space="0"/>
              <w:right w:val="single" w:color="auto" w:sz="4" w:space="0"/>
            </w:tcBorders>
            <w:vAlign w:val="center"/>
            <w:hideMark/>
          </w:tcPr>
          <w:p w:rsidRPr="002F5A68" w:rsidR="002F5A68" w:rsidP="00632B16" w:rsidRDefault="002F5A68" w14:paraId="4588A7A4" w14:textId="77777777">
            <w:pPr>
              <w:spacing w:after="0" w:line="240" w:lineRule="auto"/>
              <w:rPr>
                <w:rFonts w:eastAsia="Times New Roman"/>
                <w:sz w:val="24"/>
                <w:szCs w:val="24"/>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2F5A68" w:rsidR="002F5A68" w:rsidP="00632B16" w:rsidRDefault="002F5A68" w14:paraId="269405FD" w14:textId="77777777">
            <w:pPr>
              <w:spacing w:after="0" w:line="240" w:lineRule="auto"/>
              <w:rPr>
                <w:rFonts w:eastAsia="Times New Roman"/>
                <w:b/>
                <w:bCs/>
                <w:sz w:val="24"/>
                <w:szCs w:val="24"/>
              </w:rPr>
            </w:pPr>
          </w:p>
        </w:tc>
        <w:tc>
          <w:tcPr>
            <w:tcW w:w="2070" w:type="dxa"/>
            <w:vMerge/>
            <w:tcBorders>
              <w:top w:val="single" w:color="auto" w:sz="4" w:space="0"/>
              <w:left w:val="single" w:color="auto" w:sz="4" w:space="0"/>
              <w:bottom w:val="single" w:color="auto" w:sz="4" w:space="0"/>
              <w:right w:val="single" w:color="auto" w:sz="4" w:space="0"/>
            </w:tcBorders>
            <w:vAlign w:val="center"/>
            <w:hideMark/>
          </w:tcPr>
          <w:p w:rsidRPr="002F5A68" w:rsidR="002F5A68" w:rsidP="00632B16" w:rsidRDefault="002F5A68" w14:paraId="17B6725C" w14:textId="77777777">
            <w:pPr>
              <w:spacing w:after="0" w:line="240" w:lineRule="auto"/>
              <w:rPr>
                <w:rFonts w:eastAsia="Times New Roman"/>
                <w:b/>
                <w:bCs/>
                <w:sz w:val="24"/>
                <w:szCs w:val="24"/>
              </w:rPr>
            </w:pPr>
          </w:p>
        </w:tc>
      </w:tr>
      <w:tr w:rsidRPr="002F5A68" w:rsidR="002F5A68" w:rsidTr="005C48BB" w14:paraId="6F0F0819" w14:textId="77777777">
        <w:trPr>
          <w:trHeight w:val="332"/>
        </w:trPr>
        <w:tc>
          <w:tcPr>
            <w:tcW w:w="3235" w:type="dxa"/>
            <w:vMerge w:val="restart"/>
            <w:tcBorders>
              <w:top w:val="nil"/>
              <w:left w:val="single" w:color="auto" w:sz="4" w:space="0"/>
              <w:bottom w:val="single" w:color="auto" w:sz="4" w:space="0"/>
              <w:right w:val="single" w:color="auto" w:sz="4" w:space="0"/>
            </w:tcBorders>
            <w:shd w:val="clear" w:color="auto" w:fill="auto"/>
            <w:vAlign w:val="center"/>
            <w:hideMark/>
          </w:tcPr>
          <w:p w:rsidRPr="002F5A68" w:rsidR="002F5A68" w:rsidP="00632B16" w:rsidRDefault="002F5A68" w14:paraId="43013BCF" w14:textId="4715B752">
            <w:pPr>
              <w:spacing w:after="0" w:line="240" w:lineRule="auto"/>
              <w:rPr>
                <w:rFonts w:eastAsia="Times New Roman"/>
                <w:sz w:val="24"/>
                <w:szCs w:val="24"/>
              </w:rPr>
            </w:pPr>
            <w:r w:rsidRPr="002F5A68">
              <w:rPr>
                <w:rFonts w:eastAsia="Times New Roman"/>
                <w:sz w:val="24"/>
                <w:szCs w:val="24"/>
              </w:rPr>
              <w:t>Analysis and Processing of filings</w:t>
            </w:r>
            <w:r w:rsidRPr="00CA0FA0" w:rsidR="00EA5A55">
              <w:rPr>
                <w:rStyle w:val="FootnoteReference"/>
                <w:sz w:val="24"/>
                <w:szCs w:val="24"/>
              </w:rPr>
              <w:footnoteReference w:id="16"/>
            </w:r>
            <w:r w:rsidRPr="002F5A68">
              <w:rPr>
                <w:rFonts w:eastAsia="Times New Roman"/>
                <w:sz w:val="24"/>
                <w:szCs w:val="24"/>
              </w:rPr>
              <w:t xml:space="preserve"> </w:t>
            </w:r>
          </w:p>
        </w:tc>
        <w:tc>
          <w:tcPr>
            <w:tcW w:w="1620" w:type="dxa"/>
            <w:tcBorders>
              <w:top w:val="nil"/>
              <w:left w:val="nil"/>
              <w:bottom w:val="single" w:color="auto" w:sz="4" w:space="0"/>
              <w:right w:val="single" w:color="auto" w:sz="4" w:space="0"/>
            </w:tcBorders>
            <w:shd w:val="clear" w:color="auto" w:fill="auto"/>
            <w:vAlign w:val="bottom"/>
            <w:hideMark/>
          </w:tcPr>
          <w:p w:rsidRPr="002F5A68" w:rsidR="002F5A68" w:rsidP="00632B16" w:rsidRDefault="002F5A68" w14:paraId="21605648" w14:textId="77777777">
            <w:pPr>
              <w:spacing w:after="0" w:line="240" w:lineRule="auto"/>
              <w:rPr>
                <w:rFonts w:eastAsia="Times New Roman"/>
                <w:sz w:val="24"/>
                <w:szCs w:val="24"/>
              </w:rPr>
            </w:pPr>
            <w:r w:rsidRPr="002F5A68">
              <w:rPr>
                <w:rFonts w:eastAsia="Times New Roman"/>
                <w:sz w:val="24"/>
                <w:szCs w:val="24"/>
              </w:rPr>
              <w:t>FERC-919A</w:t>
            </w:r>
          </w:p>
        </w:tc>
        <w:tc>
          <w:tcPr>
            <w:tcW w:w="1710" w:type="dxa"/>
            <w:tcBorders>
              <w:top w:val="nil"/>
              <w:left w:val="nil"/>
              <w:bottom w:val="single" w:color="auto" w:sz="4" w:space="0"/>
              <w:right w:val="single" w:color="auto" w:sz="4" w:space="0"/>
            </w:tcBorders>
            <w:shd w:val="clear" w:color="auto" w:fill="auto"/>
            <w:vAlign w:val="center"/>
            <w:hideMark/>
          </w:tcPr>
          <w:p w:rsidRPr="002F5A68" w:rsidR="002F5A68" w:rsidP="00632B16" w:rsidRDefault="002F5A68" w14:paraId="07DAD915" w14:textId="77777777">
            <w:pPr>
              <w:spacing w:after="0" w:line="240" w:lineRule="auto"/>
              <w:jc w:val="right"/>
              <w:rPr>
                <w:rFonts w:eastAsia="Times New Roman"/>
                <w:sz w:val="24"/>
                <w:szCs w:val="24"/>
              </w:rPr>
            </w:pPr>
            <w:r w:rsidRPr="002F5A68">
              <w:rPr>
                <w:rFonts w:eastAsia="Times New Roman"/>
                <w:sz w:val="24"/>
                <w:szCs w:val="24"/>
              </w:rPr>
              <w:t>2</w:t>
            </w:r>
          </w:p>
        </w:tc>
        <w:tc>
          <w:tcPr>
            <w:tcW w:w="2070" w:type="dxa"/>
            <w:tcBorders>
              <w:top w:val="nil"/>
              <w:left w:val="nil"/>
              <w:bottom w:val="single" w:color="auto" w:sz="4" w:space="0"/>
              <w:right w:val="single" w:color="auto" w:sz="4" w:space="0"/>
            </w:tcBorders>
            <w:shd w:val="clear" w:color="auto" w:fill="auto"/>
            <w:vAlign w:val="center"/>
            <w:hideMark/>
          </w:tcPr>
          <w:p w:rsidRPr="002F5A68" w:rsidR="002F5A68" w:rsidP="00632B16" w:rsidRDefault="002F5A68" w14:paraId="71C6B4B2" w14:textId="77777777">
            <w:pPr>
              <w:spacing w:after="0" w:line="240" w:lineRule="auto"/>
              <w:jc w:val="right"/>
              <w:rPr>
                <w:rFonts w:eastAsia="Times New Roman"/>
                <w:sz w:val="24"/>
                <w:szCs w:val="24"/>
              </w:rPr>
            </w:pPr>
            <w:r w:rsidRPr="002F5A68">
              <w:rPr>
                <w:rFonts w:eastAsia="Times New Roman"/>
                <w:sz w:val="24"/>
                <w:szCs w:val="24"/>
              </w:rPr>
              <w:t xml:space="preserve">$334,182 </w:t>
            </w:r>
          </w:p>
        </w:tc>
      </w:tr>
      <w:tr w:rsidRPr="002F5A68" w:rsidR="002F5A68" w:rsidTr="005C48BB" w14:paraId="0D67057E" w14:textId="77777777">
        <w:trPr>
          <w:trHeight w:val="197"/>
        </w:trPr>
        <w:tc>
          <w:tcPr>
            <w:tcW w:w="3235" w:type="dxa"/>
            <w:vMerge/>
            <w:tcBorders>
              <w:top w:val="nil"/>
              <w:left w:val="single" w:color="auto" w:sz="4" w:space="0"/>
              <w:bottom w:val="single" w:color="auto" w:sz="4" w:space="0"/>
              <w:right w:val="single" w:color="auto" w:sz="4" w:space="0"/>
            </w:tcBorders>
            <w:vAlign w:val="center"/>
            <w:hideMark/>
          </w:tcPr>
          <w:p w:rsidRPr="002F5A68" w:rsidR="002F5A68" w:rsidP="00632B16" w:rsidRDefault="002F5A68" w14:paraId="2EB6959A" w14:textId="77777777">
            <w:pPr>
              <w:spacing w:after="0" w:line="240" w:lineRule="auto"/>
              <w:rPr>
                <w:rFonts w:eastAsia="Times New Roman"/>
                <w:sz w:val="24"/>
                <w:szCs w:val="24"/>
              </w:rPr>
            </w:pPr>
          </w:p>
        </w:tc>
        <w:tc>
          <w:tcPr>
            <w:tcW w:w="1620" w:type="dxa"/>
            <w:tcBorders>
              <w:top w:val="nil"/>
              <w:left w:val="nil"/>
              <w:bottom w:val="single" w:color="auto" w:sz="4" w:space="0"/>
              <w:right w:val="single" w:color="auto" w:sz="4" w:space="0"/>
            </w:tcBorders>
            <w:shd w:val="clear" w:color="auto" w:fill="auto"/>
            <w:vAlign w:val="bottom"/>
            <w:hideMark/>
          </w:tcPr>
          <w:p w:rsidRPr="002F5A68" w:rsidR="002F5A68" w:rsidP="00632B16" w:rsidRDefault="002F5A68" w14:paraId="2D960BCA" w14:textId="77777777">
            <w:pPr>
              <w:spacing w:after="0" w:line="240" w:lineRule="auto"/>
              <w:rPr>
                <w:rFonts w:eastAsia="Times New Roman"/>
                <w:sz w:val="24"/>
                <w:szCs w:val="24"/>
              </w:rPr>
            </w:pPr>
            <w:r w:rsidRPr="002F5A68">
              <w:rPr>
                <w:rFonts w:eastAsia="Times New Roman"/>
                <w:sz w:val="24"/>
                <w:szCs w:val="24"/>
              </w:rPr>
              <w:t>FERC-919</w:t>
            </w:r>
          </w:p>
        </w:tc>
        <w:tc>
          <w:tcPr>
            <w:tcW w:w="1710" w:type="dxa"/>
            <w:tcBorders>
              <w:top w:val="nil"/>
              <w:left w:val="nil"/>
              <w:bottom w:val="single" w:color="auto" w:sz="4" w:space="0"/>
              <w:right w:val="single" w:color="auto" w:sz="4" w:space="0"/>
            </w:tcBorders>
            <w:shd w:val="clear" w:color="auto" w:fill="auto"/>
            <w:vAlign w:val="center"/>
            <w:hideMark/>
          </w:tcPr>
          <w:p w:rsidRPr="002F5A68" w:rsidR="002F5A68" w:rsidP="00632B16" w:rsidRDefault="002F5A68" w14:paraId="704F0BDD" w14:textId="77777777">
            <w:pPr>
              <w:spacing w:after="0" w:line="240" w:lineRule="auto"/>
              <w:jc w:val="right"/>
              <w:rPr>
                <w:rFonts w:eastAsia="Times New Roman"/>
                <w:sz w:val="24"/>
                <w:szCs w:val="24"/>
              </w:rPr>
            </w:pPr>
            <w:r w:rsidRPr="002F5A68">
              <w:rPr>
                <w:rFonts w:eastAsia="Times New Roman"/>
                <w:sz w:val="24"/>
                <w:szCs w:val="24"/>
              </w:rPr>
              <w:t>28</w:t>
            </w:r>
          </w:p>
        </w:tc>
        <w:tc>
          <w:tcPr>
            <w:tcW w:w="2070" w:type="dxa"/>
            <w:tcBorders>
              <w:top w:val="nil"/>
              <w:left w:val="nil"/>
              <w:bottom w:val="single" w:color="auto" w:sz="4" w:space="0"/>
              <w:right w:val="single" w:color="auto" w:sz="4" w:space="0"/>
            </w:tcBorders>
            <w:shd w:val="clear" w:color="auto" w:fill="auto"/>
            <w:vAlign w:val="center"/>
            <w:hideMark/>
          </w:tcPr>
          <w:p w:rsidRPr="002F5A68" w:rsidR="002F5A68" w:rsidP="00632B16" w:rsidRDefault="002F5A68" w14:paraId="23870211" w14:textId="77777777">
            <w:pPr>
              <w:spacing w:after="0" w:line="240" w:lineRule="auto"/>
              <w:jc w:val="right"/>
              <w:rPr>
                <w:rFonts w:eastAsia="Times New Roman"/>
                <w:sz w:val="24"/>
                <w:szCs w:val="24"/>
              </w:rPr>
            </w:pPr>
            <w:r w:rsidRPr="002F5A68">
              <w:rPr>
                <w:rFonts w:eastAsia="Times New Roman"/>
                <w:sz w:val="24"/>
                <w:szCs w:val="24"/>
              </w:rPr>
              <w:t xml:space="preserve">$4,678,548 </w:t>
            </w:r>
          </w:p>
        </w:tc>
      </w:tr>
      <w:tr w:rsidRPr="002F5A68" w:rsidR="00F13794" w:rsidTr="005C48BB" w14:paraId="2AACC392" w14:textId="77777777">
        <w:trPr>
          <w:trHeight w:val="242"/>
        </w:trPr>
        <w:tc>
          <w:tcPr>
            <w:tcW w:w="3235" w:type="dxa"/>
            <w:vMerge w:val="restart"/>
            <w:tcBorders>
              <w:top w:val="nil"/>
              <w:left w:val="single" w:color="auto" w:sz="4" w:space="0"/>
              <w:bottom w:val="single" w:color="auto" w:sz="4" w:space="0"/>
              <w:right w:val="single" w:color="auto" w:sz="4" w:space="0"/>
            </w:tcBorders>
            <w:shd w:val="clear" w:color="auto" w:fill="auto"/>
            <w:vAlign w:val="center"/>
            <w:hideMark/>
          </w:tcPr>
          <w:p w:rsidRPr="002F5A68" w:rsidR="00F13794" w:rsidP="00632B16" w:rsidRDefault="00F13794" w14:paraId="444A78E8" w14:textId="3211E665">
            <w:pPr>
              <w:spacing w:after="0" w:line="240" w:lineRule="auto"/>
              <w:rPr>
                <w:rFonts w:eastAsia="Times New Roman"/>
                <w:sz w:val="24"/>
                <w:szCs w:val="24"/>
              </w:rPr>
            </w:pPr>
            <w:r w:rsidRPr="002F5A68">
              <w:rPr>
                <w:rFonts w:eastAsia="Times New Roman"/>
                <w:sz w:val="24"/>
                <w:szCs w:val="24"/>
              </w:rPr>
              <w:t>PRA</w:t>
            </w:r>
            <w:r w:rsidRPr="00CA0FA0">
              <w:rPr>
                <w:rStyle w:val="FootnoteReference"/>
                <w:sz w:val="24"/>
                <w:szCs w:val="24"/>
              </w:rPr>
              <w:footnoteReference w:id="17"/>
            </w:r>
            <w:r w:rsidRPr="002F5A68">
              <w:rPr>
                <w:rFonts w:eastAsia="Times New Roman"/>
                <w:sz w:val="24"/>
                <w:szCs w:val="24"/>
              </w:rPr>
              <w:t xml:space="preserve"> Administrative Cost</w:t>
            </w:r>
            <w:r>
              <w:rPr>
                <w:rStyle w:val="FootnoteReference"/>
                <w:rFonts w:eastAsia="Times New Roman"/>
                <w:szCs w:val="24"/>
              </w:rPr>
              <w:footnoteReference w:id="18"/>
            </w:r>
          </w:p>
        </w:tc>
        <w:tc>
          <w:tcPr>
            <w:tcW w:w="1620" w:type="dxa"/>
            <w:tcBorders>
              <w:top w:val="nil"/>
              <w:left w:val="nil"/>
              <w:bottom w:val="single" w:color="auto" w:sz="4" w:space="0"/>
              <w:right w:val="single" w:color="auto" w:sz="4" w:space="0"/>
            </w:tcBorders>
            <w:shd w:val="clear" w:color="auto" w:fill="auto"/>
            <w:vAlign w:val="bottom"/>
            <w:hideMark/>
          </w:tcPr>
          <w:p w:rsidRPr="002F5A68" w:rsidR="00F13794" w:rsidP="00632B16" w:rsidRDefault="00F13794" w14:paraId="780D36B7" w14:textId="77777777">
            <w:pPr>
              <w:spacing w:after="0" w:line="240" w:lineRule="auto"/>
              <w:rPr>
                <w:rFonts w:eastAsia="Times New Roman"/>
                <w:sz w:val="24"/>
                <w:szCs w:val="24"/>
              </w:rPr>
            </w:pPr>
            <w:r w:rsidRPr="002F5A68">
              <w:rPr>
                <w:rFonts w:eastAsia="Times New Roman"/>
                <w:sz w:val="24"/>
                <w:szCs w:val="24"/>
              </w:rPr>
              <w:t>FERC-919A</w:t>
            </w:r>
          </w:p>
        </w:tc>
        <w:tc>
          <w:tcPr>
            <w:tcW w:w="1710" w:type="dxa"/>
            <w:tcBorders>
              <w:top w:val="nil"/>
              <w:left w:val="nil"/>
              <w:bottom w:val="single" w:color="auto" w:sz="4" w:space="0"/>
              <w:right w:val="single" w:color="auto" w:sz="4" w:space="0"/>
            </w:tcBorders>
            <w:shd w:val="clear" w:color="auto" w:fill="D9D9D9" w:themeFill="background1" w:themeFillShade="D9"/>
            <w:vAlign w:val="center"/>
            <w:hideMark/>
          </w:tcPr>
          <w:p w:rsidRPr="002F5A68" w:rsidR="00F13794" w:rsidP="00632B16" w:rsidRDefault="00F13794" w14:paraId="2DF913E7" w14:textId="6735FB08">
            <w:pPr>
              <w:spacing w:after="0" w:line="240" w:lineRule="auto"/>
              <w:jc w:val="right"/>
              <w:rPr>
                <w:rFonts w:eastAsia="Times New Roman"/>
                <w:sz w:val="24"/>
                <w:szCs w:val="24"/>
              </w:rPr>
            </w:pPr>
            <w:r w:rsidRPr="002F5A68">
              <w:rPr>
                <w:rFonts w:eastAsia="Times New Roman"/>
                <w:sz w:val="24"/>
                <w:szCs w:val="24"/>
              </w:rPr>
              <w:t> </w:t>
            </w:r>
          </w:p>
        </w:tc>
        <w:tc>
          <w:tcPr>
            <w:tcW w:w="2070" w:type="dxa"/>
            <w:tcBorders>
              <w:top w:val="nil"/>
              <w:left w:val="nil"/>
              <w:bottom w:val="single" w:color="auto" w:sz="4" w:space="0"/>
              <w:right w:val="single" w:color="auto" w:sz="4" w:space="0"/>
            </w:tcBorders>
            <w:shd w:val="clear" w:color="auto" w:fill="auto"/>
            <w:vAlign w:val="center"/>
            <w:hideMark/>
          </w:tcPr>
          <w:p w:rsidRPr="002F5A68" w:rsidR="00F13794" w:rsidP="00632B16" w:rsidRDefault="000F36C6" w14:paraId="477D3D7D" w14:textId="3DD5ED42">
            <w:pPr>
              <w:spacing w:after="0" w:line="240" w:lineRule="auto"/>
              <w:jc w:val="right"/>
              <w:rPr>
                <w:rFonts w:eastAsia="Times New Roman"/>
                <w:sz w:val="24"/>
                <w:szCs w:val="24"/>
              </w:rPr>
            </w:pPr>
            <w:r>
              <w:rPr>
                <w:rFonts w:eastAsia="Times New Roman"/>
                <w:sz w:val="24"/>
                <w:szCs w:val="24"/>
              </w:rPr>
              <w:t>$4,832</w:t>
            </w:r>
            <w:r w:rsidRPr="002F5A68" w:rsidR="00F13794">
              <w:rPr>
                <w:rFonts w:eastAsia="Times New Roman"/>
                <w:sz w:val="24"/>
                <w:szCs w:val="24"/>
              </w:rPr>
              <w:t xml:space="preserve"> </w:t>
            </w:r>
          </w:p>
        </w:tc>
      </w:tr>
      <w:tr w:rsidRPr="002F5A68" w:rsidR="00F13794" w:rsidTr="005C48BB" w14:paraId="5EDBA49C" w14:textId="77777777">
        <w:trPr>
          <w:trHeight w:val="233"/>
        </w:trPr>
        <w:tc>
          <w:tcPr>
            <w:tcW w:w="3235" w:type="dxa"/>
            <w:vMerge/>
            <w:tcBorders>
              <w:top w:val="nil"/>
              <w:left w:val="single" w:color="auto" w:sz="4" w:space="0"/>
              <w:bottom w:val="single" w:color="auto" w:sz="4" w:space="0"/>
              <w:right w:val="single" w:color="auto" w:sz="4" w:space="0"/>
            </w:tcBorders>
            <w:vAlign w:val="center"/>
            <w:hideMark/>
          </w:tcPr>
          <w:p w:rsidRPr="002F5A68" w:rsidR="00F13794" w:rsidP="00632B16" w:rsidRDefault="00F13794" w14:paraId="40D785BD" w14:textId="77777777">
            <w:pPr>
              <w:spacing w:after="0" w:line="240" w:lineRule="auto"/>
              <w:rPr>
                <w:rFonts w:eastAsia="Times New Roman"/>
                <w:sz w:val="24"/>
                <w:szCs w:val="24"/>
              </w:rPr>
            </w:pPr>
          </w:p>
        </w:tc>
        <w:tc>
          <w:tcPr>
            <w:tcW w:w="1620" w:type="dxa"/>
            <w:tcBorders>
              <w:top w:val="nil"/>
              <w:left w:val="nil"/>
              <w:bottom w:val="single" w:color="auto" w:sz="4" w:space="0"/>
              <w:right w:val="single" w:color="auto" w:sz="4" w:space="0"/>
            </w:tcBorders>
            <w:shd w:val="clear" w:color="auto" w:fill="auto"/>
            <w:vAlign w:val="bottom"/>
            <w:hideMark/>
          </w:tcPr>
          <w:p w:rsidRPr="002F5A68" w:rsidR="00F13794" w:rsidP="00632B16" w:rsidRDefault="00F13794" w14:paraId="27328B5D" w14:textId="77777777">
            <w:pPr>
              <w:spacing w:after="0" w:line="240" w:lineRule="auto"/>
              <w:rPr>
                <w:rFonts w:eastAsia="Times New Roman"/>
                <w:sz w:val="24"/>
                <w:szCs w:val="24"/>
              </w:rPr>
            </w:pPr>
            <w:r w:rsidRPr="002F5A68">
              <w:rPr>
                <w:rFonts w:eastAsia="Times New Roman"/>
                <w:sz w:val="24"/>
                <w:szCs w:val="24"/>
              </w:rPr>
              <w:t>FERC-919</w:t>
            </w:r>
          </w:p>
        </w:tc>
        <w:tc>
          <w:tcPr>
            <w:tcW w:w="1710" w:type="dxa"/>
            <w:tcBorders>
              <w:top w:val="nil"/>
              <w:left w:val="nil"/>
              <w:bottom w:val="single" w:color="auto" w:sz="4" w:space="0"/>
              <w:right w:val="single" w:color="auto" w:sz="4" w:space="0"/>
            </w:tcBorders>
            <w:shd w:val="clear" w:color="auto" w:fill="D9D9D9" w:themeFill="background1" w:themeFillShade="D9"/>
            <w:vAlign w:val="center"/>
            <w:hideMark/>
          </w:tcPr>
          <w:p w:rsidRPr="002F5A68" w:rsidR="00F13794" w:rsidP="00632B16" w:rsidRDefault="00F13794" w14:paraId="5919313F" w14:textId="3038237B">
            <w:pPr>
              <w:spacing w:after="0" w:line="240" w:lineRule="auto"/>
              <w:jc w:val="right"/>
              <w:rPr>
                <w:rFonts w:eastAsia="Times New Roman"/>
                <w:sz w:val="24"/>
                <w:szCs w:val="24"/>
              </w:rPr>
            </w:pPr>
            <w:r w:rsidRPr="002F5A68">
              <w:rPr>
                <w:rFonts w:eastAsia="Times New Roman"/>
                <w:sz w:val="24"/>
                <w:szCs w:val="24"/>
              </w:rPr>
              <w:t> </w:t>
            </w:r>
          </w:p>
        </w:tc>
        <w:tc>
          <w:tcPr>
            <w:tcW w:w="2070" w:type="dxa"/>
            <w:tcBorders>
              <w:top w:val="nil"/>
              <w:left w:val="nil"/>
              <w:bottom w:val="single" w:color="auto" w:sz="4" w:space="0"/>
              <w:right w:val="single" w:color="auto" w:sz="4" w:space="0"/>
            </w:tcBorders>
            <w:shd w:val="clear" w:color="auto" w:fill="auto"/>
            <w:vAlign w:val="center"/>
            <w:hideMark/>
          </w:tcPr>
          <w:p w:rsidRPr="002F5A68" w:rsidR="00F13794" w:rsidP="00632B16" w:rsidRDefault="000F36C6" w14:paraId="36831C26" w14:textId="4043BAAC">
            <w:pPr>
              <w:spacing w:after="0" w:line="240" w:lineRule="auto"/>
              <w:jc w:val="right"/>
              <w:rPr>
                <w:rFonts w:eastAsia="Times New Roman"/>
                <w:sz w:val="24"/>
                <w:szCs w:val="24"/>
              </w:rPr>
            </w:pPr>
            <w:r>
              <w:rPr>
                <w:rFonts w:eastAsia="Times New Roman"/>
                <w:sz w:val="24"/>
                <w:szCs w:val="24"/>
              </w:rPr>
              <w:t>$4,832</w:t>
            </w:r>
          </w:p>
        </w:tc>
      </w:tr>
      <w:tr w:rsidRPr="002F5A68" w:rsidR="002F5A68" w:rsidTr="005C48BB" w14:paraId="2422EFAF" w14:textId="77777777">
        <w:trPr>
          <w:trHeight w:val="305"/>
        </w:trPr>
        <w:tc>
          <w:tcPr>
            <w:tcW w:w="4855" w:type="dxa"/>
            <w:gridSpan w:val="2"/>
            <w:tcBorders>
              <w:top w:val="single" w:color="auto" w:sz="4" w:space="0"/>
              <w:left w:val="single" w:color="auto" w:sz="4" w:space="0"/>
              <w:bottom w:val="single" w:color="auto" w:sz="4" w:space="0"/>
              <w:right w:val="single" w:color="000000" w:sz="4" w:space="0"/>
            </w:tcBorders>
            <w:shd w:val="clear" w:color="auto" w:fill="auto"/>
            <w:vAlign w:val="bottom"/>
            <w:hideMark/>
          </w:tcPr>
          <w:p w:rsidRPr="002F5A68" w:rsidR="002F5A68" w:rsidRDefault="002F5A68" w14:paraId="2B46E777" w14:textId="2CCC2ACD">
            <w:pPr>
              <w:spacing w:after="0" w:line="240" w:lineRule="auto"/>
              <w:rPr>
                <w:rFonts w:eastAsia="Times New Roman"/>
                <w:sz w:val="24"/>
                <w:szCs w:val="24"/>
              </w:rPr>
            </w:pPr>
            <w:r w:rsidRPr="002F5A68">
              <w:rPr>
                <w:rFonts w:eastAsia="Times New Roman"/>
                <w:sz w:val="24"/>
                <w:szCs w:val="24"/>
              </w:rPr>
              <w:t xml:space="preserve">Hardware/Software Development </w:t>
            </w:r>
            <w:r w:rsidR="005F1594">
              <w:rPr>
                <w:rFonts w:eastAsia="Times New Roman"/>
                <w:sz w:val="24"/>
                <w:szCs w:val="24"/>
              </w:rPr>
              <w:t>–</w:t>
            </w:r>
            <w:r w:rsidRPr="002F5A68">
              <w:rPr>
                <w:rFonts w:eastAsia="Times New Roman"/>
                <w:sz w:val="24"/>
                <w:szCs w:val="24"/>
              </w:rPr>
              <w:t xml:space="preserve"> </w:t>
            </w:r>
            <w:r w:rsidR="00266784">
              <w:rPr>
                <w:rFonts w:eastAsia="Times New Roman"/>
                <w:sz w:val="24"/>
                <w:szCs w:val="24"/>
              </w:rPr>
              <w:t>Annual</w:t>
            </w:r>
          </w:p>
        </w:tc>
        <w:tc>
          <w:tcPr>
            <w:tcW w:w="1710" w:type="dxa"/>
            <w:tcBorders>
              <w:top w:val="nil"/>
              <w:left w:val="nil"/>
              <w:bottom w:val="single" w:color="auto" w:sz="4" w:space="0"/>
              <w:right w:val="single" w:color="auto" w:sz="4" w:space="0"/>
            </w:tcBorders>
            <w:shd w:val="clear" w:color="000000" w:fill="D9D9D9"/>
            <w:vAlign w:val="center"/>
            <w:hideMark/>
          </w:tcPr>
          <w:p w:rsidRPr="002F5A68" w:rsidR="002F5A68" w:rsidP="00632B16" w:rsidRDefault="002F5A68" w14:paraId="5A2A7E32" w14:textId="77777777">
            <w:pPr>
              <w:spacing w:after="0" w:line="240" w:lineRule="auto"/>
              <w:jc w:val="right"/>
              <w:rPr>
                <w:rFonts w:eastAsia="Times New Roman"/>
                <w:sz w:val="24"/>
                <w:szCs w:val="24"/>
              </w:rPr>
            </w:pPr>
            <w:r w:rsidRPr="002F5A68">
              <w:rPr>
                <w:rFonts w:eastAsia="Times New Roman"/>
                <w:sz w:val="24"/>
                <w:szCs w:val="24"/>
              </w:rPr>
              <w:t> </w:t>
            </w:r>
          </w:p>
        </w:tc>
        <w:tc>
          <w:tcPr>
            <w:tcW w:w="2070" w:type="dxa"/>
            <w:tcBorders>
              <w:top w:val="nil"/>
              <w:left w:val="nil"/>
              <w:bottom w:val="single" w:color="auto" w:sz="4" w:space="0"/>
              <w:right w:val="single" w:color="auto" w:sz="4" w:space="0"/>
            </w:tcBorders>
            <w:shd w:val="clear" w:color="auto" w:fill="auto"/>
            <w:vAlign w:val="center"/>
            <w:hideMark/>
          </w:tcPr>
          <w:p w:rsidRPr="002F5A68" w:rsidR="002F5A68" w:rsidRDefault="002F5A68" w14:paraId="2B382652" w14:textId="7CEF80A9">
            <w:pPr>
              <w:spacing w:after="0" w:line="240" w:lineRule="auto"/>
              <w:jc w:val="right"/>
              <w:rPr>
                <w:rFonts w:eastAsia="Times New Roman"/>
                <w:sz w:val="24"/>
                <w:szCs w:val="24"/>
              </w:rPr>
            </w:pPr>
            <w:r w:rsidRPr="002F5A68">
              <w:rPr>
                <w:rFonts w:eastAsia="Times New Roman"/>
                <w:sz w:val="24"/>
                <w:szCs w:val="24"/>
              </w:rPr>
              <w:t>$</w:t>
            </w:r>
            <w:r w:rsidR="00C52E83">
              <w:rPr>
                <w:rFonts w:eastAsia="Times New Roman"/>
                <w:sz w:val="24"/>
                <w:szCs w:val="24"/>
              </w:rPr>
              <w:t>91,667</w:t>
            </w:r>
            <w:r w:rsidRPr="002F5A68">
              <w:rPr>
                <w:rFonts w:eastAsia="Times New Roman"/>
                <w:sz w:val="24"/>
                <w:szCs w:val="24"/>
              </w:rPr>
              <w:t xml:space="preserve"> </w:t>
            </w:r>
          </w:p>
        </w:tc>
      </w:tr>
      <w:tr w:rsidRPr="002F5A68" w:rsidR="002F5A68" w:rsidTr="005C48BB" w14:paraId="20605A6B" w14:textId="77777777">
        <w:trPr>
          <w:trHeight w:val="350"/>
        </w:trPr>
        <w:tc>
          <w:tcPr>
            <w:tcW w:w="4855"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2F5A68" w:rsidR="002F5A68" w:rsidP="00632B16" w:rsidRDefault="002F5A68" w14:paraId="6B51C285" w14:textId="62C05005">
            <w:pPr>
              <w:spacing w:after="0" w:line="240" w:lineRule="auto"/>
              <w:rPr>
                <w:rFonts w:eastAsia="Times New Roman"/>
                <w:sz w:val="24"/>
                <w:szCs w:val="24"/>
              </w:rPr>
            </w:pPr>
            <w:r w:rsidRPr="002F5A68">
              <w:rPr>
                <w:rFonts w:eastAsia="Times New Roman"/>
                <w:sz w:val="24"/>
                <w:szCs w:val="24"/>
              </w:rPr>
              <w:t xml:space="preserve">Hardware/Software Maintenance </w:t>
            </w:r>
            <w:r w:rsidR="005F1594">
              <w:rPr>
                <w:rFonts w:eastAsia="Times New Roman"/>
                <w:sz w:val="24"/>
                <w:szCs w:val="24"/>
              </w:rPr>
              <w:t>–</w:t>
            </w:r>
            <w:r w:rsidRPr="002F5A68">
              <w:rPr>
                <w:rFonts w:eastAsia="Times New Roman"/>
                <w:sz w:val="24"/>
                <w:szCs w:val="24"/>
              </w:rPr>
              <w:t xml:space="preserve"> Annual</w:t>
            </w:r>
          </w:p>
        </w:tc>
        <w:tc>
          <w:tcPr>
            <w:tcW w:w="1710" w:type="dxa"/>
            <w:tcBorders>
              <w:top w:val="nil"/>
              <w:left w:val="nil"/>
              <w:bottom w:val="single" w:color="auto" w:sz="4" w:space="0"/>
              <w:right w:val="single" w:color="auto" w:sz="4" w:space="0"/>
            </w:tcBorders>
            <w:shd w:val="clear" w:color="000000" w:fill="D9D9D9"/>
            <w:vAlign w:val="center"/>
            <w:hideMark/>
          </w:tcPr>
          <w:p w:rsidRPr="002F5A68" w:rsidR="002F5A68" w:rsidP="00632B16" w:rsidRDefault="002F5A68" w14:paraId="3AA06021" w14:textId="77777777">
            <w:pPr>
              <w:spacing w:after="0" w:line="240" w:lineRule="auto"/>
              <w:jc w:val="right"/>
              <w:rPr>
                <w:rFonts w:eastAsia="Times New Roman"/>
                <w:sz w:val="24"/>
                <w:szCs w:val="24"/>
              </w:rPr>
            </w:pPr>
            <w:r w:rsidRPr="002F5A68">
              <w:rPr>
                <w:rFonts w:eastAsia="Times New Roman"/>
                <w:sz w:val="24"/>
                <w:szCs w:val="24"/>
              </w:rPr>
              <w:t> </w:t>
            </w:r>
          </w:p>
        </w:tc>
        <w:tc>
          <w:tcPr>
            <w:tcW w:w="2070" w:type="dxa"/>
            <w:tcBorders>
              <w:top w:val="nil"/>
              <w:left w:val="nil"/>
              <w:bottom w:val="single" w:color="auto" w:sz="4" w:space="0"/>
              <w:right w:val="single" w:color="auto" w:sz="4" w:space="0"/>
            </w:tcBorders>
            <w:shd w:val="clear" w:color="auto" w:fill="auto"/>
            <w:vAlign w:val="center"/>
            <w:hideMark/>
          </w:tcPr>
          <w:p w:rsidRPr="002F5A68" w:rsidR="002F5A68" w:rsidP="00632B16" w:rsidRDefault="002F5A68" w14:paraId="3594968C" w14:textId="77777777">
            <w:pPr>
              <w:spacing w:after="0" w:line="240" w:lineRule="auto"/>
              <w:jc w:val="right"/>
              <w:rPr>
                <w:rFonts w:eastAsia="Times New Roman"/>
                <w:sz w:val="24"/>
                <w:szCs w:val="24"/>
              </w:rPr>
            </w:pPr>
            <w:r w:rsidRPr="002F5A68">
              <w:rPr>
                <w:rFonts w:eastAsia="Times New Roman"/>
                <w:sz w:val="24"/>
                <w:szCs w:val="24"/>
              </w:rPr>
              <w:t xml:space="preserve">$27,500 </w:t>
            </w:r>
          </w:p>
        </w:tc>
      </w:tr>
      <w:tr w:rsidRPr="002F5A68" w:rsidR="000F36C6" w:rsidTr="005C48BB" w14:paraId="72D47EEA" w14:textId="77777777">
        <w:trPr>
          <w:trHeight w:val="315"/>
        </w:trPr>
        <w:tc>
          <w:tcPr>
            <w:tcW w:w="4855" w:type="dxa"/>
            <w:gridSpan w:val="2"/>
            <w:tcBorders>
              <w:top w:val="single" w:color="auto" w:sz="4" w:space="0"/>
              <w:left w:val="single" w:color="auto" w:sz="4" w:space="0"/>
              <w:bottom w:val="single" w:color="auto" w:sz="4" w:space="0"/>
              <w:right w:val="single" w:color="000000" w:sz="4" w:space="0"/>
            </w:tcBorders>
            <w:shd w:val="clear" w:color="auto" w:fill="auto"/>
            <w:vAlign w:val="center"/>
            <w:hideMark/>
          </w:tcPr>
          <w:p w:rsidRPr="002F5A68" w:rsidR="000F36C6" w:rsidP="00632B16" w:rsidRDefault="000F36C6" w14:paraId="2B798161" w14:textId="0B27DE77">
            <w:pPr>
              <w:spacing w:after="0" w:line="240" w:lineRule="auto"/>
              <w:rPr>
                <w:rFonts w:eastAsia="Times New Roman"/>
                <w:b/>
                <w:bCs/>
                <w:sz w:val="24"/>
                <w:szCs w:val="24"/>
              </w:rPr>
            </w:pPr>
            <w:r w:rsidRPr="002F5A68">
              <w:rPr>
                <w:rFonts w:eastAsia="Times New Roman"/>
                <w:b/>
                <w:bCs/>
                <w:sz w:val="24"/>
                <w:szCs w:val="24"/>
              </w:rPr>
              <w:t>FERC Total</w:t>
            </w:r>
          </w:p>
        </w:tc>
        <w:tc>
          <w:tcPr>
            <w:tcW w:w="1710" w:type="dxa"/>
            <w:tcBorders>
              <w:top w:val="nil"/>
              <w:left w:val="nil"/>
              <w:bottom w:val="single" w:color="auto" w:sz="4" w:space="0"/>
              <w:right w:val="single" w:color="auto" w:sz="4" w:space="0"/>
            </w:tcBorders>
            <w:shd w:val="clear" w:color="000000" w:fill="D9D9D9"/>
            <w:vAlign w:val="center"/>
            <w:hideMark/>
          </w:tcPr>
          <w:p w:rsidRPr="002F5A68" w:rsidR="000F36C6" w:rsidP="00632B16" w:rsidRDefault="000F36C6" w14:paraId="6F653D27" w14:textId="77777777">
            <w:pPr>
              <w:spacing w:after="0" w:line="240" w:lineRule="auto"/>
              <w:jc w:val="right"/>
              <w:rPr>
                <w:rFonts w:eastAsia="Times New Roman"/>
                <w:sz w:val="24"/>
                <w:szCs w:val="24"/>
              </w:rPr>
            </w:pPr>
            <w:r w:rsidRPr="002F5A68">
              <w:rPr>
                <w:rFonts w:eastAsia="Times New Roman"/>
                <w:sz w:val="24"/>
                <w:szCs w:val="24"/>
              </w:rPr>
              <w:t> </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36C6" w:rsidR="000F36C6" w:rsidP="00632B16" w:rsidRDefault="000F36C6" w14:paraId="19E7F5FC" w14:textId="1C9852FE">
            <w:pPr>
              <w:spacing w:after="0" w:line="240" w:lineRule="auto"/>
              <w:jc w:val="right"/>
              <w:rPr>
                <w:rFonts w:eastAsia="Times New Roman"/>
                <w:b/>
                <w:bCs/>
                <w:sz w:val="24"/>
                <w:szCs w:val="24"/>
              </w:rPr>
            </w:pPr>
            <w:r w:rsidRPr="000F36C6">
              <w:rPr>
                <w:b/>
                <w:bCs/>
                <w:sz w:val="24"/>
                <w:szCs w:val="24"/>
              </w:rPr>
              <w:t>$5,</w:t>
            </w:r>
            <w:r w:rsidR="00C52E83">
              <w:rPr>
                <w:b/>
                <w:bCs/>
                <w:sz w:val="24"/>
                <w:szCs w:val="24"/>
              </w:rPr>
              <w:t>141</w:t>
            </w:r>
            <w:r w:rsidRPr="000F36C6">
              <w:rPr>
                <w:b/>
                <w:bCs/>
                <w:sz w:val="24"/>
                <w:szCs w:val="24"/>
              </w:rPr>
              <w:t>,</w:t>
            </w:r>
            <w:r w:rsidR="00C52E83">
              <w:rPr>
                <w:b/>
                <w:bCs/>
                <w:sz w:val="24"/>
                <w:szCs w:val="24"/>
              </w:rPr>
              <w:t>561</w:t>
            </w:r>
            <w:r w:rsidRPr="000F36C6">
              <w:rPr>
                <w:b/>
                <w:bCs/>
                <w:sz w:val="24"/>
                <w:szCs w:val="24"/>
              </w:rPr>
              <w:t xml:space="preserve"> </w:t>
            </w:r>
          </w:p>
        </w:tc>
      </w:tr>
    </w:tbl>
    <w:p w:rsidRPr="00E758ED" w:rsidR="002C0DC5" w:rsidP="00632B16" w:rsidRDefault="002C0DC5" w14:paraId="4FBF37EC" w14:textId="77777777">
      <w:pPr>
        <w:spacing w:after="0" w:line="240" w:lineRule="auto"/>
        <w:rPr>
          <w:szCs w:val="24"/>
        </w:rPr>
      </w:pPr>
    </w:p>
    <w:p w:rsidR="006F7D0E" w:rsidP="00632B16" w:rsidRDefault="001A1A1A" w14:paraId="10E2CE5F" w14:textId="77777777">
      <w:pPr>
        <w:spacing w:after="0" w:line="240" w:lineRule="auto"/>
        <w:rPr>
          <w:szCs w:val="24"/>
        </w:rPr>
      </w:pPr>
      <w:r>
        <w:rPr>
          <w:szCs w:val="24"/>
        </w:rPr>
        <w:t xml:space="preserve">The Commission </w:t>
      </w:r>
      <w:r w:rsidRPr="00E758ED" w:rsidR="0041558F">
        <w:rPr>
          <w:szCs w:val="24"/>
        </w:rPr>
        <w:t>estimate</w:t>
      </w:r>
      <w:r>
        <w:rPr>
          <w:szCs w:val="24"/>
        </w:rPr>
        <w:t>s</w:t>
      </w:r>
      <w:r w:rsidRPr="00E758ED" w:rsidR="0041558F">
        <w:rPr>
          <w:szCs w:val="24"/>
        </w:rPr>
        <w:t xml:space="preserve"> an initial increase in cost </w:t>
      </w:r>
      <w:r w:rsidRPr="00A058DF" w:rsidR="008D20EF">
        <w:rPr>
          <w:szCs w:val="24"/>
        </w:rPr>
        <w:t xml:space="preserve">of </w:t>
      </w:r>
      <w:r w:rsidRPr="00A058DF" w:rsidR="00626F2D">
        <w:rPr>
          <w:szCs w:val="24"/>
        </w:rPr>
        <w:t>2</w:t>
      </w:r>
      <w:r w:rsidRPr="00A058DF" w:rsidR="008D20EF">
        <w:rPr>
          <w:szCs w:val="24"/>
        </w:rPr>
        <w:t xml:space="preserve"> FTE</w:t>
      </w:r>
      <w:r w:rsidRPr="00A058DF" w:rsidR="0041558F">
        <w:rPr>
          <w:szCs w:val="24"/>
        </w:rPr>
        <w:t>s</w:t>
      </w:r>
      <w:r w:rsidRPr="00E758ED" w:rsidR="0041558F">
        <w:rPr>
          <w:szCs w:val="24"/>
        </w:rPr>
        <w:t xml:space="preserve"> during the first two years </w:t>
      </w:r>
      <w:r w:rsidRPr="00E758ED" w:rsidR="00C95B7C">
        <w:rPr>
          <w:szCs w:val="24"/>
        </w:rPr>
        <w:t>of</w:t>
      </w:r>
      <w:r w:rsidRPr="00E758ED" w:rsidR="0041558F">
        <w:rPr>
          <w:szCs w:val="24"/>
        </w:rPr>
        <w:t xml:space="preserve"> implement</w:t>
      </w:r>
      <w:r w:rsidRPr="00E758ED" w:rsidR="00C95B7C">
        <w:rPr>
          <w:szCs w:val="24"/>
        </w:rPr>
        <w:t>ing</w:t>
      </w:r>
      <w:r w:rsidRPr="00E758ED" w:rsidR="0041558F">
        <w:rPr>
          <w:szCs w:val="24"/>
        </w:rPr>
        <w:t xml:space="preserve"> the data</w:t>
      </w:r>
      <w:r w:rsidRPr="00E758ED" w:rsidR="0016470D">
        <w:rPr>
          <w:szCs w:val="24"/>
        </w:rPr>
        <w:t xml:space="preserve"> collection</w:t>
      </w:r>
      <w:r w:rsidR="006F7D0E">
        <w:rPr>
          <w:szCs w:val="24"/>
        </w:rPr>
        <w:t>:</w:t>
      </w:r>
    </w:p>
    <w:p w:rsidR="006F7D0E" w:rsidP="00632B16" w:rsidRDefault="006F7D0E" w14:paraId="6A4B4899" w14:textId="1B73BCFB">
      <w:pPr>
        <w:numPr>
          <w:ilvl w:val="0"/>
          <w:numId w:val="23"/>
        </w:numPr>
        <w:spacing w:after="0" w:line="240" w:lineRule="auto"/>
        <w:rPr>
          <w:szCs w:val="24"/>
        </w:rPr>
      </w:pPr>
      <w:r>
        <w:rPr>
          <w:szCs w:val="24"/>
        </w:rPr>
        <w:t>1 FTE –</w:t>
      </w:r>
      <w:r w:rsidRPr="006F7D0E">
        <w:rPr>
          <w:szCs w:val="24"/>
        </w:rPr>
        <w:t xml:space="preserve"> </w:t>
      </w:r>
      <w:r w:rsidRPr="00E758ED">
        <w:rPr>
          <w:szCs w:val="24"/>
        </w:rPr>
        <w:t>to train staff on how to utilize the new relational database and incorporate it into its analyses</w:t>
      </w:r>
      <w:r w:rsidR="00BC75D0">
        <w:rPr>
          <w:szCs w:val="24"/>
        </w:rPr>
        <w:t>.</w:t>
      </w:r>
    </w:p>
    <w:p w:rsidRPr="006F7D0E" w:rsidR="0063362C" w:rsidP="00632B16" w:rsidRDefault="006F7D0E" w14:paraId="0353323E" w14:textId="6F267FB3">
      <w:pPr>
        <w:numPr>
          <w:ilvl w:val="0"/>
          <w:numId w:val="13"/>
        </w:numPr>
        <w:spacing w:after="0" w:line="240" w:lineRule="auto"/>
        <w:rPr>
          <w:szCs w:val="24"/>
        </w:rPr>
      </w:pPr>
      <w:r w:rsidRPr="006F7D0E">
        <w:rPr>
          <w:szCs w:val="24"/>
        </w:rPr>
        <w:t xml:space="preserve">1 FTE – to </w:t>
      </w:r>
      <w:r w:rsidRPr="006F7D0E" w:rsidR="00B16297">
        <w:rPr>
          <w:szCs w:val="24"/>
        </w:rPr>
        <w:t>p</w:t>
      </w:r>
      <w:r w:rsidRPr="006F7D0E" w:rsidR="00967C5B">
        <w:rPr>
          <w:szCs w:val="24"/>
        </w:rPr>
        <w:t xml:space="preserve">rovide support </w:t>
      </w:r>
      <w:r w:rsidRPr="006F7D0E" w:rsidR="00B16297">
        <w:rPr>
          <w:szCs w:val="24"/>
        </w:rPr>
        <w:t xml:space="preserve">and educate </w:t>
      </w:r>
      <w:r w:rsidR="00BC75D0">
        <w:rPr>
          <w:szCs w:val="24"/>
        </w:rPr>
        <w:t>S</w:t>
      </w:r>
      <w:r w:rsidRPr="006F7D0E" w:rsidR="00967C5B">
        <w:rPr>
          <w:szCs w:val="24"/>
        </w:rPr>
        <w:t xml:space="preserve">ellers </w:t>
      </w:r>
      <w:r w:rsidRPr="006F7D0E" w:rsidR="002C37FD">
        <w:rPr>
          <w:szCs w:val="24"/>
        </w:rPr>
        <w:t xml:space="preserve">(0.5 FTE) </w:t>
      </w:r>
      <w:r w:rsidRPr="006F7D0E" w:rsidR="00B16297">
        <w:rPr>
          <w:szCs w:val="24"/>
        </w:rPr>
        <w:t xml:space="preserve">on </w:t>
      </w:r>
      <w:r w:rsidRPr="006F7D0E" w:rsidR="00967C5B">
        <w:rPr>
          <w:szCs w:val="24"/>
        </w:rPr>
        <w:t>how to sub</w:t>
      </w:r>
      <w:r w:rsidRPr="006F7D0E">
        <w:rPr>
          <w:szCs w:val="24"/>
        </w:rPr>
        <w:t xml:space="preserve">mit information in a new format, and </w:t>
      </w:r>
      <w:r w:rsidRPr="006F7D0E" w:rsidR="00B16297">
        <w:rPr>
          <w:szCs w:val="24"/>
        </w:rPr>
        <w:t>to d</w:t>
      </w:r>
      <w:r w:rsidRPr="006F7D0E" w:rsidR="00967C5B">
        <w:rPr>
          <w:szCs w:val="24"/>
        </w:rPr>
        <w:t xml:space="preserve">evelop standardized reports </w:t>
      </w:r>
      <w:r w:rsidRPr="006F7D0E" w:rsidR="0063362C">
        <w:rPr>
          <w:szCs w:val="24"/>
        </w:rPr>
        <w:t>and queries</w:t>
      </w:r>
      <w:r w:rsidRPr="006F7D0E" w:rsidR="00287421">
        <w:rPr>
          <w:szCs w:val="24"/>
        </w:rPr>
        <w:t xml:space="preserve"> (0.5 FTE)</w:t>
      </w:r>
      <w:r w:rsidRPr="006F7D0E" w:rsidR="00800E46">
        <w:rPr>
          <w:szCs w:val="24"/>
        </w:rPr>
        <w:t>.</w:t>
      </w:r>
      <w:r w:rsidRPr="006F7D0E" w:rsidR="00287421">
        <w:rPr>
          <w:szCs w:val="24"/>
        </w:rPr>
        <w:t xml:space="preserve"> </w:t>
      </w:r>
    </w:p>
    <w:p w:rsidR="00967C5B" w:rsidP="00632B16" w:rsidRDefault="00967C5B" w14:paraId="0353323F" w14:textId="77777777">
      <w:pPr>
        <w:spacing w:after="0" w:line="240" w:lineRule="auto"/>
        <w:rPr>
          <w:szCs w:val="24"/>
        </w:rPr>
      </w:pPr>
    </w:p>
    <w:p w:rsidR="006F7D0E" w:rsidP="00632B16" w:rsidRDefault="006F7D0E" w14:paraId="756377F3" w14:textId="3E653E92">
      <w:pPr>
        <w:spacing w:after="0" w:line="240" w:lineRule="auto"/>
        <w:rPr>
          <w:szCs w:val="24"/>
        </w:rPr>
      </w:pPr>
      <w:r w:rsidRPr="00E758ED">
        <w:rPr>
          <w:szCs w:val="24"/>
        </w:rPr>
        <w:lastRenderedPageBreak/>
        <w:t>After the two-year period</w:t>
      </w:r>
      <w:r>
        <w:rPr>
          <w:szCs w:val="24"/>
        </w:rPr>
        <w:t>, there is no</w:t>
      </w:r>
      <w:r w:rsidRPr="00E758ED">
        <w:rPr>
          <w:szCs w:val="24"/>
        </w:rPr>
        <w:t xml:space="preserve"> net increase in </w:t>
      </w:r>
      <w:r>
        <w:rPr>
          <w:szCs w:val="24"/>
        </w:rPr>
        <w:t>FTEs</w:t>
      </w:r>
      <w:r w:rsidRPr="00E758ED">
        <w:rPr>
          <w:szCs w:val="24"/>
        </w:rPr>
        <w:t xml:space="preserve"> resulting from RM16-17-000</w:t>
      </w:r>
      <w:r>
        <w:rPr>
          <w:szCs w:val="24"/>
        </w:rPr>
        <w:t xml:space="preserve">.  Since </w:t>
      </w:r>
      <w:r w:rsidRPr="00E758ED">
        <w:rPr>
          <w:szCs w:val="24"/>
        </w:rPr>
        <w:t xml:space="preserve">the Commission already collects and tracks most of </w:t>
      </w:r>
      <w:r w:rsidR="00903093">
        <w:rPr>
          <w:szCs w:val="24"/>
        </w:rPr>
        <w:t xml:space="preserve">the information in this data collection, </w:t>
      </w:r>
      <w:r>
        <w:rPr>
          <w:szCs w:val="24"/>
        </w:rPr>
        <w:t>a</w:t>
      </w:r>
      <w:r w:rsidRPr="00E758ED">
        <w:rPr>
          <w:szCs w:val="24"/>
        </w:rPr>
        <w:t>fter the adaptation period</w:t>
      </w:r>
      <w:r>
        <w:rPr>
          <w:szCs w:val="24"/>
        </w:rPr>
        <w:t>,</w:t>
      </w:r>
      <w:r w:rsidRPr="00E758ED">
        <w:rPr>
          <w:szCs w:val="24"/>
        </w:rPr>
        <w:t xml:space="preserve"> the Commission will be able to carry out its responsibilities with the number of FTEs already accounted for in FERC-919</w:t>
      </w:r>
      <w:r>
        <w:rPr>
          <w:szCs w:val="24"/>
        </w:rPr>
        <w:t>.</w:t>
      </w:r>
    </w:p>
    <w:p w:rsidRPr="00E758ED" w:rsidR="00A276F5" w:rsidP="00632B16" w:rsidRDefault="00A276F5" w14:paraId="03533243" w14:textId="77777777">
      <w:pPr>
        <w:spacing w:after="0" w:line="240" w:lineRule="auto"/>
        <w:rPr>
          <w:szCs w:val="24"/>
        </w:rPr>
      </w:pPr>
    </w:p>
    <w:p w:rsidRPr="00E758ED" w:rsidR="00A276F5" w:rsidP="00632B16" w:rsidRDefault="00A276F5" w14:paraId="03533244" w14:textId="77777777">
      <w:pPr>
        <w:pStyle w:val="FERCparanumber"/>
      </w:pPr>
      <w:r w:rsidRPr="00E758ED">
        <w:t>REASONS FOR CHANGES IN BURDEN INCLUDING THE NEED FOR ANY INCREASE</w:t>
      </w:r>
      <w:r w:rsidRPr="00E758ED" w:rsidR="008344B1">
        <w:t xml:space="preserve"> </w:t>
      </w:r>
    </w:p>
    <w:p w:rsidR="00E43BFB" w:rsidP="00632B16" w:rsidRDefault="00017188" w14:paraId="5194E556" w14:textId="07BF877A">
      <w:pPr>
        <w:spacing w:after="0" w:line="240" w:lineRule="auto"/>
        <w:rPr>
          <w:rFonts w:eastAsia="Calibri"/>
          <w:szCs w:val="24"/>
        </w:rPr>
      </w:pPr>
      <w:r>
        <w:rPr>
          <w:rFonts w:eastAsia="Calibri"/>
          <w:szCs w:val="24"/>
        </w:rPr>
        <w:t>As described in Questio</w:t>
      </w:r>
      <w:r w:rsidR="00115E3C">
        <w:rPr>
          <w:rFonts w:eastAsia="Calibri"/>
          <w:szCs w:val="24"/>
        </w:rPr>
        <w:t>n #</w:t>
      </w:r>
      <w:r>
        <w:rPr>
          <w:rFonts w:eastAsia="Calibri"/>
          <w:szCs w:val="24"/>
        </w:rPr>
        <w:t xml:space="preserve">1, </w:t>
      </w:r>
      <w:r w:rsidR="00115E3C">
        <w:rPr>
          <w:rFonts w:eastAsia="Calibri"/>
          <w:szCs w:val="24"/>
        </w:rPr>
        <w:t>#</w:t>
      </w:r>
      <w:r>
        <w:rPr>
          <w:rFonts w:eastAsia="Calibri"/>
          <w:szCs w:val="24"/>
        </w:rPr>
        <w:t xml:space="preserve">2, and </w:t>
      </w:r>
      <w:r w:rsidR="00115E3C">
        <w:rPr>
          <w:rFonts w:eastAsia="Calibri"/>
          <w:szCs w:val="24"/>
        </w:rPr>
        <w:t>#</w:t>
      </w:r>
      <w:r>
        <w:rPr>
          <w:rFonts w:eastAsia="Calibri"/>
          <w:szCs w:val="24"/>
        </w:rPr>
        <w:t>5, t</w:t>
      </w:r>
      <w:r w:rsidRPr="00E758ED" w:rsidR="00E43BFB">
        <w:rPr>
          <w:rFonts w:eastAsia="Calibri"/>
          <w:szCs w:val="24"/>
        </w:rPr>
        <w:t>he final rule amends the Commission’s regulations govern</w:t>
      </w:r>
      <w:r w:rsidR="00E43BFB">
        <w:rPr>
          <w:rFonts w:eastAsia="Calibri"/>
          <w:szCs w:val="24"/>
        </w:rPr>
        <w:t xml:space="preserve">ing market-based rates </w:t>
      </w:r>
      <w:r w:rsidR="00577D51">
        <w:rPr>
          <w:rFonts w:eastAsia="Calibri"/>
          <w:szCs w:val="24"/>
        </w:rPr>
        <w:t xml:space="preserve">for </w:t>
      </w:r>
      <w:r w:rsidRPr="00E758ED" w:rsidR="00577D51">
        <w:rPr>
          <w:rFonts w:eastAsia="Calibri"/>
          <w:szCs w:val="24"/>
        </w:rPr>
        <w:t>public</w:t>
      </w:r>
      <w:r w:rsidRPr="00E758ED" w:rsidR="00E43BFB">
        <w:rPr>
          <w:rFonts w:eastAsia="Calibri"/>
          <w:szCs w:val="24"/>
        </w:rPr>
        <w:t xml:space="preserve"> utilities.</w:t>
      </w:r>
      <w:r w:rsidR="00E43BFB">
        <w:rPr>
          <w:rFonts w:eastAsia="Calibri"/>
          <w:szCs w:val="24"/>
        </w:rPr>
        <w:t xml:space="preserve">  </w:t>
      </w:r>
      <w:r w:rsidRPr="00AB742F" w:rsidR="00E43BFB">
        <w:rPr>
          <w:rFonts w:eastAsia="Calibri"/>
          <w:szCs w:val="24"/>
        </w:rPr>
        <w:t>The Commission will</w:t>
      </w:r>
      <w:r w:rsidR="00E43BFB">
        <w:rPr>
          <w:rFonts w:eastAsia="Calibri"/>
          <w:szCs w:val="24"/>
        </w:rPr>
        <w:t xml:space="preserve"> </w:t>
      </w:r>
      <w:r w:rsidRPr="00AB742F" w:rsidR="00E43BFB">
        <w:rPr>
          <w:rFonts w:eastAsia="Calibri"/>
          <w:szCs w:val="24"/>
        </w:rPr>
        <w:t xml:space="preserve">collect certain information currently filed in the market-based rate program in a consolidated and streamlined manner through a relational database.  The relational database construct modernizes the Commission’s data collection processes, eliminates duplications, and renders information collected through its market-based rate program usable and accessible for the Commission.  </w:t>
      </w:r>
    </w:p>
    <w:p w:rsidRPr="00E758ED" w:rsidR="00467B68" w:rsidP="00632B16" w:rsidRDefault="00467B68" w14:paraId="03533247" w14:textId="77777777">
      <w:pPr>
        <w:spacing w:after="0" w:line="240" w:lineRule="auto"/>
        <w:rPr>
          <w:szCs w:val="24"/>
        </w:rPr>
      </w:pPr>
    </w:p>
    <w:p w:rsidR="00F8311D" w:rsidP="00632B16" w:rsidRDefault="00F8311D" w14:paraId="1E172EEC" w14:textId="77777777">
      <w:pPr>
        <w:spacing w:after="0" w:line="240" w:lineRule="auto"/>
        <w:rPr>
          <w:szCs w:val="24"/>
        </w:rPr>
      </w:pPr>
    </w:p>
    <w:p w:rsidRPr="00E758ED" w:rsidR="0027461E" w:rsidP="00632B16" w:rsidRDefault="0027461E" w14:paraId="6818DE20" w14:textId="77777777">
      <w:pPr>
        <w:spacing w:after="0" w:line="240" w:lineRule="auto"/>
        <w:rPr>
          <w:szCs w:val="24"/>
        </w:rPr>
      </w:pPr>
    </w:p>
    <w:tbl>
      <w:tblPr>
        <w:tblW w:w="93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7"/>
        <w:gridCol w:w="1530"/>
        <w:gridCol w:w="1440"/>
        <w:gridCol w:w="1710"/>
        <w:gridCol w:w="1530"/>
      </w:tblGrid>
      <w:tr w:rsidRPr="007F67F1" w:rsidR="008344B1" w:rsidTr="00E40EC8" w14:paraId="03533251" w14:textId="77777777">
        <w:trPr>
          <w:trHeight w:val="791"/>
        </w:trPr>
        <w:tc>
          <w:tcPr>
            <w:tcW w:w="3127" w:type="dxa"/>
            <w:shd w:val="clear" w:color="auto" w:fill="D9D9D9"/>
            <w:vAlign w:val="center"/>
          </w:tcPr>
          <w:p w:rsidRPr="007F67F1" w:rsidR="008344B1" w:rsidP="00993113" w:rsidRDefault="00694BC4" w14:paraId="0353324B" w14:textId="1A73DED4">
            <w:pPr>
              <w:spacing w:after="0"/>
              <w:rPr>
                <w:b/>
                <w:sz w:val="24"/>
                <w:szCs w:val="24"/>
              </w:rPr>
            </w:pPr>
            <w:r w:rsidRPr="00E758ED">
              <w:rPr>
                <w:szCs w:val="24"/>
              </w:rPr>
              <w:br w:type="page"/>
            </w:r>
          </w:p>
          <w:p w:rsidRPr="007F67F1" w:rsidR="003C36C3" w:rsidP="00993113" w:rsidRDefault="003C36C3" w14:paraId="0353324C" w14:textId="77777777">
            <w:pPr>
              <w:spacing w:after="0"/>
              <w:rPr>
                <w:b/>
                <w:sz w:val="24"/>
                <w:szCs w:val="24"/>
              </w:rPr>
            </w:pPr>
          </w:p>
        </w:tc>
        <w:tc>
          <w:tcPr>
            <w:tcW w:w="1530" w:type="dxa"/>
            <w:shd w:val="clear" w:color="auto" w:fill="D9D9D9"/>
            <w:vAlign w:val="center"/>
          </w:tcPr>
          <w:p w:rsidRPr="007F67F1" w:rsidR="008344B1" w:rsidP="00993113" w:rsidRDefault="008344B1" w14:paraId="0353324D" w14:textId="77777777">
            <w:pPr>
              <w:spacing w:after="0"/>
              <w:rPr>
                <w:b/>
                <w:sz w:val="24"/>
                <w:szCs w:val="24"/>
              </w:rPr>
            </w:pPr>
            <w:r w:rsidRPr="007F67F1">
              <w:rPr>
                <w:b/>
                <w:sz w:val="24"/>
                <w:szCs w:val="24"/>
              </w:rPr>
              <w:t>Total Request</w:t>
            </w:r>
          </w:p>
        </w:tc>
        <w:tc>
          <w:tcPr>
            <w:tcW w:w="1440" w:type="dxa"/>
            <w:shd w:val="clear" w:color="auto" w:fill="D9D9D9"/>
            <w:vAlign w:val="center"/>
          </w:tcPr>
          <w:p w:rsidRPr="007F67F1" w:rsidR="008344B1" w:rsidP="00993113" w:rsidRDefault="008344B1" w14:paraId="0353324E" w14:textId="77777777">
            <w:pPr>
              <w:spacing w:after="0"/>
              <w:rPr>
                <w:b/>
                <w:sz w:val="24"/>
                <w:szCs w:val="24"/>
              </w:rPr>
            </w:pPr>
            <w:r w:rsidRPr="007F67F1">
              <w:rPr>
                <w:b/>
                <w:sz w:val="24"/>
                <w:szCs w:val="24"/>
              </w:rPr>
              <w:t>Previously Approved</w:t>
            </w:r>
          </w:p>
        </w:tc>
        <w:tc>
          <w:tcPr>
            <w:tcW w:w="1710" w:type="dxa"/>
            <w:shd w:val="clear" w:color="auto" w:fill="D9D9D9"/>
            <w:vAlign w:val="center"/>
          </w:tcPr>
          <w:p w:rsidRPr="007F67F1" w:rsidR="008344B1" w:rsidP="00993113" w:rsidRDefault="008344B1" w14:paraId="0353324F" w14:textId="77777777">
            <w:pPr>
              <w:spacing w:after="0"/>
              <w:rPr>
                <w:b/>
                <w:sz w:val="24"/>
                <w:szCs w:val="24"/>
              </w:rPr>
            </w:pPr>
            <w:r w:rsidRPr="007F67F1">
              <w:rPr>
                <w:b/>
                <w:sz w:val="24"/>
                <w:szCs w:val="24"/>
              </w:rPr>
              <w:t>Change due to Adjustment in Estimate</w:t>
            </w:r>
          </w:p>
        </w:tc>
        <w:tc>
          <w:tcPr>
            <w:tcW w:w="1530" w:type="dxa"/>
            <w:shd w:val="clear" w:color="auto" w:fill="D9D9D9"/>
            <w:vAlign w:val="center"/>
          </w:tcPr>
          <w:p w:rsidRPr="007F67F1" w:rsidR="008344B1" w:rsidP="00993113" w:rsidRDefault="008344B1" w14:paraId="03533250" w14:textId="77777777">
            <w:pPr>
              <w:spacing w:after="0"/>
              <w:rPr>
                <w:b/>
                <w:sz w:val="24"/>
                <w:szCs w:val="24"/>
              </w:rPr>
            </w:pPr>
            <w:r w:rsidRPr="007F67F1">
              <w:rPr>
                <w:b/>
                <w:sz w:val="24"/>
                <w:szCs w:val="24"/>
              </w:rPr>
              <w:t>Change Due to Agency Discretion</w:t>
            </w:r>
          </w:p>
        </w:tc>
      </w:tr>
      <w:tr w:rsidRPr="007F67F1" w:rsidR="008F4F08" w:rsidTr="00E40EC8" w14:paraId="0353325D" w14:textId="77777777">
        <w:trPr>
          <w:trHeight w:val="173"/>
        </w:trPr>
        <w:tc>
          <w:tcPr>
            <w:tcW w:w="3127" w:type="dxa"/>
            <w:vAlign w:val="center"/>
          </w:tcPr>
          <w:p w:rsidRPr="007F67F1" w:rsidR="008F4F08" w:rsidP="008F4F08" w:rsidRDefault="008F4F08" w14:paraId="03533258" w14:textId="1941FD84">
            <w:pPr>
              <w:spacing w:after="0"/>
              <w:rPr>
                <w:sz w:val="24"/>
                <w:szCs w:val="24"/>
              </w:rPr>
            </w:pPr>
            <w:r w:rsidRPr="007F67F1">
              <w:rPr>
                <w:sz w:val="24"/>
                <w:szCs w:val="24"/>
              </w:rPr>
              <w:t>Annual Number of Responses</w:t>
            </w:r>
          </w:p>
        </w:tc>
        <w:tc>
          <w:tcPr>
            <w:tcW w:w="1530" w:type="dxa"/>
            <w:vAlign w:val="center"/>
          </w:tcPr>
          <w:p w:rsidRPr="007F67F1" w:rsidR="008F4F08" w:rsidP="008F4F08" w:rsidRDefault="00B60B6B" w14:paraId="03533259" w14:textId="5C1FA013">
            <w:pPr>
              <w:spacing w:after="0"/>
              <w:rPr>
                <w:sz w:val="24"/>
                <w:szCs w:val="24"/>
              </w:rPr>
            </w:pPr>
            <w:r>
              <w:rPr>
                <w:sz w:val="24"/>
                <w:szCs w:val="24"/>
              </w:rPr>
              <w:t>2,666</w:t>
            </w:r>
          </w:p>
        </w:tc>
        <w:tc>
          <w:tcPr>
            <w:tcW w:w="1440" w:type="dxa"/>
            <w:vAlign w:val="center"/>
          </w:tcPr>
          <w:p w:rsidRPr="007F67F1" w:rsidR="008F4F08" w:rsidP="008F4F08" w:rsidRDefault="008F4F08" w14:paraId="0353325A" w14:textId="04760161">
            <w:pPr>
              <w:spacing w:after="0"/>
              <w:rPr>
                <w:sz w:val="24"/>
                <w:szCs w:val="24"/>
              </w:rPr>
            </w:pPr>
            <w:r w:rsidRPr="007F67F1">
              <w:rPr>
                <w:sz w:val="24"/>
                <w:szCs w:val="24"/>
              </w:rPr>
              <w:t>0</w:t>
            </w:r>
          </w:p>
        </w:tc>
        <w:tc>
          <w:tcPr>
            <w:tcW w:w="1710" w:type="dxa"/>
            <w:vAlign w:val="center"/>
          </w:tcPr>
          <w:p w:rsidRPr="007F67F1" w:rsidR="008F4F08" w:rsidP="008F4F08" w:rsidRDefault="008F4F08" w14:paraId="0353325B" w14:textId="77777777">
            <w:pPr>
              <w:spacing w:after="0"/>
              <w:rPr>
                <w:sz w:val="24"/>
                <w:szCs w:val="24"/>
              </w:rPr>
            </w:pPr>
            <w:r w:rsidRPr="007F67F1">
              <w:rPr>
                <w:sz w:val="24"/>
                <w:szCs w:val="24"/>
              </w:rPr>
              <w:t>0</w:t>
            </w:r>
          </w:p>
        </w:tc>
        <w:tc>
          <w:tcPr>
            <w:tcW w:w="1530" w:type="dxa"/>
            <w:vAlign w:val="center"/>
          </w:tcPr>
          <w:p w:rsidRPr="007F67F1" w:rsidR="008F4F08" w:rsidP="008F4F08" w:rsidRDefault="00115E3C" w14:paraId="0353325C" w14:textId="444CD4EA">
            <w:pPr>
              <w:spacing w:after="0"/>
              <w:rPr>
                <w:sz w:val="24"/>
                <w:szCs w:val="24"/>
              </w:rPr>
            </w:pPr>
            <w:r>
              <w:rPr>
                <w:sz w:val="24"/>
                <w:szCs w:val="24"/>
              </w:rPr>
              <w:t>2,666</w:t>
            </w:r>
          </w:p>
        </w:tc>
      </w:tr>
      <w:tr w:rsidRPr="007F67F1" w:rsidR="008F4F08" w:rsidTr="00E40EC8" w14:paraId="03533263" w14:textId="77777777">
        <w:trPr>
          <w:trHeight w:val="173"/>
        </w:trPr>
        <w:tc>
          <w:tcPr>
            <w:tcW w:w="3127" w:type="dxa"/>
            <w:vAlign w:val="center"/>
          </w:tcPr>
          <w:p w:rsidRPr="007F67F1" w:rsidR="008F4F08" w:rsidP="008F4F08" w:rsidRDefault="008F4F08" w14:paraId="0353325E" w14:textId="47087DB0">
            <w:pPr>
              <w:spacing w:after="0"/>
              <w:rPr>
                <w:sz w:val="24"/>
                <w:szCs w:val="24"/>
              </w:rPr>
            </w:pPr>
            <w:r w:rsidRPr="007F67F1">
              <w:rPr>
                <w:sz w:val="24"/>
                <w:szCs w:val="24"/>
              </w:rPr>
              <w:t>Annual Time Burden (Hr.)</w:t>
            </w:r>
          </w:p>
        </w:tc>
        <w:tc>
          <w:tcPr>
            <w:tcW w:w="1530" w:type="dxa"/>
            <w:vAlign w:val="center"/>
          </w:tcPr>
          <w:p w:rsidRPr="007F67F1" w:rsidR="008F4F08" w:rsidP="008F4F08" w:rsidRDefault="00115E3C" w14:paraId="0353325F" w14:textId="5290F0F2">
            <w:pPr>
              <w:spacing w:after="0"/>
              <w:rPr>
                <w:sz w:val="24"/>
                <w:szCs w:val="24"/>
              </w:rPr>
            </w:pPr>
            <w:r>
              <w:rPr>
                <w:sz w:val="24"/>
                <w:szCs w:val="24"/>
              </w:rPr>
              <w:t>60,999</w:t>
            </w:r>
          </w:p>
        </w:tc>
        <w:tc>
          <w:tcPr>
            <w:tcW w:w="1440" w:type="dxa"/>
            <w:vAlign w:val="center"/>
          </w:tcPr>
          <w:p w:rsidRPr="007F67F1" w:rsidR="008F4F08" w:rsidP="008F4F08" w:rsidRDefault="008F4F08" w14:paraId="03533260" w14:textId="2C2F245C">
            <w:pPr>
              <w:spacing w:after="0"/>
              <w:rPr>
                <w:sz w:val="24"/>
                <w:szCs w:val="24"/>
              </w:rPr>
            </w:pPr>
            <w:r w:rsidRPr="007F67F1">
              <w:rPr>
                <w:sz w:val="24"/>
                <w:szCs w:val="24"/>
              </w:rPr>
              <w:t>0</w:t>
            </w:r>
          </w:p>
        </w:tc>
        <w:tc>
          <w:tcPr>
            <w:tcW w:w="1710" w:type="dxa"/>
            <w:vAlign w:val="center"/>
          </w:tcPr>
          <w:p w:rsidRPr="007F67F1" w:rsidR="008F4F08" w:rsidP="008F4F08" w:rsidRDefault="008F4F08" w14:paraId="03533261" w14:textId="77777777">
            <w:pPr>
              <w:spacing w:after="0"/>
              <w:rPr>
                <w:sz w:val="24"/>
                <w:szCs w:val="24"/>
              </w:rPr>
            </w:pPr>
            <w:r w:rsidRPr="007F67F1">
              <w:rPr>
                <w:sz w:val="24"/>
                <w:szCs w:val="24"/>
              </w:rPr>
              <w:t>0</w:t>
            </w:r>
          </w:p>
        </w:tc>
        <w:tc>
          <w:tcPr>
            <w:tcW w:w="1530" w:type="dxa"/>
            <w:vAlign w:val="center"/>
          </w:tcPr>
          <w:p w:rsidRPr="007F67F1" w:rsidR="008F4F08" w:rsidP="008F4F08" w:rsidRDefault="00115E3C" w14:paraId="03533262" w14:textId="1D7848E3">
            <w:pPr>
              <w:spacing w:after="0"/>
              <w:rPr>
                <w:sz w:val="24"/>
                <w:szCs w:val="24"/>
              </w:rPr>
            </w:pPr>
            <w:r>
              <w:rPr>
                <w:sz w:val="24"/>
                <w:szCs w:val="24"/>
              </w:rPr>
              <w:t>60,999</w:t>
            </w:r>
          </w:p>
        </w:tc>
      </w:tr>
      <w:tr w:rsidRPr="007F67F1" w:rsidR="008F4F08" w:rsidTr="00E40EC8" w14:paraId="03533269" w14:textId="77777777">
        <w:trPr>
          <w:trHeight w:val="260"/>
        </w:trPr>
        <w:tc>
          <w:tcPr>
            <w:tcW w:w="3127" w:type="dxa"/>
            <w:tcBorders>
              <w:bottom w:val="single" w:color="auto" w:sz="4" w:space="0"/>
            </w:tcBorders>
            <w:vAlign w:val="center"/>
          </w:tcPr>
          <w:p w:rsidRPr="007F67F1" w:rsidR="008F4F08" w:rsidP="008F4F08" w:rsidRDefault="008F4F08" w14:paraId="03533264" w14:textId="1CE235FF">
            <w:pPr>
              <w:spacing w:after="0"/>
              <w:rPr>
                <w:sz w:val="24"/>
                <w:szCs w:val="24"/>
              </w:rPr>
            </w:pPr>
            <w:r w:rsidRPr="007F67F1">
              <w:rPr>
                <w:sz w:val="24"/>
                <w:szCs w:val="24"/>
              </w:rPr>
              <w:t>Annual Cost Burden ($)</w:t>
            </w:r>
          </w:p>
        </w:tc>
        <w:tc>
          <w:tcPr>
            <w:tcW w:w="1530" w:type="dxa"/>
            <w:tcBorders>
              <w:bottom w:val="single" w:color="auto" w:sz="4" w:space="0"/>
            </w:tcBorders>
            <w:vAlign w:val="center"/>
          </w:tcPr>
          <w:p w:rsidRPr="007F67F1" w:rsidR="008F4F08" w:rsidP="008F4F08" w:rsidRDefault="008F4F08" w14:paraId="03533265" w14:textId="41C65ABC">
            <w:pPr>
              <w:spacing w:after="0"/>
              <w:rPr>
                <w:sz w:val="24"/>
                <w:szCs w:val="24"/>
              </w:rPr>
            </w:pPr>
            <w:r w:rsidRPr="007F67F1">
              <w:rPr>
                <w:sz w:val="24"/>
                <w:szCs w:val="24"/>
              </w:rPr>
              <w:t>0</w:t>
            </w:r>
          </w:p>
        </w:tc>
        <w:tc>
          <w:tcPr>
            <w:tcW w:w="1440" w:type="dxa"/>
            <w:tcBorders>
              <w:bottom w:val="single" w:color="auto" w:sz="4" w:space="0"/>
            </w:tcBorders>
            <w:vAlign w:val="center"/>
          </w:tcPr>
          <w:p w:rsidRPr="007F67F1" w:rsidR="008F4F08" w:rsidP="008F4F08" w:rsidRDefault="008F4F08" w14:paraId="03533266" w14:textId="7193C911">
            <w:pPr>
              <w:spacing w:after="0"/>
              <w:rPr>
                <w:sz w:val="24"/>
                <w:szCs w:val="24"/>
              </w:rPr>
            </w:pPr>
            <w:r w:rsidRPr="007F67F1">
              <w:rPr>
                <w:sz w:val="24"/>
                <w:szCs w:val="24"/>
              </w:rPr>
              <w:t>0</w:t>
            </w:r>
          </w:p>
        </w:tc>
        <w:tc>
          <w:tcPr>
            <w:tcW w:w="1710" w:type="dxa"/>
            <w:tcBorders>
              <w:bottom w:val="single" w:color="auto" w:sz="4" w:space="0"/>
            </w:tcBorders>
            <w:vAlign w:val="center"/>
          </w:tcPr>
          <w:p w:rsidRPr="007F67F1" w:rsidR="008F4F08" w:rsidP="008F4F08" w:rsidRDefault="008F4F08" w14:paraId="03533267" w14:textId="77777777">
            <w:pPr>
              <w:spacing w:after="0"/>
              <w:rPr>
                <w:sz w:val="24"/>
                <w:szCs w:val="24"/>
              </w:rPr>
            </w:pPr>
            <w:r w:rsidRPr="007F67F1">
              <w:rPr>
                <w:sz w:val="24"/>
                <w:szCs w:val="24"/>
              </w:rPr>
              <w:t>0</w:t>
            </w:r>
          </w:p>
        </w:tc>
        <w:tc>
          <w:tcPr>
            <w:tcW w:w="1530" w:type="dxa"/>
            <w:tcBorders>
              <w:bottom w:val="single" w:color="auto" w:sz="4" w:space="0"/>
            </w:tcBorders>
            <w:vAlign w:val="center"/>
          </w:tcPr>
          <w:p w:rsidRPr="007F67F1" w:rsidR="008F4F08" w:rsidP="008F4F08" w:rsidRDefault="008F4F08" w14:paraId="03533268" w14:textId="4D958B29">
            <w:pPr>
              <w:spacing w:after="0"/>
              <w:rPr>
                <w:sz w:val="24"/>
                <w:szCs w:val="24"/>
              </w:rPr>
            </w:pPr>
            <w:r w:rsidRPr="007F67F1">
              <w:rPr>
                <w:sz w:val="24"/>
                <w:szCs w:val="24"/>
              </w:rPr>
              <w:t>0</w:t>
            </w:r>
          </w:p>
        </w:tc>
      </w:tr>
    </w:tbl>
    <w:p w:rsidRPr="00E758ED" w:rsidR="000C574F" w:rsidP="00993113" w:rsidRDefault="000C574F" w14:paraId="1686A8A2" w14:textId="77777777">
      <w:pPr>
        <w:pStyle w:val="ListParagraph"/>
        <w:spacing w:after="0" w:line="240" w:lineRule="auto"/>
        <w:ind w:left="360"/>
        <w:rPr>
          <w:b/>
          <w:szCs w:val="24"/>
        </w:rPr>
      </w:pPr>
    </w:p>
    <w:p w:rsidRPr="00E758ED" w:rsidR="00A276F5" w:rsidP="006A510E" w:rsidRDefault="00414F32" w14:paraId="03533282" w14:textId="77777777">
      <w:pPr>
        <w:pStyle w:val="FERCparanumber"/>
      </w:pPr>
      <w:r w:rsidRPr="00E758ED">
        <w:t>TIME SCHEDULE FOR PUBLICATION OF DATA</w:t>
      </w:r>
    </w:p>
    <w:p w:rsidRPr="00E758ED" w:rsidR="000D4661" w:rsidP="00632B16" w:rsidRDefault="000D4661" w14:paraId="03533284" w14:textId="27DE4BAB">
      <w:pPr>
        <w:spacing w:after="0" w:line="240" w:lineRule="auto"/>
        <w:rPr>
          <w:szCs w:val="24"/>
        </w:rPr>
      </w:pPr>
      <w:r w:rsidRPr="00E758ED">
        <w:rPr>
          <w:szCs w:val="24"/>
        </w:rPr>
        <w:t xml:space="preserve">There is no publication of data associated with </w:t>
      </w:r>
      <w:r w:rsidRPr="00E758ED" w:rsidR="008344B1">
        <w:rPr>
          <w:szCs w:val="24"/>
        </w:rPr>
        <w:t>FERC-919</w:t>
      </w:r>
      <w:r w:rsidRPr="00E758ED" w:rsidR="00F32D23">
        <w:rPr>
          <w:szCs w:val="24"/>
        </w:rPr>
        <w:t>A</w:t>
      </w:r>
      <w:r w:rsidRPr="00E758ED" w:rsidR="002120F5">
        <w:rPr>
          <w:szCs w:val="24"/>
        </w:rPr>
        <w:t xml:space="preserve"> </w:t>
      </w:r>
      <w:r w:rsidRPr="00E758ED">
        <w:rPr>
          <w:szCs w:val="24"/>
        </w:rPr>
        <w:t>information.</w:t>
      </w:r>
    </w:p>
    <w:p w:rsidRPr="00E758ED" w:rsidR="0072366E" w:rsidP="00632B16" w:rsidRDefault="0072366E" w14:paraId="03533285" w14:textId="77777777">
      <w:pPr>
        <w:spacing w:after="0" w:line="240" w:lineRule="auto"/>
        <w:rPr>
          <w:szCs w:val="24"/>
        </w:rPr>
      </w:pPr>
    </w:p>
    <w:p w:rsidRPr="00E758ED" w:rsidR="00414F32" w:rsidP="00632B16" w:rsidRDefault="00414F32" w14:paraId="03533286" w14:textId="77777777">
      <w:pPr>
        <w:pStyle w:val="FERCparanumber"/>
      </w:pPr>
      <w:r w:rsidRPr="00E758ED">
        <w:t>DISPLAY OF EXPIRATION DATE</w:t>
      </w:r>
    </w:p>
    <w:p w:rsidRPr="00E758ED" w:rsidR="00414F32" w:rsidP="00632B16" w:rsidRDefault="0087430F" w14:paraId="03533288" w14:textId="16C2CCF2">
      <w:pPr>
        <w:spacing w:after="0" w:line="240" w:lineRule="auto"/>
        <w:rPr>
          <w:szCs w:val="24"/>
        </w:rPr>
      </w:pPr>
      <w:r w:rsidRPr="00E758ED">
        <w:rPr>
          <w:szCs w:val="24"/>
        </w:rPr>
        <w:t xml:space="preserve">The expiration dates are available at </w:t>
      </w:r>
      <w:hyperlink w:history="1" r:id="rId14">
        <w:r w:rsidRPr="00115E3C">
          <w:rPr>
            <w:rStyle w:val="Hyperlink"/>
            <w:szCs w:val="24"/>
          </w:rPr>
          <w:t>http://www.ferc.gov/docs-filing/info-collections.asp</w:t>
        </w:r>
      </w:hyperlink>
      <w:r w:rsidRPr="00E758ED">
        <w:rPr>
          <w:szCs w:val="24"/>
        </w:rPr>
        <w:t xml:space="preserve">. </w:t>
      </w:r>
      <w:r w:rsidRPr="00E758ED" w:rsidR="00730A00">
        <w:rPr>
          <w:szCs w:val="24"/>
        </w:rPr>
        <w:t xml:space="preserve"> </w:t>
      </w:r>
    </w:p>
    <w:p w:rsidRPr="00E758ED" w:rsidR="00414F32" w:rsidP="00632B16" w:rsidRDefault="00414F32" w14:paraId="03533289" w14:textId="77777777">
      <w:pPr>
        <w:spacing w:after="0" w:line="240" w:lineRule="auto"/>
        <w:rPr>
          <w:szCs w:val="24"/>
        </w:rPr>
      </w:pPr>
    </w:p>
    <w:p w:rsidRPr="00E758ED" w:rsidR="00414F32" w:rsidP="00632B16" w:rsidRDefault="00414F32" w14:paraId="0353328A" w14:textId="77777777">
      <w:pPr>
        <w:pStyle w:val="FERCparanumber"/>
      </w:pPr>
      <w:r w:rsidRPr="00E758ED">
        <w:t>EXCEPTIONS TO THE CERTIFICATION STATEMENT</w:t>
      </w:r>
    </w:p>
    <w:p w:rsidRPr="00E758ED" w:rsidR="0057700F" w:rsidP="00632B16" w:rsidRDefault="0087430F" w14:paraId="0353328C" w14:textId="77777777">
      <w:pPr>
        <w:spacing w:after="0" w:line="240" w:lineRule="auto"/>
        <w:rPr>
          <w:b/>
          <w:szCs w:val="24"/>
        </w:rPr>
      </w:pPr>
      <w:r w:rsidRPr="00E758ED">
        <w:rPr>
          <w:szCs w:val="24"/>
        </w:rPr>
        <w:t>There are no exceptions</w:t>
      </w:r>
      <w:r w:rsidRPr="00E758ED" w:rsidR="00077D2A">
        <w:rPr>
          <w:szCs w:val="24"/>
        </w:rPr>
        <w:t>.</w:t>
      </w:r>
    </w:p>
    <w:p w:rsidRPr="00E758ED" w:rsidR="00414F32" w:rsidP="00632B16" w:rsidRDefault="00414F32" w14:paraId="0353328D" w14:textId="77777777">
      <w:pPr>
        <w:spacing w:after="0" w:line="240" w:lineRule="auto"/>
        <w:rPr>
          <w:szCs w:val="24"/>
        </w:rPr>
      </w:pPr>
    </w:p>
    <w:sectPr w:rsidRPr="00E758ED" w:rsidR="00414F3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61AB6" w14:textId="77777777" w:rsidR="002742F4" w:rsidRDefault="002742F4" w:rsidP="00FD66F1">
      <w:pPr>
        <w:spacing w:after="0" w:line="240" w:lineRule="auto"/>
      </w:pPr>
      <w:r>
        <w:separator/>
      </w:r>
    </w:p>
    <w:p w14:paraId="24DBB0AE" w14:textId="77777777" w:rsidR="002742F4" w:rsidRDefault="002742F4"/>
    <w:p w14:paraId="1B15C0A8" w14:textId="77777777" w:rsidR="002742F4" w:rsidRDefault="002742F4" w:rsidP="00080C15"/>
  </w:endnote>
  <w:endnote w:type="continuationSeparator" w:id="0">
    <w:p w14:paraId="29A5F085" w14:textId="77777777" w:rsidR="002742F4" w:rsidRDefault="002742F4" w:rsidP="00FD66F1">
      <w:pPr>
        <w:spacing w:after="0" w:line="240" w:lineRule="auto"/>
      </w:pPr>
      <w:r>
        <w:continuationSeparator/>
      </w:r>
    </w:p>
    <w:p w14:paraId="5E08F801" w14:textId="77777777" w:rsidR="002742F4" w:rsidRDefault="002742F4"/>
    <w:p w14:paraId="191F2877" w14:textId="77777777" w:rsidR="002742F4" w:rsidRDefault="002742F4" w:rsidP="00080C15"/>
  </w:endnote>
  <w:endnote w:type="continuationNotice" w:id="1">
    <w:p w14:paraId="1098B3FB" w14:textId="77777777" w:rsidR="002742F4" w:rsidRDefault="002742F4">
      <w:pPr>
        <w:spacing w:after="0" w:line="240" w:lineRule="auto"/>
      </w:pPr>
    </w:p>
    <w:p w14:paraId="4D3D509E" w14:textId="77777777" w:rsidR="002742F4" w:rsidRDefault="002742F4"/>
    <w:p w14:paraId="444A8C39" w14:textId="77777777" w:rsidR="002742F4" w:rsidRDefault="002742F4" w:rsidP="00080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8D21" w14:textId="77777777" w:rsidR="00DC0531" w:rsidRDefault="00DC0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noProof/>
      </w:rPr>
    </w:sdtEndPr>
    <w:sdtContent>
      <w:p w14:paraId="61C9DF52" w14:textId="77777777" w:rsidR="00DA35DD" w:rsidRDefault="00DA35DD">
        <w:pPr>
          <w:pStyle w:val="Footer"/>
          <w:jc w:val="right"/>
        </w:pPr>
      </w:p>
      <w:p w14:paraId="03533297" w14:textId="4F9CB143" w:rsidR="00DA35DD" w:rsidRDefault="00DA35DD">
        <w:pPr>
          <w:pStyle w:val="Footer"/>
          <w:jc w:val="right"/>
        </w:pPr>
        <w:r w:rsidRPr="00FA25F9">
          <w:fldChar w:fldCharType="begin"/>
        </w:r>
        <w:r w:rsidRPr="00FA25F9">
          <w:instrText xml:space="preserve"> PAGE   \* MERGEFORMAT </w:instrText>
        </w:r>
        <w:r w:rsidRPr="00FA25F9">
          <w:fldChar w:fldCharType="separate"/>
        </w:r>
        <w:r>
          <w:rPr>
            <w:noProof/>
          </w:rPr>
          <w:t>9</w:t>
        </w:r>
        <w:r w:rsidRPr="00FA25F9">
          <w:rPr>
            <w:noProof/>
          </w:rPr>
          <w:fldChar w:fldCharType="end"/>
        </w:r>
      </w:p>
    </w:sdtContent>
  </w:sdt>
  <w:p w14:paraId="03533298" w14:textId="77777777" w:rsidR="00DA35DD" w:rsidRDefault="00DA3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483E" w14:textId="77777777" w:rsidR="00DC0531" w:rsidRDefault="00DC0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236A8" w14:textId="77777777" w:rsidR="002742F4" w:rsidRDefault="002742F4" w:rsidP="00FD66F1">
      <w:pPr>
        <w:spacing w:after="0" w:line="240" w:lineRule="auto"/>
      </w:pPr>
      <w:r>
        <w:separator/>
      </w:r>
    </w:p>
  </w:footnote>
  <w:footnote w:type="continuationSeparator" w:id="0">
    <w:p w14:paraId="3A88BBFE" w14:textId="77777777" w:rsidR="002742F4" w:rsidRDefault="002742F4" w:rsidP="00FD66F1">
      <w:pPr>
        <w:spacing w:after="0" w:line="240" w:lineRule="auto"/>
      </w:pPr>
      <w:r>
        <w:continuationSeparator/>
      </w:r>
    </w:p>
    <w:p w14:paraId="2AA0D19F" w14:textId="77777777" w:rsidR="002742F4" w:rsidRDefault="002742F4"/>
    <w:p w14:paraId="76968C23" w14:textId="77777777" w:rsidR="002742F4" w:rsidRDefault="002742F4" w:rsidP="00080C15"/>
  </w:footnote>
  <w:footnote w:type="continuationNotice" w:id="1">
    <w:p w14:paraId="5A07CCF7" w14:textId="77777777" w:rsidR="002742F4" w:rsidRDefault="002742F4">
      <w:pPr>
        <w:spacing w:after="0" w:line="240" w:lineRule="auto"/>
      </w:pPr>
    </w:p>
    <w:p w14:paraId="784EF957" w14:textId="77777777" w:rsidR="002742F4" w:rsidRDefault="002742F4"/>
    <w:p w14:paraId="08C0881A" w14:textId="77777777" w:rsidR="002742F4" w:rsidRDefault="002742F4" w:rsidP="00080C15"/>
  </w:footnote>
  <w:footnote w:id="2">
    <w:p w14:paraId="14018552" w14:textId="6C6D7E59" w:rsidR="00DA35DD" w:rsidRPr="00C22E5E" w:rsidRDefault="00DA35DD" w:rsidP="00B74279">
      <w:pPr>
        <w:pStyle w:val="FootnoteText"/>
        <w:spacing w:after="0"/>
        <w:ind w:firstLine="0"/>
        <w:rPr>
          <w:sz w:val="20"/>
        </w:rPr>
      </w:pPr>
      <w:r w:rsidRPr="00C22E5E">
        <w:rPr>
          <w:sz w:val="20"/>
          <w:vertAlign w:val="superscript"/>
        </w:rPr>
        <w:footnoteRef/>
      </w:r>
      <w:r w:rsidRPr="00C22E5E">
        <w:rPr>
          <w:sz w:val="20"/>
          <w:vertAlign w:val="superscript"/>
        </w:rPr>
        <w:t xml:space="preserve"> </w:t>
      </w:r>
      <w:r w:rsidRPr="00C22E5E">
        <w:rPr>
          <w:i/>
          <w:sz w:val="20"/>
        </w:rPr>
        <w:t>Data Collection for Analytics and Surveillance and Market-Based Rate Purposes,</w:t>
      </w:r>
      <w:r w:rsidRPr="00C22E5E">
        <w:rPr>
          <w:sz w:val="20"/>
        </w:rPr>
        <w:t xml:space="preserve"> Order No. 860, 168 FERC ¶ 61,039 (2019).</w:t>
      </w:r>
    </w:p>
  </w:footnote>
  <w:footnote w:id="3">
    <w:p w14:paraId="00F2663F" w14:textId="6E8DE13D" w:rsidR="00DA35DD" w:rsidRPr="00C22E5E" w:rsidRDefault="00DA35DD" w:rsidP="00B74279">
      <w:pPr>
        <w:spacing w:after="0" w:line="240" w:lineRule="auto"/>
        <w:rPr>
          <w:sz w:val="20"/>
          <w:szCs w:val="20"/>
          <w:lang w:val="es-US"/>
        </w:rPr>
      </w:pPr>
      <w:r w:rsidRPr="00C22E5E">
        <w:rPr>
          <w:sz w:val="20"/>
          <w:szCs w:val="20"/>
          <w:vertAlign w:val="superscript"/>
        </w:rPr>
        <w:footnoteRef/>
      </w:r>
      <w:r w:rsidRPr="00C22E5E">
        <w:rPr>
          <w:sz w:val="20"/>
          <w:szCs w:val="20"/>
          <w:vertAlign w:val="superscript"/>
          <w:lang w:val="es-US"/>
        </w:rPr>
        <w:t xml:space="preserve"> </w:t>
      </w:r>
      <w:r w:rsidRPr="00C22E5E">
        <w:rPr>
          <w:sz w:val="20"/>
          <w:szCs w:val="20"/>
          <w:lang w:val="es-US"/>
        </w:rPr>
        <w:t>16 U.S.C. 824d.</w:t>
      </w:r>
    </w:p>
  </w:footnote>
  <w:footnote w:id="4">
    <w:p w14:paraId="6E491F1A" w14:textId="24AA996F" w:rsidR="00DA35DD" w:rsidRPr="00C22E5E" w:rsidRDefault="00DA35DD" w:rsidP="00B74279">
      <w:pPr>
        <w:spacing w:after="0" w:line="240" w:lineRule="auto"/>
        <w:rPr>
          <w:sz w:val="20"/>
          <w:szCs w:val="20"/>
          <w:lang w:val="es-US"/>
        </w:rPr>
      </w:pPr>
      <w:r w:rsidRPr="00C22E5E">
        <w:rPr>
          <w:sz w:val="20"/>
          <w:szCs w:val="20"/>
          <w:vertAlign w:val="superscript"/>
        </w:rPr>
        <w:footnoteRef/>
      </w:r>
      <w:r w:rsidRPr="00C22E5E">
        <w:rPr>
          <w:sz w:val="20"/>
          <w:szCs w:val="20"/>
          <w:vertAlign w:val="superscript"/>
          <w:lang w:val="es-US"/>
        </w:rPr>
        <w:t xml:space="preserve"> </w:t>
      </w:r>
      <w:r w:rsidRPr="00C22E5E">
        <w:rPr>
          <w:sz w:val="20"/>
          <w:szCs w:val="20"/>
          <w:lang w:val="es-US"/>
        </w:rPr>
        <w:t>16 U.S.C. 824e.</w:t>
      </w:r>
    </w:p>
  </w:footnote>
  <w:footnote w:id="5">
    <w:p w14:paraId="063B2CB3" w14:textId="682B1CC2" w:rsidR="00DA35DD" w:rsidRPr="00C22E5E" w:rsidRDefault="00DA35DD" w:rsidP="00B74279">
      <w:pPr>
        <w:spacing w:after="0" w:line="240" w:lineRule="auto"/>
        <w:rPr>
          <w:sz w:val="20"/>
          <w:szCs w:val="20"/>
          <w:lang w:val="es-US"/>
        </w:rPr>
      </w:pPr>
      <w:r w:rsidRPr="00C22E5E">
        <w:rPr>
          <w:sz w:val="20"/>
          <w:szCs w:val="20"/>
          <w:vertAlign w:val="superscript"/>
        </w:rPr>
        <w:footnoteRef/>
      </w:r>
      <w:r w:rsidRPr="00C22E5E">
        <w:rPr>
          <w:sz w:val="20"/>
          <w:szCs w:val="20"/>
          <w:vertAlign w:val="superscript"/>
          <w:lang w:val="es-US"/>
        </w:rPr>
        <w:t xml:space="preserve"> </w:t>
      </w:r>
      <w:r w:rsidRPr="00C22E5E">
        <w:rPr>
          <w:sz w:val="20"/>
          <w:szCs w:val="20"/>
          <w:lang w:val="es-US"/>
        </w:rPr>
        <w:t>18 CFR 35.37(a).</w:t>
      </w:r>
    </w:p>
  </w:footnote>
  <w:footnote w:id="6">
    <w:p w14:paraId="272E7E9C" w14:textId="7D48E821" w:rsidR="00DA35DD" w:rsidRPr="00C22E5E" w:rsidRDefault="00DA35DD" w:rsidP="00B74279">
      <w:pPr>
        <w:spacing w:after="0" w:line="240" w:lineRule="auto"/>
        <w:rPr>
          <w:sz w:val="20"/>
          <w:szCs w:val="20"/>
        </w:rPr>
      </w:pPr>
      <w:r w:rsidRPr="00C22E5E">
        <w:rPr>
          <w:sz w:val="20"/>
          <w:szCs w:val="20"/>
          <w:vertAlign w:val="superscript"/>
        </w:rPr>
        <w:footnoteRef/>
      </w:r>
      <w:r w:rsidRPr="00C22E5E">
        <w:rPr>
          <w:sz w:val="20"/>
          <w:szCs w:val="20"/>
          <w:vertAlign w:val="superscript"/>
        </w:rPr>
        <w:t xml:space="preserve"> </w:t>
      </w:r>
      <w:r w:rsidRPr="00C22E5E">
        <w:rPr>
          <w:sz w:val="20"/>
          <w:szCs w:val="20"/>
        </w:rPr>
        <w:t>18 CFR 35.37(a).</w:t>
      </w:r>
    </w:p>
  </w:footnote>
  <w:footnote w:id="7">
    <w:p w14:paraId="3DBBE743" w14:textId="7E013748" w:rsidR="00DA35DD" w:rsidRPr="00C22E5E" w:rsidRDefault="00DA35DD" w:rsidP="00B74279">
      <w:pPr>
        <w:spacing w:after="0" w:line="240" w:lineRule="auto"/>
        <w:rPr>
          <w:sz w:val="20"/>
          <w:szCs w:val="20"/>
        </w:rPr>
      </w:pPr>
      <w:r w:rsidRPr="00C22E5E">
        <w:rPr>
          <w:sz w:val="20"/>
          <w:szCs w:val="20"/>
          <w:vertAlign w:val="superscript"/>
        </w:rPr>
        <w:footnoteRef/>
      </w:r>
      <w:r w:rsidRPr="00C22E5E">
        <w:rPr>
          <w:sz w:val="20"/>
          <w:szCs w:val="20"/>
          <w:vertAlign w:val="superscript"/>
        </w:rPr>
        <w:t xml:space="preserve"> </w:t>
      </w:r>
      <w:r w:rsidRPr="00C22E5E">
        <w:rPr>
          <w:sz w:val="20"/>
          <w:szCs w:val="20"/>
        </w:rPr>
        <w:t>18 CFR 35.42.</w:t>
      </w:r>
    </w:p>
  </w:footnote>
  <w:footnote w:id="8">
    <w:p w14:paraId="4ED65324" w14:textId="77777777" w:rsidR="00DA35DD" w:rsidRPr="00C22E5E" w:rsidRDefault="00DA35DD" w:rsidP="00F20C6C">
      <w:pPr>
        <w:pStyle w:val="FootnoteText"/>
        <w:spacing w:after="0"/>
        <w:ind w:firstLine="0"/>
        <w:rPr>
          <w:sz w:val="20"/>
        </w:rPr>
      </w:pPr>
      <w:r w:rsidRPr="00C22E5E">
        <w:rPr>
          <w:sz w:val="20"/>
          <w:vertAlign w:val="superscript"/>
        </w:rPr>
        <w:footnoteRef/>
      </w:r>
      <w:r w:rsidRPr="00C22E5E">
        <w:rPr>
          <w:sz w:val="20"/>
        </w:rPr>
        <w:t xml:space="preserve"> The term “Seller” is defined as any person that has authorization to or seeks authorization to engage in sales for resale of electric energy, capacity or ancillary services at market</w:t>
      </w:r>
      <w:r w:rsidRPr="00C22E5E">
        <w:rPr>
          <w:sz w:val="20"/>
        </w:rPr>
        <w:noBreakHyphen/>
        <w:t>based rates under section 205 of the Federal Power Act (FPA).  18 CFR 35.36(a)(1).</w:t>
      </w:r>
    </w:p>
  </w:footnote>
  <w:footnote w:id="9">
    <w:p w14:paraId="717D3368" w14:textId="6E770FC0" w:rsidR="00DA35DD" w:rsidRDefault="00DA35DD">
      <w:pPr>
        <w:pStyle w:val="FootnoteText"/>
      </w:pPr>
      <w:r>
        <w:rPr>
          <w:rStyle w:val="FootnoteReference"/>
        </w:rPr>
        <w:footnoteRef/>
      </w:r>
      <w:r>
        <w:t xml:space="preserve"> Currently, there is less transparency into some of the data that goes into the horizontal market power indicative screens, which sometimes necessitates Commission staff outreach to get additional information from Sellers.  The submission of this information will provide more transparency into the data contained in the screens and allow staff to verify screen data quickly and more effectively.</w:t>
      </w:r>
    </w:p>
  </w:footnote>
  <w:footnote w:id="10">
    <w:p w14:paraId="0017FB14" w14:textId="110A1DE5" w:rsidR="00DA35DD" w:rsidRPr="00C22E5E" w:rsidRDefault="00DA35DD" w:rsidP="00B74279">
      <w:pPr>
        <w:pStyle w:val="FootnoteText"/>
        <w:spacing w:after="0"/>
        <w:ind w:firstLine="0"/>
        <w:rPr>
          <w:sz w:val="20"/>
        </w:rPr>
      </w:pPr>
      <w:r w:rsidRPr="00C22E5E">
        <w:rPr>
          <w:rStyle w:val="FootnoteReference"/>
          <w:b w:val="0"/>
          <w:sz w:val="20"/>
        </w:rPr>
        <w:footnoteRef/>
      </w:r>
      <w:r w:rsidRPr="00C22E5E">
        <w:rPr>
          <w:sz w:val="20"/>
        </w:rPr>
        <w:t xml:space="preserve"> 81 FR 51726 (8/4/2016).</w:t>
      </w:r>
    </w:p>
  </w:footnote>
  <w:footnote w:id="11">
    <w:p w14:paraId="76291F95" w14:textId="4A3D11BE" w:rsidR="00DA35DD" w:rsidRPr="00C22E5E" w:rsidRDefault="00DA35DD" w:rsidP="00B74279">
      <w:pPr>
        <w:pStyle w:val="FootnoteText"/>
        <w:spacing w:after="0"/>
        <w:ind w:firstLine="0"/>
        <w:rPr>
          <w:sz w:val="20"/>
        </w:rPr>
      </w:pPr>
      <w:r w:rsidRPr="00C22E5E">
        <w:rPr>
          <w:rStyle w:val="FootnoteReference"/>
          <w:b w:val="0"/>
          <w:sz w:val="20"/>
        </w:rPr>
        <w:footnoteRef/>
      </w:r>
      <w:r w:rsidRPr="00C22E5E">
        <w:rPr>
          <w:sz w:val="20"/>
        </w:rPr>
        <w:t xml:space="preserve"> </w:t>
      </w:r>
      <w:r w:rsidRPr="00C22E5E">
        <w:rPr>
          <w:i/>
          <w:sz w:val="20"/>
        </w:rPr>
        <w:t xml:space="preserve">See </w:t>
      </w:r>
      <w:r w:rsidRPr="00C22E5E">
        <w:rPr>
          <w:sz w:val="20"/>
        </w:rPr>
        <w:t>Notice of the Technical Workshop on the Draft Data Dictionary Attached to the Data Collection for Analytics and Surveillance and Market-Based Rate Purposes Notice of Proposed Rulemaking, Docket RM16-17-000</w:t>
      </w:r>
      <w:r w:rsidRPr="00C22E5E">
        <w:rPr>
          <w:i/>
          <w:sz w:val="20"/>
        </w:rPr>
        <w:t xml:space="preserve"> </w:t>
      </w:r>
      <w:r w:rsidRPr="00C22E5E">
        <w:rPr>
          <w:sz w:val="20"/>
        </w:rPr>
        <w:t xml:space="preserve">(July 21, 2016); Notice of the Second Technical Workshop on the Data Collection for Analytics and Surveillance and Market-Based Rate Purposes Notice of Proposed Rulemaking (Nov. 2, 2016).   The notes from staff’s technical workshop held on August 11, 2016, are available at </w:t>
      </w:r>
      <w:hyperlink r:id="rId1" w:history="1">
        <w:r w:rsidRPr="00C22E5E">
          <w:rPr>
            <w:rStyle w:val="Hyperlink"/>
            <w:sz w:val="20"/>
          </w:rPr>
          <w:t>http://www.ferc.gov/CalendarFiles/20160909154402-staff-notes.pdf</w:t>
        </w:r>
      </w:hyperlink>
      <w:r w:rsidRPr="00C22E5E">
        <w:rPr>
          <w:rStyle w:val="Hyperlink"/>
          <w:sz w:val="20"/>
        </w:rPr>
        <w:t>.</w:t>
      </w:r>
    </w:p>
  </w:footnote>
  <w:footnote w:id="12">
    <w:p w14:paraId="005DAE39" w14:textId="6FC93E16" w:rsidR="00DA35DD" w:rsidRPr="00C22E5E" w:rsidRDefault="00DA35DD" w:rsidP="00B74279">
      <w:pPr>
        <w:pStyle w:val="FootnoteText"/>
        <w:spacing w:after="0"/>
        <w:ind w:firstLine="0"/>
        <w:rPr>
          <w:sz w:val="20"/>
        </w:rPr>
      </w:pPr>
      <w:r w:rsidRPr="00C22E5E">
        <w:rPr>
          <w:rStyle w:val="FootnoteReference"/>
          <w:b w:val="0"/>
          <w:sz w:val="20"/>
        </w:rPr>
        <w:footnoteRef/>
      </w:r>
      <w:r w:rsidRPr="00C22E5E">
        <w:rPr>
          <w:sz w:val="20"/>
        </w:rPr>
        <w:t xml:space="preserve"> 84 FR 36390 (7/26/2019).</w:t>
      </w:r>
    </w:p>
  </w:footnote>
  <w:footnote w:id="13">
    <w:p w14:paraId="15FABA72" w14:textId="23DE8EDA" w:rsidR="00DA35DD" w:rsidRPr="00C22E5E" w:rsidRDefault="00DA35DD" w:rsidP="00B74279">
      <w:pPr>
        <w:pStyle w:val="FootnoteText"/>
        <w:spacing w:after="0"/>
        <w:ind w:firstLine="0"/>
        <w:rPr>
          <w:sz w:val="20"/>
        </w:rPr>
      </w:pPr>
      <w:r w:rsidRPr="00C22E5E">
        <w:rPr>
          <w:sz w:val="20"/>
          <w:vertAlign w:val="superscript"/>
        </w:rPr>
        <w:footnoteRef/>
      </w:r>
      <w:r w:rsidRPr="00C22E5E">
        <w:rPr>
          <w:sz w:val="20"/>
        </w:rPr>
        <w:t xml:space="preserve"> 18 CFR 388.112.  More information on the CEII definition, program and requirements is posted at </w:t>
      </w:r>
      <w:hyperlink r:id="rId2" w:history="1">
        <w:r w:rsidRPr="00C22E5E">
          <w:rPr>
            <w:rStyle w:val="Hyperlink"/>
            <w:sz w:val="20"/>
          </w:rPr>
          <w:t>http://www.ferc.gov/legal/ceii-foia/ceii.asp</w:t>
        </w:r>
      </w:hyperlink>
      <w:r w:rsidRPr="00C22E5E">
        <w:rPr>
          <w:sz w:val="20"/>
        </w:rPr>
        <w:t>.</w:t>
      </w:r>
    </w:p>
  </w:footnote>
  <w:footnote w:id="14">
    <w:p w14:paraId="3D3111A3" w14:textId="77777777" w:rsidR="00DA35DD" w:rsidRPr="00C22E5E" w:rsidRDefault="00DA35DD" w:rsidP="00B74279">
      <w:pPr>
        <w:spacing w:after="0" w:line="240" w:lineRule="auto"/>
        <w:rPr>
          <w:sz w:val="20"/>
          <w:szCs w:val="20"/>
        </w:rPr>
      </w:pPr>
      <w:r w:rsidRPr="00C22E5E">
        <w:rPr>
          <w:sz w:val="20"/>
          <w:szCs w:val="20"/>
          <w:vertAlign w:val="superscript"/>
        </w:rPr>
        <w:footnoteRef/>
      </w:r>
      <w:r w:rsidRPr="00C22E5E">
        <w:rPr>
          <w:sz w:val="20"/>
          <w:szCs w:val="20"/>
          <w:vertAlign w:val="superscript"/>
        </w:rPr>
        <w:t xml:space="preserve"> </w:t>
      </w:r>
      <w:r w:rsidRPr="00C22E5E">
        <w:rPr>
          <w:sz w:val="20"/>
          <w:szCs w:val="20"/>
        </w:rPr>
        <w:t>The estimated hourly cost (salary plus benefits) provided in this section are based on the figures for May 2018 posted by the Bureau of Labor Statistics for the Utilities sector (available at http://www.bls.gov/oes/current/naics2_22.htm) and updated March 2019 for benefits information (at http://www.bls.gov/news.release/ecec.nr0.htm).  The hourly estimates for salary plus benefits are:</w:t>
      </w:r>
    </w:p>
    <w:p w14:paraId="1E7E7661" w14:textId="77777777" w:rsidR="00DA35DD" w:rsidRPr="00C22E5E" w:rsidRDefault="00DA35DD" w:rsidP="00B74279">
      <w:pPr>
        <w:spacing w:after="0" w:line="240" w:lineRule="auto"/>
        <w:rPr>
          <w:sz w:val="20"/>
          <w:szCs w:val="20"/>
        </w:rPr>
      </w:pPr>
      <w:r w:rsidRPr="00C22E5E">
        <w:rPr>
          <w:sz w:val="20"/>
          <w:szCs w:val="20"/>
        </w:rPr>
        <w:t>Legal (code 23-0000), $142.86</w:t>
      </w:r>
    </w:p>
    <w:p w14:paraId="74902ABF" w14:textId="77777777" w:rsidR="00DA35DD" w:rsidRPr="00C22E5E" w:rsidRDefault="00DA35DD" w:rsidP="00B74279">
      <w:pPr>
        <w:spacing w:after="0" w:line="240" w:lineRule="auto"/>
        <w:rPr>
          <w:sz w:val="20"/>
          <w:szCs w:val="20"/>
        </w:rPr>
      </w:pPr>
      <w:r w:rsidRPr="00C22E5E">
        <w:rPr>
          <w:sz w:val="20"/>
          <w:szCs w:val="20"/>
        </w:rPr>
        <w:t>Computer and Information Systems Managers (code 11-3021), $98.81</w:t>
      </w:r>
    </w:p>
    <w:p w14:paraId="59C4D47A" w14:textId="77777777" w:rsidR="00DA35DD" w:rsidRPr="00C22E5E" w:rsidRDefault="00DA35DD" w:rsidP="00B74279">
      <w:pPr>
        <w:spacing w:after="0" w:line="240" w:lineRule="auto"/>
        <w:rPr>
          <w:sz w:val="20"/>
          <w:szCs w:val="20"/>
        </w:rPr>
      </w:pPr>
      <w:r w:rsidRPr="00C22E5E">
        <w:rPr>
          <w:sz w:val="20"/>
          <w:szCs w:val="20"/>
        </w:rPr>
        <w:t>Computer and Mathematical (code 15-0000), $62.89</w:t>
      </w:r>
    </w:p>
    <w:p w14:paraId="6F182628" w14:textId="77777777" w:rsidR="00DA35DD" w:rsidRPr="00C22E5E" w:rsidRDefault="00DA35DD" w:rsidP="00B74279">
      <w:pPr>
        <w:spacing w:after="0" w:line="240" w:lineRule="auto"/>
        <w:rPr>
          <w:sz w:val="20"/>
          <w:szCs w:val="20"/>
        </w:rPr>
      </w:pPr>
      <w:r w:rsidRPr="00C22E5E">
        <w:rPr>
          <w:sz w:val="20"/>
          <w:szCs w:val="20"/>
        </w:rPr>
        <w:t>Information Security Analysts (code 15-1122), $63.54</w:t>
      </w:r>
    </w:p>
    <w:p w14:paraId="0C7CC492" w14:textId="77777777" w:rsidR="00DA35DD" w:rsidRPr="00C22E5E" w:rsidRDefault="00DA35DD" w:rsidP="00B74279">
      <w:pPr>
        <w:spacing w:after="0" w:line="240" w:lineRule="auto"/>
        <w:rPr>
          <w:sz w:val="20"/>
          <w:szCs w:val="20"/>
        </w:rPr>
      </w:pPr>
      <w:r w:rsidRPr="00C22E5E">
        <w:rPr>
          <w:sz w:val="20"/>
          <w:szCs w:val="20"/>
        </w:rPr>
        <w:t>Information and Record Clerks, All Other (referred to as administrative work in the body) (code 43-4199), $40.84</w:t>
      </w:r>
    </w:p>
    <w:p w14:paraId="298DC837" w14:textId="77777777" w:rsidR="00DA35DD" w:rsidRPr="00C22E5E" w:rsidRDefault="00DA35DD" w:rsidP="00B74279">
      <w:pPr>
        <w:spacing w:after="0" w:line="240" w:lineRule="auto"/>
        <w:rPr>
          <w:sz w:val="20"/>
          <w:szCs w:val="20"/>
        </w:rPr>
      </w:pPr>
      <w:r w:rsidRPr="00C22E5E">
        <w:rPr>
          <w:sz w:val="20"/>
          <w:szCs w:val="20"/>
        </w:rPr>
        <w:t xml:space="preserve">The following weights were applied to estimate the average hourly costs: </w:t>
      </w:r>
    </w:p>
    <w:p w14:paraId="3F46C225" w14:textId="42A7E9CD" w:rsidR="00DA35DD" w:rsidRPr="00C22E5E" w:rsidRDefault="00DA35DD" w:rsidP="00B74279">
      <w:pPr>
        <w:spacing w:after="0" w:line="240" w:lineRule="auto"/>
        <w:rPr>
          <w:sz w:val="20"/>
          <w:szCs w:val="20"/>
        </w:rPr>
      </w:pPr>
      <w:r w:rsidRPr="00C22E5E">
        <w:rPr>
          <w:sz w:val="20"/>
          <w:szCs w:val="20"/>
        </w:rPr>
        <w:t>$46 = [(.05 * $142.86) + (.95 * $40.84)]</w:t>
      </w:r>
    </w:p>
    <w:p w14:paraId="1892C8F4" w14:textId="27348618" w:rsidR="00DA35DD" w:rsidRPr="00C22E5E" w:rsidRDefault="00DA35DD" w:rsidP="00B74279">
      <w:pPr>
        <w:spacing w:after="0" w:line="240" w:lineRule="auto"/>
        <w:rPr>
          <w:sz w:val="20"/>
          <w:szCs w:val="20"/>
        </w:rPr>
      </w:pPr>
      <w:r w:rsidRPr="00C22E5E">
        <w:rPr>
          <w:sz w:val="20"/>
          <w:szCs w:val="20"/>
        </w:rPr>
        <w:t>$82 = [(.16 * $142.86) + (.16 * $98.81) + (.33 * $62.89) + (.33 * $63.54)</w:t>
      </w:r>
    </w:p>
  </w:footnote>
  <w:footnote w:id="15">
    <w:p w14:paraId="026DBC67" w14:textId="76CFC2DE" w:rsidR="00DA35DD" w:rsidRPr="00C22E5E" w:rsidRDefault="00DA35DD" w:rsidP="00B74279">
      <w:pPr>
        <w:spacing w:after="0" w:line="240" w:lineRule="auto"/>
        <w:rPr>
          <w:sz w:val="20"/>
          <w:szCs w:val="20"/>
        </w:rPr>
      </w:pPr>
      <w:r w:rsidRPr="00C22E5E">
        <w:rPr>
          <w:sz w:val="20"/>
          <w:szCs w:val="20"/>
          <w:vertAlign w:val="superscript"/>
        </w:rPr>
        <w:footnoteRef/>
      </w:r>
      <w:r w:rsidRPr="00C22E5E">
        <w:rPr>
          <w:sz w:val="20"/>
          <w:szCs w:val="20"/>
          <w:vertAlign w:val="superscript"/>
        </w:rPr>
        <w:t xml:space="preserve"> </w:t>
      </w:r>
      <w:r w:rsidRPr="00C22E5E">
        <w:rPr>
          <w:sz w:val="20"/>
          <w:szCs w:val="20"/>
        </w:rPr>
        <w:t>For FERC 919A, in years 1-2, the 2 FTEs include: 1 FTE (training) + .5 FTE (filer support) + .5 FTE (report development); FERC-919 currently includes 28 FTEs.</w:t>
      </w:r>
    </w:p>
  </w:footnote>
  <w:footnote w:id="16">
    <w:p w14:paraId="27268E85" w14:textId="51B64B59" w:rsidR="00DA35DD" w:rsidRPr="00C22E5E" w:rsidRDefault="00DA35DD" w:rsidP="00B74279">
      <w:pPr>
        <w:spacing w:after="0" w:line="240" w:lineRule="auto"/>
        <w:rPr>
          <w:sz w:val="20"/>
          <w:szCs w:val="20"/>
        </w:rPr>
      </w:pPr>
      <w:r w:rsidRPr="00C22E5E">
        <w:rPr>
          <w:sz w:val="20"/>
          <w:szCs w:val="20"/>
          <w:vertAlign w:val="superscript"/>
        </w:rPr>
        <w:footnoteRef/>
      </w:r>
      <w:r w:rsidRPr="00C22E5E">
        <w:rPr>
          <w:sz w:val="20"/>
          <w:szCs w:val="20"/>
        </w:rPr>
        <w:t xml:space="preserve"> Based upon FERC’s 2019 average salary plus benefits of one FTE (full-time equivalent): $167,091 per year.</w:t>
      </w:r>
    </w:p>
  </w:footnote>
  <w:footnote w:id="17">
    <w:p w14:paraId="05AA5BFE" w14:textId="77777777" w:rsidR="00DA35DD" w:rsidRPr="00C22E5E" w:rsidRDefault="00DA35DD" w:rsidP="00B74279">
      <w:pPr>
        <w:spacing w:after="0" w:line="240" w:lineRule="auto"/>
        <w:rPr>
          <w:sz w:val="20"/>
          <w:szCs w:val="20"/>
        </w:rPr>
      </w:pPr>
      <w:r w:rsidRPr="00C22E5E">
        <w:rPr>
          <w:sz w:val="20"/>
          <w:szCs w:val="20"/>
          <w:vertAlign w:val="superscript"/>
        </w:rPr>
        <w:footnoteRef/>
      </w:r>
      <w:r w:rsidRPr="00C22E5E">
        <w:rPr>
          <w:sz w:val="20"/>
          <w:szCs w:val="20"/>
        </w:rPr>
        <w:t xml:space="preserve"> The Commission bases the cost of Paperwork Reduction Act administration on staff time, and other costs related to compliance with the Paperwork Reduction Act of 1995 (PRA). </w:t>
      </w:r>
    </w:p>
  </w:footnote>
  <w:footnote w:id="18">
    <w:p w14:paraId="73C07A45" w14:textId="0470D3C1" w:rsidR="00DA35DD" w:rsidRPr="00C22E5E" w:rsidRDefault="00DA35DD" w:rsidP="00B74279">
      <w:pPr>
        <w:pStyle w:val="FootnoteText"/>
        <w:spacing w:after="0"/>
        <w:ind w:firstLine="0"/>
        <w:rPr>
          <w:sz w:val="20"/>
        </w:rPr>
      </w:pPr>
      <w:r w:rsidRPr="00C22E5E">
        <w:rPr>
          <w:rStyle w:val="FootnoteReference"/>
          <w:b w:val="0"/>
          <w:sz w:val="20"/>
        </w:rPr>
        <w:footnoteRef/>
      </w:r>
      <w:r w:rsidRPr="00C22E5E">
        <w:rPr>
          <w:sz w:val="20"/>
        </w:rPr>
        <w:t xml:space="preserve"> Based upon FERC’s 2019 estimated average annual PRA Administrative Cost: $4,832.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8B2A9" w14:textId="77777777" w:rsidR="00DC0531" w:rsidRDefault="00DC0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196B2" w14:textId="7151B938" w:rsidR="00DA35DD" w:rsidRPr="00624834" w:rsidRDefault="00DA35DD" w:rsidP="00F2758C">
    <w:pPr>
      <w:pStyle w:val="Header"/>
      <w:rPr>
        <w:szCs w:val="26"/>
        <w:highlight w:val="yellow"/>
      </w:rPr>
    </w:pPr>
    <w:r w:rsidRPr="00A13551">
      <w:rPr>
        <w:szCs w:val="26"/>
      </w:rPr>
      <w:t>FERC-919</w:t>
    </w:r>
    <w:r>
      <w:rPr>
        <w:szCs w:val="26"/>
      </w:rPr>
      <w:t>A</w:t>
    </w:r>
    <w:r w:rsidRPr="00A13551">
      <w:rPr>
        <w:szCs w:val="26"/>
      </w:rPr>
      <w:t xml:space="preserve"> (OMB Control No. 1902</w:t>
    </w:r>
    <w:r w:rsidRPr="00AB779E">
      <w:rPr>
        <w:szCs w:val="26"/>
      </w:rPr>
      <w:t>-</w:t>
    </w:r>
    <w:r w:rsidRPr="00624834">
      <w:rPr>
        <w:szCs w:val="26"/>
      </w:rPr>
      <w:t>TBD</w:t>
    </w:r>
    <w:r w:rsidRPr="00AB779E">
      <w:rPr>
        <w:szCs w:val="26"/>
      </w:rPr>
      <w:t>)</w:t>
    </w:r>
  </w:p>
  <w:p w14:paraId="0A5EECC1" w14:textId="77777777" w:rsidR="00DA35DD" w:rsidRPr="00365A41" w:rsidRDefault="00DA35DD" w:rsidP="00F2758C">
    <w:pPr>
      <w:pStyle w:val="Header"/>
      <w:rPr>
        <w:szCs w:val="26"/>
      </w:rPr>
    </w:pPr>
    <w:r w:rsidRPr="00365A41">
      <w:rPr>
        <w:szCs w:val="26"/>
      </w:rPr>
      <w:t>Final Rule (issued 7/18/2019) in Docket No. RM16-17-000</w:t>
    </w:r>
  </w:p>
  <w:p w14:paraId="61738EE4" w14:textId="38E752DE" w:rsidR="00DA35DD" w:rsidRDefault="00DA35DD">
    <w:pPr>
      <w:pStyle w:val="Header"/>
      <w:rPr>
        <w:szCs w:val="26"/>
      </w:rPr>
    </w:pPr>
    <w:r w:rsidRPr="00365A41">
      <w:rPr>
        <w:szCs w:val="26"/>
      </w:rPr>
      <w:t>RIN:  1902-AF22</w:t>
    </w:r>
  </w:p>
  <w:p w14:paraId="1D62F24E" w14:textId="4F064A4E" w:rsidR="00DA35DD" w:rsidRDefault="00DA35DD">
    <w:pPr>
      <w:pStyle w:val="Header"/>
      <w:rPr>
        <w:szCs w:val="26"/>
      </w:rPr>
    </w:pPr>
    <w:r>
      <w:rPr>
        <w:szCs w:val="26"/>
      </w:rPr>
      <w:t xml:space="preserve">[formerly submitted in ICR </w:t>
    </w:r>
    <w:r w:rsidRPr="00684809">
      <w:rPr>
        <w:szCs w:val="26"/>
      </w:rPr>
      <w:t>201907-1902-001</w:t>
    </w:r>
    <w:r>
      <w:rPr>
        <w:szCs w:val="26"/>
      </w:rPr>
      <w:t xml:space="preserve">; re-submitted to OMB 11/5/2019 in ICR </w:t>
    </w:r>
    <w:r w:rsidRPr="004A6FAA">
      <w:rPr>
        <w:szCs w:val="26"/>
      </w:rPr>
      <w:t>201911-1902-003</w:t>
    </w:r>
    <w:r>
      <w:rPr>
        <w:szCs w:val="26"/>
      </w:rPr>
      <w:t>]</w:t>
    </w:r>
  </w:p>
  <w:p w14:paraId="3F5D83ED" w14:textId="768C477B" w:rsidR="00DC0531" w:rsidRPr="00624834" w:rsidRDefault="00DC0531">
    <w:pPr>
      <w:pStyle w:val="Header"/>
      <w:rPr>
        <w:szCs w:val="26"/>
      </w:rPr>
    </w:pPr>
    <w:r>
      <w:rPr>
        <w:szCs w:val="26"/>
      </w:rPr>
      <w:t>(updated 3/12/2020)</w:t>
    </w:r>
  </w:p>
  <w:p w14:paraId="03533296" w14:textId="77777777" w:rsidR="00DA35DD" w:rsidRDefault="00DA3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A596E" w14:textId="77777777" w:rsidR="00DC0531" w:rsidRDefault="00DC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F37D5"/>
    <w:multiLevelType w:val="hybridMultilevel"/>
    <w:tmpl w:val="5E648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633D0A"/>
    <w:multiLevelType w:val="hybridMultilevel"/>
    <w:tmpl w:val="37369F70"/>
    <w:lvl w:ilvl="0" w:tplc="66C8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BA1EC1"/>
    <w:multiLevelType w:val="hybridMultilevel"/>
    <w:tmpl w:val="5C28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E05C5"/>
    <w:multiLevelType w:val="hybridMultilevel"/>
    <w:tmpl w:val="040EC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0631BD"/>
    <w:multiLevelType w:val="hybridMultilevel"/>
    <w:tmpl w:val="BA26EF54"/>
    <w:lvl w:ilvl="0" w:tplc="424E0E28">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A1318"/>
    <w:multiLevelType w:val="hybridMultilevel"/>
    <w:tmpl w:val="4C2A6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3CF716F4"/>
    <w:multiLevelType w:val="hybridMultilevel"/>
    <w:tmpl w:val="AB22D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DA2535"/>
    <w:multiLevelType w:val="hybridMultilevel"/>
    <w:tmpl w:val="2468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47BD2"/>
    <w:multiLevelType w:val="hybridMultilevel"/>
    <w:tmpl w:val="ACB29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F114D"/>
    <w:multiLevelType w:val="hybridMultilevel"/>
    <w:tmpl w:val="5094B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955CE"/>
    <w:multiLevelType w:val="hybridMultilevel"/>
    <w:tmpl w:val="3F96D202"/>
    <w:lvl w:ilvl="0" w:tplc="26F4CD08">
      <w:start w:val="1"/>
      <w:numFmt w:val="decimal"/>
      <w:pStyle w:val="FERCparanumb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CC1895"/>
    <w:multiLevelType w:val="hybridMultilevel"/>
    <w:tmpl w:val="A4E8DF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521C9"/>
    <w:multiLevelType w:val="hybridMultilevel"/>
    <w:tmpl w:val="C1B8561C"/>
    <w:lvl w:ilvl="0" w:tplc="6D84D9DE">
      <w:start w:val="1"/>
      <w:numFmt w:val="decimal"/>
      <w:lvlText w:val="%1."/>
      <w:lvlJc w:val="left"/>
      <w:pPr>
        <w:tabs>
          <w:tab w:val="num" w:pos="720"/>
        </w:tabs>
        <w:ind w:left="0" w:firstLine="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E6895"/>
    <w:multiLevelType w:val="hybridMultilevel"/>
    <w:tmpl w:val="EF8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EF0882"/>
    <w:multiLevelType w:val="hybridMultilevel"/>
    <w:tmpl w:val="272A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C3392"/>
    <w:multiLevelType w:val="hybridMultilevel"/>
    <w:tmpl w:val="32C64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13FFA"/>
    <w:multiLevelType w:val="hybridMultilevel"/>
    <w:tmpl w:val="5F40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633736"/>
    <w:multiLevelType w:val="hybridMultilevel"/>
    <w:tmpl w:val="C6507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D865936"/>
    <w:multiLevelType w:val="hybridMultilevel"/>
    <w:tmpl w:val="4722348E"/>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2"/>
  </w:num>
  <w:num w:numId="2">
    <w:abstractNumId w:val="6"/>
  </w:num>
  <w:num w:numId="3">
    <w:abstractNumId w:val="16"/>
  </w:num>
  <w:num w:numId="4">
    <w:abstractNumId w:val="18"/>
  </w:num>
  <w:num w:numId="5">
    <w:abstractNumId w:val="5"/>
  </w:num>
  <w:num w:numId="6">
    <w:abstractNumId w:val="10"/>
  </w:num>
  <w:num w:numId="7">
    <w:abstractNumId w:val="9"/>
  </w:num>
  <w:num w:numId="8">
    <w:abstractNumId w:val="20"/>
  </w:num>
  <w:num w:numId="9">
    <w:abstractNumId w:val="1"/>
  </w:num>
  <w:num w:numId="10">
    <w:abstractNumId w:val="21"/>
  </w:num>
  <w:num w:numId="11">
    <w:abstractNumId w:val="0"/>
  </w:num>
  <w:num w:numId="12">
    <w:abstractNumId w:val="8"/>
  </w:num>
  <w:num w:numId="13">
    <w:abstractNumId w:val="17"/>
  </w:num>
  <w:num w:numId="14">
    <w:abstractNumId w:val="14"/>
  </w:num>
  <w:num w:numId="15">
    <w:abstractNumId w:val="22"/>
  </w:num>
  <w:num w:numId="16">
    <w:abstractNumId w:val="4"/>
  </w:num>
  <w:num w:numId="17">
    <w:abstractNumId w:val="7"/>
  </w:num>
  <w:num w:numId="18">
    <w:abstractNumId w:val="13"/>
  </w:num>
  <w:num w:numId="19">
    <w:abstractNumId w:val="19"/>
  </w:num>
  <w:num w:numId="20">
    <w:abstractNumId w:val="3"/>
  </w:num>
  <w:num w:numId="21">
    <w:abstractNumId w:val="2"/>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es-US" w:vendorID="64" w:dllVersion="0" w:nlCheck="1" w:checkStyle="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F1"/>
    <w:rsid w:val="00000CC4"/>
    <w:rsid w:val="00003CE1"/>
    <w:rsid w:val="00006B63"/>
    <w:rsid w:val="000125A6"/>
    <w:rsid w:val="0001300F"/>
    <w:rsid w:val="00016333"/>
    <w:rsid w:val="00017188"/>
    <w:rsid w:val="00020744"/>
    <w:rsid w:val="0002086D"/>
    <w:rsid w:val="0002242D"/>
    <w:rsid w:val="00026BBF"/>
    <w:rsid w:val="000271FC"/>
    <w:rsid w:val="00035845"/>
    <w:rsid w:val="000376E5"/>
    <w:rsid w:val="00040A41"/>
    <w:rsid w:val="00040F26"/>
    <w:rsid w:val="00043270"/>
    <w:rsid w:val="00044824"/>
    <w:rsid w:val="00046434"/>
    <w:rsid w:val="00047D6A"/>
    <w:rsid w:val="00047FEC"/>
    <w:rsid w:val="000515DD"/>
    <w:rsid w:val="00054BDD"/>
    <w:rsid w:val="000558CF"/>
    <w:rsid w:val="00055D18"/>
    <w:rsid w:val="00061171"/>
    <w:rsid w:val="00066111"/>
    <w:rsid w:val="00066272"/>
    <w:rsid w:val="00066332"/>
    <w:rsid w:val="00072F5E"/>
    <w:rsid w:val="00076F49"/>
    <w:rsid w:val="00077D2A"/>
    <w:rsid w:val="00080C15"/>
    <w:rsid w:val="00081AE2"/>
    <w:rsid w:val="00084093"/>
    <w:rsid w:val="00092293"/>
    <w:rsid w:val="00093453"/>
    <w:rsid w:val="00094992"/>
    <w:rsid w:val="000964D1"/>
    <w:rsid w:val="000965F4"/>
    <w:rsid w:val="000A406D"/>
    <w:rsid w:val="000A77FF"/>
    <w:rsid w:val="000B0C37"/>
    <w:rsid w:val="000B1731"/>
    <w:rsid w:val="000B304B"/>
    <w:rsid w:val="000B4CE4"/>
    <w:rsid w:val="000B5BDF"/>
    <w:rsid w:val="000C48E4"/>
    <w:rsid w:val="000C574F"/>
    <w:rsid w:val="000D393A"/>
    <w:rsid w:val="000D4661"/>
    <w:rsid w:val="000E05DE"/>
    <w:rsid w:val="000E281C"/>
    <w:rsid w:val="000E4349"/>
    <w:rsid w:val="000F3167"/>
    <w:rsid w:val="000F36C6"/>
    <w:rsid w:val="000F38AA"/>
    <w:rsid w:val="000F5965"/>
    <w:rsid w:val="000F5C85"/>
    <w:rsid w:val="001007E2"/>
    <w:rsid w:val="00104D09"/>
    <w:rsid w:val="0010626D"/>
    <w:rsid w:val="00113774"/>
    <w:rsid w:val="00114AAD"/>
    <w:rsid w:val="00115E3C"/>
    <w:rsid w:val="001178E9"/>
    <w:rsid w:val="001236A8"/>
    <w:rsid w:val="00125FD1"/>
    <w:rsid w:val="0013054D"/>
    <w:rsid w:val="00130D2A"/>
    <w:rsid w:val="00137515"/>
    <w:rsid w:val="00141FF2"/>
    <w:rsid w:val="00143103"/>
    <w:rsid w:val="00152AAF"/>
    <w:rsid w:val="00155D3E"/>
    <w:rsid w:val="00157BFC"/>
    <w:rsid w:val="0016470D"/>
    <w:rsid w:val="00170C3B"/>
    <w:rsid w:val="00175F4F"/>
    <w:rsid w:val="001764D3"/>
    <w:rsid w:val="00181727"/>
    <w:rsid w:val="00183BEF"/>
    <w:rsid w:val="00183E4B"/>
    <w:rsid w:val="0018519A"/>
    <w:rsid w:val="00185730"/>
    <w:rsid w:val="001904A5"/>
    <w:rsid w:val="001908C2"/>
    <w:rsid w:val="00191654"/>
    <w:rsid w:val="00191CFD"/>
    <w:rsid w:val="00191D32"/>
    <w:rsid w:val="001920F4"/>
    <w:rsid w:val="00192737"/>
    <w:rsid w:val="00197BFB"/>
    <w:rsid w:val="001A1A1A"/>
    <w:rsid w:val="001A388F"/>
    <w:rsid w:val="001A4B89"/>
    <w:rsid w:val="001A6FE7"/>
    <w:rsid w:val="001B29BC"/>
    <w:rsid w:val="001B5F2E"/>
    <w:rsid w:val="001C1BDA"/>
    <w:rsid w:val="001C284A"/>
    <w:rsid w:val="001C422A"/>
    <w:rsid w:val="001D0597"/>
    <w:rsid w:val="001D4B79"/>
    <w:rsid w:val="001D4F76"/>
    <w:rsid w:val="001D6B85"/>
    <w:rsid w:val="001D6BB3"/>
    <w:rsid w:val="001E1F18"/>
    <w:rsid w:val="001E7CB6"/>
    <w:rsid w:val="001F0F5A"/>
    <w:rsid w:val="001F1B35"/>
    <w:rsid w:val="001F1DF6"/>
    <w:rsid w:val="001F2568"/>
    <w:rsid w:val="001F3B98"/>
    <w:rsid w:val="001F65FC"/>
    <w:rsid w:val="00200971"/>
    <w:rsid w:val="00206C84"/>
    <w:rsid w:val="002102D3"/>
    <w:rsid w:val="002120B4"/>
    <w:rsid w:val="002120F5"/>
    <w:rsid w:val="00220E12"/>
    <w:rsid w:val="00223CBA"/>
    <w:rsid w:val="00233C20"/>
    <w:rsid w:val="002343F5"/>
    <w:rsid w:val="002376FC"/>
    <w:rsid w:val="00247B6F"/>
    <w:rsid w:val="00251161"/>
    <w:rsid w:val="002542B6"/>
    <w:rsid w:val="00257A93"/>
    <w:rsid w:val="002613E4"/>
    <w:rsid w:val="0026234B"/>
    <w:rsid w:val="002625B3"/>
    <w:rsid w:val="00263AAD"/>
    <w:rsid w:val="00265F25"/>
    <w:rsid w:val="0026674D"/>
    <w:rsid w:val="00266784"/>
    <w:rsid w:val="00271207"/>
    <w:rsid w:val="00272FBF"/>
    <w:rsid w:val="002742F4"/>
    <w:rsid w:val="0027461E"/>
    <w:rsid w:val="00281255"/>
    <w:rsid w:val="00287421"/>
    <w:rsid w:val="0029126C"/>
    <w:rsid w:val="002939A6"/>
    <w:rsid w:val="002A28F1"/>
    <w:rsid w:val="002A47C2"/>
    <w:rsid w:val="002A7C12"/>
    <w:rsid w:val="002B13E2"/>
    <w:rsid w:val="002B2555"/>
    <w:rsid w:val="002B3B80"/>
    <w:rsid w:val="002B4041"/>
    <w:rsid w:val="002B47EF"/>
    <w:rsid w:val="002C07FB"/>
    <w:rsid w:val="002C0DC5"/>
    <w:rsid w:val="002C3651"/>
    <w:rsid w:val="002C37FD"/>
    <w:rsid w:val="002C54C7"/>
    <w:rsid w:val="002C6C16"/>
    <w:rsid w:val="002D1DB6"/>
    <w:rsid w:val="002D273A"/>
    <w:rsid w:val="002D3EFA"/>
    <w:rsid w:val="002D6010"/>
    <w:rsid w:val="002D737B"/>
    <w:rsid w:val="002E185A"/>
    <w:rsid w:val="002F5149"/>
    <w:rsid w:val="002F5A68"/>
    <w:rsid w:val="002F5CF0"/>
    <w:rsid w:val="002F662D"/>
    <w:rsid w:val="0030691A"/>
    <w:rsid w:val="003101A7"/>
    <w:rsid w:val="00312D79"/>
    <w:rsid w:val="00313CA4"/>
    <w:rsid w:val="00314A0B"/>
    <w:rsid w:val="00325F2E"/>
    <w:rsid w:val="00336E57"/>
    <w:rsid w:val="003373BC"/>
    <w:rsid w:val="00337C1F"/>
    <w:rsid w:val="00340A9C"/>
    <w:rsid w:val="0034146E"/>
    <w:rsid w:val="003418CC"/>
    <w:rsid w:val="00345A95"/>
    <w:rsid w:val="00345C0F"/>
    <w:rsid w:val="0034742B"/>
    <w:rsid w:val="00361F90"/>
    <w:rsid w:val="00364963"/>
    <w:rsid w:val="003652E6"/>
    <w:rsid w:val="00365A41"/>
    <w:rsid w:val="00370FB1"/>
    <w:rsid w:val="00375259"/>
    <w:rsid w:val="00380519"/>
    <w:rsid w:val="00382D1C"/>
    <w:rsid w:val="00383952"/>
    <w:rsid w:val="00391185"/>
    <w:rsid w:val="00391981"/>
    <w:rsid w:val="003929C9"/>
    <w:rsid w:val="003A121A"/>
    <w:rsid w:val="003A6137"/>
    <w:rsid w:val="003A61A4"/>
    <w:rsid w:val="003A69A4"/>
    <w:rsid w:val="003B0CBE"/>
    <w:rsid w:val="003B390D"/>
    <w:rsid w:val="003B506D"/>
    <w:rsid w:val="003B7D63"/>
    <w:rsid w:val="003C074E"/>
    <w:rsid w:val="003C131E"/>
    <w:rsid w:val="003C2527"/>
    <w:rsid w:val="003C36C3"/>
    <w:rsid w:val="003C4B76"/>
    <w:rsid w:val="003C5F59"/>
    <w:rsid w:val="003E1161"/>
    <w:rsid w:val="003E14C2"/>
    <w:rsid w:val="003E3C50"/>
    <w:rsid w:val="003E562F"/>
    <w:rsid w:val="003F32EE"/>
    <w:rsid w:val="003F7D3D"/>
    <w:rsid w:val="00402589"/>
    <w:rsid w:val="00403CA4"/>
    <w:rsid w:val="00403F18"/>
    <w:rsid w:val="00407B78"/>
    <w:rsid w:val="00413695"/>
    <w:rsid w:val="00413E87"/>
    <w:rsid w:val="00414F32"/>
    <w:rsid w:val="0041558F"/>
    <w:rsid w:val="00416A61"/>
    <w:rsid w:val="0042095B"/>
    <w:rsid w:val="004237EC"/>
    <w:rsid w:val="00426234"/>
    <w:rsid w:val="004331B5"/>
    <w:rsid w:val="004341F5"/>
    <w:rsid w:val="00440DF0"/>
    <w:rsid w:val="00441079"/>
    <w:rsid w:val="00442FF5"/>
    <w:rsid w:val="004478C0"/>
    <w:rsid w:val="00451BA3"/>
    <w:rsid w:val="00454FB3"/>
    <w:rsid w:val="0046088C"/>
    <w:rsid w:val="00463399"/>
    <w:rsid w:val="00463EBE"/>
    <w:rsid w:val="004654B7"/>
    <w:rsid w:val="004656BB"/>
    <w:rsid w:val="00467B68"/>
    <w:rsid w:val="004704C3"/>
    <w:rsid w:val="00475748"/>
    <w:rsid w:val="0048121C"/>
    <w:rsid w:val="0048274C"/>
    <w:rsid w:val="00483AE6"/>
    <w:rsid w:val="00484FEF"/>
    <w:rsid w:val="004A1B27"/>
    <w:rsid w:val="004A328D"/>
    <w:rsid w:val="004A3872"/>
    <w:rsid w:val="004A5F66"/>
    <w:rsid w:val="004A6FAA"/>
    <w:rsid w:val="004B02ED"/>
    <w:rsid w:val="004B339A"/>
    <w:rsid w:val="004B43E6"/>
    <w:rsid w:val="004B6119"/>
    <w:rsid w:val="004B6D19"/>
    <w:rsid w:val="004B6F85"/>
    <w:rsid w:val="004C4C89"/>
    <w:rsid w:val="004D20D7"/>
    <w:rsid w:val="004D3EDB"/>
    <w:rsid w:val="004E0A6A"/>
    <w:rsid w:val="004E2FB0"/>
    <w:rsid w:val="004E3D70"/>
    <w:rsid w:val="004F275F"/>
    <w:rsid w:val="004F5375"/>
    <w:rsid w:val="004F6977"/>
    <w:rsid w:val="004F6BFC"/>
    <w:rsid w:val="004F76B6"/>
    <w:rsid w:val="00502DDD"/>
    <w:rsid w:val="0050422E"/>
    <w:rsid w:val="00510DAD"/>
    <w:rsid w:val="00514C2F"/>
    <w:rsid w:val="0051540C"/>
    <w:rsid w:val="00517450"/>
    <w:rsid w:val="00522F69"/>
    <w:rsid w:val="00525341"/>
    <w:rsid w:val="00526F05"/>
    <w:rsid w:val="00531EDC"/>
    <w:rsid w:val="00532537"/>
    <w:rsid w:val="0053287C"/>
    <w:rsid w:val="00533079"/>
    <w:rsid w:val="00540D88"/>
    <w:rsid w:val="0054515D"/>
    <w:rsid w:val="00545E31"/>
    <w:rsid w:val="005542D9"/>
    <w:rsid w:val="005560A2"/>
    <w:rsid w:val="00571847"/>
    <w:rsid w:val="00571C5E"/>
    <w:rsid w:val="00574DA1"/>
    <w:rsid w:val="00575726"/>
    <w:rsid w:val="005763C9"/>
    <w:rsid w:val="0057700F"/>
    <w:rsid w:val="00577D51"/>
    <w:rsid w:val="00581724"/>
    <w:rsid w:val="00581835"/>
    <w:rsid w:val="005876BD"/>
    <w:rsid w:val="00591AB0"/>
    <w:rsid w:val="0059412A"/>
    <w:rsid w:val="00596052"/>
    <w:rsid w:val="0059684A"/>
    <w:rsid w:val="00597418"/>
    <w:rsid w:val="005A2792"/>
    <w:rsid w:val="005B09C3"/>
    <w:rsid w:val="005B2FDC"/>
    <w:rsid w:val="005B5E9F"/>
    <w:rsid w:val="005B6D39"/>
    <w:rsid w:val="005B77CE"/>
    <w:rsid w:val="005B7DE4"/>
    <w:rsid w:val="005C08D5"/>
    <w:rsid w:val="005C36B0"/>
    <w:rsid w:val="005C443A"/>
    <w:rsid w:val="005C48BB"/>
    <w:rsid w:val="005D4213"/>
    <w:rsid w:val="005D78E6"/>
    <w:rsid w:val="005D7FFC"/>
    <w:rsid w:val="005E3029"/>
    <w:rsid w:val="005E4483"/>
    <w:rsid w:val="005F1594"/>
    <w:rsid w:val="005F1C3C"/>
    <w:rsid w:val="005F4501"/>
    <w:rsid w:val="005F546A"/>
    <w:rsid w:val="005F587E"/>
    <w:rsid w:val="00600501"/>
    <w:rsid w:val="00602B1D"/>
    <w:rsid w:val="006055FC"/>
    <w:rsid w:val="00612915"/>
    <w:rsid w:val="00615F42"/>
    <w:rsid w:val="006166FA"/>
    <w:rsid w:val="00620867"/>
    <w:rsid w:val="0062314A"/>
    <w:rsid w:val="006232D1"/>
    <w:rsid w:val="00623F2E"/>
    <w:rsid w:val="00624632"/>
    <w:rsid w:val="00624834"/>
    <w:rsid w:val="00626BB9"/>
    <w:rsid w:val="00626F2D"/>
    <w:rsid w:val="00632B16"/>
    <w:rsid w:val="0063362C"/>
    <w:rsid w:val="00635CA0"/>
    <w:rsid w:val="00640E19"/>
    <w:rsid w:val="00641EFB"/>
    <w:rsid w:val="0065682B"/>
    <w:rsid w:val="0066351C"/>
    <w:rsid w:val="00664BC0"/>
    <w:rsid w:val="006703FC"/>
    <w:rsid w:val="006747A4"/>
    <w:rsid w:val="00684809"/>
    <w:rsid w:val="0068580A"/>
    <w:rsid w:val="00685B21"/>
    <w:rsid w:val="00690136"/>
    <w:rsid w:val="00694BC4"/>
    <w:rsid w:val="006A1B0E"/>
    <w:rsid w:val="006A1DC9"/>
    <w:rsid w:val="006A239B"/>
    <w:rsid w:val="006A4C63"/>
    <w:rsid w:val="006A510E"/>
    <w:rsid w:val="006A6C9E"/>
    <w:rsid w:val="006B07E8"/>
    <w:rsid w:val="006C5B0F"/>
    <w:rsid w:val="006D079B"/>
    <w:rsid w:val="006D5207"/>
    <w:rsid w:val="006E0484"/>
    <w:rsid w:val="006E0BDA"/>
    <w:rsid w:val="006E0D79"/>
    <w:rsid w:val="006E0EF9"/>
    <w:rsid w:val="006E7324"/>
    <w:rsid w:val="006E79CC"/>
    <w:rsid w:val="006E7F02"/>
    <w:rsid w:val="006F2F9D"/>
    <w:rsid w:val="006F5B92"/>
    <w:rsid w:val="006F6744"/>
    <w:rsid w:val="006F7D0E"/>
    <w:rsid w:val="007044C2"/>
    <w:rsid w:val="00711F7A"/>
    <w:rsid w:val="00714F89"/>
    <w:rsid w:val="00717C31"/>
    <w:rsid w:val="00720AC5"/>
    <w:rsid w:val="007211E5"/>
    <w:rsid w:val="0072366E"/>
    <w:rsid w:val="00726341"/>
    <w:rsid w:val="00727155"/>
    <w:rsid w:val="0072782A"/>
    <w:rsid w:val="00730A00"/>
    <w:rsid w:val="00732959"/>
    <w:rsid w:val="00736E3D"/>
    <w:rsid w:val="007401B3"/>
    <w:rsid w:val="0074069F"/>
    <w:rsid w:val="0074174B"/>
    <w:rsid w:val="00746357"/>
    <w:rsid w:val="00746ED5"/>
    <w:rsid w:val="00747C32"/>
    <w:rsid w:val="00751112"/>
    <w:rsid w:val="007512DC"/>
    <w:rsid w:val="00751C09"/>
    <w:rsid w:val="007547D0"/>
    <w:rsid w:val="00756BA7"/>
    <w:rsid w:val="0076017D"/>
    <w:rsid w:val="00760B7C"/>
    <w:rsid w:val="00761221"/>
    <w:rsid w:val="00762BAB"/>
    <w:rsid w:val="007637A8"/>
    <w:rsid w:val="007646B2"/>
    <w:rsid w:val="00764BC0"/>
    <w:rsid w:val="00764E29"/>
    <w:rsid w:val="00766EA3"/>
    <w:rsid w:val="007704C5"/>
    <w:rsid w:val="00772079"/>
    <w:rsid w:val="00772C3F"/>
    <w:rsid w:val="007735D7"/>
    <w:rsid w:val="00773AEB"/>
    <w:rsid w:val="0078025C"/>
    <w:rsid w:val="007822C4"/>
    <w:rsid w:val="00783A94"/>
    <w:rsid w:val="00785072"/>
    <w:rsid w:val="00787670"/>
    <w:rsid w:val="007879AE"/>
    <w:rsid w:val="0079397E"/>
    <w:rsid w:val="007942EE"/>
    <w:rsid w:val="00795616"/>
    <w:rsid w:val="00795DEB"/>
    <w:rsid w:val="00796247"/>
    <w:rsid w:val="007A1A24"/>
    <w:rsid w:val="007A2F92"/>
    <w:rsid w:val="007A4F46"/>
    <w:rsid w:val="007B213A"/>
    <w:rsid w:val="007B4344"/>
    <w:rsid w:val="007B5B38"/>
    <w:rsid w:val="007B7DD6"/>
    <w:rsid w:val="007C0582"/>
    <w:rsid w:val="007C3591"/>
    <w:rsid w:val="007C399A"/>
    <w:rsid w:val="007C4B84"/>
    <w:rsid w:val="007C729E"/>
    <w:rsid w:val="007D07DD"/>
    <w:rsid w:val="007D1731"/>
    <w:rsid w:val="007D1D0D"/>
    <w:rsid w:val="007D2432"/>
    <w:rsid w:val="007D366A"/>
    <w:rsid w:val="007D69FF"/>
    <w:rsid w:val="007E0F5B"/>
    <w:rsid w:val="007E2274"/>
    <w:rsid w:val="007E5D12"/>
    <w:rsid w:val="007E7C0F"/>
    <w:rsid w:val="007F1BB4"/>
    <w:rsid w:val="007F2C37"/>
    <w:rsid w:val="007F596A"/>
    <w:rsid w:val="007F67F1"/>
    <w:rsid w:val="00800E46"/>
    <w:rsid w:val="0080194B"/>
    <w:rsid w:val="008037DE"/>
    <w:rsid w:val="0080458F"/>
    <w:rsid w:val="00816112"/>
    <w:rsid w:val="008163AF"/>
    <w:rsid w:val="0082668A"/>
    <w:rsid w:val="00830794"/>
    <w:rsid w:val="00832F79"/>
    <w:rsid w:val="008344B1"/>
    <w:rsid w:val="00835457"/>
    <w:rsid w:val="00835BF9"/>
    <w:rsid w:val="00841758"/>
    <w:rsid w:val="00842C9F"/>
    <w:rsid w:val="00844559"/>
    <w:rsid w:val="00845060"/>
    <w:rsid w:val="008463D3"/>
    <w:rsid w:val="008464CA"/>
    <w:rsid w:val="0085339F"/>
    <w:rsid w:val="00854FB0"/>
    <w:rsid w:val="008619E1"/>
    <w:rsid w:val="00862451"/>
    <w:rsid w:val="00863223"/>
    <w:rsid w:val="00864BB0"/>
    <w:rsid w:val="00866F91"/>
    <w:rsid w:val="00871054"/>
    <w:rsid w:val="00873F87"/>
    <w:rsid w:val="0087430F"/>
    <w:rsid w:val="00876F75"/>
    <w:rsid w:val="00880AE6"/>
    <w:rsid w:val="0088434C"/>
    <w:rsid w:val="008860D9"/>
    <w:rsid w:val="008948C8"/>
    <w:rsid w:val="00894DCE"/>
    <w:rsid w:val="00896275"/>
    <w:rsid w:val="008A21A4"/>
    <w:rsid w:val="008A5B49"/>
    <w:rsid w:val="008A7D93"/>
    <w:rsid w:val="008B187A"/>
    <w:rsid w:val="008B6D5A"/>
    <w:rsid w:val="008B703B"/>
    <w:rsid w:val="008C2103"/>
    <w:rsid w:val="008C288D"/>
    <w:rsid w:val="008C3579"/>
    <w:rsid w:val="008C3710"/>
    <w:rsid w:val="008D20EF"/>
    <w:rsid w:val="008E579C"/>
    <w:rsid w:val="008E6EC9"/>
    <w:rsid w:val="008E70CD"/>
    <w:rsid w:val="008F1572"/>
    <w:rsid w:val="008F4C0A"/>
    <w:rsid w:val="008F4F08"/>
    <w:rsid w:val="008F54D4"/>
    <w:rsid w:val="008F5AA2"/>
    <w:rsid w:val="008F63C6"/>
    <w:rsid w:val="00903093"/>
    <w:rsid w:val="00904581"/>
    <w:rsid w:val="00905A0C"/>
    <w:rsid w:val="00906B3E"/>
    <w:rsid w:val="0090741D"/>
    <w:rsid w:val="009075A8"/>
    <w:rsid w:val="009139BE"/>
    <w:rsid w:val="00913A8B"/>
    <w:rsid w:val="00920098"/>
    <w:rsid w:val="009238E1"/>
    <w:rsid w:val="00926CE9"/>
    <w:rsid w:val="00932CFE"/>
    <w:rsid w:val="009347E1"/>
    <w:rsid w:val="00937E89"/>
    <w:rsid w:val="00944798"/>
    <w:rsid w:val="00945CC1"/>
    <w:rsid w:val="00950C29"/>
    <w:rsid w:val="00951DFE"/>
    <w:rsid w:val="00953340"/>
    <w:rsid w:val="009547E8"/>
    <w:rsid w:val="00967C5B"/>
    <w:rsid w:val="00970FE4"/>
    <w:rsid w:val="00976D64"/>
    <w:rsid w:val="00982F8F"/>
    <w:rsid w:val="00985703"/>
    <w:rsid w:val="00986CD7"/>
    <w:rsid w:val="00987A1B"/>
    <w:rsid w:val="00990301"/>
    <w:rsid w:val="00993113"/>
    <w:rsid w:val="00997F3D"/>
    <w:rsid w:val="009A1AAE"/>
    <w:rsid w:val="009A4321"/>
    <w:rsid w:val="009A5730"/>
    <w:rsid w:val="009A680E"/>
    <w:rsid w:val="009A7005"/>
    <w:rsid w:val="009B2F8C"/>
    <w:rsid w:val="009B3189"/>
    <w:rsid w:val="009C07F8"/>
    <w:rsid w:val="009C125C"/>
    <w:rsid w:val="009C5B89"/>
    <w:rsid w:val="009D7EF5"/>
    <w:rsid w:val="009E1190"/>
    <w:rsid w:val="009E3510"/>
    <w:rsid w:val="009E4840"/>
    <w:rsid w:val="009E5CEF"/>
    <w:rsid w:val="009E65F7"/>
    <w:rsid w:val="009E79D7"/>
    <w:rsid w:val="009F0FFC"/>
    <w:rsid w:val="009F21B0"/>
    <w:rsid w:val="009F332A"/>
    <w:rsid w:val="009F7B29"/>
    <w:rsid w:val="00A0452A"/>
    <w:rsid w:val="00A04A2B"/>
    <w:rsid w:val="00A058DF"/>
    <w:rsid w:val="00A0607C"/>
    <w:rsid w:val="00A067F6"/>
    <w:rsid w:val="00A11001"/>
    <w:rsid w:val="00A13551"/>
    <w:rsid w:val="00A23734"/>
    <w:rsid w:val="00A276F5"/>
    <w:rsid w:val="00A4149E"/>
    <w:rsid w:val="00A42D65"/>
    <w:rsid w:val="00A53290"/>
    <w:rsid w:val="00A54DF3"/>
    <w:rsid w:val="00A57CCF"/>
    <w:rsid w:val="00A60392"/>
    <w:rsid w:val="00A60B34"/>
    <w:rsid w:val="00A624E2"/>
    <w:rsid w:val="00A637EA"/>
    <w:rsid w:val="00A64B42"/>
    <w:rsid w:val="00A663C5"/>
    <w:rsid w:val="00A67479"/>
    <w:rsid w:val="00A71D1B"/>
    <w:rsid w:val="00A72282"/>
    <w:rsid w:val="00A72E7B"/>
    <w:rsid w:val="00A7548D"/>
    <w:rsid w:val="00A77F07"/>
    <w:rsid w:val="00A802DF"/>
    <w:rsid w:val="00A81DBD"/>
    <w:rsid w:val="00A82DDD"/>
    <w:rsid w:val="00A84A03"/>
    <w:rsid w:val="00A879CA"/>
    <w:rsid w:val="00A96B65"/>
    <w:rsid w:val="00A97886"/>
    <w:rsid w:val="00A978BD"/>
    <w:rsid w:val="00AA4829"/>
    <w:rsid w:val="00AA4F0A"/>
    <w:rsid w:val="00AA6384"/>
    <w:rsid w:val="00AA6860"/>
    <w:rsid w:val="00AA785E"/>
    <w:rsid w:val="00AB4172"/>
    <w:rsid w:val="00AB4D48"/>
    <w:rsid w:val="00AB58A0"/>
    <w:rsid w:val="00AB742F"/>
    <w:rsid w:val="00AB779E"/>
    <w:rsid w:val="00AC4EA7"/>
    <w:rsid w:val="00AC6361"/>
    <w:rsid w:val="00AC6DD6"/>
    <w:rsid w:val="00AC7626"/>
    <w:rsid w:val="00AD29C4"/>
    <w:rsid w:val="00AD3A95"/>
    <w:rsid w:val="00AD3BD2"/>
    <w:rsid w:val="00AD3DE5"/>
    <w:rsid w:val="00AD71F0"/>
    <w:rsid w:val="00AD7B46"/>
    <w:rsid w:val="00AD7C5F"/>
    <w:rsid w:val="00AE0122"/>
    <w:rsid w:val="00AE4E16"/>
    <w:rsid w:val="00AE6D6E"/>
    <w:rsid w:val="00AF0016"/>
    <w:rsid w:val="00AF24BB"/>
    <w:rsid w:val="00AF3005"/>
    <w:rsid w:val="00AF596F"/>
    <w:rsid w:val="00B01E0D"/>
    <w:rsid w:val="00B02CB3"/>
    <w:rsid w:val="00B10572"/>
    <w:rsid w:val="00B120BA"/>
    <w:rsid w:val="00B12659"/>
    <w:rsid w:val="00B14F4F"/>
    <w:rsid w:val="00B16297"/>
    <w:rsid w:val="00B27601"/>
    <w:rsid w:val="00B30CBD"/>
    <w:rsid w:val="00B3300B"/>
    <w:rsid w:val="00B34397"/>
    <w:rsid w:val="00B52F52"/>
    <w:rsid w:val="00B60B6B"/>
    <w:rsid w:val="00B61A33"/>
    <w:rsid w:val="00B6220F"/>
    <w:rsid w:val="00B636B5"/>
    <w:rsid w:val="00B73C29"/>
    <w:rsid w:val="00B74279"/>
    <w:rsid w:val="00B7469E"/>
    <w:rsid w:val="00B81322"/>
    <w:rsid w:val="00B81411"/>
    <w:rsid w:val="00B81D44"/>
    <w:rsid w:val="00B821E1"/>
    <w:rsid w:val="00B87A9F"/>
    <w:rsid w:val="00B9579D"/>
    <w:rsid w:val="00B96734"/>
    <w:rsid w:val="00BA1C7D"/>
    <w:rsid w:val="00BA1CD5"/>
    <w:rsid w:val="00BA503C"/>
    <w:rsid w:val="00BA5299"/>
    <w:rsid w:val="00BA5961"/>
    <w:rsid w:val="00BA7C56"/>
    <w:rsid w:val="00BB6054"/>
    <w:rsid w:val="00BB77ED"/>
    <w:rsid w:val="00BC3795"/>
    <w:rsid w:val="00BC75D0"/>
    <w:rsid w:val="00BC7C64"/>
    <w:rsid w:val="00BD066D"/>
    <w:rsid w:val="00BD217A"/>
    <w:rsid w:val="00BE228E"/>
    <w:rsid w:val="00BE3871"/>
    <w:rsid w:val="00BF1282"/>
    <w:rsid w:val="00BF7B9F"/>
    <w:rsid w:val="00C01698"/>
    <w:rsid w:val="00C02748"/>
    <w:rsid w:val="00C07792"/>
    <w:rsid w:val="00C13720"/>
    <w:rsid w:val="00C17780"/>
    <w:rsid w:val="00C17D0A"/>
    <w:rsid w:val="00C22E5E"/>
    <w:rsid w:val="00C26D18"/>
    <w:rsid w:val="00C273C8"/>
    <w:rsid w:val="00C303DC"/>
    <w:rsid w:val="00C34C7E"/>
    <w:rsid w:val="00C357BA"/>
    <w:rsid w:val="00C361D7"/>
    <w:rsid w:val="00C37C97"/>
    <w:rsid w:val="00C40730"/>
    <w:rsid w:val="00C40F36"/>
    <w:rsid w:val="00C44FD5"/>
    <w:rsid w:val="00C45A0D"/>
    <w:rsid w:val="00C4635B"/>
    <w:rsid w:val="00C50D12"/>
    <w:rsid w:val="00C510DD"/>
    <w:rsid w:val="00C52E83"/>
    <w:rsid w:val="00C57271"/>
    <w:rsid w:val="00C63136"/>
    <w:rsid w:val="00C63D68"/>
    <w:rsid w:val="00C6405B"/>
    <w:rsid w:val="00C6552B"/>
    <w:rsid w:val="00C66CD2"/>
    <w:rsid w:val="00C7148B"/>
    <w:rsid w:val="00C72929"/>
    <w:rsid w:val="00C72C12"/>
    <w:rsid w:val="00C743F1"/>
    <w:rsid w:val="00C80DCE"/>
    <w:rsid w:val="00C83F58"/>
    <w:rsid w:val="00C86731"/>
    <w:rsid w:val="00C91E9A"/>
    <w:rsid w:val="00C95B7C"/>
    <w:rsid w:val="00C96572"/>
    <w:rsid w:val="00C96970"/>
    <w:rsid w:val="00CA0FA0"/>
    <w:rsid w:val="00CA21DF"/>
    <w:rsid w:val="00CA495F"/>
    <w:rsid w:val="00CA4B51"/>
    <w:rsid w:val="00CA59C3"/>
    <w:rsid w:val="00CB1335"/>
    <w:rsid w:val="00CC2237"/>
    <w:rsid w:val="00CC5C8D"/>
    <w:rsid w:val="00CD22DA"/>
    <w:rsid w:val="00CD37F8"/>
    <w:rsid w:val="00CD3A0D"/>
    <w:rsid w:val="00CD3C8E"/>
    <w:rsid w:val="00CE285F"/>
    <w:rsid w:val="00CE36D5"/>
    <w:rsid w:val="00CE4736"/>
    <w:rsid w:val="00CF4A2E"/>
    <w:rsid w:val="00CF5CF8"/>
    <w:rsid w:val="00CF7B7F"/>
    <w:rsid w:val="00D00089"/>
    <w:rsid w:val="00D00935"/>
    <w:rsid w:val="00D02502"/>
    <w:rsid w:val="00D03F10"/>
    <w:rsid w:val="00D0532B"/>
    <w:rsid w:val="00D05CA4"/>
    <w:rsid w:val="00D106AE"/>
    <w:rsid w:val="00D12836"/>
    <w:rsid w:val="00D14739"/>
    <w:rsid w:val="00D204A2"/>
    <w:rsid w:val="00D20F6E"/>
    <w:rsid w:val="00D23806"/>
    <w:rsid w:val="00D264CD"/>
    <w:rsid w:val="00D301FD"/>
    <w:rsid w:val="00D3076B"/>
    <w:rsid w:val="00D35721"/>
    <w:rsid w:val="00D36AEB"/>
    <w:rsid w:val="00D5001D"/>
    <w:rsid w:val="00D50AA2"/>
    <w:rsid w:val="00D53801"/>
    <w:rsid w:val="00D54DFD"/>
    <w:rsid w:val="00D625C0"/>
    <w:rsid w:val="00D660D3"/>
    <w:rsid w:val="00D70B21"/>
    <w:rsid w:val="00D752A1"/>
    <w:rsid w:val="00D77AEA"/>
    <w:rsid w:val="00D80FBD"/>
    <w:rsid w:val="00D838B1"/>
    <w:rsid w:val="00D85C5B"/>
    <w:rsid w:val="00D95E09"/>
    <w:rsid w:val="00D97DB0"/>
    <w:rsid w:val="00DA134E"/>
    <w:rsid w:val="00DA17C5"/>
    <w:rsid w:val="00DA28C0"/>
    <w:rsid w:val="00DA35DD"/>
    <w:rsid w:val="00DA646E"/>
    <w:rsid w:val="00DA72AF"/>
    <w:rsid w:val="00DB6E17"/>
    <w:rsid w:val="00DC0531"/>
    <w:rsid w:val="00DC4E36"/>
    <w:rsid w:val="00DD0510"/>
    <w:rsid w:val="00DD233E"/>
    <w:rsid w:val="00DD5264"/>
    <w:rsid w:val="00DE04D1"/>
    <w:rsid w:val="00DE0E34"/>
    <w:rsid w:val="00DE2779"/>
    <w:rsid w:val="00DE3A43"/>
    <w:rsid w:val="00DE5F50"/>
    <w:rsid w:val="00DF39FE"/>
    <w:rsid w:val="00DF555F"/>
    <w:rsid w:val="00E01409"/>
    <w:rsid w:val="00E0171E"/>
    <w:rsid w:val="00E04114"/>
    <w:rsid w:val="00E07A1C"/>
    <w:rsid w:val="00E07E7D"/>
    <w:rsid w:val="00E11CA6"/>
    <w:rsid w:val="00E12167"/>
    <w:rsid w:val="00E13E96"/>
    <w:rsid w:val="00E14565"/>
    <w:rsid w:val="00E20587"/>
    <w:rsid w:val="00E20612"/>
    <w:rsid w:val="00E23CD9"/>
    <w:rsid w:val="00E25BCE"/>
    <w:rsid w:val="00E32C15"/>
    <w:rsid w:val="00E357A1"/>
    <w:rsid w:val="00E35F0F"/>
    <w:rsid w:val="00E3613F"/>
    <w:rsid w:val="00E40EC8"/>
    <w:rsid w:val="00E43BFB"/>
    <w:rsid w:val="00E462BF"/>
    <w:rsid w:val="00E466CE"/>
    <w:rsid w:val="00E524B7"/>
    <w:rsid w:val="00E52E4D"/>
    <w:rsid w:val="00E553D7"/>
    <w:rsid w:val="00E56680"/>
    <w:rsid w:val="00E623F7"/>
    <w:rsid w:val="00E636D7"/>
    <w:rsid w:val="00E67468"/>
    <w:rsid w:val="00E705EA"/>
    <w:rsid w:val="00E73F64"/>
    <w:rsid w:val="00E74428"/>
    <w:rsid w:val="00E758ED"/>
    <w:rsid w:val="00E76B67"/>
    <w:rsid w:val="00E80113"/>
    <w:rsid w:val="00E802E2"/>
    <w:rsid w:val="00E81FB0"/>
    <w:rsid w:val="00E82E18"/>
    <w:rsid w:val="00E87A4F"/>
    <w:rsid w:val="00E9555B"/>
    <w:rsid w:val="00E96D7A"/>
    <w:rsid w:val="00E97E29"/>
    <w:rsid w:val="00EA0A18"/>
    <w:rsid w:val="00EA2220"/>
    <w:rsid w:val="00EA5A55"/>
    <w:rsid w:val="00EB3E6F"/>
    <w:rsid w:val="00EB4D6D"/>
    <w:rsid w:val="00EC04B1"/>
    <w:rsid w:val="00EC4BCE"/>
    <w:rsid w:val="00ED0609"/>
    <w:rsid w:val="00ED28F2"/>
    <w:rsid w:val="00ED3C95"/>
    <w:rsid w:val="00ED5560"/>
    <w:rsid w:val="00ED65C5"/>
    <w:rsid w:val="00EE1B8F"/>
    <w:rsid w:val="00EE2020"/>
    <w:rsid w:val="00EF4749"/>
    <w:rsid w:val="00EF5FDE"/>
    <w:rsid w:val="00EF6962"/>
    <w:rsid w:val="00F02FEB"/>
    <w:rsid w:val="00F1142E"/>
    <w:rsid w:val="00F11EED"/>
    <w:rsid w:val="00F12DC2"/>
    <w:rsid w:val="00F13794"/>
    <w:rsid w:val="00F13898"/>
    <w:rsid w:val="00F152DF"/>
    <w:rsid w:val="00F20C6C"/>
    <w:rsid w:val="00F21880"/>
    <w:rsid w:val="00F25629"/>
    <w:rsid w:val="00F2758C"/>
    <w:rsid w:val="00F27D6F"/>
    <w:rsid w:val="00F32D23"/>
    <w:rsid w:val="00F37C56"/>
    <w:rsid w:val="00F37EA3"/>
    <w:rsid w:val="00F40FFD"/>
    <w:rsid w:val="00F415C8"/>
    <w:rsid w:val="00F43765"/>
    <w:rsid w:val="00F43B5E"/>
    <w:rsid w:val="00F61893"/>
    <w:rsid w:val="00F630B7"/>
    <w:rsid w:val="00F631D3"/>
    <w:rsid w:val="00F66F64"/>
    <w:rsid w:val="00F70245"/>
    <w:rsid w:val="00F71C28"/>
    <w:rsid w:val="00F749A4"/>
    <w:rsid w:val="00F8311D"/>
    <w:rsid w:val="00F84A10"/>
    <w:rsid w:val="00F86375"/>
    <w:rsid w:val="00F869E5"/>
    <w:rsid w:val="00F941E3"/>
    <w:rsid w:val="00F9482C"/>
    <w:rsid w:val="00F95CEE"/>
    <w:rsid w:val="00FA25F9"/>
    <w:rsid w:val="00FA5222"/>
    <w:rsid w:val="00FA762D"/>
    <w:rsid w:val="00FB0476"/>
    <w:rsid w:val="00FB2433"/>
    <w:rsid w:val="00FB2DA3"/>
    <w:rsid w:val="00FB5080"/>
    <w:rsid w:val="00FB7E56"/>
    <w:rsid w:val="00FC26A1"/>
    <w:rsid w:val="00FC66A2"/>
    <w:rsid w:val="00FC6C3B"/>
    <w:rsid w:val="00FD25C8"/>
    <w:rsid w:val="00FD57ED"/>
    <w:rsid w:val="00FD66F1"/>
    <w:rsid w:val="00FE1D33"/>
    <w:rsid w:val="00FE6B4D"/>
    <w:rsid w:val="00FF6470"/>
    <w:rsid w:val="00FF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533191"/>
  <w15:docId w15:val="{69527883-8C60-49E1-9469-8B466A01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uiPriority w:val="99"/>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uiPriority w:val="99"/>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paragraph" w:styleId="Revision">
    <w:name w:val="Revision"/>
    <w:hidden/>
    <w:uiPriority w:val="99"/>
    <w:semiHidden/>
    <w:rsid w:val="00D36AEB"/>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851296">
      <w:bodyDiv w:val="1"/>
      <w:marLeft w:val="0"/>
      <w:marRight w:val="0"/>
      <w:marTop w:val="0"/>
      <w:marBottom w:val="0"/>
      <w:divBdr>
        <w:top w:val="none" w:sz="0" w:space="0" w:color="auto"/>
        <w:left w:val="none" w:sz="0" w:space="0" w:color="auto"/>
        <w:bottom w:val="none" w:sz="0" w:space="0" w:color="auto"/>
        <w:right w:val="none" w:sz="0" w:space="0" w:color="auto"/>
      </w:divBdr>
    </w:div>
    <w:div w:id="479855767">
      <w:bodyDiv w:val="1"/>
      <w:marLeft w:val="0"/>
      <w:marRight w:val="0"/>
      <w:marTop w:val="0"/>
      <w:marBottom w:val="0"/>
      <w:divBdr>
        <w:top w:val="none" w:sz="0" w:space="0" w:color="auto"/>
        <w:left w:val="none" w:sz="0" w:space="0" w:color="auto"/>
        <w:bottom w:val="none" w:sz="0" w:space="0" w:color="auto"/>
        <w:right w:val="none" w:sz="0" w:space="0" w:color="auto"/>
      </w:divBdr>
    </w:div>
    <w:div w:id="1203203282">
      <w:bodyDiv w:val="1"/>
      <w:marLeft w:val="0"/>
      <w:marRight w:val="0"/>
      <w:marTop w:val="0"/>
      <w:marBottom w:val="0"/>
      <w:divBdr>
        <w:top w:val="none" w:sz="0" w:space="0" w:color="auto"/>
        <w:left w:val="none" w:sz="0" w:space="0" w:color="auto"/>
        <w:bottom w:val="none" w:sz="0" w:space="0" w:color="auto"/>
        <w:right w:val="none" w:sz="0" w:space="0" w:color="auto"/>
      </w:divBdr>
    </w:div>
    <w:div w:id="1262370407">
      <w:bodyDiv w:val="1"/>
      <w:marLeft w:val="0"/>
      <w:marRight w:val="0"/>
      <w:marTop w:val="0"/>
      <w:marBottom w:val="0"/>
      <w:divBdr>
        <w:top w:val="none" w:sz="0" w:space="0" w:color="auto"/>
        <w:left w:val="none" w:sz="0" w:space="0" w:color="auto"/>
        <w:bottom w:val="none" w:sz="0" w:space="0" w:color="auto"/>
        <w:right w:val="none" w:sz="0" w:space="0" w:color="auto"/>
      </w:divBdr>
    </w:div>
    <w:div w:id="1691684141">
      <w:bodyDiv w:val="1"/>
      <w:marLeft w:val="0"/>
      <w:marRight w:val="0"/>
      <w:marTop w:val="0"/>
      <w:marBottom w:val="0"/>
      <w:divBdr>
        <w:top w:val="none" w:sz="0" w:space="0" w:color="auto"/>
        <w:left w:val="none" w:sz="0" w:space="0" w:color="auto"/>
        <w:bottom w:val="none" w:sz="0" w:space="0" w:color="auto"/>
        <w:right w:val="none" w:sz="0" w:space="0" w:color="auto"/>
      </w:divBdr>
    </w:div>
    <w:div w:id="1729106083">
      <w:bodyDiv w:val="1"/>
      <w:marLeft w:val="0"/>
      <w:marRight w:val="0"/>
      <w:marTop w:val="0"/>
      <w:marBottom w:val="0"/>
      <w:divBdr>
        <w:top w:val="none" w:sz="0" w:space="0" w:color="auto"/>
        <w:left w:val="none" w:sz="0" w:space="0" w:color="auto"/>
        <w:bottom w:val="none" w:sz="0" w:space="0" w:color="auto"/>
        <w:right w:val="none" w:sz="0" w:space="0" w:color="auto"/>
      </w:divBdr>
      <w:divsChild>
        <w:div w:id="363334496">
          <w:marLeft w:val="0"/>
          <w:marRight w:val="0"/>
          <w:marTop w:val="0"/>
          <w:marBottom w:val="0"/>
          <w:divBdr>
            <w:top w:val="none" w:sz="0" w:space="0" w:color="auto"/>
            <w:left w:val="none" w:sz="0" w:space="0" w:color="auto"/>
            <w:bottom w:val="none" w:sz="0" w:space="0" w:color="auto"/>
            <w:right w:val="none" w:sz="0" w:space="0" w:color="auto"/>
          </w:divBdr>
          <w:divsChild>
            <w:div w:id="5713477">
              <w:marLeft w:val="0"/>
              <w:marRight w:val="0"/>
              <w:marTop w:val="0"/>
              <w:marBottom w:val="0"/>
              <w:divBdr>
                <w:top w:val="none" w:sz="0" w:space="0" w:color="auto"/>
                <w:left w:val="none" w:sz="0" w:space="0" w:color="auto"/>
                <w:bottom w:val="none" w:sz="0" w:space="0" w:color="auto"/>
                <w:right w:val="none" w:sz="0" w:space="0" w:color="auto"/>
              </w:divBdr>
              <w:divsChild>
                <w:div w:id="1894735358">
                  <w:marLeft w:val="0"/>
                  <w:marRight w:val="0"/>
                  <w:marTop w:val="0"/>
                  <w:marBottom w:val="0"/>
                  <w:divBdr>
                    <w:top w:val="none" w:sz="0" w:space="0" w:color="auto"/>
                    <w:left w:val="none" w:sz="0" w:space="0" w:color="auto"/>
                    <w:bottom w:val="none" w:sz="0" w:space="0" w:color="auto"/>
                    <w:right w:val="none" w:sz="0" w:space="0" w:color="auto"/>
                  </w:divBdr>
                  <w:divsChild>
                    <w:div w:id="2026636678">
                      <w:marLeft w:val="0"/>
                      <w:marRight w:val="0"/>
                      <w:marTop w:val="0"/>
                      <w:marBottom w:val="0"/>
                      <w:divBdr>
                        <w:top w:val="none" w:sz="0" w:space="0" w:color="auto"/>
                        <w:left w:val="none" w:sz="0" w:space="0" w:color="auto"/>
                        <w:bottom w:val="none" w:sz="0" w:space="0" w:color="auto"/>
                        <w:right w:val="none" w:sz="0" w:space="0" w:color="auto"/>
                      </w:divBdr>
                      <w:divsChild>
                        <w:div w:id="715393361">
                          <w:marLeft w:val="0"/>
                          <w:marRight w:val="0"/>
                          <w:marTop w:val="0"/>
                          <w:marBottom w:val="0"/>
                          <w:divBdr>
                            <w:top w:val="none" w:sz="0" w:space="0" w:color="auto"/>
                            <w:left w:val="none" w:sz="0" w:space="0" w:color="auto"/>
                            <w:bottom w:val="none" w:sz="0" w:space="0" w:color="auto"/>
                            <w:right w:val="none" w:sz="0" w:space="0" w:color="auto"/>
                          </w:divBdr>
                          <w:divsChild>
                            <w:div w:id="402993040">
                              <w:marLeft w:val="0"/>
                              <w:marRight w:val="0"/>
                              <w:marTop w:val="0"/>
                              <w:marBottom w:val="0"/>
                              <w:divBdr>
                                <w:top w:val="single" w:sz="6" w:space="0" w:color="auto"/>
                                <w:left w:val="single" w:sz="6" w:space="0" w:color="auto"/>
                                <w:bottom w:val="single" w:sz="6" w:space="0" w:color="auto"/>
                                <w:right w:val="single" w:sz="6" w:space="0" w:color="auto"/>
                              </w:divBdr>
                              <w:divsChild>
                                <w:div w:id="836773394">
                                  <w:marLeft w:val="0"/>
                                  <w:marRight w:val="195"/>
                                  <w:marTop w:val="0"/>
                                  <w:marBottom w:val="0"/>
                                  <w:divBdr>
                                    <w:top w:val="none" w:sz="0" w:space="0" w:color="auto"/>
                                    <w:left w:val="none" w:sz="0" w:space="0" w:color="auto"/>
                                    <w:bottom w:val="none" w:sz="0" w:space="0" w:color="auto"/>
                                    <w:right w:val="none" w:sz="0" w:space="0" w:color="auto"/>
                                  </w:divBdr>
                                  <w:divsChild>
                                    <w:div w:id="375933214">
                                      <w:marLeft w:val="0"/>
                                      <w:marRight w:val="0"/>
                                      <w:marTop w:val="0"/>
                                      <w:marBottom w:val="0"/>
                                      <w:divBdr>
                                        <w:top w:val="none" w:sz="0" w:space="0" w:color="auto"/>
                                        <w:left w:val="none" w:sz="0" w:space="0" w:color="auto"/>
                                        <w:bottom w:val="none" w:sz="0" w:space="0" w:color="auto"/>
                                        <w:right w:val="none" w:sz="0" w:space="0" w:color="auto"/>
                                      </w:divBdr>
                                      <w:divsChild>
                                        <w:div w:id="1576553995">
                                          <w:marLeft w:val="0"/>
                                          <w:marRight w:val="195"/>
                                          <w:marTop w:val="0"/>
                                          <w:marBottom w:val="0"/>
                                          <w:divBdr>
                                            <w:top w:val="none" w:sz="0" w:space="0" w:color="auto"/>
                                            <w:left w:val="none" w:sz="0" w:space="0" w:color="auto"/>
                                            <w:bottom w:val="none" w:sz="0" w:space="0" w:color="auto"/>
                                            <w:right w:val="none" w:sz="0" w:space="0" w:color="auto"/>
                                          </w:divBdr>
                                          <w:divsChild>
                                            <w:div w:id="222299442">
                                              <w:marLeft w:val="0"/>
                                              <w:marRight w:val="0"/>
                                              <w:marTop w:val="0"/>
                                              <w:marBottom w:val="0"/>
                                              <w:divBdr>
                                                <w:top w:val="none" w:sz="0" w:space="0" w:color="auto"/>
                                                <w:left w:val="none" w:sz="0" w:space="0" w:color="auto"/>
                                                <w:bottom w:val="none" w:sz="0" w:space="0" w:color="auto"/>
                                                <w:right w:val="none" w:sz="0" w:space="0" w:color="auto"/>
                                              </w:divBdr>
                                              <w:divsChild>
                                                <w:div w:id="1871722730">
                                                  <w:marLeft w:val="0"/>
                                                  <w:marRight w:val="0"/>
                                                  <w:marTop w:val="0"/>
                                                  <w:marBottom w:val="0"/>
                                                  <w:divBdr>
                                                    <w:top w:val="none" w:sz="0" w:space="0" w:color="auto"/>
                                                    <w:left w:val="none" w:sz="0" w:space="0" w:color="auto"/>
                                                    <w:bottom w:val="none" w:sz="0" w:space="0" w:color="auto"/>
                                                    <w:right w:val="none" w:sz="0" w:space="0" w:color="auto"/>
                                                  </w:divBdr>
                                                  <w:divsChild>
                                                    <w:div w:id="1396198682">
                                                      <w:marLeft w:val="0"/>
                                                      <w:marRight w:val="0"/>
                                                      <w:marTop w:val="0"/>
                                                      <w:marBottom w:val="0"/>
                                                      <w:divBdr>
                                                        <w:top w:val="none" w:sz="0" w:space="0" w:color="auto"/>
                                                        <w:left w:val="none" w:sz="0" w:space="0" w:color="auto"/>
                                                        <w:bottom w:val="none" w:sz="0" w:space="0" w:color="auto"/>
                                                        <w:right w:val="none" w:sz="0" w:space="0" w:color="auto"/>
                                                      </w:divBdr>
                                                      <w:divsChild>
                                                        <w:div w:id="713626554">
                                                          <w:marLeft w:val="0"/>
                                                          <w:marRight w:val="0"/>
                                                          <w:marTop w:val="0"/>
                                                          <w:marBottom w:val="0"/>
                                                          <w:divBdr>
                                                            <w:top w:val="none" w:sz="0" w:space="0" w:color="auto"/>
                                                            <w:left w:val="none" w:sz="0" w:space="0" w:color="auto"/>
                                                            <w:bottom w:val="none" w:sz="0" w:space="0" w:color="auto"/>
                                                            <w:right w:val="none" w:sz="0" w:space="0" w:color="auto"/>
                                                          </w:divBdr>
                                                          <w:divsChild>
                                                            <w:div w:id="1555777122">
                                                              <w:marLeft w:val="0"/>
                                                              <w:marRight w:val="0"/>
                                                              <w:marTop w:val="0"/>
                                                              <w:marBottom w:val="0"/>
                                                              <w:divBdr>
                                                                <w:top w:val="none" w:sz="0" w:space="0" w:color="auto"/>
                                                                <w:left w:val="none" w:sz="0" w:space="0" w:color="auto"/>
                                                                <w:bottom w:val="none" w:sz="0" w:space="0" w:color="auto"/>
                                                                <w:right w:val="none" w:sz="0" w:space="0" w:color="auto"/>
                                                              </w:divBdr>
                                                              <w:divsChild>
                                                                <w:div w:id="447504980">
                                                                  <w:marLeft w:val="405"/>
                                                                  <w:marRight w:val="0"/>
                                                                  <w:marTop w:val="0"/>
                                                                  <w:marBottom w:val="0"/>
                                                                  <w:divBdr>
                                                                    <w:top w:val="none" w:sz="0" w:space="0" w:color="auto"/>
                                                                    <w:left w:val="none" w:sz="0" w:space="0" w:color="auto"/>
                                                                    <w:bottom w:val="none" w:sz="0" w:space="0" w:color="auto"/>
                                                                    <w:right w:val="none" w:sz="0" w:space="0" w:color="auto"/>
                                                                  </w:divBdr>
                                                                  <w:divsChild>
                                                                    <w:div w:id="391733856">
                                                                      <w:marLeft w:val="0"/>
                                                                      <w:marRight w:val="0"/>
                                                                      <w:marTop w:val="0"/>
                                                                      <w:marBottom w:val="0"/>
                                                                      <w:divBdr>
                                                                        <w:top w:val="none" w:sz="0" w:space="0" w:color="auto"/>
                                                                        <w:left w:val="none" w:sz="0" w:space="0" w:color="auto"/>
                                                                        <w:bottom w:val="none" w:sz="0" w:space="0" w:color="auto"/>
                                                                        <w:right w:val="none" w:sz="0" w:space="0" w:color="auto"/>
                                                                      </w:divBdr>
                                                                      <w:divsChild>
                                                                        <w:div w:id="1173766332">
                                                                          <w:marLeft w:val="0"/>
                                                                          <w:marRight w:val="0"/>
                                                                          <w:marTop w:val="0"/>
                                                                          <w:marBottom w:val="0"/>
                                                                          <w:divBdr>
                                                                            <w:top w:val="none" w:sz="0" w:space="0" w:color="auto"/>
                                                                            <w:left w:val="none" w:sz="0" w:space="0" w:color="auto"/>
                                                                            <w:bottom w:val="none" w:sz="0" w:space="0" w:color="auto"/>
                                                                            <w:right w:val="none" w:sz="0" w:space="0" w:color="auto"/>
                                                                          </w:divBdr>
                                                                          <w:divsChild>
                                                                            <w:div w:id="2126804478">
                                                                              <w:marLeft w:val="0"/>
                                                                              <w:marRight w:val="0"/>
                                                                              <w:marTop w:val="0"/>
                                                                              <w:marBottom w:val="0"/>
                                                                              <w:divBdr>
                                                                                <w:top w:val="none" w:sz="0" w:space="0" w:color="auto"/>
                                                                                <w:left w:val="none" w:sz="0" w:space="0" w:color="auto"/>
                                                                                <w:bottom w:val="none" w:sz="0" w:space="0" w:color="auto"/>
                                                                                <w:right w:val="none" w:sz="0" w:space="0" w:color="auto"/>
                                                                              </w:divBdr>
                                                                              <w:divsChild>
                                                                                <w:div w:id="1202787776">
                                                                                  <w:marLeft w:val="0"/>
                                                                                  <w:marRight w:val="0"/>
                                                                                  <w:marTop w:val="0"/>
                                                                                  <w:marBottom w:val="0"/>
                                                                                  <w:divBdr>
                                                                                    <w:top w:val="none" w:sz="0" w:space="0" w:color="auto"/>
                                                                                    <w:left w:val="none" w:sz="0" w:space="0" w:color="auto"/>
                                                                                    <w:bottom w:val="none" w:sz="0" w:space="0" w:color="auto"/>
                                                                                    <w:right w:val="none" w:sz="0" w:space="0" w:color="auto"/>
                                                                                  </w:divBdr>
                                                                                  <w:divsChild>
                                                                                    <w:div w:id="979991883">
                                                                                      <w:marLeft w:val="0"/>
                                                                                      <w:marRight w:val="0"/>
                                                                                      <w:marTop w:val="0"/>
                                                                                      <w:marBottom w:val="0"/>
                                                                                      <w:divBdr>
                                                                                        <w:top w:val="none" w:sz="0" w:space="0" w:color="auto"/>
                                                                                        <w:left w:val="none" w:sz="0" w:space="0" w:color="auto"/>
                                                                                        <w:bottom w:val="none" w:sz="0" w:space="0" w:color="auto"/>
                                                                                        <w:right w:val="none" w:sz="0" w:space="0" w:color="auto"/>
                                                                                      </w:divBdr>
                                                                                      <w:divsChild>
                                                                                        <w:div w:id="402025701">
                                                                                          <w:marLeft w:val="0"/>
                                                                                          <w:marRight w:val="0"/>
                                                                                          <w:marTop w:val="0"/>
                                                                                          <w:marBottom w:val="0"/>
                                                                                          <w:divBdr>
                                                                                            <w:top w:val="none" w:sz="0" w:space="0" w:color="auto"/>
                                                                                            <w:left w:val="none" w:sz="0" w:space="0" w:color="auto"/>
                                                                                            <w:bottom w:val="none" w:sz="0" w:space="0" w:color="auto"/>
                                                                                            <w:right w:val="none" w:sz="0" w:space="0" w:color="auto"/>
                                                                                          </w:divBdr>
                                                                                          <w:divsChild>
                                                                                            <w:div w:id="1403060605">
                                                                                              <w:marLeft w:val="0"/>
                                                                                              <w:marRight w:val="150"/>
                                                                                              <w:marTop w:val="75"/>
                                                                                              <w:marBottom w:val="0"/>
                                                                                              <w:divBdr>
                                                                                                <w:top w:val="none" w:sz="0" w:space="0" w:color="auto"/>
                                                                                                <w:left w:val="none" w:sz="0" w:space="0" w:color="auto"/>
                                                                                                <w:bottom w:val="single" w:sz="6" w:space="15" w:color="auto"/>
                                                                                                <w:right w:val="none" w:sz="0" w:space="0" w:color="auto"/>
                                                                                              </w:divBdr>
                                                                                              <w:divsChild>
                                                                                                <w:div w:id="2081631567">
                                                                                                  <w:marLeft w:val="1200"/>
                                                                                                  <w:marRight w:val="0"/>
                                                                                                  <w:marTop w:val="180"/>
                                                                                                  <w:marBottom w:val="0"/>
                                                                                                  <w:divBdr>
                                                                                                    <w:top w:val="none" w:sz="0" w:space="0" w:color="auto"/>
                                                                                                    <w:left w:val="none" w:sz="0" w:space="0" w:color="auto"/>
                                                                                                    <w:bottom w:val="none" w:sz="0" w:space="0" w:color="auto"/>
                                                                                                    <w:right w:val="none" w:sz="0" w:space="0" w:color="auto"/>
                                                                                                  </w:divBdr>
                                                                                                  <w:divsChild>
                                                                                                    <w:div w:id="534196524">
                                                                                                      <w:marLeft w:val="0"/>
                                                                                                      <w:marRight w:val="0"/>
                                                                                                      <w:marTop w:val="0"/>
                                                                                                      <w:marBottom w:val="0"/>
                                                                                                      <w:divBdr>
                                                                                                        <w:top w:val="none" w:sz="0" w:space="0" w:color="auto"/>
                                                                                                        <w:left w:val="none" w:sz="0" w:space="0" w:color="auto"/>
                                                                                                        <w:bottom w:val="none" w:sz="0" w:space="0" w:color="auto"/>
                                                                                                        <w:right w:val="none" w:sz="0" w:space="0" w:color="auto"/>
                                                                                                      </w:divBdr>
                                                                                                      <w:divsChild>
                                                                                                        <w:div w:id="1177043376">
                                                                                                          <w:marLeft w:val="0"/>
                                                                                                          <w:marRight w:val="0"/>
                                                                                                          <w:marTop w:val="15"/>
                                                                                                          <w:marBottom w:val="0"/>
                                                                                                          <w:divBdr>
                                                                                                            <w:top w:val="none" w:sz="0" w:space="0" w:color="auto"/>
                                                                                                            <w:left w:val="none" w:sz="0" w:space="0" w:color="auto"/>
                                                                                                            <w:bottom w:val="none" w:sz="0" w:space="0" w:color="auto"/>
                                                                                                            <w:right w:val="none" w:sz="0" w:space="0" w:color="auto"/>
                                                                                                          </w:divBdr>
                                                                                                          <w:divsChild>
                                                                                                            <w:div w:id="528375553">
                                                                                                              <w:marLeft w:val="0"/>
                                                                                                              <w:marRight w:val="0"/>
                                                                                                              <w:marTop w:val="0"/>
                                                                                                              <w:marBottom w:val="0"/>
                                                                                                              <w:divBdr>
                                                                                                                <w:top w:val="none" w:sz="0" w:space="0" w:color="auto"/>
                                                                                                                <w:left w:val="none" w:sz="0" w:space="0" w:color="auto"/>
                                                                                                                <w:bottom w:val="none" w:sz="0" w:space="0" w:color="auto"/>
                                                                                                                <w:right w:val="none" w:sz="0" w:space="0" w:color="auto"/>
                                                                                                              </w:divBdr>
                                                                                                              <w:divsChild>
                                                                                                                <w:div w:id="2114782416">
                                                                                                                  <w:marLeft w:val="0"/>
                                                                                                                  <w:marRight w:val="0"/>
                                                                                                                  <w:marTop w:val="0"/>
                                                                                                                  <w:marBottom w:val="0"/>
                                                                                                                  <w:divBdr>
                                                                                                                    <w:top w:val="none" w:sz="0" w:space="0" w:color="auto"/>
                                                                                                                    <w:left w:val="none" w:sz="0" w:space="0" w:color="auto"/>
                                                                                                                    <w:bottom w:val="none" w:sz="0" w:space="0" w:color="auto"/>
                                                                                                                    <w:right w:val="none" w:sz="0" w:space="0" w:color="auto"/>
                                                                                                                  </w:divBdr>
                                                                                                                  <w:divsChild>
                                                                                                                    <w:div w:id="303777513">
                                                                                                                      <w:marLeft w:val="0"/>
                                                                                                                      <w:marRight w:val="0"/>
                                                                                                                      <w:marTop w:val="0"/>
                                                                                                                      <w:marBottom w:val="0"/>
                                                                                                                      <w:divBdr>
                                                                                                                        <w:top w:val="none" w:sz="0" w:space="0" w:color="auto"/>
                                                                                                                        <w:left w:val="none" w:sz="0" w:space="0" w:color="auto"/>
                                                                                                                        <w:bottom w:val="none" w:sz="0" w:space="0" w:color="auto"/>
                                                                                                                        <w:right w:val="none" w:sz="0" w:space="0" w:color="auto"/>
                                                                                                                      </w:divBdr>
                                                                                                                      <w:divsChild>
                                                                                                                        <w:div w:id="753161916">
                                                                                                                          <w:marLeft w:val="0"/>
                                                                                                                          <w:marRight w:val="0"/>
                                                                                                                          <w:marTop w:val="0"/>
                                                                                                                          <w:marBottom w:val="0"/>
                                                                                                                          <w:divBdr>
                                                                                                                            <w:top w:val="none" w:sz="0" w:space="0" w:color="auto"/>
                                                                                                                            <w:left w:val="none" w:sz="0" w:space="0" w:color="auto"/>
                                                                                                                            <w:bottom w:val="none" w:sz="0" w:space="0" w:color="auto"/>
                                                                                                                            <w:right w:val="none" w:sz="0" w:space="0" w:color="auto"/>
                                                                                                                          </w:divBdr>
                                                                                                                          <w:divsChild>
                                                                                                                            <w:div w:id="5651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096070">
      <w:bodyDiv w:val="1"/>
      <w:marLeft w:val="0"/>
      <w:marRight w:val="0"/>
      <w:marTop w:val="0"/>
      <w:marBottom w:val="0"/>
      <w:divBdr>
        <w:top w:val="none" w:sz="0" w:space="0" w:color="auto"/>
        <w:left w:val="none" w:sz="0" w:space="0" w:color="auto"/>
        <w:bottom w:val="none" w:sz="0" w:space="0" w:color="auto"/>
        <w:right w:val="none" w:sz="0" w:space="0" w:color="auto"/>
      </w:divBdr>
    </w:div>
    <w:div w:id="21394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www.ferc.gov/CalendarFiles/20160909154402-staff-no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919A</_x0031__x002e__x0020_Collection_x0020_Number>
    <Date xmlns="d6eefc7d-9817-4fa6-84d5-3bc009be21b8">2020-03-12T04:00:00.000Z</Dat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RM18-17</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04089-58C2-4FA1-9DA6-3E56F58A7AD4}">
  <ds:schemaRefs>
    <ds:schemaRef ds:uri="Microsoft.SharePoint.Taxonomy.ContentTypeSync"/>
  </ds:schemaRefs>
</ds:datastoreItem>
</file>

<file path=customXml/itemProps2.xml><?xml version="1.0" encoding="utf-8"?>
<ds:datastoreItem xmlns:ds="http://schemas.openxmlformats.org/officeDocument/2006/customXml" ds:itemID="{F4066863-0AD3-4FB7-AB6B-F5F305C365B8}">
  <ds:schemaRefs>
    <ds:schemaRef ds:uri="http://schemas.microsoft.com/office/2006/metadata/customXsn"/>
  </ds:schemaRefs>
</ds:datastoreItem>
</file>

<file path=customXml/itemProps3.xml><?xml version="1.0" encoding="utf-8"?>
<ds:datastoreItem xmlns:ds="http://schemas.openxmlformats.org/officeDocument/2006/customXml" ds:itemID="{E420B679-E6B1-409C-B1B1-A730CF36D1A8}">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20718CA-22C1-4769-B83F-867623E8C6E9}">
  <ds:schemaRefs>
    <ds:schemaRef ds:uri="http://schemas.microsoft.com/sharepoint/v3/contenttype/forms"/>
  </ds:schemaRefs>
</ds:datastoreItem>
</file>

<file path=customXml/itemProps5.xml><?xml version="1.0" encoding="utf-8"?>
<ds:datastoreItem xmlns:ds="http://schemas.openxmlformats.org/officeDocument/2006/customXml" ds:itemID="{191E84F1-1C97-4690-8453-AE85A3222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5993C4-D9E2-44F4-8022-1F883F33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RM16-17 Final Rule Supporting Statement</vt:lpstr>
    </vt:vector>
  </TitlesOfParts>
  <Company>FERC</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RM16-17 Final Rule Supporting Statement</dc:title>
  <dc:subject/>
  <dc:creator>ferc</dc:creator>
  <cp:keywords/>
  <dc:description/>
  <cp:lastModifiedBy>Ellen Brown</cp:lastModifiedBy>
  <cp:revision>5</cp:revision>
  <cp:lastPrinted>2019-07-18T12:39:00Z</cp:lastPrinted>
  <dcterms:created xsi:type="dcterms:W3CDTF">2020-03-12T13:10:00Z</dcterms:created>
  <dcterms:modified xsi:type="dcterms:W3CDTF">2020-03-12T13:13:00Z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y fmtid="{D5CDD505-2E9C-101B-9397-08002B2CF9AE}" pid="4" name="MSIP_Label_ce1c3a0c-0a9f-46ac-929d-37a2930e205e_Enabled">
    <vt:lpwstr>False</vt:lpwstr>
  </property>
  <property fmtid="{D5CDD505-2E9C-101B-9397-08002B2CF9AE}" pid="5" name="MSIP_Label_ce1c3a0c-0a9f-46ac-929d-37a2930e205e_SiteId">
    <vt:lpwstr>19caa9e9-04ff-43fa-885f-d77fac387903</vt:lpwstr>
  </property>
  <property fmtid="{D5CDD505-2E9C-101B-9397-08002B2CF9AE}" pid="6" name="MSIP_Label_ce1c3a0c-0a9f-46ac-929d-37a2930e205e_Owner">
    <vt:lpwstr>Laura.Chipkin@ferc.gov</vt:lpwstr>
  </property>
  <property fmtid="{D5CDD505-2E9C-101B-9397-08002B2CF9AE}" pid="7" name="MSIP_Label_ce1c3a0c-0a9f-46ac-929d-37a2930e205e_SetDate">
    <vt:lpwstr>2019-07-08T16:52:53.9082001Z</vt:lpwstr>
  </property>
  <property fmtid="{D5CDD505-2E9C-101B-9397-08002B2CF9AE}" pid="8" name="MSIP_Label_ce1c3a0c-0a9f-46ac-929d-37a2930e205e_Name">
    <vt:lpwstr>INV</vt:lpwstr>
  </property>
  <property fmtid="{D5CDD505-2E9C-101B-9397-08002B2CF9AE}" pid="9" name="MSIP_Label_ce1c3a0c-0a9f-46ac-929d-37a2930e205e_Application">
    <vt:lpwstr>Microsoft Azure Information Protection</vt:lpwstr>
  </property>
  <property fmtid="{D5CDD505-2E9C-101B-9397-08002B2CF9AE}" pid="10" name="MSIP_Label_ce1c3a0c-0a9f-46ac-929d-37a2930e205e_ActionId">
    <vt:lpwstr>52c2545c-f629-4119-a7c4-b3612d3fa80c</vt:lpwstr>
  </property>
  <property fmtid="{D5CDD505-2E9C-101B-9397-08002B2CF9AE}" pid="11" name="MSIP_Label_ce1c3a0c-0a9f-46ac-929d-37a2930e205e_Extended_MSFT_Method">
    <vt:lpwstr>Manual</vt:lpwstr>
  </property>
</Properties>
</file>