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AF36B" w14:textId="77777777" w:rsidR="00F86890" w:rsidRDefault="00F86890" w:rsidP="00F86890">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992091" w14:textId="77777777" w:rsidR="00F86890" w:rsidRPr="003972BD" w:rsidRDefault="00F86890" w:rsidP="00F86890">
      <w:pPr>
        <w:jc w:val="center"/>
      </w:pPr>
      <w:r>
        <w:t xml:space="preserve">FEDERAL </w:t>
      </w:r>
      <w:r w:rsidRPr="003972BD">
        <w:t>ENERGY REGULATORY COMMISSION</w:t>
      </w:r>
    </w:p>
    <w:p w14:paraId="02834C92" w14:textId="77777777" w:rsidR="00F86890" w:rsidRPr="003972BD" w:rsidRDefault="00F86890" w:rsidP="00F86890"/>
    <w:p w14:paraId="021D341E" w14:textId="5DC14468" w:rsidR="00F86890" w:rsidRPr="003972BD" w:rsidRDefault="00F86890" w:rsidP="00F86890">
      <w:pPr>
        <w:jc w:val="center"/>
      </w:pPr>
      <w:r w:rsidRPr="003972BD">
        <w:t xml:space="preserve">[Docket No. </w:t>
      </w:r>
      <w:r w:rsidR="00462DBE" w:rsidRPr="003972BD">
        <w:t>IC</w:t>
      </w:r>
      <w:r w:rsidR="003972BD" w:rsidRPr="003972BD">
        <w:t>19</w:t>
      </w:r>
      <w:r w:rsidR="00462DBE" w:rsidRPr="003972BD">
        <w:t>-</w:t>
      </w:r>
      <w:r w:rsidR="003972BD" w:rsidRPr="003972BD">
        <w:t>40</w:t>
      </w:r>
      <w:r w:rsidRPr="003972BD">
        <w:t>-000]</w:t>
      </w:r>
    </w:p>
    <w:p w14:paraId="3565036C" w14:textId="77777777" w:rsidR="00F86890" w:rsidRPr="003972BD" w:rsidRDefault="00F86890" w:rsidP="00F86890"/>
    <w:p w14:paraId="7F410A43" w14:textId="7E32FFE0" w:rsidR="00F86890" w:rsidRPr="003972BD" w:rsidRDefault="00F86890" w:rsidP="00F86890">
      <w:pPr>
        <w:jc w:val="center"/>
      </w:pPr>
      <w:r w:rsidRPr="003972BD">
        <w:t>COMMISSION INFORMATION COLLECTION ACTIVITIES (FERC-</w:t>
      </w:r>
      <w:r w:rsidR="00520ED4" w:rsidRPr="003972BD">
        <w:t>516A</w:t>
      </w:r>
      <w:r w:rsidRPr="003972BD">
        <w:t>);</w:t>
      </w:r>
    </w:p>
    <w:p w14:paraId="7D33A233" w14:textId="77777777" w:rsidR="00F86890" w:rsidRPr="003972BD" w:rsidRDefault="00F86890" w:rsidP="00F86890">
      <w:pPr>
        <w:jc w:val="center"/>
      </w:pPr>
      <w:r w:rsidRPr="003972BD">
        <w:t>COMMENT REQUEST; EXTENSION</w:t>
      </w:r>
    </w:p>
    <w:p w14:paraId="40E27417" w14:textId="77777777" w:rsidR="00F86890" w:rsidRPr="003972BD" w:rsidRDefault="00F86890" w:rsidP="00F86890"/>
    <w:p w14:paraId="2F5147B8" w14:textId="77777777" w:rsidR="00415D8C" w:rsidRDefault="00415D8C" w:rsidP="00415D8C">
      <w:pPr>
        <w:jc w:val="center"/>
      </w:pPr>
      <w:r w:rsidRPr="00415D8C">
        <w:t>(August 28, 2019)</w:t>
      </w:r>
    </w:p>
    <w:p w14:paraId="19D2297B" w14:textId="77777777" w:rsidR="00415D8C" w:rsidRDefault="00415D8C" w:rsidP="00415D8C">
      <w:pPr>
        <w:jc w:val="center"/>
      </w:pPr>
    </w:p>
    <w:p w14:paraId="08B34019" w14:textId="5C3935CF" w:rsidR="00F86890" w:rsidRDefault="00CE64F2" w:rsidP="00415D8C">
      <w:r w:rsidRPr="00415D8C">
        <w:rPr>
          <w:b/>
        </w:rPr>
        <w:t>AGENCY:</w:t>
      </w:r>
      <w:r w:rsidRPr="00415D8C">
        <w:t xml:space="preserve">  </w:t>
      </w:r>
      <w:r w:rsidR="00F86890" w:rsidRPr="00415D8C">
        <w:t>Federal Energy Regulatory Commission.</w:t>
      </w:r>
    </w:p>
    <w:p w14:paraId="05445EF9" w14:textId="77777777" w:rsidR="00415D8C" w:rsidRPr="00415D8C" w:rsidRDefault="00415D8C" w:rsidP="00415D8C"/>
    <w:p w14:paraId="5FAEBA59" w14:textId="77777777" w:rsidR="00F86890" w:rsidRDefault="00CE64F2" w:rsidP="00CE64F2">
      <w:pPr>
        <w:spacing w:line="480" w:lineRule="auto"/>
      </w:pPr>
      <w:r w:rsidRPr="00CE64F2">
        <w:rPr>
          <w:b/>
        </w:rPr>
        <w:t>ACTION:</w:t>
      </w:r>
      <w:r>
        <w:t xml:space="preserve">  </w:t>
      </w:r>
      <w:r w:rsidR="00F86890">
        <w:t>Notice of information collection and request for comments.</w:t>
      </w:r>
    </w:p>
    <w:p w14:paraId="4D2FDC2C" w14:textId="421AAF10" w:rsidR="00F86890" w:rsidRDefault="00F86890" w:rsidP="00CE64F2">
      <w:pPr>
        <w:spacing w:line="480" w:lineRule="auto"/>
      </w:pPr>
      <w:r w:rsidRPr="00CE64F2">
        <w:rPr>
          <w:b/>
        </w:rPr>
        <w:t>SUMMARY:</w:t>
      </w:r>
      <w:r>
        <w:t xml:space="preserve">  In compliance with the requirements of </w:t>
      </w:r>
      <w:r w:rsidR="00DA7F57">
        <w:t xml:space="preserve">the </w:t>
      </w:r>
      <w:r w:rsidR="0005366B">
        <w:t>Paperwork Reduction Act of 1995</w:t>
      </w:r>
      <w:r>
        <w:t xml:space="preserve">, the Federal Energy Regulatory Commission (Commission or FERC) is soliciting public comment on the </w:t>
      </w:r>
      <w:r w:rsidR="00E146ED">
        <w:t xml:space="preserve">currently approved information collection, </w:t>
      </w:r>
      <w:r w:rsidR="00520ED4">
        <w:rPr>
          <w:szCs w:val="26"/>
        </w:rPr>
        <w:t>FERC-516A, Small Generator Interconnection Agreements</w:t>
      </w:r>
      <w:r>
        <w:t xml:space="preserve">. </w:t>
      </w:r>
    </w:p>
    <w:p w14:paraId="401E56C8" w14:textId="1ED92C3C" w:rsidR="00F86890" w:rsidRDefault="00F86890" w:rsidP="00CE64F2">
      <w:pPr>
        <w:spacing w:line="480" w:lineRule="auto"/>
      </w:pPr>
      <w:r w:rsidRPr="00CE64F2">
        <w:rPr>
          <w:b/>
        </w:rPr>
        <w:t>DATES:</w:t>
      </w:r>
      <w:r>
        <w:t xml:space="preserve">  Comments </w:t>
      </w:r>
      <w:r w:rsidR="00DA7F57">
        <w:t>on</w:t>
      </w:r>
      <w:r>
        <w:t xml:space="preserve"> the collection of information are due [</w:t>
      </w:r>
      <w:r w:rsidR="00415D8C" w:rsidRPr="00520ED4">
        <w:rPr>
          <w:b/>
        </w:rPr>
        <w:t xml:space="preserve">INSERT DATE </w:t>
      </w:r>
      <w:r w:rsidRPr="00520ED4">
        <w:rPr>
          <w:b/>
        </w:rPr>
        <w:t xml:space="preserve">60 </w:t>
      </w:r>
      <w:r w:rsidR="00415D8C" w:rsidRPr="00520ED4">
        <w:rPr>
          <w:b/>
        </w:rPr>
        <w:t xml:space="preserve">DAYS AFTER </w:t>
      </w:r>
      <w:r w:rsidR="00415D8C">
        <w:rPr>
          <w:b/>
        </w:rPr>
        <w:t xml:space="preserve">DATE OF </w:t>
      </w:r>
      <w:r w:rsidR="00415D8C" w:rsidRPr="00520ED4">
        <w:rPr>
          <w:b/>
        </w:rPr>
        <w:t>PUBLICATION IN THE FEDERAL REGISTER</w:t>
      </w:r>
      <w:r>
        <w:t xml:space="preserve">]. </w:t>
      </w:r>
    </w:p>
    <w:p w14:paraId="66F4057B" w14:textId="06009EC0" w:rsidR="00537276" w:rsidRDefault="00F86890" w:rsidP="00CE64F2">
      <w:pPr>
        <w:spacing w:line="480" w:lineRule="auto"/>
      </w:pPr>
      <w:r w:rsidRPr="00CE64F2">
        <w:rPr>
          <w:b/>
        </w:rPr>
        <w:t>ADDRESSES:</w:t>
      </w:r>
      <w:r>
        <w:t xml:space="preserve">  </w:t>
      </w:r>
      <w:r w:rsidR="005346F4">
        <w:t>You may submit comments</w:t>
      </w:r>
      <w:r w:rsidR="00537276">
        <w:t xml:space="preserve"> </w:t>
      </w:r>
      <w:r w:rsidR="00AB436E">
        <w:t>(</w:t>
      </w:r>
      <w:r w:rsidR="00537276">
        <w:t xml:space="preserve">identified by Docket </w:t>
      </w:r>
      <w:r w:rsidR="00537276" w:rsidRPr="003972BD">
        <w:t xml:space="preserve">No. </w:t>
      </w:r>
      <w:r w:rsidR="00462DBE" w:rsidRPr="003972BD">
        <w:t>IC</w:t>
      </w:r>
      <w:r w:rsidR="003972BD" w:rsidRPr="003972BD">
        <w:t>19</w:t>
      </w:r>
      <w:r w:rsidR="00462DBE" w:rsidRPr="003972BD">
        <w:t>-</w:t>
      </w:r>
      <w:r w:rsidR="003972BD" w:rsidRPr="003972BD">
        <w:t>40</w:t>
      </w:r>
      <w:r w:rsidR="00537276" w:rsidRPr="003972BD">
        <w:t>-000</w:t>
      </w:r>
      <w:r w:rsidR="00AB436E" w:rsidRPr="003972BD">
        <w:t xml:space="preserve">) </w:t>
      </w:r>
      <w:r w:rsidR="00537276" w:rsidRPr="003972BD">
        <w:t>by</w:t>
      </w:r>
      <w:r w:rsidR="00537276">
        <w:t xml:space="preserve"> </w:t>
      </w:r>
      <w:r w:rsidR="00004A34">
        <w:t>either</w:t>
      </w:r>
      <w:r w:rsidR="00537276">
        <w:t xml:space="preserve"> of the following methods:</w:t>
      </w:r>
    </w:p>
    <w:p w14:paraId="3A831CD2" w14:textId="77777777" w:rsidR="008410EA" w:rsidRDefault="00537276" w:rsidP="00AB436E">
      <w:pPr>
        <w:numPr>
          <w:ilvl w:val="0"/>
          <w:numId w:val="2"/>
        </w:numPr>
        <w:tabs>
          <w:tab w:val="clear" w:pos="1500"/>
          <w:tab w:val="num" w:pos="1080"/>
        </w:tabs>
        <w:spacing w:line="480" w:lineRule="auto"/>
        <w:ind w:left="720" w:firstLine="0"/>
      </w:pPr>
      <w:bookmarkStart w:id="1" w:name="OLE_LINK1"/>
      <w:r>
        <w:t>eFiling</w:t>
      </w:r>
      <w:r w:rsidR="00EC657E">
        <w:t xml:space="preserve"> at Commission’s Web Site: </w:t>
      </w:r>
      <w:hyperlink r:id="rId14" w:history="1">
        <w:r w:rsidR="00AB436E" w:rsidRPr="00EC7068">
          <w:rPr>
            <w:rStyle w:val="Hyperlink"/>
          </w:rPr>
          <w:t>http://www.ferc.gov/docs-filing/efiling.asp</w:t>
        </w:r>
      </w:hyperlink>
    </w:p>
    <w:p w14:paraId="52F575A9" w14:textId="77777777" w:rsidR="00EE64A4" w:rsidRDefault="008410EA" w:rsidP="00A17794">
      <w:pPr>
        <w:numPr>
          <w:ilvl w:val="0"/>
          <w:numId w:val="2"/>
        </w:numPr>
        <w:tabs>
          <w:tab w:val="clear" w:pos="1500"/>
          <w:tab w:val="num" w:pos="1080"/>
        </w:tabs>
        <w:spacing w:line="480" w:lineRule="auto"/>
        <w:ind w:left="1080"/>
      </w:pPr>
      <w:r>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2DAFB846"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5" w:history="1">
        <w:r w:rsidR="00D63246" w:rsidRPr="00866BB4">
          <w:rPr>
            <w:rStyle w:val="Hyperlink"/>
          </w:rPr>
          <w:t>http://www.ferc.gov/help/submission-guide.asp</w:t>
        </w:r>
      </w:hyperlink>
      <w:r w:rsidR="00D63246">
        <w:t xml:space="preserve">.  </w:t>
      </w:r>
      <w:r w:rsidR="00D76D45">
        <w:t xml:space="preserve">For user assistance </w:t>
      </w:r>
      <w:r w:rsidR="00F30FE9">
        <w:t>c</w:t>
      </w:r>
      <w:r w:rsidR="00D76D45">
        <w:t>ontact FERC Online Support by e-mail at ferconlinesupport@ferc.gov, or by phone at:  (866) 208-3676 (toll-free), or (202) 502-8659 for TTY.</w:t>
      </w:r>
    </w:p>
    <w:p w14:paraId="493D3424" w14:textId="77777777" w:rsidR="00D76D45" w:rsidRPr="00241BFD" w:rsidRDefault="00785CF9" w:rsidP="006902C3">
      <w:pPr>
        <w:spacing w:line="480" w:lineRule="auto"/>
      </w:pPr>
      <w:r>
        <w:rPr>
          <w:i/>
        </w:rPr>
        <w:lastRenderedPageBreak/>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6" w:history="1">
        <w:r w:rsidR="00241BFD" w:rsidRPr="0057675D">
          <w:rPr>
            <w:rStyle w:val="Hyperlink"/>
          </w:rPr>
          <w:t>http://www.ferc.gov/docs-filing/docs-filing.asp</w:t>
        </w:r>
      </w:hyperlink>
      <w:r w:rsidR="00241BFD">
        <w:t xml:space="preserve">. </w:t>
      </w:r>
    </w:p>
    <w:bookmarkEnd w:id="1"/>
    <w:p w14:paraId="4C061355" w14:textId="77777777" w:rsidR="00F86890" w:rsidRDefault="00F86890" w:rsidP="00CE64F2">
      <w:pPr>
        <w:spacing w:line="480" w:lineRule="auto"/>
      </w:pPr>
      <w:r w:rsidRPr="00656DF0">
        <w:rPr>
          <w:b/>
        </w:rPr>
        <w:t xml:space="preserve">FOR FURTHER </w:t>
      </w:r>
      <w:r w:rsidRPr="003972BD">
        <w:rPr>
          <w:b/>
        </w:rPr>
        <w:t>INFORMATION:</w:t>
      </w:r>
      <w:r w:rsidRPr="003972BD">
        <w:t xml:space="preserve">  </w:t>
      </w:r>
      <w:smartTag w:uri="urn:schemas-microsoft-com:office:smarttags" w:element="PersonName">
        <w:r w:rsidRPr="003972BD">
          <w:t>Ellen Brown</w:t>
        </w:r>
      </w:smartTag>
      <w:r w:rsidRPr="003972BD">
        <w:t xml:space="preserve"> may</w:t>
      </w:r>
      <w:r>
        <w:t xml:space="preserve"> be reached by e-mail at </w:t>
      </w:r>
      <w:hyperlink r:id="rId17" w:history="1">
        <w:r w:rsidR="00C56512" w:rsidRPr="00006D4B">
          <w:rPr>
            <w:rStyle w:val="Hyperlink"/>
          </w:rPr>
          <w:t>DataClearance@FERC.gov</w:t>
        </w:r>
      </w:hyperlink>
      <w:r>
        <w:t>, telephone at (202) 502-8663, and fax at (202) 273-0873.</w:t>
      </w:r>
    </w:p>
    <w:p w14:paraId="20207DF2" w14:textId="77777777" w:rsidR="00C056FE" w:rsidRDefault="00F86890" w:rsidP="00CE64F2">
      <w:pPr>
        <w:spacing w:line="480" w:lineRule="auto"/>
      </w:pPr>
      <w:r>
        <w:t xml:space="preserve"> </w:t>
      </w:r>
      <w:r w:rsidRPr="001C3703">
        <w:rPr>
          <w:b/>
        </w:rPr>
        <w:t>SUPPLEMENTARY INFORMATION:</w:t>
      </w:r>
      <w:r>
        <w:t xml:space="preserve">  </w:t>
      </w:r>
    </w:p>
    <w:p w14:paraId="198C6D21" w14:textId="19FB3763" w:rsidR="00C056FE" w:rsidRPr="00520ED4" w:rsidRDefault="00C056FE" w:rsidP="00CE64F2">
      <w:pPr>
        <w:spacing w:line="480" w:lineRule="auto"/>
      </w:pPr>
      <w:r>
        <w:rPr>
          <w:i/>
        </w:rPr>
        <w:t>Title:</w:t>
      </w:r>
      <w:r w:rsidR="00CD787F">
        <w:rPr>
          <w:i/>
        </w:rPr>
        <w:t xml:space="preserve"> </w:t>
      </w:r>
      <w:r w:rsidR="00520ED4">
        <w:rPr>
          <w:szCs w:val="26"/>
        </w:rPr>
        <w:t>FERC-516A, Standardization of Small Generator Interconnection Agreements and Procedures.</w:t>
      </w:r>
    </w:p>
    <w:p w14:paraId="3B435804" w14:textId="1EDCF726" w:rsidR="00C056FE" w:rsidRDefault="00C056FE" w:rsidP="00CE64F2">
      <w:pPr>
        <w:spacing w:line="480" w:lineRule="auto"/>
      </w:pPr>
      <w:r>
        <w:rPr>
          <w:i/>
        </w:rPr>
        <w:t>OMB Control No.:</w:t>
      </w:r>
      <w:r w:rsidR="00F50EDA" w:rsidRPr="00F50EDA">
        <w:t xml:space="preserve"> </w:t>
      </w:r>
      <w:r w:rsidR="00520ED4">
        <w:t>1902-0203</w:t>
      </w:r>
    </w:p>
    <w:p w14:paraId="219460CE" w14:textId="21C54A28" w:rsidR="00C056FE" w:rsidRDefault="00C056FE" w:rsidP="00CE64F2">
      <w:pPr>
        <w:spacing w:line="480" w:lineRule="auto"/>
      </w:pPr>
      <w:r>
        <w:rPr>
          <w:i/>
        </w:rPr>
        <w:t>Type of Request:</w:t>
      </w:r>
      <w:r>
        <w:t xml:space="preserve"> Three-year extension of the FERC-</w:t>
      </w:r>
      <w:r w:rsidR="00520ED4">
        <w:t>516A</w:t>
      </w:r>
      <w:r>
        <w:t xml:space="preserve"> information collection </w:t>
      </w:r>
      <w:r w:rsidR="009447D3">
        <w:t xml:space="preserve">requirements with no changes to the current reporting requirements. </w:t>
      </w:r>
    </w:p>
    <w:p w14:paraId="54711963" w14:textId="77777777" w:rsidR="00520ED4" w:rsidRPr="00520ED4" w:rsidRDefault="00F76482" w:rsidP="00520ED4">
      <w:pPr>
        <w:spacing w:line="480" w:lineRule="auto"/>
      </w:pPr>
      <w:r>
        <w:rPr>
          <w:i/>
        </w:rPr>
        <w:t xml:space="preserve">Abstract: </w:t>
      </w:r>
      <w:r w:rsidR="00520ED4" w:rsidRPr="00520ED4">
        <w:t xml:space="preserve">Under Sections 205 and 206 of the Federal Power Act (FPA)  the Commission is charged with ensuring just and reasonable electric transmission rates and charges as well as ensuring that jurisdictional providers do not subject any person to any undue prejudice or disadvantage.  </w:t>
      </w:r>
    </w:p>
    <w:p w14:paraId="11E7C781" w14:textId="77777777" w:rsidR="00520ED4" w:rsidRPr="00520ED4" w:rsidRDefault="00520ED4" w:rsidP="00520ED4">
      <w:pPr>
        <w:spacing w:line="480" w:lineRule="auto"/>
      </w:pPr>
      <w:r w:rsidRPr="00520ED4">
        <w:tab/>
        <w:t xml:space="preserve">The lack of consistent and readily accessible terms and conditions for connecting resources to the grid led to a large number of disputes between jurisdictional transmission providers and small generators  in the late 1990s and early 2000s.  In response, the Commission directed transmission providers to include Commission-approved, standard, pro-forma interconnection procedures (small generator interconnection procedures or SGIP) and a single uniformly applicable interconnection agreement (small generator interconnection agreement or SGIA) in their open-access transmission tariffs (OATTs).  </w:t>
      </w:r>
      <w:r w:rsidRPr="00520ED4">
        <w:lastRenderedPageBreak/>
        <w:t>The requirement to create and file these documents was instituted August 2005 by Commission Order No. 2006  and is codified in 18 CFR 35.28(f).  This requirement set and maintained a standard in OATTs for consistent consideration and processing of interconnection requests by transmission providers.</w:t>
      </w:r>
    </w:p>
    <w:p w14:paraId="03DD5FDB" w14:textId="77777777" w:rsidR="00520ED4" w:rsidRPr="00520ED4" w:rsidRDefault="00520ED4" w:rsidP="00520ED4">
      <w:pPr>
        <w:spacing w:line="480" w:lineRule="auto"/>
      </w:pPr>
      <w:r w:rsidRPr="00520ED4">
        <w:tab/>
        <w:t xml:space="preserve">Since the issuance of Order No. 2006, many aspects of the energy industry have changed including the growth of small generator interconnection requests  and the growth in solar photovoltaic (PV) installations.  These changes have been driven, in part, by state renewable energy goals and policies.  For example, approximately 3,300 MW of grid-connected PV capacity were installed in the U.S. in 2012  compared to 79 MW in 2005, the year Order No. 2006 was issued.   </w:t>
      </w:r>
    </w:p>
    <w:p w14:paraId="5EB30CAE" w14:textId="77777777" w:rsidR="00520ED4" w:rsidRPr="00520ED4" w:rsidRDefault="00520ED4" w:rsidP="00520ED4">
      <w:pPr>
        <w:spacing w:line="480" w:lineRule="auto"/>
      </w:pPr>
      <w:r w:rsidRPr="00520ED4">
        <w:tab/>
        <w:t xml:space="preserve">In February 2012, pursuant to Sections 205 and 206 of the FPA and Rule 207 of the Commission’s Rules of Practice and Procedures,  and noting that the Commission encouraged stakeholders to submit proposed revisions to the regulations set forth in Order No. 2006,  the Solar Energy Industries Association (SEIA) filed a Petition to Initiate Rulemaking (Petition).  The Petition requested the Commission revise the pro forma SGIA and SGIP set forth in Order No. 2006.  SEIA asserted that the pro forma SGIP and SGIA as applied to small solar generation were no longer just and reasonable, had become unduly discriminatory, and presented unreasonable barriers to market entry.   SEIA noted that its Petition would apply exclusively to solar electric generation due to its unique characteristics. </w:t>
      </w:r>
    </w:p>
    <w:p w14:paraId="15FA4AED" w14:textId="77777777" w:rsidR="00520ED4" w:rsidRPr="00520ED4" w:rsidRDefault="00520ED4" w:rsidP="00520ED4">
      <w:pPr>
        <w:spacing w:line="480" w:lineRule="auto"/>
      </w:pPr>
      <w:r w:rsidRPr="00520ED4">
        <w:tab/>
        <w:t xml:space="preserve">In 2012 the Commission issued a Notice of Petition for Rulemaking in Docket No. RM12-10-000 and began a public process to explore SEIA’s Petition through the Commission’s formal notice and comment process as well as technical conferences.  </w:t>
      </w:r>
    </w:p>
    <w:p w14:paraId="3E192629" w14:textId="77777777" w:rsidR="00520ED4" w:rsidRPr="00520ED4" w:rsidRDefault="00520ED4" w:rsidP="00520ED4">
      <w:pPr>
        <w:spacing w:line="480" w:lineRule="auto"/>
      </w:pPr>
      <w:r w:rsidRPr="00520ED4">
        <w:tab/>
        <w:t xml:space="preserve">In November 2013, the Commission issued Order No. 792 to amend the pro forma Small Generator Interconnection Procedures and pro forma Small Generator Interconnection Agreement.   </w:t>
      </w:r>
    </w:p>
    <w:p w14:paraId="65D9D858" w14:textId="77777777" w:rsidR="00520ED4" w:rsidRPr="00520ED4" w:rsidRDefault="00520ED4" w:rsidP="00520ED4">
      <w:pPr>
        <w:spacing w:line="480" w:lineRule="auto"/>
      </w:pPr>
      <w:r w:rsidRPr="00520ED4">
        <w:tab/>
        <w:t xml:space="preserve">Order No. 792:  (1) incorporates provisions that provide an Interconnection Customer with the option of requesting from the Transmission Provider a pre-application report providing existing information about system conditions at a possible Point of Interconnection; (2) revised the 2 megawatt (MW) threshold for participation in the Fast Track Process included in section 2 of the pro forma SGIP; (3) revised the customer options meeting and the supplemental review following failure of the Fast Track screens so that the supplemental review is performed at the discretion of the Interconnection Customer and includes minimum load and other screens to determine if a Small Generating Facility may be interconnected safely and reliably; (4) revised the pro forma SGIP Facilities Study Agreement to allow the Interconnection Customer the opportunity to provide written comments to the Transmission Provider on the upgrades required for interconnection;   (5) revised the pro forma SGIP and the pro forma SGIA to specifically include energy storage devices; and (6) clarified certain sections of the pro forma SGIP and the pro forma SGIA.  </w:t>
      </w:r>
    </w:p>
    <w:p w14:paraId="54528006" w14:textId="4AE33589" w:rsidR="00F50EDA" w:rsidRPr="00520ED4" w:rsidRDefault="00520ED4" w:rsidP="00520ED4">
      <w:pPr>
        <w:spacing w:line="480" w:lineRule="auto"/>
      </w:pPr>
      <w:r w:rsidRPr="00520ED4">
        <w:tab/>
        <w:t>With these modifications, the Commission concluded that the package of reforms adopted in Order No. 792 will reduce the time and cost to process small generator interconnection requests for Interconnection Customers and Transmission Providers, maintain reliability, increase energy supply, and remove barriers to the development of new energy resources.</w:t>
      </w:r>
    </w:p>
    <w:p w14:paraId="7C064110" w14:textId="4A7D7080" w:rsidR="009679E3" w:rsidRPr="009679E3" w:rsidRDefault="009537F4" w:rsidP="00CE64F2">
      <w:pPr>
        <w:spacing w:line="480" w:lineRule="auto"/>
      </w:pPr>
      <w:r>
        <w:rPr>
          <w:i/>
        </w:rPr>
        <w:t xml:space="preserve">Type of Respondents: </w:t>
      </w:r>
      <w:r w:rsidR="00520ED4">
        <w:t>Jurisdictional transmission service providers.</w:t>
      </w:r>
      <w:r>
        <w:t xml:space="preserve"> </w:t>
      </w:r>
    </w:p>
    <w:p w14:paraId="16FB0FAE" w14:textId="77777777" w:rsidR="00696A1D" w:rsidRDefault="00696A1D" w:rsidP="00696A1D">
      <w:pPr>
        <w:spacing w:line="480" w:lineRule="auto"/>
      </w:pPr>
      <w:r>
        <w:rPr>
          <w:i/>
        </w:rPr>
        <w:t>Estimate of Annual Burden</w:t>
      </w:r>
      <w:r>
        <w:rPr>
          <w:rStyle w:val="FootnoteReference"/>
          <w:i/>
        </w:rPr>
        <w:footnoteReference w:id="1"/>
      </w:r>
      <w:r>
        <w:rPr>
          <w:i/>
        </w:rPr>
        <w:t xml:space="preserve">: </w:t>
      </w:r>
      <w:r>
        <w:t>The Commission estimates the annual public reporting burden for the information collection as:</w:t>
      </w:r>
    </w:p>
    <w:tbl>
      <w:tblPr>
        <w:tblW w:w="9975"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785"/>
        <w:gridCol w:w="1350"/>
        <w:gridCol w:w="1530"/>
        <w:gridCol w:w="1260"/>
        <w:gridCol w:w="1350"/>
        <w:gridCol w:w="1440"/>
        <w:gridCol w:w="1260"/>
      </w:tblGrid>
      <w:tr w:rsidR="001F76BC" w:rsidRPr="001F76BC" w14:paraId="5DD3E610" w14:textId="77777777" w:rsidTr="00F234CB">
        <w:trPr>
          <w:cantSplit/>
        </w:trPr>
        <w:tc>
          <w:tcPr>
            <w:tcW w:w="9975" w:type="dxa"/>
            <w:gridSpan w:val="7"/>
            <w:shd w:val="clear" w:color="auto" w:fill="D9D9D9"/>
          </w:tcPr>
          <w:p w14:paraId="15E06D75"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sz w:val="20"/>
                <w:szCs w:val="20"/>
              </w:rPr>
            </w:pPr>
            <w:r w:rsidRPr="001F76BC">
              <w:rPr>
                <w:rFonts w:ascii="Times New Roman" w:hAnsi="Times New Roman"/>
                <w:b/>
                <w:sz w:val="20"/>
                <w:szCs w:val="20"/>
              </w:rPr>
              <w:t>FERC-516A (Standardization of Small Generator Interconnection Agreements and Procedures)</w:t>
            </w:r>
          </w:p>
        </w:tc>
      </w:tr>
      <w:tr w:rsidR="001F76BC" w:rsidRPr="001F76BC" w14:paraId="700F7840" w14:textId="77777777" w:rsidTr="00F234CB">
        <w:trPr>
          <w:cantSplit/>
        </w:trPr>
        <w:tc>
          <w:tcPr>
            <w:tcW w:w="1785" w:type="dxa"/>
            <w:shd w:val="clear" w:color="auto" w:fill="D9D9D9"/>
            <w:vAlign w:val="bottom"/>
          </w:tcPr>
          <w:p w14:paraId="252DD55F"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color w:val="000000"/>
                <w:sz w:val="20"/>
                <w:szCs w:val="20"/>
              </w:rPr>
            </w:pPr>
            <w:r w:rsidRPr="001F76BC">
              <w:rPr>
                <w:rFonts w:ascii="Times New Roman" w:hAnsi="Times New Roman"/>
                <w:b/>
                <w:color w:val="000000"/>
                <w:sz w:val="20"/>
                <w:szCs w:val="20"/>
              </w:rPr>
              <w:t>Requirements</w:t>
            </w:r>
            <w:r w:rsidRPr="001F76BC">
              <w:rPr>
                <w:rStyle w:val="FootnoteReference"/>
                <w:b w:val="0"/>
                <w:color w:val="000000"/>
                <w:sz w:val="20"/>
                <w:szCs w:val="20"/>
              </w:rPr>
              <w:footnoteReference w:id="2"/>
            </w:r>
          </w:p>
        </w:tc>
        <w:tc>
          <w:tcPr>
            <w:tcW w:w="1350" w:type="dxa"/>
            <w:tcBorders>
              <w:bottom w:val="single" w:sz="6" w:space="0" w:color="000000"/>
            </w:tcBorders>
            <w:shd w:val="clear" w:color="auto" w:fill="D9D9D9"/>
            <w:vAlign w:val="bottom"/>
          </w:tcPr>
          <w:p w14:paraId="6A5F6404"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color w:val="000000"/>
                <w:sz w:val="20"/>
                <w:szCs w:val="20"/>
              </w:rPr>
            </w:pPr>
            <w:r w:rsidRPr="001F76BC">
              <w:rPr>
                <w:rFonts w:ascii="Times New Roman" w:hAnsi="Times New Roman"/>
                <w:b/>
                <w:color w:val="000000"/>
                <w:sz w:val="20"/>
                <w:szCs w:val="20"/>
              </w:rPr>
              <w:t>Number of Respondents</w:t>
            </w:r>
          </w:p>
          <w:p w14:paraId="688CEABB"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color w:val="000000"/>
                <w:sz w:val="20"/>
                <w:szCs w:val="20"/>
              </w:rPr>
            </w:pPr>
            <w:r w:rsidRPr="001F76BC">
              <w:rPr>
                <w:rFonts w:ascii="Times New Roman" w:hAnsi="Times New Roman"/>
                <w:b/>
                <w:color w:val="000000"/>
                <w:sz w:val="20"/>
                <w:szCs w:val="20"/>
              </w:rPr>
              <w:t>Annually</w:t>
            </w:r>
          </w:p>
          <w:p w14:paraId="0115FCC0"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color w:val="000000"/>
                <w:sz w:val="20"/>
                <w:szCs w:val="20"/>
              </w:rPr>
            </w:pPr>
            <w:r w:rsidRPr="001F76BC">
              <w:rPr>
                <w:rFonts w:ascii="Times New Roman" w:hAnsi="Times New Roman"/>
                <w:b/>
                <w:color w:val="000000"/>
                <w:sz w:val="20"/>
                <w:szCs w:val="20"/>
              </w:rPr>
              <w:t>(1)</w:t>
            </w:r>
          </w:p>
        </w:tc>
        <w:tc>
          <w:tcPr>
            <w:tcW w:w="1530" w:type="dxa"/>
            <w:tcBorders>
              <w:bottom w:val="single" w:sz="6" w:space="0" w:color="000000"/>
            </w:tcBorders>
            <w:shd w:val="clear" w:color="auto" w:fill="D9D9D9"/>
            <w:vAlign w:val="bottom"/>
          </w:tcPr>
          <w:p w14:paraId="438E0C0B"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color w:val="000000"/>
                <w:sz w:val="20"/>
                <w:szCs w:val="20"/>
              </w:rPr>
            </w:pPr>
            <w:r w:rsidRPr="001F76BC">
              <w:rPr>
                <w:rFonts w:ascii="Times New Roman" w:hAnsi="Times New Roman"/>
                <w:b/>
                <w:color w:val="000000"/>
                <w:sz w:val="20"/>
                <w:szCs w:val="20"/>
              </w:rPr>
              <w:t>Annual Number of Responses Per Respondent</w:t>
            </w:r>
          </w:p>
          <w:p w14:paraId="3B70E7FA"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color w:val="000000"/>
                <w:sz w:val="20"/>
                <w:szCs w:val="20"/>
              </w:rPr>
            </w:pPr>
            <w:r w:rsidRPr="001F76BC">
              <w:rPr>
                <w:rFonts w:ascii="Times New Roman" w:hAnsi="Times New Roman"/>
                <w:b/>
                <w:color w:val="000000"/>
                <w:sz w:val="20"/>
                <w:szCs w:val="20"/>
              </w:rPr>
              <w:t>(2)</w:t>
            </w:r>
          </w:p>
        </w:tc>
        <w:tc>
          <w:tcPr>
            <w:tcW w:w="1260" w:type="dxa"/>
            <w:tcBorders>
              <w:bottom w:val="single" w:sz="6" w:space="0" w:color="000000"/>
            </w:tcBorders>
            <w:shd w:val="clear" w:color="auto" w:fill="D9D9D9"/>
            <w:vAlign w:val="bottom"/>
          </w:tcPr>
          <w:p w14:paraId="758028ED" w14:textId="46F38D8B"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color w:val="000000"/>
                <w:sz w:val="20"/>
                <w:szCs w:val="20"/>
              </w:rPr>
            </w:pPr>
            <w:r w:rsidRPr="001F76BC">
              <w:rPr>
                <w:rFonts w:ascii="Times New Roman" w:hAnsi="Times New Roman"/>
                <w:b/>
                <w:color w:val="000000"/>
                <w:sz w:val="20"/>
                <w:szCs w:val="20"/>
              </w:rPr>
              <w:t>Total Number of Responses (1)</w:t>
            </w:r>
            <w:r w:rsidR="000776A8">
              <w:rPr>
                <w:rFonts w:ascii="Times New Roman" w:hAnsi="Times New Roman"/>
                <w:b/>
                <w:color w:val="000000"/>
                <w:sz w:val="20"/>
                <w:szCs w:val="20"/>
              </w:rPr>
              <w:t xml:space="preserve"> </w:t>
            </w:r>
            <w:r w:rsidRPr="001F76BC">
              <w:rPr>
                <w:rFonts w:ascii="Times New Roman" w:hAnsi="Times New Roman"/>
                <w:b/>
                <w:color w:val="000000"/>
                <w:sz w:val="20"/>
                <w:szCs w:val="20"/>
              </w:rPr>
              <w:t>*</w:t>
            </w:r>
            <w:r w:rsidR="000776A8">
              <w:rPr>
                <w:rFonts w:ascii="Times New Roman" w:hAnsi="Times New Roman"/>
                <w:b/>
                <w:color w:val="000000"/>
                <w:sz w:val="20"/>
                <w:szCs w:val="20"/>
              </w:rPr>
              <w:t xml:space="preserve"> </w:t>
            </w:r>
            <w:r w:rsidRPr="001F76BC">
              <w:rPr>
                <w:rFonts w:ascii="Times New Roman" w:hAnsi="Times New Roman"/>
                <w:b/>
                <w:color w:val="000000"/>
                <w:sz w:val="20"/>
                <w:szCs w:val="20"/>
              </w:rPr>
              <w:t>(2)</w:t>
            </w:r>
            <w:r w:rsidR="000776A8">
              <w:rPr>
                <w:rFonts w:ascii="Times New Roman" w:hAnsi="Times New Roman"/>
                <w:b/>
                <w:color w:val="000000"/>
                <w:sz w:val="20"/>
                <w:szCs w:val="20"/>
              </w:rPr>
              <w:t xml:space="preserve"> </w:t>
            </w:r>
            <w:r w:rsidRPr="001F76BC">
              <w:rPr>
                <w:rFonts w:ascii="Times New Roman" w:hAnsi="Times New Roman"/>
                <w:b/>
                <w:color w:val="000000"/>
                <w:sz w:val="20"/>
                <w:szCs w:val="20"/>
              </w:rPr>
              <w:t>=</w:t>
            </w:r>
            <w:r w:rsidR="000776A8">
              <w:rPr>
                <w:rFonts w:ascii="Times New Roman" w:hAnsi="Times New Roman"/>
                <w:b/>
                <w:color w:val="000000"/>
                <w:sz w:val="20"/>
                <w:szCs w:val="20"/>
              </w:rPr>
              <w:t xml:space="preserve"> </w:t>
            </w:r>
            <w:r w:rsidRPr="001F76BC">
              <w:rPr>
                <w:rFonts w:ascii="Times New Roman" w:hAnsi="Times New Roman"/>
                <w:b/>
                <w:color w:val="000000"/>
                <w:sz w:val="20"/>
                <w:szCs w:val="20"/>
              </w:rPr>
              <w:t>(3)</w:t>
            </w:r>
          </w:p>
        </w:tc>
        <w:tc>
          <w:tcPr>
            <w:tcW w:w="1350" w:type="dxa"/>
            <w:tcBorders>
              <w:bottom w:val="single" w:sz="6" w:space="0" w:color="000000"/>
            </w:tcBorders>
            <w:shd w:val="clear" w:color="auto" w:fill="D9D9D9"/>
            <w:vAlign w:val="bottom"/>
          </w:tcPr>
          <w:p w14:paraId="50AEF466"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color w:val="000000"/>
                <w:sz w:val="20"/>
                <w:szCs w:val="20"/>
              </w:rPr>
            </w:pPr>
            <w:r w:rsidRPr="001F76BC">
              <w:rPr>
                <w:rFonts w:ascii="Times New Roman" w:hAnsi="Times New Roman"/>
                <w:b/>
                <w:color w:val="000000"/>
                <w:sz w:val="20"/>
                <w:szCs w:val="20"/>
              </w:rPr>
              <w:t>Average Burden &amp; Cost Per Response</w:t>
            </w:r>
            <w:r w:rsidRPr="001F76BC">
              <w:rPr>
                <w:rFonts w:ascii="Times New Roman" w:hAnsi="Times New Roman"/>
                <w:b/>
                <w:color w:val="000000"/>
                <w:sz w:val="20"/>
                <w:szCs w:val="20"/>
                <w:vertAlign w:val="superscript"/>
              </w:rPr>
              <w:footnoteReference w:id="3"/>
            </w:r>
          </w:p>
          <w:p w14:paraId="62E2C0E6"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color w:val="000000"/>
                <w:sz w:val="20"/>
                <w:szCs w:val="20"/>
              </w:rPr>
            </w:pPr>
            <w:r w:rsidRPr="001F76BC">
              <w:rPr>
                <w:rFonts w:ascii="Times New Roman" w:hAnsi="Times New Roman"/>
                <w:b/>
                <w:color w:val="000000"/>
                <w:sz w:val="20"/>
                <w:szCs w:val="20"/>
              </w:rPr>
              <w:t>(4)</w:t>
            </w:r>
          </w:p>
        </w:tc>
        <w:tc>
          <w:tcPr>
            <w:tcW w:w="1440" w:type="dxa"/>
            <w:tcBorders>
              <w:bottom w:val="single" w:sz="6" w:space="0" w:color="000000"/>
            </w:tcBorders>
            <w:shd w:val="clear" w:color="auto" w:fill="D9D9D9"/>
            <w:vAlign w:val="bottom"/>
          </w:tcPr>
          <w:p w14:paraId="300F1B36"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color w:val="000000"/>
                <w:sz w:val="20"/>
                <w:szCs w:val="20"/>
              </w:rPr>
            </w:pPr>
            <w:r w:rsidRPr="001F76BC">
              <w:rPr>
                <w:rFonts w:ascii="Times New Roman" w:hAnsi="Times New Roman"/>
                <w:b/>
                <w:color w:val="000000"/>
                <w:sz w:val="20"/>
                <w:szCs w:val="20"/>
              </w:rPr>
              <w:t>Total Annual Burden Hours &amp; Total Annual Cost</w:t>
            </w:r>
          </w:p>
          <w:p w14:paraId="4E93B06C" w14:textId="50DFF531"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color w:val="000000"/>
                <w:sz w:val="20"/>
                <w:szCs w:val="20"/>
              </w:rPr>
            </w:pPr>
            <w:r w:rsidRPr="001F76BC">
              <w:rPr>
                <w:rFonts w:ascii="Times New Roman" w:hAnsi="Times New Roman"/>
                <w:b/>
                <w:color w:val="000000"/>
                <w:sz w:val="20"/>
                <w:szCs w:val="20"/>
              </w:rPr>
              <w:t>(3)</w:t>
            </w:r>
            <w:r w:rsidR="00B46625">
              <w:rPr>
                <w:rFonts w:ascii="Times New Roman" w:hAnsi="Times New Roman"/>
                <w:b/>
                <w:color w:val="000000"/>
                <w:sz w:val="20"/>
                <w:szCs w:val="20"/>
              </w:rPr>
              <w:t xml:space="preserve"> * </w:t>
            </w:r>
            <w:r w:rsidRPr="001F76BC">
              <w:rPr>
                <w:rFonts w:ascii="Times New Roman" w:hAnsi="Times New Roman"/>
                <w:b/>
                <w:color w:val="000000"/>
                <w:sz w:val="20"/>
                <w:szCs w:val="20"/>
              </w:rPr>
              <w:t>(4)</w:t>
            </w:r>
            <w:r w:rsidR="00B46625">
              <w:rPr>
                <w:rFonts w:ascii="Times New Roman" w:hAnsi="Times New Roman"/>
                <w:b/>
                <w:color w:val="000000"/>
                <w:sz w:val="20"/>
                <w:szCs w:val="20"/>
              </w:rPr>
              <w:t xml:space="preserve"> </w:t>
            </w:r>
            <w:r w:rsidRPr="001F76BC">
              <w:rPr>
                <w:rFonts w:ascii="Times New Roman" w:hAnsi="Times New Roman"/>
                <w:b/>
                <w:color w:val="000000"/>
                <w:sz w:val="20"/>
                <w:szCs w:val="20"/>
              </w:rPr>
              <w:t>=</w:t>
            </w:r>
            <w:r w:rsidR="00B46625">
              <w:rPr>
                <w:rFonts w:ascii="Times New Roman" w:hAnsi="Times New Roman"/>
                <w:b/>
                <w:color w:val="000000"/>
                <w:sz w:val="20"/>
                <w:szCs w:val="20"/>
              </w:rPr>
              <w:t xml:space="preserve"> </w:t>
            </w:r>
            <w:r w:rsidRPr="001F76BC">
              <w:rPr>
                <w:rFonts w:ascii="Times New Roman" w:hAnsi="Times New Roman"/>
                <w:b/>
                <w:color w:val="000000"/>
                <w:sz w:val="20"/>
                <w:szCs w:val="20"/>
              </w:rPr>
              <w:t>(5)</w:t>
            </w:r>
          </w:p>
        </w:tc>
        <w:tc>
          <w:tcPr>
            <w:tcW w:w="1260" w:type="dxa"/>
            <w:tcBorders>
              <w:bottom w:val="single" w:sz="6" w:space="0" w:color="000000"/>
            </w:tcBorders>
            <w:shd w:val="clear" w:color="auto" w:fill="D9D9D9"/>
            <w:vAlign w:val="bottom"/>
          </w:tcPr>
          <w:p w14:paraId="12E3F5DB"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color w:val="000000"/>
                <w:sz w:val="20"/>
                <w:szCs w:val="20"/>
              </w:rPr>
            </w:pPr>
            <w:r w:rsidRPr="001F76BC">
              <w:rPr>
                <w:rFonts w:ascii="Times New Roman" w:hAnsi="Times New Roman"/>
                <w:b/>
                <w:color w:val="000000"/>
                <w:sz w:val="20"/>
                <w:szCs w:val="20"/>
              </w:rPr>
              <w:t>Cost per Respondent</w:t>
            </w:r>
          </w:p>
          <w:p w14:paraId="4E5B8522"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color w:val="000000"/>
                <w:sz w:val="20"/>
                <w:szCs w:val="20"/>
              </w:rPr>
            </w:pPr>
            <w:r w:rsidRPr="001F76BC">
              <w:rPr>
                <w:rFonts w:ascii="Times New Roman" w:hAnsi="Times New Roman"/>
                <w:b/>
                <w:color w:val="000000"/>
                <w:sz w:val="20"/>
                <w:szCs w:val="20"/>
              </w:rPr>
              <w:t>($)</w:t>
            </w:r>
          </w:p>
          <w:p w14:paraId="280F5A7F" w14:textId="13908E38"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color w:val="000000"/>
                <w:sz w:val="20"/>
                <w:szCs w:val="20"/>
              </w:rPr>
            </w:pPr>
            <w:r w:rsidRPr="001F76BC">
              <w:rPr>
                <w:rFonts w:ascii="Times New Roman" w:hAnsi="Times New Roman"/>
                <w:b/>
                <w:color w:val="000000"/>
                <w:sz w:val="20"/>
                <w:szCs w:val="20"/>
              </w:rPr>
              <w:t>(5)</w:t>
            </w:r>
            <w:r w:rsidR="00B46625">
              <w:rPr>
                <w:rFonts w:ascii="Times New Roman" w:hAnsi="Times New Roman"/>
                <w:b/>
                <w:color w:val="000000"/>
                <w:sz w:val="20"/>
                <w:szCs w:val="20"/>
              </w:rPr>
              <w:t xml:space="preserve"> </w:t>
            </w:r>
            <w:r w:rsidRPr="001F76BC">
              <w:rPr>
                <w:rFonts w:ascii="Times New Roman" w:eastAsia="Calibri" w:hAnsi="Times New Roman"/>
                <w:b/>
                <w:sz w:val="20"/>
                <w:szCs w:val="20"/>
              </w:rPr>
              <w:t>÷</w:t>
            </w:r>
            <w:r w:rsidR="00B46625">
              <w:rPr>
                <w:rFonts w:ascii="Times New Roman" w:eastAsia="Calibri" w:hAnsi="Times New Roman"/>
                <w:b/>
                <w:sz w:val="20"/>
                <w:szCs w:val="20"/>
              </w:rPr>
              <w:t xml:space="preserve"> </w:t>
            </w:r>
            <w:r w:rsidRPr="001F76BC">
              <w:rPr>
                <w:rFonts w:ascii="Times New Roman" w:eastAsia="Calibri" w:hAnsi="Times New Roman"/>
                <w:b/>
                <w:sz w:val="20"/>
                <w:szCs w:val="20"/>
              </w:rPr>
              <w:t>(1)</w:t>
            </w:r>
          </w:p>
        </w:tc>
      </w:tr>
      <w:tr w:rsidR="001F76BC" w:rsidRPr="001F76BC" w14:paraId="78496032" w14:textId="77777777" w:rsidTr="00F234CB">
        <w:trPr>
          <w:cantSplit/>
        </w:trPr>
        <w:tc>
          <w:tcPr>
            <w:tcW w:w="1785" w:type="dxa"/>
          </w:tcPr>
          <w:p w14:paraId="1C851F58" w14:textId="2BACB2C4" w:rsidR="001F76BC" w:rsidRPr="00477E04" w:rsidRDefault="001F76BC" w:rsidP="00F234CB">
            <w:pPr>
              <w:rPr>
                <w:sz w:val="20"/>
                <w:szCs w:val="20"/>
              </w:rPr>
            </w:pPr>
            <w:r w:rsidRPr="00477E04">
              <w:rPr>
                <w:color w:val="000000"/>
                <w:sz w:val="20"/>
                <w:szCs w:val="20"/>
              </w:rPr>
              <w:t xml:space="preserve">Maintenance of Documents - </w:t>
            </w:r>
            <w:r w:rsidRPr="00477E04">
              <w:rPr>
                <w:sz w:val="20"/>
                <w:szCs w:val="20"/>
              </w:rPr>
              <w:t>Transmission Providers</w:t>
            </w:r>
          </w:p>
        </w:tc>
        <w:tc>
          <w:tcPr>
            <w:tcW w:w="1350" w:type="dxa"/>
            <w:shd w:val="clear" w:color="auto" w:fill="auto"/>
            <w:vAlign w:val="bottom"/>
          </w:tcPr>
          <w:p w14:paraId="3A10429E"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46</w:t>
            </w:r>
          </w:p>
        </w:tc>
        <w:tc>
          <w:tcPr>
            <w:tcW w:w="1530" w:type="dxa"/>
            <w:shd w:val="clear" w:color="auto" w:fill="auto"/>
            <w:vAlign w:val="bottom"/>
          </w:tcPr>
          <w:p w14:paraId="1CD88476"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1</w:t>
            </w:r>
          </w:p>
        </w:tc>
        <w:tc>
          <w:tcPr>
            <w:tcW w:w="1260" w:type="dxa"/>
            <w:vAlign w:val="bottom"/>
          </w:tcPr>
          <w:p w14:paraId="395E6D46"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46</w:t>
            </w:r>
          </w:p>
        </w:tc>
        <w:tc>
          <w:tcPr>
            <w:tcW w:w="1350" w:type="dxa"/>
            <w:shd w:val="clear" w:color="auto" w:fill="auto"/>
            <w:vAlign w:val="bottom"/>
          </w:tcPr>
          <w:p w14:paraId="7692D810"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1</w:t>
            </w:r>
          </w:p>
          <w:p w14:paraId="7A77E282" w14:textId="59D13DD6"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w:t>
            </w:r>
            <w:r w:rsidR="00477E04">
              <w:rPr>
                <w:rFonts w:ascii="Times New Roman" w:hAnsi="Times New Roman"/>
                <w:color w:val="000000"/>
                <w:sz w:val="20"/>
                <w:szCs w:val="20"/>
              </w:rPr>
              <w:t>84.38</w:t>
            </w:r>
          </w:p>
        </w:tc>
        <w:tc>
          <w:tcPr>
            <w:tcW w:w="1440" w:type="dxa"/>
            <w:shd w:val="clear" w:color="auto" w:fill="auto"/>
            <w:vAlign w:val="bottom"/>
          </w:tcPr>
          <w:p w14:paraId="64398970"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46</w:t>
            </w:r>
          </w:p>
          <w:p w14:paraId="0E5A8367" w14:textId="21709896"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w:t>
            </w:r>
            <w:r w:rsidR="00477E04">
              <w:rPr>
                <w:rFonts w:ascii="Times New Roman" w:hAnsi="Times New Roman"/>
                <w:color w:val="000000"/>
                <w:sz w:val="20"/>
                <w:szCs w:val="20"/>
              </w:rPr>
              <w:t>3,881</w:t>
            </w:r>
            <w:r w:rsidRPr="001F76BC">
              <w:rPr>
                <w:rFonts w:ascii="Times New Roman" w:hAnsi="Times New Roman"/>
                <w:color w:val="000000"/>
                <w:sz w:val="20"/>
                <w:szCs w:val="20"/>
              </w:rPr>
              <w:t xml:space="preserve"> </w:t>
            </w:r>
          </w:p>
        </w:tc>
        <w:tc>
          <w:tcPr>
            <w:tcW w:w="1260" w:type="dxa"/>
            <w:vAlign w:val="bottom"/>
          </w:tcPr>
          <w:p w14:paraId="416FC79B" w14:textId="3826553F"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w:t>
            </w:r>
            <w:r w:rsidR="00477E04">
              <w:rPr>
                <w:rFonts w:ascii="Times New Roman" w:hAnsi="Times New Roman"/>
                <w:color w:val="000000"/>
                <w:sz w:val="20"/>
                <w:szCs w:val="20"/>
              </w:rPr>
              <w:t>84.38</w:t>
            </w:r>
          </w:p>
        </w:tc>
      </w:tr>
      <w:tr w:rsidR="001F76BC" w:rsidRPr="001F76BC" w14:paraId="01F81572" w14:textId="77777777" w:rsidTr="00F234CB">
        <w:trPr>
          <w:cantSplit/>
        </w:trPr>
        <w:tc>
          <w:tcPr>
            <w:tcW w:w="1785" w:type="dxa"/>
          </w:tcPr>
          <w:p w14:paraId="31FC44AB" w14:textId="77777777" w:rsidR="001F76BC" w:rsidRPr="00477E04" w:rsidRDefault="001F76BC" w:rsidP="00F234CB">
            <w:pPr>
              <w:rPr>
                <w:sz w:val="20"/>
                <w:szCs w:val="20"/>
              </w:rPr>
            </w:pPr>
            <w:r w:rsidRPr="00477E04">
              <w:rPr>
                <w:color w:val="000000"/>
                <w:sz w:val="20"/>
                <w:szCs w:val="20"/>
              </w:rPr>
              <w:t xml:space="preserve">Filing of Agreements - </w:t>
            </w:r>
            <w:r w:rsidRPr="00477E04">
              <w:rPr>
                <w:sz w:val="20"/>
                <w:szCs w:val="20"/>
              </w:rPr>
              <w:t>Transmission Providers</w:t>
            </w:r>
          </w:p>
        </w:tc>
        <w:tc>
          <w:tcPr>
            <w:tcW w:w="1350" w:type="dxa"/>
            <w:shd w:val="clear" w:color="auto" w:fill="auto"/>
            <w:vAlign w:val="bottom"/>
          </w:tcPr>
          <w:p w14:paraId="35E31A2E"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95</w:t>
            </w:r>
          </w:p>
        </w:tc>
        <w:tc>
          <w:tcPr>
            <w:tcW w:w="1530" w:type="dxa"/>
            <w:shd w:val="clear" w:color="auto" w:fill="auto"/>
            <w:vAlign w:val="bottom"/>
          </w:tcPr>
          <w:p w14:paraId="64702A2E"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1</w:t>
            </w:r>
          </w:p>
        </w:tc>
        <w:tc>
          <w:tcPr>
            <w:tcW w:w="1260" w:type="dxa"/>
            <w:vAlign w:val="bottom"/>
          </w:tcPr>
          <w:p w14:paraId="3E0F0DE3"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95</w:t>
            </w:r>
          </w:p>
        </w:tc>
        <w:tc>
          <w:tcPr>
            <w:tcW w:w="1350" w:type="dxa"/>
            <w:shd w:val="clear" w:color="auto" w:fill="auto"/>
            <w:vAlign w:val="bottom"/>
          </w:tcPr>
          <w:p w14:paraId="62949BDF"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25</w:t>
            </w:r>
          </w:p>
          <w:p w14:paraId="7A2CB51E" w14:textId="7D5E229F"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w:t>
            </w:r>
            <w:r w:rsidR="00477E04">
              <w:rPr>
                <w:rFonts w:ascii="Times New Roman" w:hAnsi="Times New Roman"/>
                <w:color w:val="000000"/>
                <w:sz w:val="20"/>
                <w:szCs w:val="20"/>
              </w:rPr>
              <w:t>2,109.50</w:t>
            </w:r>
          </w:p>
        </w:tc>
        <w:tc>
          <w:tcPr>
            <w:tcW w:w="1440" w:type="dxa"/>
            <w:shd w:val="clear" w:color="auto" w:fill="auto"/>
            <w:vAlign w:val="bottom"/>
          </w:tcPr>
          <w:p w14:paraId="202D2A73"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2,375</w:t>
            </w:r>
          </w:p>
          <w:p w14:paraId="7FC23CA3" w14:textId="2B1EFB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w:t>
            </w:r>
            <w:r w:rsidR="00477E04">
              <w:rPr>
                <w:rFonts w:ascii="Times New Roman" w:hAnsi="Times New Roman"/>
                <w:color w:val="000000"/>
                <w:sz w:val="20"/>
                <w:szCs w:val="20"/>
              </w:rPr>
              <w:t>200,403</w:t>
            </w:r>
          </w:p>
        </w:tc>
        <w:tc>
          <w:tcPr>
            <w:tcW w:w="1260" w:type="dxa"/>
            <w:vAlign w:val="bottom"/>
          </w:tcPr>
          <w:p w14:paraId="599D48A0" w14:textId="44076F14"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w:t>
            </w:r>
            <w:r w:rsidR="00477E04">
              <w:rPr>
                <w:rFonts w:ascii="Times New Roman" w:hAnsi="Times New Roman"/>
                <w:color w:val="000000"/>
                <w:sz w:val="20"/>
                <w:szCs w:val="20"/>
              </w:rPr>
              <w:t>2,109.50</w:t>
            </w:r>
          </w:p>
        </w:tc>
      </w:tr>
      <w:tr w:rsidR="001F76BC" w:rsidRPr="001F76BC" w14:paraId="57845135" w14:textId="77777777" w:rsidTr="00F234CB">
        <w:trPr>
          <w:cantSplit/>
        </w:trPr>
        <w:tc>
          <w:tcPr>
            <w:tcW w:w="1785" w:type="dxa"/>
          </w:tcPr>
          <w:p w14:paraId="255B586F" w14:textId="77777777" w:rsidR="001F76BC" w:rsidRPr="00477E04" w:rsidRDefault="001F76BC" w:rsidP="00F234CB">
            <w:pPr>
              <w:rPr>
                <w:sz w:val="20"/>
                <w:szCs w:val="20"/>
              </w:rPr>
            </w:pPr>
            <w:r w:rsidRPr="00477E04">
              <w:rPr>
                <w:sz w:val="20"/>
                <w:szCs w:val="20"/>
              </w:rPr>
              <w:t>Pre-Application Report - Interconnection Customers</w:t>
            </w:r>
            <w:r w:rsidRPr="00477E04">
              <w:rPr>
                <w:rStyle w:val="FootnoteReference"/>
                <w:sz w:val="20"/>
                <w:szCs w:val="20"/>
              </w:rPr>
              <w:footnoteReference w:id="4"/>
            </w:r>
          </w:p>
        </w:tc>
        <w:tc>
          <w:tcPr>
            <w:tcW w:w="1350" w:type="dxa"/>
            <w:shd w:val="clear" w:color="auto" w:fill="auto"/>
            <w:vAlign w:val="bottom"/>
          </w:tcPr>
          <w:p w14:paraId="3C5C5FA3"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800</w:t>
            </w:r>
          </w:p>
        </w:tc>
        <w:tc>
          <w:tcPr>
            <w:tcW w:w="1530" w:type="dxa"/>
            <w:shd w:val="clear" w:color="auto" w:fill="auto"/>
            <w:vAlign w:val="bottom"/>
          </w:tcPr>
          <w:p w14:paraId="3ECDBB5E" w14:textId="77777777" w:rsidR="001F76BC" w:rsidRPr="001F76BC" w:rsidRDefault="001F76BC" w:rsidP="00F234CB">
            <w:pPr>
              <w:keepNext/>
              <w:keepLines/>
              <w:jc w:val="right"/>
              <w:rPr>
                <w:sz w:val="20"/>
                <w:szCs w:val="20"/>
              </w:rPr>
            </w:pPr>
            <w:r w:rsidRPr="001F76BC">
              <w:rPr>
                <w:sz w:val="20"/>
                <w:szCs w:val="20"/>
              </w:rPr>
              <w:t>1</w:t>
            </w:r>
          </w:p>
        </w:tc>
        <w:tc>
          <w:tcPr>
            <w:tcW w:w="1260" w:type="dxa"/>
            <w:vAlign w:val="bottom"/>
          </w:tcPr>
          <w:p w14:paraId="7599E61A" w14:textId="77777777" w:rsidR="001F76BC" w:rsidRPr="001F76BC" w:rsidRDefault="001F76BC" w:rsidP="00F234CB">
            <w:pPr>
              <w:keepNext/>
              <w:keepLines/>
              <w:jc w:val="right"/>
              <w:rPr>
                <w:sz w:val="20"/>
                <w:szCs w:val="20"/>
              </w:rPr>
            </w:pPr>
            <w:r w:rsidRPr="001F76BC">
              <w:rPr>
                <w:sz w:val="20"/>
                <w:szCs w:val="20"/>
              </w:rPr>
              <w:t>800</w:t>
            </w:r>
          </w:p>
        </w:tc>
        <w:tc>
          <w:tcPr>
            <w:tcW w:w="1350" w:type="dxa"/>
            <w:shd w:val="clear" w:color="auto" w:fill="auto"/>
            <w:vAlign w:val="bottom"/>
          </w:tcPr>
          <w:p w14:paraId="2C1D754C" w14:textId="77777777" w:rsidR="001F76BC" w:rsidRPr="001F76BC" w:rsidRDefault="001F76BC" w:rsidP="00F234CB">
            <w:pPr>
              <w:keepNext/>
              <w:keepLines/>
              <w:jc w:val="right"/>
              <w:rPr>
                <w:sz w:val="20"/>
                <w:szCs w:val="20"/>
              </w:rPr>
            </w:pPr>
            <w:r w:rsidRPr="001F76BC">
              <w:rPr>
                <w:sz w:val="20"/>
                <w:szCs w:val="20"/>
              </w:rPr>
              <w:t>1</w:t>
            </w:r>
          </w:p>
          <w:p w14:paraId="0129B636" w14:textId="46371EEE" w:rsidR="001F76BC" w:rsidRPr="001F76BC" w:rsidRDefault="001F76BC" w:rsidP="00F234CB">
            <w:pPr>
              <w:keepNext/>
              <w:keepLines/>
              <w:jc w:val="right"/>
              <w:rPr>
                <w:sz w:val="20"/>
                <w:szCs w:val="20"/>
              </w:rPr>
            </w:pPr>
            <w:r w:rsidRPr="001F76BC">
              <w:rPr>
                <w:sz w:val="20"/>
                <w:szCs w:val="20"/>
              </w:rPr>
              <w:t>$</w:t>
            </w:r>
            <w:r w:rsidR="00477E04">
              <w:rPr>
                <w:sz w:val="20"/>
                <w:szCs w:val="20"/>
              </w:rPr>
              <w:t>84.38</w:t>
            </w:r>
          </w:p>
        </w:tc>
        <w:tc>
          <w:tcPr>
            <w:tcW w:w="1440" w:type="dxa"/>
            <w:shd w:val="clear" w:color="auto" w:fill="auto"/>
            <w:vAlign w:val="bottom"/>
          </w:tcPr>
          <w:p w14:paraId="383FE1AD" w14:textId="77777777" w:rsidR="001F76BC" w:rsidRPr="001F76BC" w:rsidRDefault="001F76BC" w:rsidP="00F234CB">
            <w:pPr>
              <w:keepNext/>
              <w:keepLines/>
              <w:jc w:val="right"/>
              <w:rPr>
                <w:sz w:val="20"/>
                <w:szCs w:val="20"/>
              </w:rPr>
            </w:pPr>
            <w:r w:rsidRPr="001F76BC">
              <w:rPr>
                <w:sz w:val="20"/>
                <w:szCs w:val="20"/>
              </w:rPr>
              <w:t>800</w:t>
            </w:r>
          </w:p>
          <w:p w14:paraId="05C17C33" w14:textId="67B3B5AE" w:rsidR="001F76BC" w:rsidRPr="001F76BC" w:rsidRDefault="001F76BC" w:rsidP="00F234CB">
            <w:pPr>
              <w:keepNext/>
              <w:keepLines/>
              <w:jc w:val="right"/>
              <w:rPr>
                <w:sz w:val="20"/>
                <w:szCs w:val="20"/>
              </w:rPr>
            </w:pPr>
            <w:r w:rsidRPr="001F76BC">
              <w:rPr>
                <w:sz w:val="20"/>
                <w:szCs w:val="20"/>
              </w:rPr>
              <w:t>$</w:t>
            </w:r>
            <w:r w:rsidR="00477E04">
              <w:rPr>
                <w:sz w:val="20"/>
                <w:szCs w:val="20"/>
              </w:rPr>
              <w:t>67,504</w:t>
            </w:r>
          </w:p>
        </w:tc>
        <w:tc>
          <w:tcPr>
            <w:tcW w:w="1260" w:type="dxa"/>
            <w:vAlign w:val="bottom"/>
          </w:tcPr>
          <w:p w14:paraId="6AC66101" w14:textId="601803D1" w:rsidR="001F76BC" w:rsidRPr="001F76BC" w:rsidRDefault="001F76BC" w:rsidP="00F234CB">
            <w:pPr>
              <w:keepNext/>
              <w:keepLines/>
              <w:jc w:val="right"/>
              <w:rPr>
                <w:sz w:val="20"/>
                <w:szCs w:val="20"/>
              </w:rPr>
            </w:pPr>
            <w:r w:rsidRPr="001F76BC">
              <w:rPr>
                <w:sz w:val="20"/>
                <w:szCs w:val="20"/>
              </w:rPr>
              <w:t>$</w:t>
            </w:r>
            <w:r w:rsidR="00477E04">
              <w:rPr>
                <w:sz w:val="20"/>
                <w:szCs w:val="20"/>
              </w:rPr>
              <w:t>84.38</w:t>
            </w:r>
          </w:p>
        </w:tc>
      </w:tr>
      <w:tr w:rsidR="001F76BC" w:rsidRPr="001F76BC" w14:paraId="751E2EC1" w14:textId="77777777" w:rsidTr="00F234CB">
        <w:trPr>
          <w:cantSplit/>
        </w:trPr>
        <w:tc>
          <w:tcPr>
            <w:tcW w:w="1785" w:type="dxa"/>
          </w:tcPr>
          <w:p w14:paraId="0A2C4330" w14:textId="77777777" w:rsidR="001F76BC" w:rsidRPr="00477E04" w:rsidRDefault="001F76BC" w:rsidP="00F234CB">
            <w:pPr>
              <w:rPr>
                <w:sz w:val="20"/>
                <w:szCs w:val="20"/>
              </w:rPr>
            </w:pPr>
            <w:r w:rsidRPr="00477E04">
              <w:rPr>
                <w:sz w:val="20"/>
                <w:szCs w:val="20"/>
              </w:rPr>
              <w:t>Pre-Application Report - Transmission Providers</w:t>
            </w:r>
          </w:p>
        </w:tc>
        <w:tc>
          <w:tcPr>
            <w:tcW w:w="1350" w:type="dxa"/>
            <w:shd w:val="clear" w:color="auto" w:fill="auto"/>
            <w:vAlign w:val="bottom"/>
          </w:tcPr>
          <w:p w14:paraId="5F1A2F40"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142</w:t>
            </w:r>
          </w:p>
        </w:tc>
        <w:tc>
          <w:tcPr>
            <w:tcW w:w="1530" w:type="dxa"/>
            <w:shd w:val="clear" w:color="auto" w:fill="auto"/>
            <w:vAlign w:val="bottom"/>
          </w:tcPr>
          <w:p w14:paraId="0A93878A" w14:textId="77777777" w:rsidR="001F76BC" w:rsidRPr="001F76BC" w:rsidRDefault="001F76BC" w:rsidP="00F234CB">
            <w:pPr>
              <w:keepNext/>
              <w:keepLines/>
              <w:jc w:val="right"/>
              <w:rPr>
                <w:sz w:val="20"/>
                <w:szCs w:val="20"/>
              </w:rPr>
            </w:pPr>
            <w:r w:rsidRPr="001F76BC">
              <w:rPr>
                <w:sz w:val="20"/>
                <w:szCs w:val="20"/>
              </w:rPr>
              <w:t>5.63</w:t>
            </w:r>
          </w:p>
        </w:tc>
        <w:tc>
          <w:tcPr>
            <w:tcW w:w="1260" w:type="dxa"/>
            <w:vAlign w:val="bottom"/>
          </w:tcPr>
          <w:p w14:paraId="58C37214" w14:textId="77777777" w:rsidR="001F76BC" w:rsidRPr="001F76BC" w:rsidRDefault="001F76BC" w:rsidP="00F234CB">
            <w:pPr>
              <w:keepNext/>
              <w:keepLines/>
              <w:jc w:val="right"/>
              <w:rPr>
                <w:sz w:val="20"/>
                <w:szCs w:val="20"/>
              </w:rPr>
            </w:pPr>
            <w:r w:rsidRPr="001F76BC">
              <w:rPr>
                <w:sz w:val="20"/>
                <w:szCs w:val="20"/>
              </w:rPr>
              <w:t>800</w:t>
            </w:r>
          </w:p>
        </w:tc>
        <w:tc>
          <w:tcPr>
            <w:tcW w:w="1350" w:type="dxa"/>
            <w:shd w:val="clear" w:color="auto" w:fill="auto"/>
            <w:vAlign w:val="bottom"/>
          </w:tcPr>
          <w:p w14:paraId="5CFC44E7" w14:textId="77777777" w:rsidR="001F76BC" w:rsidRPr="001F76BC" w:rsidRDefault="001F76BC" w:rsidP="00F234CB">
            <w:pPr>
              <w:keepNext/>
              <w:keepLines/>
              <w:jc w:val="right"/>
              <w:rPr>
                <w:sz w:val="20"/>
                <w:szCs w:val="20"/>
              </w:rPr>
            </w:pPr>
            <w:r w:rsidRPr="001F76BC">
              <w:rPr>
                <w:sz w:val="20"/>
                <w:szCs w:val="20"/>
              </w:rPr>
              <w:t>2.5</w:t>
            </w:r>
          </w:p>
          <w:p w14:paraId="54EC3160" w14:textId="7D3CA607" w:rsidR="001F76BC" w:rsidRPr="001F76BC" w:rsidRDefault="001F76BC" w:rsidP="00F234CB">
            <w:pPr>
              <w:keepNext/>
              <w:keepLines/>
              <w:jc w:val="right"/>
              <w:rPr>
                <w:sz w:val="20"/>
                <w:szCs w:val="20"/>
              </w:rPr>
            </w:pPr>
            <w:r w:rsidRPr="001F76BC">
              <w:rPr>
                <w:sz w:val="20"/>
                <w:szCs w:val="20"/>
              </w:rPr>
              <w:t>$</w:t>
            </w:r>
            <w:r w:rsidR="00477E04">
              <w:rPr>
                <w:sz w:val="20"/>
                <w:szCs w:val="20"/>
              </w:rPr>
              <w:t>210.95</w:t>
            </w:r>
          </w:p>
        </w:tc>
        <w:tc>
          <w:tcPr>
            <w:tcW w:w="1440" w:type="dxa"/>
            <w:shd w:val="clear" w:color="auto" w:fill="auto"/>
            <w:vAlign w:val="bottom"/>
          </w:tcPr>
          <w:p w14:paraId="042F1974" w14:textId="77777777" w:rsidR="001F76BC" w:rsidRPr="001F76BC" w:rsidRDefault="001F76BC" w:rsidP="00F234CB">
            <w:pPr>
              <w:keepNext/>
              <w:keepLines/>
              <w:jc w:val="right"/>
              <w:rPr>
                <w:sz w:val="20"/>
                <w:szCs w:val="20"/>
              </w:rPr>
            </w:pPr>
            <w:r w:rsidRPr="001F76BC">
              <w:rPr>
                <w:sz w:val="20"/>
                <w:szCs w:val="20"/>
              </w:rPr>
              <w:t>2,000</w:t>
            </w:r>
          </w:p>
          <w:p w14:paraId="1DF027FF" w14:textId="606D6E5D" w:rsidR="001F76BC" w:rsidRPr="001F76BC" w:rsidRDefault="001F76BC" w:rsidP="00F234CB">
            <w:pPr>
              <w:keepNext/>
              <w:keepLines/>
              <w:jc w:val="right"/>
              <w:rPr>
                <w:sz w:val="20"/>
                <w:szCs w:val="20"/>
              </w:rPr>
            </w:pPr>
            <w:r w:rsidRPr="001F76BC">
              <w:rPr>
                <w:sz w:val="20"/>
                <w:szCs w:val="20"/>
              </w:rPr>
              <w:t>$1</w:t>
            </w:r>
            <w:r w:rsidR="00477E04">
              <w:rPr>
                <w:sz w:val="20"/>
                <w:szCs w:val="20"/>
              </w:rPr>
              <w:t>68,760</w:t>
            </w:r>
          </w:p>
        </w:tc>
        <w:tc>
          <w:tcPr>
            <w:tcW w:w="1260" w:type="dxa"/>
            <w:vAlign w:val="bottom"/>
          </w:tcPr>
          <w:p w14:paraId="213B2599" w14:textId="19C552FA" w:rsidR="001F76BC" w:rsidRPr="001F76BC" w:rsidRDefault="001F76BC" w:rsidP="00F234CB">
            <w:pPr>
              <w:keepNext/>
              <w:keepLines/>
              <w:jc w:val="right"/>
              <w:rPr>
                <w:sz w:val="20"/>
                <w:szCs w:val="20"/>
              </w:rPr>
            </w:pPr>
            <w:r w:rsidRPr="001F76BC">
              <w:rPr>
                <w:sz w:val="20"/>
                <w:szCs w:val="20"/>
              </w:rPr>
              <w:t>$1,</w:t>
            </w:r>
            <w:r w:rsidR="00477E04">
              <w:rPr>
                <w:sz w:val="20"/>
                <w:szCs w:val="20"/>
              </w:rPr>
              <w:t>188.45</w:t>
            </w:r>
          </w:p>
        </w:tc>
      </w:tr>
      <w:tr w:rsidR="001F76BC" w:rsidRPr="001F76BC" w14:paraId="2133FF4B" w14:textId="77777777" w:rsidTr="00F234CB">
        <w:trPr>
          <w:cantSplit/>
        </w:trPr>
        <w:tc>
          <w:tcPr>
            <w:tcW w:w="1785" w:type="dxa"/>
          </w:tcPr>
          <w:p w14:paraId="21F48997" w14:textId="77777777" w:rsidR="001F76BC" w:rsidRPr="00477E04" w:rsidRDefault="001F76BC" w:rsidP="00F234CB">
            <w:pPr>
              <w:rPr>
                <w:sz w:val="20"/>
                <w:szCs w:val="20"/>
              </w:rPr>
            </w:pPr>
            <w:r w:rsidRPr="00477E04">
              <w:rPr>
                <w:sz w:val="20"/>
                <w:szCs w:val="20"/>
              </w:rPr>
              <w:t>Supplemental Review - Interconnection Customers</w:t>
            </w:r>
          </w:p>
        </w:tc>
        <w:tc>
          <w:tcPr>
            <w:tcW w:w="1350" w:type="dxa"/>
            <w:shd w:val="clear" w:color="auto" w:fill="auto"/>
            <w:vAlign w:val="bottom"/>
          </w:tcPr>
          <w:p w14:paraId="3D4F39DA"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500</w:t>
            </w:r>
          </w:p>
        </w:tc>
        <w:tc>
          <w:tcPr>
            <w:tcW w:w="1530" w:type="dxa"/>
            <w:shd w:val="clear" w:color="auto" w:fill="auto"/>
            <w:vAlign w:val="bottom"/>
          </w:tcPr>
          <w:p w14:paraId="236B2B6D" w14:textId="77777777" w:rsidR="001F76BC" w:rsidRPr="001F76BC" w:rsidRDefault="001F76BC" w:rsidP="00F234CB">
            <w:pPr>
              <w:keepNext/>
              <w:keepLines/>
              <w:jc w:val="right"/>
              <w:rPr>
                <w:sz w:val="20"/>
                <w:szCs w:val="20"/>
              </w:rPr>
            </w:pPr>
            <w:r w:rsidRPr="001F76BC">
              <w:rPr>
                <w:sz w:val="20"/>
                <w:szCs w:val="20"/>
              </w:rPr>
              <w:t>1</w:t>
            </w:r>
          </w:p>
        </w:tc>
        <w:tc>
          <w:tcPr>
            <w:tcW w:w="1260" w:type="dxa"/>
            <w:vAlign w:val="bottom"/>
          </w:tcPr>
          <w:p w14:paraId="616DB628" w14:textId="77777777" w:rsidR="001F76BC" w:rsidRPr="001F76BC" w:rsidRDefault="001F76BC" w:rsidP="00F234CB">
            <w:pPr>
              <w:keepNext/>
              <w:keepLines/>
              <w:jc w:val="right"/>
              <w:rPr>
                <w:sz w:val="20"/>
                <w:szCs w:val="20"/>
              </w:rPr>
            </w:pPr>
            <w:r w:rsidRPr="001F76BC">
              <w:rPr>
                <w:sz w:val="20"/>
                <w:szCs w:val="20"/>
              </w:rPr>
              <w:t>500</w:t>
            </w:r>
          </w:p>
        </w:tc>
        <w:tc>
          <w:tcPr>
            <w:tcW w:w="1350" w:type="dxa"/>
            <w:shd w:val="clear" w:color="auto" w:fill="auto"/>
            <w:vAlign w:val="bottom"/>
          </w:tcPr>
          <w:p w14:paraId="48F21A43" w14:textId="77777777" w:rsidR="001F76BC" w:rsidRPr="001F76BC" w:rsidRDefault="001F76BC" w:rsidP="00F234CB">
            <w:pPr>
              <w:keepNext/>
              <w:keepLines/>
              <w:jc w:val="right"/>
              <w:rPr>
                <w:sz w:val="20"/>
                <w:szCs w:val="20"/>
              </w:rPr>
            </w:pPr>
            <w:r w:rsidRPr="001F76BC">
              <w:rPr>
                <w:sz w:val="20"/>
                <w:szCs w:val="20"/>
              </w:rPr>
              <w:t>0.5</w:t>
            </w:r>
          </w:p>
          <w:p w14:paraId="0AE64E3D" w14:textId="5C38775E" w:rsidR="001F76BC" w:rsidRPr="001F76BC" w:rsidRDefault="001F76BC" w:rsidP="00F234CB">
            <w:pPr>
              <w:keepNext/>
              <w:keepLines/>
              <w:jc w:val="right"/>
              <w:rPr>
                <w:sz w:val="20"/>
                <w:szCs w:val="20"/>
              </w:rPr>
            </w:pPr>
            <w:r w:rsidRPr="001F76BC">
              <w:rPr>
                <w:sz w:val="20"/>
                <w:szCs w:val="20"/>
              </w:rPr>
              <w:t>$</w:t>
            </w:r>
            <w:r w:rsidR="00477E04">
              <w:rPr>
                <w:sz w:val="20"/>
                <w:szCs w:val="20"/>
              </w:rPr>
              <w:t>42.19</w:t>
            </w:r>
          </w:p>
        </w:tc>
        <w:tc>
          <w:tcPr>
            <w:tcW w:w="1440" w:type="dxa"/>
            <w:shd w:val="clear" w:color="auto" w:fill="auto"/>
            <w:vAlign w:val="bottom"/>
          </w:tcPr>
          <w:p w14:paraId="40544217" w14:textId="77777777" w:rsidR="001F76BC" w:rsidRPr="001F76BC" w:rsidRDefault="001F76BC" w:rsidP="00F234CB">
            <w:pPr>
              <w:keepNext/>
              <w:keepLines/>
              <w:jc w:val="right"/>
              <w:rPr>
                <w:sz w:val="20"/>
                <w:szCs w:val="20"/>
              </w:rPr>
            </w:pPr>
            <w:r w:rsidRPr="001F76BC">
              <w:rPr>
                <w:sz w:val="20"/>
                <w:szCs w:val="20"/>
              </w:rPr>
              <w:t>250</w:t>
            </w:r>
          </w:p>
          <w:p w14:paraId="7B785494" w14:textId="1BDD2697" w:rsidR="001F76BC" w:rsidRPr="001F76BC" w:rsidRDefault="001F76BC" w:rsidP="00F234CB">
            <w:pPr>
              <w:keepNext/>
              <w:keepLines/>
              <w:jc w:val="right"/>
              <w:rPr>
                <w:sz w:val="20"/>
                <w:szCs w:val="20"/>
              </w:rPr>
            </w:pPr>
            <w:r w:rsidRPr="001F76BC">
              <w:rPr>
                <w:sz w:val="20"/>
                <w:szCs w:val="20"/>
              </w:rPr>
              <w:t>$</w:t>
            </w:r>
            <w:r w:rsidR="00477E04">
              <w:rPr>
                <w:sz w:val="20"/>
                <w:szCs w:val="20"/>
              </w:rPr>
              <w:t>21,095</w:t>
            </w:r>
          </w:p>
        </w:tc>
        <w:tc>
          <w:tcPr>
            <w:tcW w:w="1260" w:type="dxa"/>
            <w:vAlign w:val="bottom"/>
          </w:tcPr>
          <w:p w14:paraId="5251A501" w14:textId="2B8FA7A6" w:rsidR="001F76BC" w:rsidRPr="001F76BC" w:rsidRDefault="001F76BC" w:rsidP="00F234CB">
            <w:pPr>
              <w:keepNext/>
              <w:keepLines/>
              <w:jc w:val="right"/>
              <w:rPr>
                <w:sz w:val="20"/>
                <w:szCs w:val="20"/>
              </w:rPr>
            </w:pPr>
            <w:r w:rsidRPr="001F76BC">
              <w:rPr>
                <w:sz w:val="20"/>
                <w:szCs w:val="20"/>
              </w:rPr>
              <w:t>$</w:t>
            </w:r>
            <w:r w:rsidR="00477E04">
              <w:rPr>
                <w:sz w:val="20"/>
                <w:szCs w:val="20"/>
              </w:rPr>
              <w:t>42.19</w:t>
            </w:r>
          </w:p>
        </w:tc>
      </w:tr>
      <w:tr w:rsidR="001F76BC" w:rsidRPr="001F76BC" w14:paraId="757AF251" w14:textId="77777777" w:rsidTr="00F234CB">
        <w:trPr>
          <w:cantSplit/>
        </w:trPr>
        <w:tc>
          <w:tcPr>
            <w:tcW w:w="1785" w:type="dxa"/>
          </w:tcPr>
          <w:p w14:paraId="62D5913F" w14:textId="77777777" w:rsidR="001F76BC" w:rsidRPr="00477E04" w:rsidRDefault="001F76BC" w:rsidP="00F234CB">
            <w:pPr>
              <w:rPr>
                <w:sz w:val="20"/>
                <w:szCs w:val="20"/>
              </w:rPr>
            </w:pPr>
            <w:r w:rsidRPr="00477E04">
              <w:rPr>
                <w:sz w:val="20"/>
                <w:szCs w:val="20"/>
              </w:rPr>
              <w:t>Supplemental Review - Transmission Providers</w:t>
            </w:r>
          </w:p>
        </w:tc>
        <w:tc>
          <w:tcPr>
            <w:tcW w:w="1350" w:type="dxa"/>
            <w:shd w:val="clear" w:color="auto" w:fill="auto"/>
            <w:vAlign w:val="bottom"/>
          </w:tcPr>
          <w:p w14:paraId="36321626"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142</w:t>
            </w:r>
          </w:p>
        </w:tc>
        <w:tc>
          <w:tcPr>
            <w:tcW w:w="1530" w:type="dxa"/>
            <w:shd w:val="clear" w:color="auto" w:fill="auto"/>
            <w:vAlign w:val="bottom"/>
          </w:tcPr>
          <w:p w14:paraId="3A8877BD" w14:textId="77777777" w:rsidR="001F76BC" w:rsidRPr="001F76BC" w:rsidRDefault="001F76BC" w:rsidP="00F234CB">
            <w:pPr>
              <w:keepNext/>
              <w:keepLines/>
              <w:jc w:val="right"/>
              <w:rPr>
                <w:sz w:val="20"/>
                <w:szCs w:val="20"/>
              </w:rPr>
            </w:pPr>
            <w:r w:rsidRPr="001F76BC">
              <w:rPr>
                <w:sz w:val="20"/>
                <w:szCs w:val="20"/>
              </w:rPr>
              <w:t>3.52</w:t>
            </w:r>
          </w:p>
        </w:tc>
        <w:tc>
          <w:tcPr>
            <w:tcW w:w="1260" w:type="dxa"/>
            <w:vAlign w:val="bottom"/>
          </w:tcPr>
          <w:p w14:paraId="20664F86" w14:textId="77777777" w:rsidR="001F76BC" w:rsidRPr="001F76BC" w:rsidRDefault="001F76BC" w:rsidP="00F234CB">
            <w:pPr>
              <w:keepNext/>
              <w:keepLines/>
              <w:jc w:val="right"/>
              <w:rPr>
                <w:sz w:val="20"/>
                <w:szCs w:val="20"/>
              </w:rPr>
            </w:pPr>
            <w:r w:rsidRPr="001F76BC">
              <w:rPr>
                <w:sz w:val="20"/>
                <w:szCs w:val="20"/>
              </w:rPr>
              <w:t>500</w:t>
            </w:r>
          </w:p>
        </w:tc>
        <w:tc>
          <w:tcPr>
            <w:tcW w:w="1350" w:type="dxa"/>
            <w:shd w:val="clear" w:color="auto" w:fill="auto"/>
            <w:vAlign w:val="bottom"/>
          </w:tcPr>
          <w:p w14:paraId="1005948F" w14:textId="77777777" w:rsidR="001F76BC" w:rsidRPr="001F76BC" w:rsidRDefault="001F76BC" w:rsidP="00F234CB">
            <w:pPr>
              <w:keepNext/>
              <w:keepLines/>
              <w:jc w:val="right"/>
              <w:rPr>
                <w:sz w:val="20"/>
                <w:szCs w:val="20"/>
              </w:rPr>
            </w:pPr>
            <w:r w:rsidRPr="001F76BC">
              <w:rPr>
                <w:sz w:val="20"/>
                <w:szCs w:val="20"/>
              </w:rPr>
              <w:t>20</w:t>
            </w:r>
          </w:p>
          <w:p w14:paraId="4120F35D" w14:textId="1BA5619E" w:rsidR="001F76BC" w:rsidRPr="001F76BC" w:rsidRDefault="001F76BC" w:rsidP="00F234CB">
            <w:pPr>
              <w:keepNext/>
              <w:keepLines/>
              <w:jc w:val="right"/>
              <w:rPr>
                <w:sz w:val="20"/>
                <w:szCs w:val="20"/>
              </w:rPr>
            </w:pPr>
            <w:r w:rsidRPr="001F76BC">
              <w:rPr>
                <w:sz w:val="20"/>
                <w:szCs w:val="20"/>
              </w:rPr>
              <w:t>$</w:t>
            </w:r>
            <w:r w:rsidR="00477E04">
              <w:rPr>
                <w:sz w:val="20"/>
                <w:szCs w:val="20"/>
              </w:rPr>
              <w:t>1,687.60</w:t>
            </w:r>
          </w:p>
        </w:tc>
        <w:tc>
          <w:tcPr>
            <w:tcW w:w="1440" w:type="dxa"/>
            <w:shd w:val="clear" w:color="auto" w:fill="auto"/>
            <w:vAlign w:val="bottom"/>
          </w:tcPr>
          <w:p w14:paraId="28250037" w14:textId="77777777" w:rsidR="001F76BC" w:rsidRPr="001F76BC" w:rsidRDefault="001F76BC" w:rsidP="00F234CB">
            <w:pPr>
              <w:keepNext/>
              <w:keepLines/>
              <w:jc w:val="right"/>
              <w:rPr>
                <w:sz w:val="20"/>
                <w:szCs w:val="20"/>
              </w:rPr>
            </w:pPr>
            <w:r w:rsidRPr="001F76BC">
              <w:rPr>
                <w:sz w:val="20"/>
                <w:szCs w:val="20"/>
              </w:rPr>
              <w:t>10,000</w:t>
            </w:r>
          </w:p>
          <w:p w14:paraId="2E86181F" w14:textId="205127D7" w:rsidR="001F76BC" w:rsidRPr="001F76BC" w:rsidRDefault="001F76BC" w:rsidP="00F234CB">
            <w:pPr>
              <w:keepNext/>
              <w:keepLines/>
              <w:jc w:val="right"/>
              <w:rPr>
                <w:sz w:val="20"/>
                <w:szCs w:val="20"/>
              </w:rPr>
            </w:pPr>
            <w:r w:rsidRPr="001F76BC">
              <w:rPr>
                <w:sz w:val="20"/>
                <w:szCs w:val="20"/>
              </w:rPr>
              <w:t>$</w:t>
            </w:r>
            <w:r w:rsidR="00477E04">
              <w:rPr>
                <w:sz w:val="20"/>
                <w:szCs w:val="20"/>
              </w:rPr>
              <w:t>843,800</w:t>
            </w:r>
          </w:p>
        </w:tc>
        <w:tc>
          <w:tcPr>
            <w:tcW w:w="1260" w:type="dxa"/>
            <w:vAlign w:val="bottom"/>
          </w:tcPr>
          <w:p w14:paraId="69582471" w14:textId="7ABCDE72" w:rsidR="001F76BC" w:rsidRPr="001F76BC" w:rsidRDefault="001F76BC" w:rsidP="00F234CB">
            <w:pPr>
              <w:keepNext/>
              <w:keepLines/>
              <w:jc w:val="right"/>
              <w:rPr>
                <w:sz w:val="20"/>
                <w:szCs w:val="20"/>
              </w:rPr>
            </w:pPr>
            <w:r w:rsidRPr="001F76BC">
              <w:rPr>
                <w:sz w:val="20"/>
                <w:szCs w:val="20"/>
              </w:rPr>
              <w:t>$</w:t>
            </w:r>
            <w:r w:rsidR="003A453F">
              <w:rPr>
                <w:sz w:val="20"/>
                <w:szCs w:val="20"/>
              </w:rPr>
              <w:t>5,942.25</w:t>
            </w:r>
          </w:p>
        </w:tc>
      </w:tr>
      <w:tr w:rsidR="001F76BC" w:rsidRPr="001F76BC" w14:paraId="76FE93E3" w14:textId="77777777" w:rsidTr="00F234CB">
        <w:trPr>
          <w:cantSplit/>
        </w:trPr>
        <w:tc>
          <w:tcPr>
            <w:tcW w:w="1785" w:type="dxa"/>
          </w:tcPr>
          <w:p w14:paraId="08AF0384" w14:textId="77777777" w:rsidR="001F76BC" w:rsidRPr="00477E04" w:rsidRDefault="001F76BC" w:rsidP="00F234CB">
            <w:pPr>
              <w:rPr>
                <w:sz w:val="20"/>
                <w:szCs w:val="20"/>
              </w:rPr>
            </w:pPr>
            <w:r w:rsidRPr="00477E04">
              <w:rPr>
                <w:sz w:val="20"/>
                <w:szCs w:val="20"/>
              </w:rPr>
              <w:t>Review of Required Upgrades - Interconnection Customers</w:t>
            </w:r>
          </w:p>
        </w:tc>
        <w:tc>
          <w:tcPr>
            <w:tcW w:w="1350" w:type="dxa"/>
            <w:shd w:val="clear" w:color="auto" w:fill="auto"/>
            <w:vAlign w:val="bottom"/>
          </w:tcPr>
          <w:p w14:paraId="3D269C9F"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250</w:t>
            </w:r>
          </w:p>
        </w:tc>
        <w:tc>
          <w:tcPr>
            <w:tcW w:w="1530" w:type="dxa"/>
            <w:shd w:val="clear" w:color="auto" w:fill="auto"/>
            <w:vAlign w:val="bottom"/>
          </w:tcPr>
          <w:p w14:paraId="0D53460C" w14:textId="77777777" w:rsidR="001F76BC" w:rsidRPr="001F76BC" w:rsidRDefault="001F76BC" w:rsidP="00F234CB">
            <w:pPr>
              <w:keepNext/>
              <w:keepLines/>
              <w:jc w:val="right"/>
              <w:rPr>
                <w:sz w:val="20"/>
                <w:szCs w:val="20"/>
                <w:vertAlign w:val="superscript"/>
              </w:rPr>
            </w:pPr>
            <w:r w:rsidRPr="001F76BC">
              <w:rPr>
                <w:sz w:val="20"/>
                <w:szCs w:val="20"/>
              </w:rPr>
              <w:t>1</w:t>
            </w:r>
          </w:p>
        </w:tc>
        <w:tc>
          <w:tcPr>
            <w:tcW w:w="1260" w:type="dxa"/>
            <w:vAlign w:val="bottom"/>
          </w:tcPr>
          <w:p w14:paraId="4EB2FC5F" w14:textId="77777777" w:rsidR="001F76BC" w:rsidRPr="001F76BC" w:rsidRDefault="001F76BC" w:rsidP="00F234CB">
            <w:pPr>
              <w:keepNext/>
              <w:keepLines/>
              <w:jc w:val="right"/>
              <w:rPr>
                <w:sz w:val="20"/>
                <w:szCs w:val="20"/>
              </w:rPr>
            </w:pPr>
            <w:r w:rsidRPr="001F76BC">
              <w:rPr>
                <w:sz w:val="20"/>
                <w:szCs w:val="20"/>
              </w:rPr>
              <w:t>250</w:t>
            </w:r>
          </w:p>
        </w:tc>
        <w:tc>
          <w:tcPr>
            <w:tcW w:w="1350" w:type="dxa"/>
            <w:shd w:val="clear" w:color="auto" w:fill="auto"/>
            <w:vAlign w:val="bottom"/>
          </w:tcPr>
          <w:p w14:paraId="4388A353" w14:textId="77777777" w:rsidR="001F76BC" w:rsidRPr="001F76BC" w:rsidRDefault="001F76BC" w:rsidP="00F234CB">
            <w:pPr>
              <w:keepNext/>
              <w:keepLines/>
              <w:jc w:val="right"/>
              <w:rPr>
                <w:sz w:val="20"/>
                <w:szCs w:val="20"/>
              </w:rPr>
            </w:pPr>
            <w:r w:rsidRPr="001F76BC">
              <w:rPr>
                <w:sz w:val="20"/>
                <w:szCs w:val="20"/>
              </w:rPr>
              <w:t>1</w:t>
            </w:r>
          </w:p>
          <w:p w14:paraId="6BEE86AF" w14:textId="16F01D75" w:rsidR="001F76BC" w:rsidRPr="001F76BC" w:rsidRDefault="001F76BC" w:rsidP="00F234CB">
            <w:pPr>
              <w:keepNext/>
              <w:keepLines/>
              <w:jc w:val="right"/>
              <w:rPr>
                <w:sz w:val="20"/>
                <w:szCs w:val="20"/>
              </w:rPr>
            </w:pPr>
            <w:r w:rsidRPr="001F76BC">
              <w:rPr>
                <w:sz w:val="20"/>
                <w:szCs w:val="20"/>
              </w:rPr>
              <w:t>$</w:t>
            </w:r>
            <w:r w:rsidR="00477E04">
              <w:rPr>
                <w:sz w:val="20"/>
                <w:szCs w:val="20"/>
              </w:rPr>
              <w:t>84.38</w:t>
            </w:r>
          </w:p>
        </w:tc>
        <w:tc>
          <w:tcPr>
            <w:tcW w:w="1440" w:type="dxa"/>
            <w:shd w:val="clear" w:color="auto" w:fill="auto"/>
            <w:vAlign w:val="bottom"/>
          </w:tcPr>
          <w:p w14:paraId="38B1D81E" w14:textId="77777777" w:rsidR="001F76BC" w:rsidRPr="001F76BC" w:rsidRDefault="001F76BC" w:rsidP="00F234CB">
            <w:pPr>
              <w:keepNext/>
              <w:keepLines/>
              <w:jc w:val="right"/>
              <w:rPr>
                <w:sz w:val="20"/>
                <w:szCs w:val="20"/>
              </w:rPr>
            </w:pPr>
            <w:r w:rsidRPr="001F76BC">
              <w:rPr>
                <w:sz w:val="20"/>
                <w:szCs w:val="20"/>
              </w:rPr>
              <w:t>250</w:t>
            </w:r>
          </w:p>
          <w:p w14:paraId="19BCCA25" w14:textId="0BDB28B6" w:rsidR="001F76BC" w:rsidRPr="001F76BC" w:rsidRDefault="001F76BC" w:rsidP="00F234CB">
            <w:pPr>
              <w:keepNext/>
              <w:keepLines/>
              <w:jc w:val="right"/>
              <w:rPr>
                <w:sz w:val="20"/>
                <w:szCs w:val="20"/>
              </w:rPr>
            </w:pPr>
            <w:r w:rsidRPr="001F76BC">
              <w:rPr>
                <w:sz w:val="20"/>
                <w:szCs w:val="20"/>
              </w:rPr>
              <w:t>$</w:t>
            </w:r>
            <w:r w:rsidR="003A453F">
              <w:rPr>
                <w:sz w:val="20"/>
                <w:szCs w:val="20"/>
              </w:rPr>
              <w:t>21,095</w:t>
            </w:r>
          </w:p>
        </w:tc>
        <w:tc>
          <w:tcPr>
            <w:tcW w:w="1260" w:type="dxa"/>
            <w:vAlign w:val="bottom"/>
          </w:tcPr>
          <w:p w14:paraId="7AA3BFB6" w14:textId="2409E793" w:rsidR="001F76BC" w:rsidRPr="001F76BC" w:rsidRDefault="001F76BC" w:rsidP="00F234CB">
            <w:pPr>
              <w:keepNext/>
              <w:keepLines/>
              <w:jc w:val="right"/>
              <w:rPr>
                <w:sz w:val="20"/>
                <w:szCs w:val="20"/>
              </w:rPr>
            </w:pPr>
            <w:r w:rsidRPr="001F76BC">
              <w:rPr>
                <w:sz w:val="20"/>
                <w:szCs w:val="20"/>
              </w:rPr>
              <w:t>$</w:t>
            </w:r>
            <w:r w:rsidR="003A453F">
              <w:rPr>
                <w:sz w:val="20"/>
                <w:szCs w:val="20"/>
              </w:rPr>
              <w:t>84.38</w:t>
            </w:r>
          </w:p>
        </w:tc>
      </w:tr>
      <w:tr w:rsidR="001F76BC" w:rsidRPr="001F76BC" w14:paraId="4FFD1256" w14:textId="77777777" w:rsidTr="00F234CB">
        <w:trPr>
          <w:cantSplit/>
        </w:trPr>
        <w:tc>
          <w:tcPr>
            <w:tcW w:w="1785" w:type="dxa"/>
          </w:tcPr>
          <w:p w14:paraId="1F7C6586" w14:textId="77777777" w:rsidR="001F76BC" w:rsidRPr="00477E04" w:rsidRDefault="001F76BC" w:rsidP="00F234CB">
            <w:pPr>
              <w:rPr>
                <w:sz w:val="20"/>
                <w:szCs w:val="20"/>
              </w:rPr>
            </w:pPr>
            <w:r w:rsidRPr="00477E04">
              <w:rPr>
                <w:sz w:val="20"/>
                <w:szCs w:val="20"/>
              </w:rPr>
              <w:t>Review of Required Upgrades - Transmission Providers</w:t>
            </w:r>
          </w:p>
        </w:tc>
        <w:tc>
          <w:tcPr>
            <w:tcW w:w="1350" w:type="dxa"/>
            <w:shd w:val="clear" w:color="auto" w:fill="auto"/>
            <w:vAlign w:val="bottom"/>
          </w:tcPr>
          <w:p w14:paraId="024F9B7A"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142</w:t>
            </w:r>
          </w:p>
        </w:tc>
        <w:tc>
          <w:tcPr>
            <w:tcW w:w="1530" w:type="dxa"/>
            <w:shd w:val="clear" w:color="auto" w:fill="auto"/>
            <w:vAlign w:val="bottom"/>
          </w:tcPr>
          <w:p w14:paraId="430C49F9" w14:textId="77777777" w:rsidR="001F76BC" w:rsidRPr="001F76BC" w:rsidRDefault="001F76BC" w:rsidP="00F234CB">
            <w:pPr>
              <w:keepNext/>
              <w:keepLines/>
              <w:jc w:val="right"/>
              <w:rPr>
                <w:sz w:val="20"/>
                <w:szCs w:val="20"/>
              </w:rPr>
            </w:pPr>
            <w:r w:rsidRPr="001F76BC">
              <w:rPr>
                <w:sz w:val="20"/>
                <w:szCs w:val="20"/>
              </w:rPr>
              <w:t>1.76</w:t>
            </w:r>
          </w:p>
        </w:tc>
        <w:tc>
          <w:tcPr>
            <w:tcW w:w="1260" w:type="dxa"/>
            <w:vAlign w:val="bottom"/>
          </w:tcPr>
          <w:p w14:paraId="497EA735" w14:textId="77777777" w:rsidR="001F76BC" w:rsidRPr="001F76BC" w:rsidRDefault="001F76BC" w:rsidP="00F234CB">
            <w:pPr>
              <w:keepNext/>
              <w:keepLines/>
              <w:jc w:val="right"/>
              <w:rPr>
                <w:sz w:val="20"/>
                <w:szCs w:val="20"/>
              </w:rPr>
            </w:pPr>
            <w:r w:rsidRPr="001F76BC">
              <w:rPr>
                <w:sz w:val="20"/>
                <w:szCs w:val="20"/>
              </w:rPr>
              <w:t>250</w:t>
            </w:r>
          </w:p>
        </w:tc>
        <w:tc>
          <w:tcPr>
            <w:tcW w:w="1350" w:type="dxa"/>
            <w:shd w:val="clear" w:color="auto" w:fill="auto"/>
            <w:vAlign w:val="bottom"/>
          </w:tcPr>
          <w:p w14:paraId="1AE16D41" w14:textId="77777777" w:rsidR="001F76BC" w:rsidRPr="001F76BC" w:rsidRDefault="001F76BC" w:rsidP="00F234CB">
            <w:pPr>
              <w:keepNext/>
              <w:keepLines/>
              <w:jc w:val="right"/>
              <w:rPr>
                <w:sz w:val="20"/>
                <w:szCs w:val="20"/>
              </w:rPr>
            </w:pPr>
            <w:r w:rsidRPr="001F76BC">
              <w:rPr>
                <w:sz w:val="20"/>
                <w:szCs w:val="20"/>
              </w:rPr>
              <w:t>2</w:t>
            </w:r>
          </w:p>
          <w:p w14:paraId="552917A6" w14:textId="67FE721E" w:rsidR="001F76BC" w:rsidRPr="001F76BC" w:rsidRDefault="001F76BC" w:rsidP="00F234CB">
            <w:pPr>
              <w:keepNext/>
              <w:keepLines/>
              <w:jc w:val="right"/>
              <w:rPr>
                <w:sz w:val="20"/>
                <w:szCs w:val="20"/>
              </w:rPr>
            </w:pPr>
            <w:r w:rsidRPr="001F76BC">
              <w:rPr>
                <w:sz w:val="20"/>
                <w:szCs w:val="20"/>
              </w:rPr>
              <w:t>$</w:t>
            </w:r>
            <w:r w:rsidR="00477E04">
              <w:rPr>
                <w:sz w:val="20"/>
                <w:szCs w:val="20"/>
              </w:rPr>
              <w:t>168.76</w:t>
            </w:r>
          </w:p>
        </w:tc>
        <w:tc>
          <w:tcPr>
            <w:tcW w:w="1440" w:type="dxa"/>
            <w:shd w:val="clear" w:color="auto" w:fill="auto"/>
            <w:vAlign w:val="bottom"/>
          </w:tcPr>
          <w:p w14:paraId="247D2E9F" w14:textId="77777777" w:rsidR="001F76BC" w:rsidRPr="001F76BC" w:rsidRDefault="001F76BC" w:rsidP="00F234CB">
            <w:pPr>
              <w:keepNext/>
              <w:keepLines/>
              <w:jc w:val="right"/>
              <w:rPr>
                <w:sz w:val="20"/>
                <w:szCs w:val="20"/>
              </w:rPr>
            </w:pPr>
            <w:r w:rsidRPr="001F76BC">
              <w:rPr>
                <w:sz w:val="20"/>
                <w:szCs w:val="20"/>
              </w:rPr>
              <w:t>500</w:t>
            </w:r>
          </w:p>
          <w:p w14:paraId="71725224" w14:textId="074256D8" w:rsidR="001F76BC" w:rsidRPr="001F76BC" w:rsidRDefault="001F76BC" w:rsidP="00F234CB">
            <w:pPr>
              <w:keepNext/>
              <w:keepLines/>
              <w:jc w:val="right"/>
              <w:rPr>
                <w:sz w:val="20"/>
                <w:szCs w:val="20"/>
              </w:rPr>
            </w:pPr>
            <w:r w:rsidRPr="001F76BC">
              <w:rPr>
                <w:sz w:val="20"/>
                <w:szCs w:val="20"/>
              </w:rPr>
              <w:t>$</w:t>
            </w:r>
            <w:r w:rsidR="003A453F">
              <w:rPr>
                <w:sz w:val="20"/>
                <w:szCs w:val="20"/>
              </w:rPr>
              <w:t>42,190</w:t>
            </w:r>
          </w:p>
        </w:tc>
        <w:tc>
          <w:tcPr>
            <w:tcW w:w="1260" w:type="dxa"/>
            <w:vAlign w:val="bottom"/>
          </w:tcPr>
          <w:p w14:paraId="49C61AC0" w14:textId="7624C2C6" w:rsidR="001F76BC" w:rsidRPr="001F76BC" w:rsidRDefault="001F76BC" w:rsidP="00F234CB">
            <w:pPr>
              <w:keepNext/>
              <w:keepLines/>
              <w:jc w:val="right"/>
              <w:rPr>
                <w:sz w:val="20"/>
                <w:szCs w:val="20"/>
              </w:rPr>
            </w:pPr>
            <w:r w:rsidRPr="001F76BC">
              <w:rPr>
                <w:sz w:val="20"/>
                <w:szCs w:val="20"/>
              </w:rPr>
              <w:t>$</w:t>
            </w:r>
            <w:r w:rsidR="003A453F">
              <w:rPr>
                <w:sz w:val="20"/>
                <w:szCs w:val="20"/>
              </w:rPr>
              <w:t>297.11</w:t>
            </w:r>
          </w:p>
        </w:tc>
      </w:tr>
      <w:tr w:rsidR="001F76BC" w:rsidRPr="001F76BC" w14:paraId="7774903B" w14:textId="77777777" w:rsidTr="00F234CB">
        <w:trPr>
          <w:cantSplit/>
        </w:trPr>
        <w:tc>
          <w:tcPr>
            <w:tcW w:w="1785" w:type="dxa"/>
            <w:vAlign w:val="bottom"/>
          </w:tcPr>
          <w:p w14:paraId="3AB55E3C" w14:textId="76492964" w:rsidR="001F76BC" w:rsidRPr="001F76BC" w:rsidRDefault="00477E04" w:rsidP="00477E0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b/>
                <w:color w:val="000000"/>
                <w:sz w:val="20"/>
                <w:szCs w:val="20"/>
              </w:rPr>
            </w:pPr>
            <w:r>
              <w:rPr>
                <w:rFonts w:ascii="Times New Roman" w:hAnsi="Times New Roman"/>
                <w:b/>
                <w:color w:val="000000"/>
                <w:sz w:val="20"/>
                <w:szCs w:val="20"/>
              </w:rPr>
              <w:t>TOTAL</w:t>
            </w:r>
          </w:p>
        </w:tc>
        <w:tc>
          <w:tcPr>
            <w:tcW w:w="1350" w:type="dxa"/>
            <w:shd w:val="clear" w:color="auto" w:fill="BFBFBF"/>
            <w:vAlign w:val="bottom"/>
          </w:tcPr>
          <w:p w14:paraId="5AECFA56"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highlight w:val="lightGray"/>
              </w:rPr>
            </w:pPr>
          </w:p>
        </w:tc>
        <w:tc>
          <w:tcPr>
            <w:tcW w:w="1530" w:type="dxa"/>
            <w:shd w:val="clear" w:color="auto" w:fill="BFBFBF"/>
            <w:vAlign w:val="bottom"/>
          </w:tcPr>
          <w:p w14:paraId="504CAD94"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highlight w:val="lightGray"/>
              </w:rPr>
            </w:pPr>
          </w:p>
        </w:tc>
        <w:tc>
          <w:tcPr>
            <w:tcW w:w="1260" w:type="dxa"/>
            <w:vAlign w:val="bottom"/>
          </w:tcPr>
          <w:p w14:paraId="28ABD5AB"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3,241</w:t>
            </w:r>
          </w:p>
        </w:tc>
        <w:tc>
          <w:tcPr>
            <w:tcW w:w="1350" w:type="dxa"/>
            <w:shd w:val="clear" w:color="auto" w:fill="BFBFBF"/>
            <w:vAlign w:val="bottom"/>
          </w:tcPr>
          <w:p w14:paraId="6330BEDC"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p>
        </w:tc>
        <w:tc>
          <w:tcPr>
            <w:tcW w:w="1440" w:type="dxa"/>
            <w:shd w:val="clear" w:color="auto" w:fill="auto"/>
            <w:vAlign w:val="bottom"/>
          </w:tcPr>
          <w:p w14:paraId="6016F189"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16,221</w:t>
            </w:r>
          </w:p>
          <w:p w14:paraId="6B3CF905" w14:textId="4C8CD62F"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r w:rsidRPr="001F76BC">
              <w:rPr>
                <w:rFonts w:ascii="Times New Roman" w:hAnsi="Times New Roman"/>
                <w:color w:val="000000"/>
                <w:sz w:val="20"/>
                <w:szCs w:val="20"/>
              </w:rPr>
              <w:t>$1</w:t>
            </w:r>
            <w:r w:rsidR="003A453F">
              <w:rPr>
                <w:rFonts w:ascii="Times New Roman" w:hAnsi="Times New Roman"/>
                <w:color w:val="000000"/>
                <w:sz w:val="20"/>
                <w:szCs w:val="20"/>
              </w:rPr>
              <w:t>,368,728</w:t>
            </w:r>
          </w:p>
        </w:tc>
        <w:tc>
          <w:tcPr>
            <w:tcW w:w="1260" w:type="dxa"/>
            <w:shd w:val="clear" w:color="auto" w:fill="BFBFBF"/>
          </w:tcPr>
          <w:p w14:paraId="1D2A365F" w14:textId="77777777" w:rsidR="001F76BC" w:rsidRPr="001F76BC" w:rsidRDefault="001F76BC" w:rsidP="00F234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hAnsi="Times New Roman"/>
                <w:color w:val="000000"/>
                <w:sz w:val="20"/>
                <w:szCs w:val="20"/>
              </w:rPr>
            </w:pPr>
          </w:p>
        </w:tc>
      </w:tr>
    </w:tbl>
    <w:p w14:paraId="4414225D" w14:textId="77777777" w:rsidR="00F86890" w:rsidRDefault="00F86890" w:rsidP="00CE64F2">
      <w:pPr>
        <w:spacing w:line="480" w:lineRule="auto"/>
      </w:pPr>
    </w:p>
    <w:p w14:paraId="537730BC" w14:textId="77777777" w:rsidR="00F86890" w:rsidRDefault="009537F4" w:rsidP="00C53513">
      <w:pPr>
        <w:spacing w:line="480" w:lineRule="auto"/>
      </w:pPr>
      <w:r>
        <w:rPr>
          <w:i/>
        </w:rPr>
        <w:t xml:space="preserve">Comments:  </w:t>
      </w:r>
      <w:r w:rsidR="00F86890">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009447D3">
        <w:t xml:space="preserve">and cost </w:t>
      </w:r>
      <w:r w:rsidR="00F86890">
        <w:t xml:space="preserve">of the collection of information, including the validity of the methodology and assumptions used; (3) ways to enhance the quality, utility and clarity of the information </w:t>
      </w:r>
      <w:r w:rsidR="00647B24">
        <w:t>collection</w:t>
      </w:r>
      <w:r w:rsidR="00F86890">
        <w:t>; and (4) ways to minimize the burden of the collection of information on those who are to respond, i</w:t>
      </w:r>
      <w:r w:rsidR="00647B24">
        <w:t xml:space="preserve">ncluding the use of </w:t>
      </w:r>
      <w:r w:rsidR="00F86890">
        <w:t xml:space="preserve">automated collection techniques or other forms of information technology.  </w:t>
      </w:r>
    </w:p>
    <w:p w14:paraId="4FECED3C" w14:textId="5F08BA16" w:rsidR="00F96695" w:rsidRDefault="00F96695" w:rsidP="00F96695"/>
    <w:p w14:paraId="2A077909" w14:textId="6CB68610" w:rsidR="00F96695" w:rsidRDefault="00F96695" w:rsidP="00F96695"/>
    <w:p w14:paraId="314202DC" w14:textId="66BB41DE" w:rsidR="00F96695" w:rsidRDefault="00F96695" w:rsidP="00F96695"/>
    <w:p w14:paraId="38DADF14" w14:textId="39438CD4" w:rsidR="00F96695" w:rsidRPr="00F96695" w:rsidRDefault="00F96695" w:rsidP="00F96695">
      <w:pPr>
        <w:ind w:firstLine="2174"/>
        <w:jc w:val="center"/>
      </w:pPr>
      <w:r w:rsidRPr="00F96695">
        <w:t>Kimberly D. Bose,</w:t>
      </w:r>
    </w:p>
    <w:p w14:paraId="54F670D2" w14:textId="6F7E657F" w:rsidR="00F96695" w:rsidRPr="00F96695" w:rsidRDefault="00F96695" w:rsidP="00F96695">
      <w:pPr>
        <w:ind w:firstLine="2174"/>
        <w:jc w:val="center"/>
      </w:pPr>
      <w:r w:rsidRPr="00F96695">
        <w:t>Secretary.</w:t>
      </w:r>
    </w:p>
    <w:p w14:paraId="5C3E410A" w14:textId="77777777" w:rsidR="00F96695" w:rsidRDefault="00F96695" w:rsidP="00F96695"/>
    <w:sectPr w:rsidR="00F96695" w:rsidSect="00EF587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6C6C3" w14:textId="77777777" w:rsidR="00064540" w:rsidRDefault="00064540">
      <w:r>
        <w:separator/>
      </w:r>
    </w:p>
  </w:endnote>
  <w:endnote w:type="continuationSeparator" w:id="0">
    <w:p w14:paraId="085A117D" w14:textId="77777777" w:rsidR="00064540" w:rsidRDefault="0006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3778D" w14:textId="77777777" w:rsidR="003972BD" w:rsidRDefault="003972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7678F" w14:textId="77777777" w:rsidR="003972BD" w:rsidRDefault="003972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EEBF2" w14:textId="77777777" w:rsidR="003972BD" w:rsidRDefault="00397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FB6AF" w14:textId="77777777" w:rsidR="00064540" w:rsidRDefault="00064540">
      <w:r>
        <w:separator/>
      </w:r>
    </w:p>
  </w:footnote>
  <w:footnote w:type="continuationSeparator" w:id="0">
    <w:p w14:paraId="15D42A2A" w14:textId="77777777" w:rsidR="00064540" w:rsidRDefault="00064540">
      <w:r>
        <w:continuationSeparator/>
      </w:r>
    </w:p>
  </w:footnote>
  <w:footnote w:id="1">
    <w:p w14:paraId="1978C3D4" w14:textId="77777777" w:rsidR="00696A1D" w:rsidRPr="00661286" w:rsidRDefault="00696A1D" w:rsidP="00661286">
      <w:pPr>
        <w:pStyle w:val="FootnoteText"/>
        <w:rPr>
          <w:sz w:val="20"/>
        </w:rPr>
      </w:pPr>
      <w:r w:rsidRPr="00661286">
        <w:rPr>
          <w:rStyle w:val="FootnoteReference"/>
          <w:sz w:val="20"/>
          <w:szCs w:val="20"/>
        </w:rPr>
        <w:footnoteRef/>
      </w:r>
      <w:r w:rsidRPr="00661286">
        <w:rPr>
          <w:sz w:val="20"/>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2">
    <w:p w14:paraId="4DCE30B4" w14:textId="20B9AA24" w:rsidR="001F76BC" w:rsidRPr="00661286" w:rsidRDefault="001F76BC" w:rsidP="00661286">
      <w:pPr>
        <w:pStyle w:val="FootnoteText"/>
        <w:rPr>
          <w:sz w:val="20"/>
        </w:rPr>
      </w:pPr>
      <w:r w:rsidRPr="00661286">
        <w:rPr>
          <w:rStyle w:val="FootnoteReference"/>
          <w:sz w:val="20"/>
          <w:szCs w:val="20"/>
        </w:rPr>
        <w:footnoteRef/>
      </w:r>
      <w:r w:rsidRPr="00661286">
        <w:rPr>
          <w:sz w:val="20"/>
        </w:rPr>
        <w:t xml:space="preserve"> All requirements for transmission providers </w:t>
      </w:r>
      <w:r w:rsidR="00661286">
        <w:rPr>
          <w:sz w:val="20"/>
        </w:rPr>
        <w:t>are</w:t>
      </w:r>
      <w:r w:rsidRPr="00661286">
        <w:rPr>
          <w:sz w:val="20"/>
        </w:rPr>
        <w:t xml:space="preserve"> mandatory. </w:t>
      </w:r>
      <w:r w:rsidR="00661286">
        <w:rPr>
          <w:sz w:val="20"/>
        </w:rPr>
        <w:t xml:space="preserve"> </w:t>
      </w:r>
      <w:r w:rsidR="00661286" w:rsidRPr="00661286">
        <w:rPr>
          <w:sz w:val="20"/>
        </w:rPr>
        <w:t>All</w:t>
      </w:r>
      <w:r w:rsidRPr="00661286">
        <w:rPr>
          <w:sz w:val="20"/>
        </w:rPr>
        <w:t xml:space="preserve"> requirements for interconnection customers </w:t>
      </w:r>
      <w:r w:rsidR="00661286">
        <w:rPr>
          <w:sz w:val="20"/>
        </w:rPr>
        <w:t>are</w:t>
      </w:r>
      <w:r w:rsidRPr="00661286">
        <w:rPr>
          <w:sz w:val="20"/>
        </w:rPr>
        <w:t xml:space="preserve"> voluntary.  </w:t>
      </w:r>
    </w:p>
  </w:footnote>
  <w:footnote w:id="3">
    <w:p w14:paraId="1ABC6719" w14:textId="0351BAB6" w:rsidR="002A223E" w:rsidRDefault="001F76BC" w:rsidP="00661286">
      <w:pPr>
        <w:pStyle w:val="FootnoteText"/>
        <w:rPr>
          <w:sz w:val="20"/>
        </w:rPr>
      </w:pPr>
      <w:r w:rsidRPr="00661286">
        <w:rPr>
          <w:rStyle w:val="FootnoteReference"/>
          <w:sz w:val="20"/>
          <w:szCs w:val="20"/>
        </w:rPr>
        <w:footnoteRef/>
      </w:r>
      <w:r w:rsidRPr="00661286">
        <w:rPr>
          <w:sz w:val="20"/>
        </w:rPr>
        <w:t xml:space="preserve"> The estimates for cost per response are derived using the following formula: Average Burden Hours per Response * $</w:t>
      </w:r>
      <w:r w:rsidR="00477E04">
        <w:rPr>
          <w:sz w:val="20"/>
        </w:rPr>
        <w:t>84.38</w:t>
      </w:r>
      <w:r w:rsidRPr="00661286">
        <w:rPr>
          <w:sz w:val="20"/>
        </w:rPr>
        <w:t xml:space="preserve"> per Hour = Average Cost per Response.  This figure is the average of the salary plus benefits for an attorney,</w:t>
      </w:r>
      <w:r w:rsidR="002A223E">
        <w:rPr>
          <w:sz w:val="20"/>
        </w:rPr>
        <w:t xml:space="preserve"> electrical</w:t>
      </w:r>
      <w:r w:rsidRPr="00661286">
        <w:rPr>
          <w:sz w:val="20"/>
        </w:rPr>
        <w:t xml:space="preserve"> engineer, and administrative staff</w:t>
      </w:r>
      <w:r w:rsidR="002A223E">
        <w:rPr>
          <w:sz w:val="20"/>
        </w:rPr>
        <w:t>:</w:t>
      </w:r>
    </w:p>
    <w:p w14:paraId="4F3C116A" w14:textId="5C6E0BE2" w:rsidR="002A223E" w:rsidRDefault="002A223E" w:rsidP="00F96695">
      <w:pPr>
        <w:pStyle w:val="FootnoteText"/>
        <w:ind w:left="360"/>
        <w:rPr>
          <w:sz w:val="20"/>
        </w:rPr>
      </w:pPr>
      <w:r>
        <w:rPr>
          <w:sz w:val="20"/>
        </w:rPr>
        <w:t xml:space="preserve">Attorney (Occupation Code:23-0000): </w:t>
      </w:r>
      <w:r w:rsidR="00477E04">
        <w:rPr>
          <w:sz w:val="20"/>
        </w:rPr>
        <w:t>$142.86/hour</w:t>
      </w:r>
    </w:p>
    <w:p w14:paraId="4BC54808" w14:textId="36BB9AFA" w:rsidR="002A223E" w:rsidRDefault="00F96695" w:rsidP="00F96695">
      <w:pPr>
        <w:pStyle w:val="FootnoteText"/>
        <w:rPr>
          <w:sz w:val="20"/>
        </w:rPr>
      </w:pPr>
      <w:r>
        <w:rPr>
          <w:sz w:val="20"/>
        </w:rPr>
        <w:t xml:space="preserve">       </w:t>
      </w:r>
      <w:r w:rsidR="002A223E">
        <w:rPr>
          <w:sz w:val="20"/>
        </w:rPr>
        <w:t xml:space="preserve">Electrical Engineer (Occupation Code: 17-2071): </w:t>
      </w:r>
      <w:r w:rsidR="00477E04">
        <w:rPr>
          <w:sz w:val="20"/>
        </w:rPr>
        <w:t>$68.17/hour</w:t>
      </w:r>
    </w:p>
    <w:p w14:paraId="77D7F99A" w14:textId="56353492" w:rsidR="002A223E" w:rsidRPr="00477E04" w:rsidRDefault="00F96695" w:rsidP="00F96695">
      <w:pPr>
        <w:pStyle w:val="FootnoteText"/>
        <w:rPr>
          <w:sz w:val="20"/>
        </w:rPr>
      </w:pPr>
      <w:r>
        <w:rPr>
          <w:sz w:val="20"/>
        </w:rPr>
        <w:t xml:space="preserve">       </w:t>
      </w:r>
      <w:r w:rsidR="002A223E">
        <w:rPr>
          <w:sz w:val="20"/>
        </w:rPr>
        <w:t>Office and Administrative Support (Occupation Code: 43-0000):</w:t>
      </w:r>
      <w:r w:rsidR="00477E04">
        <w:rPr>
          <w:sz w:val="20"/>
        </w:rPr>
        <w:t xml:space="preserve"> $42.11/hour</w:t>
      </w:r>
      <w:r w:rsidR="002A223E">
        <w:rPr>
          <w:sz w:val="20"/>
        </w:rPr>
        <w:t xml:space="preserve"> </w:t>
      </w:r>
    </w:p>
    <w:p w14:paraId="7A2F3A3C" w14:textId="4E74F496" w:rsidR="001F76BC" w:rsidRPr="00661286" w:rsidRDefault="001F76BC" w:rsidP="00661286">
      <w:pPr>
        <w:pStyle w:val="FootnoteText"/>
        <w:rPr>
          <w:sz w:val="20"/>
        </w:rPr>
      </w:pPr>
      <w:r w:rsidRPr="00661286">
        <w:rPr>
          <w:sz w:val="20"/>
        </w:rPr>
        <w:t xml:space="preserve">The wages are derived from the Bureau of Labor and Statistics at </w:t>
      </w:r>
      <w:hyperlink r:id="rId1" w:tooltip="blocked::http://bls.gov/oes/current/naics3_221000.htm" w:history="1">
        <w:r w:rsidRPr="00661286">
          <w:rPr>
            <w:rStyle w:val="Hyperlink"/>
            <w:sz w:val="20"/>
          </w:rPr>
          <w:t>http://bls.gov/oes/current/naics3_221000.htm</w:t>
        </w:r>
      </w:hyperlink>
      <w:r w:rsidRPr="00661286">
        <w:rPr>
          <w:sz w:val="20"/>
        </w:rPr>
        <w:t xml:space="preserve"> and the benefits figure from </w:t>
      </w:r>
      <w:hyperlink r:id="rId2" w:history="1">
        <w:r w:rsidRPr="00661286">
          <w:rPr>
            <w:rStyle w:val="Hyperlink"/>
            <w:sz w:val="20"/>
          </w:rPr>
          <w:t>http://www.bls.gov/news.release/ecec.nr0.htm</w:t>
        </w:r>
      </w:hyperlink>
      <w:r w:rsidRPr="00661286">
        <w:rPr>
          <w:sz w:val="20"/>
        </w:rPr>
        <w:t>.</w:t>
      </w:r>
    </w:p>
  </w:footnote>
  <w:footnote w:id="4">
    <w:p w14:paraId="00DA0FA1" w14:textId="77777777" w:rsidR="001F76BC" w:rsidRPr="00661286" w:rsidRDefault="001F76BC" w:rsidP="00661286">
      <w:pPr>
        <w:pStyle w:val="FootnoteText"/>
        <w:rPr>
          <w:sz w:val="20"/>
        </w:rPr>
      </w:pPr>
      <w:r w:rsidRPr="00661286">
        <w:rPr>
          <w:rStyle w:val="FootnoteReference"/>
          <w:sz w:val="20"/>
          <w:szCs w:val="20"/>
        </w:rPr>
        <w:footnoteRef/>
      </w:r>
      <w:r w:rsidRPr="00661286">
        <w:rPr>
          <w:sz w:val="20"/>
        </w:rPr>
        <w:t xml:space="preserve"> We assume each request for a pre-application report corresponds with one Interconnection Customer.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CFFEE"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731278" w14:textId="77777777" w:rsidR="004D79AA" w:rsidRDefault="004D79AA"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E43BA"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08A4">
      <w:rPr>
        <w:rStyle w:val="PageNumber"/>
        <w:noProof/>
      </w:rPr>
      <w:t>2</w:t>
    </w:r>
    <w:r>
      <w:rPr>
        <w:rStyle w:val="PageNumber"/>
      </w:rPr>
      <w:fldChar w:fldCharType="end"/>
    </w:r>
  </w:p>
  <w:p w14:paraId="5EB90FBC" w14:textId="26A4F329" w:rsidR="004D79AA" w:rsidRDefault="004D79AA" w:rsidP="005E318F">
    <w:pPr>
      <w:pStyle w:val="Header"/>
      <w:ind w:right="360"/>
    </w:pPr>
    <w:r w:rsidRPr="003972BD">
      <w:t>Docket No. IC</w:t>
    </w:r>
    <w:r w:rsidR="003972BD" w:rsidRPr="003972BD">
      <w:t>19</w:t>
    </w:r>
    <w:r w:rsidRPr="003972BD">
      <w:t>-</w:t>
    </w:r>
    <w:r w:rsidR="003972BD" w:rsidRPr="003972BD">
      <w:t>40</w:t>
    </w:r>
    <w:r w:rsidRPr="003972BD">
      <w:t>-000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5AC6C" w14:textId="77777777" w:rsidR="003972BD" w:rsidRDefault="003972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338F23D5"/>
    <w:multiLevelType w:val="hybridMultilevel"/>
    <w:tmpl w:val="9314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2127"/>
    <w:rsid w:val="0000305D"/>
    <w:rsid w:val="00003A58"/>
    <w:rsid w:val="00004A34"/>
    <w:rsid w:val="00004D97"/>
    <w:rsid w:val="00004E01"/>
    <w:rsid w:val="00014E36"/>
    <w:rsid w:val="00024ECA"/>
    <w:rsid w:val="00036FEC"/>
    <w:rsid w:val="00041471"/>
    <w:rsid w:val="00043468"/>
    <w:rsid w:val="000436E9"/>
    <w:rsid w:val="0005366B"/>
    <w:rsid w:val="00055C05"/>
    <w:rsid w:val="0006335A"/>
    <w:rsid w:val="00064540"/>
    <w:rsid w:val="00072256"/>
    <w:rsid w:val="00072448"/>
    <w:rsid w:val="000776A8"/>
    <w:rsid w:val="00080D5F"/>
    <w:rsid w:val="000838BE"/>
    <w:rsid w:val="000854B7"/>
    <w:rsid w:val="00093E92"/>
    <w:rsid w:val="000A27CA"/>
    <w:rsid w:val="000A5308"/>
    <w:rsid w:val="000A7D1F"/>
    <w:rsid w:val="000B723A"/>
    <w:rsid w:val="000C22B5"/>
    <w:rsid w:val="000C47F2"/>
    <w:rsid w:val="000C56A4"/>
    <w:rsid w:val="000D3639"/>
    <w:rsid w:val="000D5216"/>
    <w:rsid w:val="000F3E00"/>
    <w:rsid w:val="00103D50"/>
    <w:rsid w:val="00114B14"/>
    <w:rsid w:val="001240FD"/>
    <w:rsid w:val="00125F00"/>
    <w:rsid w:val="00146600"/>
    <w:rsid w:val="00146B5E"/>
    <w:rsid w:val="001470C0"/>
    <w:rsid w:val="001475FE"/>
    <w:rsid w:val="00150CA6"/>
    <w:rsid w:val="00163BBE"/>
    <w:rsid w:val="00176D66"/>
    <w:rsid w:val="00181F00"/>
    <w:rsid w:val="0019407A"/>
    <w:rsid w:val="0019691F"/>
    <w:rsid w:val="001A29CA"/>
    <w:rsid w:val="001A4577"/>
    <w:rsid w:val="001A5E0A"/>
    <w:rsid w:val="001A6B7C"/>
    <w:rsid w:val="001A7291"/>
    <w:rsid w:val="001B40FA"/>
    <w:rsid w:val="001B49BD"/>
    <w:rsid w:val="001B6B4A"/>
    <w:rsid w:val="001C3324"/>
    <w:rsid w:val="001C3703"/>
    <w:rsid w:val="001C4D3A"/>
    <w:rsid w:val="001C5D46"/>
    <w:rsid w:val="001E69DB"/>
    <w:rsid w:val="001F0B06"/>
    <w:rsid w:val="001F2664"/>
    <w:rsid w:val="001F47CB"/>
    <w:rsid w:val="001F76BC"/>
    <w:rsid w:val="00204D0F"/>
    <w:rsid w:val="00215A17"/>
    <w:rsid w:val="002265E9"/>
    <w:rsid w:val="00241BFD"/>
    <w:rsid w:val="00251C88"/>
    <w:rsid w:val="00252CD0"/>
    <w:rsid w:val="002677D6"/>
    <w:rsid w:val="0027273D"/>
    <w:rsid w:val="00285E62"/>
    <w:rsid w:val="0028677A"/>
    <w:rsid w:val="0029476E"/>
    <w:rsid w:val="00296592"/>
    <w:rsid w:val="002A223E"/>
    <w:rsid w:val="002A6174"/>
    <w:rsid w:val="002B43A6"/>
    <w:rsid w:val="002B62A0"/>
    <w:rsid w:val="002C0ECB"/>
    <w:rsid w:val="002C23E9"/>
    <w:rsid w:val="00317A96"/>
    <w:rsid w:val="00321EB8"/>
    <w:rsid w:val="00323139"/>
    <w:rsid w:val="00335092"/>
    <w:rsid w:val="00341866"/>
    <w:rsid w:val="00356E26"/>
    <w:rsid w:val="00366669"/>
    <w:rsid w:val="00370763"/>
    <w:rsid w:val="00374409"/>
    <w:rsid w:val="00381700"/>
    <w:rsid w:val="00386BED"/>
    <w:rsid w:val="003972BD"/>
    <w:rsid w:val="003A1D7A"/>
    <w:rsid w:val="003A453F"/>
    <w:rsid w:val="003B17B2"/>
    <w:rsid w:val="003B4D70"/>
    <w:rsid w:val="003C1644"/>
    <w:rsid w:val="003C1F91"/>
    <w:rsid w:val="003D6813"/>
    <w:rsid w:val="003F32A9"/>
    <w:rsid w:val="00414715"/>
    <w:rsid w:val="00415D8C"/>
    <w:rsid w:val="004230B0"/>
    <w:rsid w:val="00423C49"/>
    <w:rsid w:val="0042785C"/>
    <w:rsid w:val="00430164"/>
    <w:rsid w:val="00432C41"/>
    <w:rsid w:val="0043489E"/>
    <w:rsid w:val="00445DDF"/>
    <w:rsid w:val="004530E0"/>
    <w:rsid w:val="00453F74"/>
    <w:rsid w:val="00455A33"/>
    <w:rsid w:val="00455C4D"/>
    <w:rsid w:val="00462DBE"/>
    <w:rsid w:val="00470106"/>
    <w:rsid w:val="0047321C"/>
    <w:rsid w:val="00477E04"/>
    <w:rsid w:val="004855F2"/>
    <w:rsid w:val="00487256"/>
    <w:rsid w:val="00490E50"/>
    <w:rsid w:val="004A51DF"/>
    <w:rsid w:val="004A6E59"/>
    <w:rsid w:val="004B665B"/>
    <w:rsid w:val="004C36C3"/>
    <w:rsid w:val="004C3BB0"/>
    <w:rsid w:val="004C3C65"/>
    <w:rsid w:val="004D1EE5"/>
    <w:rsid w:val="004D4CD3"/>
    <w:rsid w:val="004D53C3"/>
    <w:rsid w:val="004D778A"/>
    <w:rsid w:val="004D79AA"/>
    <w:rsid w:val="004F3E67"/>
    <w:rsid w:val="0050437A"/>
    <w:rsid w:val="00515CA5"/>
    <w:rsid w:val="00517B18"/>
    <w:rsid w:val="00520ED4"/>
    <w:rsid w:val="00521ABE"/>
    <w:rsid w:val="00524B22"/>
    <w:rsid w:val="00530BB4"/>
    <w:rsid w:val="005320C7"/>
    <w:rsid w:val="005346F4"/>
    <w:rsid w:val="00534B97"/>
    <w:rsid w:val="00537276"/>
    <w:rsid w:val="0054477B"/>
    <w:rsid w:val="00551B13"/>
    <w:rsid w:val="005521E7"/>
    <w:rsid w:val="00556AC8"/>
    <w:rsid w:val="005665D1"/>
    <w:rsid w:val="005701E9"/>
    <w:rsid w:val="00584568"/>
    <w:rsid w:val="0058734A"/>
    <w:rsid w:val="0058744A"/>
    <w:rsid w:val="005916D2"/>
    <w:rsid w:val="00592AD7"/>
    <w:rsid w:val="00594550"/>
    <w:rsid w:val="005953A4"/>
    <w:rsid w:val="005A02C5"/>
    <w:rsid w:val="005A6D8E"/>
    <w:rsid w:val="005B0E46"/>
    <w:rsid w:val="005D0272"/>
    <w:rsid w:val="005E318F"/>
    <w:rsid w:val="005E6B6B"/>
    <w:rsid w:val="006053EE"/>
    <w:rsid w:val="006070B9"/>
    <w:rsid w:val="00617E46"/>
    <w:rsid w:val="0062025E"/>
    <w:rsid w:val="00625882"/>
    <w:rsid w:val="006276C9"/>
    <w:rsid w:val="006400D4"/>
    <w:rsid w:val="00647B24"/>
    <w:rsid w:val="00656DF0"/>
    <w:rsid w:val="0065768D"/>
    <w:rsid w:val="00661286"/>
    <w:rsid w:val="00672BEA"/>
    <w:rsid w:val="0068483B"/>
    <w:rsid w:val="006902C3"/>
    <w:rsid w:val="0069142C"/>
    <w:rsid w:val="00694675"/>
    <w:rsid w:val="00695504"/>
    <w:rsid w:val="00696A1D"/>
    <w:rsid w:val="006A2074"/>
    <w:rsid w:val="006A4D89"/>
    <w:rsid w:val="006A64E7"/>
    <w:rsid w:val="006B4821"/>
    <w:rsid w:val="006C57B1"/>
    <w:rsid w:val="006D549E"/>
    <w:rsid w:val="006E6000"/>
    <w:rsid w:val="006E7FB0"/>
    <w:rsid w:val="006F4A80"/>
    <w:rsid w:val="006F77BE"/>
    <w:rsid w:val="0070048D"/>
    <w:rsid w:val="00703DFC"/>
    <w:rsid w:val="0070558B"/>
    <w:rsid w:val="0071251E"/>
    <w:rsid w:val="00715910"/>
    <w:rsid w:val="00720B54"/>
    <w:rsid w:val="00720E07"/>
    <w:rsid w:val="00725908"/>
    <w:rsid w:val="0072643A"/>
    <w:rsid w:val="007418C9"/>
    <w:rsid w:val="00764A91"/>
    <w:rsid w:val="00766823"/>
    <w:rsid w:val="007726D7"/>
    <w:rsid w:val="00773856"/>
    <w:rsid w:val="0078241C"/>
    <w:rsid w:val="00782BDF"/>
    <w:rsid w:val="00785CF9"/>
    <w:rsid w:val="007957B9"/>
    <w:rsid w:val="007A46B4"/>
    <w:rsid w:val="007A5C4A"/>
    <w:rsid w:val="007D2400"/>
    <w:rsid w:val="007D4A4A"/>
    <w:rsid w:val="007E52AC"/>
    <w:rsid w:val="007E6973"/>
    <w:rsid w:val="007E699A"/>
    <w:rsid w:val="007E7573"/>
    <w:rsid w:val="007F4F94"/>
    <w:rsid w:val="007F7E3C"/>
    <w:rsid w:val="00827DA2"/>
    <w:rsid w:val="0083270A"/>
    <w:rsid w:val="00834B9E"/>
    <w:rsid w:val="0083507A"/>
    <w:rsid w:val="008410EA"/>
    <w:rsid w:val="00841CCE"/>
    <w:rsid w:val="00852671"/>
    <w:rsid w:val="00855434"/>
    <w:rsid w:val="0086417D"/>
    <w:rsid w:val="00865949"/>
    <w:rsid w:val="00865E72"/>
    <w:rsid w:val="0087254C"/>
    <w:rsid w:val="00880EEA"/>
    <w:rsid w:val="008814F7"/>
    <w:rsid w:val="00891E91"/>
    <w:rsid w:val="00893FB3"/>
    <w:rsid w:val="008956A4"/>
    <w:rsid w:val="008B5814"/>
    <w:rsid w:val="008D7DF2"/>
    <w:rsid w:val="008E4CB7"/>
    <w:rsid w:val="008F66AB"/>
    <w:rsid w:val="00906BFB"/>
    <w:rsid w:val="009124A0"/>
    <w:rsid w:val="009131BC"/>
    <w:rsid w:val="0091686D"/>
    <w:rsid w:val="00920A1C"/>
    <w:rsid w:val="00924B80"/>
    <w:rsid w:val="00937BCD"/>
    <w:rsid w:val="009447D3"/>
    <w:rsid w:val="009537F4"/>
    <w:rsid w:val="00956FF9"/>
    <w:rsid w:val="00961DAE"/>
    <w:rsid w:val="00966148"/>
    <w:rsid w:val="009679E3"/>
    <w:rsid w:val="009713C5"/>
    <w:rsid w:val="0097434D"/>
    <w:rsid w:val="00977E05"/>
    <w:rsid w:val="00991D87"/>
    <w:rsid w:val="009947B6"/>
    <w:rsid w:val="00994B38"/>
    <w:rsid w:val="00997AE4"/>
    <w:rsid w:val="009A61E8"/>
    <w:rsid w:val="009B027F"/>
    <w:rsid w:val="009B7DFA"/>
    <w:rsid w:val="009C2E1C"/>
    <w:rsid w:val="009D505F"/>
    <w:rsid w:val="009E1DA1"/>
    <w:rsid w:val="009F4AB4"/>
    <w:rsid w:val="009F71DC"/>
    <w:rsid w:val="00A0763E"/>
    <w:rsid w:val="00A15BF1"/>
    <w:rsid w:val="00A17794"/>
    <w:rsid w:val="00A226EE"/>
    <w:rsid w:val="00A34319"/>
    <w:rsid w:val="00A34518"/>
    <w:rsid w:val="00A35158"/>
    <w:rsid w:val="00A3726A"/>
    <w:rsid w:val="00A40B65"/>
    <w:rsid w:val="00A4355D"/>
    <w:rsid w:val="00A51FCA"/>
    <w:rsid w:val="00A536DA"/>
    <w:rsid w:val="00A56980"/>
    <w:rsid w:val="00A60681"/>
    <w:rsid w:val="00A72F11"/>
    <w:rsid w:val="00A85DE0"/>
    <w:rsid w:val="00A96311"/>
    <w:rsid w:val="00A9631E"/>
    <w:rsid w:val="00AA7819"/>
    <w:rsid w:val="00AB0A99"/>
    <w:rsid w:val="00AB20D8"/>
    <w:rsid w:val="00AB436E"/>
    <w:rsid w:val="00AC4CC5"/>
    <w:rsid w:val="00AC7480"/>
    <w:rsid w:val="00AE0995"/>
    <w:rsid w:val="00AE4572"/>
    <w:rsid w:val="00AE61E0"/>
    <w:rsid w:val="00AF4F93"/>
    <w:rsid w:val="00B018B9"/>
    <w:rsid w:val="00B1101F"/>
    <w:rsid w:val="00B2439B"/>
    <w:rsid w:val="00B3254F"/>
    <w:rsid w:val="00B33628"/>
    <w:rsid w:val="00B337D1"/>
    <w:rsid w:val="00B43366"/>
    <w:rsid w:val="00B4431A"/>
    <w:rsid w:val="00B460AF"/>
    <w:rsid w:val="00B46625"/>
    <w:rsid w:val="00B52047"/>
    <w:rsid w:val="00B62B35"/>
    <w:rsid w:val="00B710EA"/>
    <w:rsid w:val="00B75595"/>
    <w:rsid w:val="00B806DB"/>
    <w:rsid w:val="00B81BC5"/>
    <w:rsid w:val="00B835C5"/>
    <w:rsid w:val="00B97BC8"/>
    <w:rsid w:val="00BA7702"/>
    <w:rsid w:val="00BB0845"/>
    <w:rsid w:val="00BB1C54"/>
    <w:rsid w:val="00BC1B93"/>
    <w:rsid w:val="00BD0A6B"/>
    <w:rsid w:val="00BD15D4"/>
    <w:rsid w:val="00BF0461"/>
    <w:rsid w:val="00BF144D"/>
    <w:rsid w:val="00C01B8E"/>
    <w:rsid w:val="00C0487E"/>
    <w:rsid w:val="00C056FE"/>
    <w:rsid w:val="00C05E2D"/>
    <w:rsid w:val="00C1080B"/>
    <w:rsid w:val="00C13D4D"/>
    <w:rsid w:val="00C14CA1"/>
    <w:rsid w:val="00C209EA"/>
    <w:rsid w:val="00C20BA6"/>
    <w:rsid w:val="00C211B3"/>
    <w:rsid w:val="00C3310F"/>
    <w:rsid w:val="00C33BBC"/>
    <w:rsid w:val="00C41350"/>
    <w:rsid w:val="00C446C7"/>
    <w:rsid w:val="00C4788A"/>
    <w:rsid w:val="00C53513"/>
    <w:rsid w:val="00C56512"/>
    <w:rsid w:val="00C63FEE"/>
    <w:rsid w:val="00C70D6C"/>
    <w:rsid w:val="00C71F08"/>
    <w:rsid w:val="00C856C1"/>
    <w:rsid w:val="00C936A0"/>
    <w:rsid w:val="00C950B8"/>
    <w:rsid w:val="00C9728E"/>
    <w:rsid w:val="00C97402"/>
    <w:rsid w:val="00CA5395"/>
    <w:rsid w:val="00CA582B"/>
    <w:rsid w:val="00CA5D25"/>
    <w:rsid w:val="00CB10EF"/>
    <w:rsid w:val="00CC084C"/>
    <w:rsid w:val="00CC312A"/>
    <w:rsid w:val="00CC74B4"/>
    <w:rsid w:val="00CD08A4"/>
    <w:rsid w:val="00CD31E5"/>
    <w:rsid w:val="00CD787F"/>
    <w:rsid w:val="00CE0248"/>
    <w:rsid w:val="00CE0EF2"/>
    <w:rsid w:val="00CE64F2"/>
    <w:rsid w:val="00CF5B9A"/>
    <w:rsid w:val="00D02D61"/>
    <w:rsid w:val="00D20E2B"/>
    <w:rsid w:val="00D23599"/>
    <w:rsid w:val="00D33436"/>
    <w:rsid w:val="00D43998"/>
    <w:rsid w:val="00D47828"/>
    <w:rsid w:val="00D63246"/>
    <w:rsid w:val="00D63C82"/>
    <w:rsid w:val="00D67693"/>
    <w:rsid w:val="00D70310"/>
    <w:rsid w:val="00D76D45"/>
    <w:rsid w:val="00D77890"/>
    <w:rsid w:val="00D87C24"/>
    <w:rsid w:val="00D90CBF"/>
    <w:rsid w:val="00D90F48"/>
    <w:rsid w:val="00D9166B"/>
    <w:rsid w:val="00D92CB4"/>
    <w:rsid w:val="00D93E95"/>
    <w:rsid w:val="00D94313"/>
    <w:rsid w:val="00DA6F3C"/>
    <w:rsid w:val="00DA7F57"/>
    <w:rsid w:val="00DB44CE"/>
    <w:rsid w:val="00DC05D3"/>
    <w:rsid w:val="00DC09DD"/>
    <w:rsid w:val="00DC0CCD"/>
    <w:rsid w:val="00DC4367"/>
    <w:rsid w:val="00DD02E8"/>
    <w:rsid w:val="00DD3E84"/>
    <w:rsid w:val="00DF281F"/>
    <w:rsid w:val="00DF3DC8"/>
    <w:rsid w:val="00DF57D1"/>
    <w:rsid w:val="00E027CE"/>
    <w:rsid w:val="00E0745C"/>
    <w:rsid w:val="00E102DA"/>
    <w:rsid w:val="00E146ED"/>
    <w:rsid w:val="00E2091C"/>
    <w:rsid w:val="00E310B1"/>
    <w:rsid w:val="00E4230F"/>
    <w:rsid w:val="00E436DC"/>
    <w:rsid w:val="00E43FF3"/>
    <w:rsid w:val="00E52021"/>
    <w:rsid w:val="00E521EB"/>
    <w:rsid w:val="00E57F5B"/>
    <w:rsid w:val="00E60318"/>
    <w:rsid w:val="00E6445A"/>
    <w:rsid w:val="00E6573E"/>
    <w:rsid w:val="00E92ACF"/>
    <w:rsid w:val="00E9701C"/>
    <w:rsid w:val="00EA07A3"/>
    <w:rsid w:val="00EA26F9"/>
    <w:rsid w:val="00EA5739"/>
    <w:rsid w:val="00EB6EE6"/>
    <w:rsid w:val="00EC0705"/>
    <w:rsid w:val="00EC4610"/>
    <w:rsid w:val="00EC4C08"/>
    <w:rsid w:val="00EC657E"/>
    <w:rsid w:val="00EC7372"/>
    <w:rsid w:val="00EE4F64"/>
    <w:rsid w:val="00EE5F32"/>
    <w:rsid w:val="00EE64A4"/>
    <w:rsid w:val="00EF5878"/>
    <w:rsid w:val="00F02B46"/>
    <w:rsid w:val="00F04F98"/>
    <w:rsid w:val="00F05061"/>
    <w:rsid w:val="00F15EB8"/>
    <w:rsid w:val="00F17D46"/>
    <w:rsid w:val="00F2283B"/>
    <w:rsid w:val="00F239CB"/>
    <w:rsid w:val="00F252DC"/>
    <w:rsid w:val="00F30FE9"/>
    <w:rsid w:val="00F31331"/>
    <w:rsid w:val="00F33CC9"/>
    <w:rsid w:val="00F34211"/>
    <w:rsid w:val="00F4212C"/>
    <w:rsid w:val="00F42509"/>
    <w:rsid w:val="00F500B7"/>
    <w:rsid w:val="00F50EDA"/>
    <w:rsid w:val="00F567F0"/>
    <w:rsid w:val="00F619B0"/>
    <w:rsid w:val="00F62C6E"/>
    <w:rsid w:val="00F63C6E"/>
    <w:rsid w:val="00F67CA1"/>
    <w:rsid w:val="00F72A15"/>
    <w:rsid w:val="00F730F8"/>
    <w:rsid w:val="00F75289"/>
    <w:rsid w:val="00F76482"/>
    <w:rsid w:val="00F80272"/>
    <w:rsid w:val="00F81786"/>
    <w:rsid w:val="00F86890"/>
    <w:rsid w:val="00F94545"/>
    <w:rsid w:val="00F96695"/>
    <w:rsid w:val="00FA1560"/>
    <w:rsid w:val="00FA2A52"/>
    <w:rsid w:val="00FA4464"/>
    <w:rsid w:val="00FB5088"/>
    <w:rsid w:val="00FC34C8"/>
    <w:rsid w:val="00FC4CD8"/>
    <w:rsid w:val="00FC5E3E"/>
    <w:rsid w:val="00FE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1D21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uiPriority w:val="99"/>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paragraph" w:customStyle="1" w:styleId="Style0">
    <w:name w:val="Style0"/>
    <w:rsid w:val="001F76BC"/>
    <w:pPr>
      <w:autoSpaceDE w:val="0"/>
      <w:autoSpaceDN w:val="0"/>
      <w:adjustRightInd w:val="0"/>
    </w:pPr>
    <w:rPr>
      <w:rFonts w:ascii="Arial" w:hAnsi="Arial"/>
      <w:sz w:val="24"/>
      <w:szCs w:val="24"/>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uiPriority w:val="99"/>
    <w:rsid w:val="001F76B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uiPriority w:val="99"/>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paragraph" w:customStyle="1" w:styleId="Style0">
    <w:name w:val="Style0"/>
    <w:rsid w:val="001F76BC"/>
    <w:pPr>
      <w:autoSpaceDE w:val="0"/>
      <w:autoSpaceDN w:val="0"/>
      <w:adjustRightInd w:val="0"/>
    </w:pPr>
    <w:rPr>
      <w:rFonts w:ascii="Arial" w:hAnsi="Arial"/>
      <w:sz w:val="24"/>
      <w:szCs w:val="24"/>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uiPriority w:val="99"/>
    <w:rsid w:val="001F76B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46294">
      <w:bodyDiv w:val="1"/>
      <w:marLeft w:val="0"/>
      <w:marRight w:val="0"/>
      <w:marTop w:val="0"/>
      <w:marBottom w:val="0"/>
      <w:divBdr>
        <w:top w:val="none" w:sz="0" w:space="0" w:color="auto"/>
        <w:left w:val="none" w:sz="0" w:space="0" w:color="auto"/>
        <w:bottom w:val="none" w:sz="0" w:space="0" w:color="auto"/>
        <w:right w:val="none" w:sz="0" w:space="0" w:color="auto"/>
      </w:divBdr>
    </w:div>
    <w:div w:id="158945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72C71-564C-4169-9E7C-D65FFE42DA54}">
  <ds:schemaRefs>
    <ds:schemaRef ds:uri="http://schemas.microsoft.com/office/2006/metadata/longProperties"/>
  </ds:schemaRefs>
</ds:datastoreItem>
</file>

<file path=customXml/itemProps2.xml><?xml version="1.0" encoding="utf-8"?>
<ds:datastoreItem xmlns:ds="http://schemas.openxmlformats.org/officeDocument/2006/customXml" ds:itemID="{E502A652-F07C-4057-9DEF-C6AA7646F8CA}">
  <ds:schemaRefs>
    <ds:schemaRef ds:uri="http://schemas.microsoft.com/sharepoint/v3/contenttype/forms"/>
  </ds:schemaRefs>
</ds:datastoreItem>
</file>

<file path=customXml/itemProps3.xml><?xml version="1.0" encoding="utf-8"?>
<ds:datastoreItem xmlns:ds="http://schemas.openxmlformats.org/officeDocument/2006/customXml" ds:itemID="{E6ED8E9D-B841-45E8-AB92-9CCA53691AC2}">
  <ds:schemaRefs>
    <ds:schemaRef ds:uri="Microsoft.SharePoint.Taxonomy.ContentTypeSync"/>
  </ds:schemaRefs>
</ds:datastoreItem>
</file>

<file path=customXml/itemProps4.xml><?xml version="1.0" encoding="utf-8"?>
<ds:datastoreItem xmlns:ds="http://schemas.openxmlformats.org/officeDocument/2006/customXml" ds:itemID="{182F478B-3336-4922-AB62-7AB82AC56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38E832-110B-4A4B-9991-5C2CC4D01FD9}">
  <ds:schemaRef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infopath/2007/PartnerControls"/>
    <ds:schemaRef ds:uri="5e8733a2-e908-454b-85cf-c9d17e1d0943"/>
    <ds:schemaRef ds:uri="http://purl.org/dc/terms/"/>
  </ds:schemaRefs>
</ds:datastoreItem>
</file>

<file path=customXml/itemProps6.xml><?xml version="1.0" encoding="utf-8"?>
<ds:datastoreItem xmlns:ds="http://schemas.openxmlformats.org/officeDocument/2006/customXml" ds:itemID="{A34BFD19-10A3-4EA9-B168-25BA3EEE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FERC-516A</vt:lpstr>
    </vt:vector>
  </TitlesOfParts>
  <Manager/>
  <Company/>
  <LinksUpToDate>false</LinksUpToDate>
  <CharactersWithSpaces>8639</CharactersWithSpaces>
  <SharedDoc>false</SharedDoc>
  <HyperlinkBase/>
  <HLinks>
    <vt:vector size="24"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2011-07-29T15:17:00Z</cp:lastPrinted>
  <dcterms:created xsi:type="dcterms:W3CDTF">2019-11-05T21:15:00Z</dcterms:created>
  <dcterms:modified xsi:type="dcterms:W3CDTF">2019-11-05T21:15:00Z</dcterms:modified>
  <cp:category/>
  <dc:identifier/>
  <cp:contentStatus/>
  <cp:version/>
</cp:coreProperties>
</file>