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3939" w:rsidR="00536A11" w:rsidP="007C23F0" w:rsidRDefault="00D90D06">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2A3939">
        <w:rPr>
          <w:color w:val="auto"/>
          <w:sz w:val="22"/>
          <w:szCs w:val="22"/>
        </w:rPr>
        <w:t xml:space="preserve">SUPPORTING </w:t>
      </w:r>
      <w:proofErr w:type="gramStart"/>
      <w:r w:rsidRPr="002A3939">
        <w:rPr>
          <w:color w:val="auto"/>
          <w:sz w:val="22"/>
          <w:szCs w:val="22"/>
        </w:rPr>
        <w:t>STATEMENT</w:t>
      </w:r>
      <w:proofErr w:type="gramEnd"/>
      <w:r w:rsidRPr="002A3939" w:rsidR="00BF2CF3">
        <w:rPr>
          <w:color w:val="auto"/>
          <w:sz w:val="22"/>
          <w:szCs w:val="22"/>
        </w:rPr>
        <w:t xml:space="preserve"> A</w:t>
      </w:r>
    </w:p>
    <w:p w:rsidR="00E6326A" w:rsidP="007C23F0" w:rsidRDefault="00E6326A">
      <w:pPr>
        <w:tabs>
          <w:tab w:val="left" w:pos="547"/>
          <w:tab w:val="left" w:pos="1080"/>
          <w:tab w:val="left" w:pos="1627"/>
          <w:tab w:val="left" w:pos="2160"/>
          <w:tab w:val="left" w:pos="2880"/>
        </w:tabs>
        <w:jc w:val="center"/>
        <w:rPr>
          <w:b/>
          <w:bCs/>
          <w:color w:val="FF0000"/>
          <w:sz w:val="22"/>
          <w:szCs w:val="22"/>
        </w:rPr>
      </w:pPr>
    </w:p>
    <w:p w:rsidR="00D90D06" w:rsidP="00BF2CF3" w:rsidRDefault="00D90D06">
      <w:pPr>
        <w:tabs>
          <w:tab w:val="left" w:pos="547"/>
          <w:tab w:val="left" w:pos="1080"/>
          <w:tab w:val="left" w:pos="1627"/>
          <w:tab w:val="left" w:pos="2160"/>
          <w:tab w:val="left" w:pos="2880"/>
        </w:tabs>
        <w:spacing w:line="276" w:lineRule="auto"/>
        <w:jc w:val="center"/>
        <w:rPr>
          <w:b/>
          <w:bCs/>
        </w:rPr>
      </w:pPr>
      <w:r w:rsidRPr="00D90D06">
        <w:rPr>
          <w:b/>
          <w:bCs/>
        </w:rPr>
        <w:t xml:space="preserve">Foreign Medical Program </w:t>
      </w:r>
      <w:r>
        <w:rPr>
          <w:b/>
          <w:bCs/>
        </w:rPr>
        <w:t xml:space="preserve">(FMP) </w:t>
      </w:r>
      <w:r w:rsidR="000044C5">
        <w:rPr>
          <w:b/>
          <w:bCs/>
        </w:rPr>
        <w:t>Registrat</w:t>
      </w:r>
      <w:r w:rsidRPr="00D90D06">
        <w:rPr>
          <w:b/>
          <w:bCs/>
        </w:rPr>
        <w:t xml:space="preserve">ion </w:t>
      </w:r>
      <w:r w:rsidR="002572F6">
        <w:rPr>
          <w:b/>
          <w:bCs/>
        </w:rPr>
        <w:t xml:space="preserve">Form </w:t>
      </w:r>
      <w:r w:rsidRPr="00D90D06">
        <w:rPr>
          <w:b/>
          <w:bCs/>
        </w:rPr>
        <w:t>and Claim Cover Sheet</w:t>
      </w:r>
    </w:p>
    <w:p w:rsidRPr="00BF2CF3" w:rsidR="00D90D06" w:rsidP="00BF2CF3" w:rsidRDefault="00D90D06">
      <w:pPr>
        <w:tabs>
          <w:tab w:val="left" w:pos="547"/>
          <w:tab w:val="left" w:pos="1080"/>
          <w:tab w:val="left" w:pos="1627"/>
          <w:tab w:val="left" w:pos="2160"/>
          <w:tab w:val="left" w:pos="2880"/>
        </w:tabs>
        <w:spacing w:line="276" w:lineRule="auto"/>
        <w:jc w:val="center"/>
        <w:rPr>
          <w:bCs/>
        </w:rPr>
      </w:pPr>
      <w:r w:rsidRPr="00BF2CF3">
        <w:rPr>
          <w:bCs/>
        </w:rPr>
        <w:t>VA Forms 10-7959f-1 and 10-7959f-2</w:t>
      </w:r>
    </w:p>
    <w:p w:rsidR="007C23F0" w:rsidP="007C23F0" w:rsidRDefault="007C23F0">
      <w:pPr>
        <w:tabs>
          <w:tab w:val="left" w:pos="547"/>
          <w:tab w:val="left" w:pos="1080"/>
          <w:tab w:val="left" w:pos="1627"/>
          <w:tab w:val="left" w:pos="2160"/>
          <w:tab w:val="left" w:pos="2880"/>
        </w:tabs>
        <w:jc w:val="center"/>
        <w:rPr>
          <w:b/>
          <w:bCs/>
        </w:rPr>
      </w:pPr>
      <w:r w:rsidRPr="00BF2CF3">
        <w:rPr>
          <w:bCs/>
        </w:rPr>
        <w:br/>
      </w:r>
      <w:r w:rsidR="002D63BC">
        <w:rPr>
          <w:b/>
          <w:bCs/>
        </w:rPr>
        <w:t>OMB</w:t>
      </w:r>
      <w:r w:rsidRPr="007C23F0">
        <w:rPr>
          <w:b/>
          <w:bCs/>
        </w:rPr>
        <w:t xml:space="preserve"> </w:t>
      </w:r>
      <w:r w:rsidR="00D90D06">
        <w:rPr>
          <w:b/>
          <w:bCs/>
        </w:rPr>
        <w:t>Control Number</w:t>
      </w:r>
      <w:r w:rsidRPr="007C23F0">
        <w:rPr>
          <w:b/>
          <w:bCs/>
        </w:rPr>
        <w:t xml:space="preserve"> 2900-</w:t>
      </w:r>
      <w:r w:rsidR="00D90D06">
        <w:rPr>
          <w:b/>
          <w:bCs/>
        </w:rPr>
        <w:t>0648</w:t>
      </w:r>
    </w:p>
    <w:p w:rsidRPr="00E6326A" w:rsidR="00E6326A" w:rsidP="007C23F0" w:rsidRDefault="00E6326A">
      <w:pPr>
        <w:tabs>
          <w:tab w:val="left" w:pos="547"/>
          <w:tab w:val="left" w:pos="1080"/>
          <w:tab w:val="left" w:pos="1627"/>
          <w:tab w:val="left" w:pos="2160"/>
          <w:tab w:val="left" w:pos="2880"/>
        </w:tabs>
        <w:jc w:val="center"/>
        <w:rPr>
          <w:b/>
          <w:bCs/>
        </w:rPr>
      </w:pPr>
    </w:p>
    <w:p w:rsidR="00536A11" w:rsidP="007C23F0" w:rsidRDefault="00536A11">
      <w:pPr>
        <w:tabs>
          <w:tab w:val="left" w:pos="547"/>
          <w:tab w:val="left" w:pos="1080"/>
          <w:tab w:val="left" w:pos="1627"/>
          <w:tab w:val="left" w:pos="2160"/>
          <w:tab w:val="left" w:pos="2880"/>
        </w:tabs>
        <w:jc w:val="center"/>
      </w:pPr>
    </w:p>
    <w:p w:rsidRPr="007B1194"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pPr>
        <w:tabs>
          <w:tab w:val="left" w:pos="547"/>
          <w:tab w:val="left" w:pos="1080"/>
          <w:tab w:val="left" w:pos="1627"/>
          <w:tab w:val="left" w:pos="2160"/>
          <w:tab w:val="left" w:pos="2880"/>
        </w:tabs>
        <w:rPr>
          <w:sz w:val="22"/>
          <w:szCs w:val="22"/>
        </w:rPr>
      </w:pPr>
      <w:bookmarkStart w:name="_GoBack" w:id="0"/>
      <w:bookmarkEnd w:id="0"/>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222FFF" w:rsidP="00621026" w:rsidRDefault="00222FFF">
      <w:pPr>
        <w:tabs>
          <w:tab w:val="left" w:pos="547"/>
          <w:tab w:val="left" w:pos="1080"/>
          <w:tab w:val="left" w:pos="1627"/>
          <w:tab w:val="left" w:pos="2160"/>
        </w:tabs>
      </w:pPr>
    </w:p>
    <w:p w:rsidRPr="00B846DA" w:rsidR="00621026" w:rsidP="00621026" w:rsidRDefault="00896054">
      <w:pPr>
        <w:tabs>
          <w:tab w:val="left" w:pos="547"/>
          <w:tab w:val="left" w:pos="1080"/>
          <w:tab w:val="left" w:pos="1627"/>
          <w:tab w:val="left" w:pos="2160"/>
        </w:tabs>
      </w:pPr>
      <w:r>
        <w:tab/>
      </w:r>
      <w:bookmarkStart w:name="_Hlk36216107" w:id="1"/>
      <w:r w:rsidR="005C3C2F">
        <w:t xml:space="preserve">The </w:t>
      </w:r>
      <w:r w:rsidR="00222FFF">
        <w:t>F</w:t>
      </w:r>
      <w:r>
        <w:t>oreign</w:t>
      </w:r>
      <w:r w:rsidR="00222FFF">
        <w:t xml:space="preserve"> </w:t>
      </w:r>
      <w:r w:rsidRPr="00B846DA" w:rsidR="00621026">
        <w:t>Medical Program (FMP)</w:t>
      </w:r>
      <w:r w:rsidR="00222FFF">
        <w:t xml:space="preserve"> </w:t>
      </w:r>
      <w:r w:rsidRPr="00B846DA" w:rsidR="00621026">
        <w:t>is a federal health benefits program for Veterans</w:t>
      </w:r>
      <w:r w:rsidR="005D047A">
        <w:t xml:space="preserve">, which is </w:t>
      </w:r>
      <w:r w:rsidRPr="00B846DA" w:rsidR="00621026">
        <w:t>administered by the Department of Veterans Affairs (VA) Veterans Health Administration (VHA).  FMP is a Fee for Service (indemnity plan) program</w:t>
      </w:r>
      <w:r w:rsidR="001B5F40">
        <w:t xml:space="preserve"> and </w:t>
      </w:r>
      <w:r w:rsidRPr="00B846DA" w:rsidR="00621026">
        <w:t>provides reimbursement for VA adjudicated service-connected conditions.  Title 38 CFR 17.35 states that the VA will provide coverage for the Veteran’s service-connected disability when the Veteran is residing or traveling overseas.</w:t>
      </w:r>
    </w:p>
    <w:p w:rsidRPr="00B846DA" w:rsidR="00621026" w:rsidP="00621026" w:rsidRDefault="00621026">
      <w:pPr>
        <w:tabs>
          <w:tab w:val="left" w:pos="547"/>
          <w:tab w:val="left" w:pos="1080"/>
          <w:tab w:val="left" w:pos="1627"/>
          <w:tab w:val="left" w:pos="2160"/>
        </w:tabs>
      </w:pPr>
    </w:p>
    <w:p w:rsidR="00621026" w:rsidP="00621026" w:rsidRDefault="00621026">
      <w:pPr>
        <w:tabs>
          <w:tab w:val="left" w:pos="547"/>
          <w:tab w:val="left" w:pos="1080"/>
          <w:tab w:val="left" w:pos="1627"/>
          <w:tab w:val="left" w:pos="2160"/>
        </w:tabs>
      </w:pPr>
      <w:r w:rsidRPr="00B846DA">
        <w:tab/>
        <w:t xml:space="preserve">VA Form 10-7959f-1, Foreign Medical Program (FMP) Registration Form, is used to register into the Foreign Medical Program those Veterans with service-connected disabilities </w:t>
      </w:r>
      <w:r w:rsidR="003522CD">
        <w:t>who</w:t>
      </w:r>
      <w:r w:rsidRPr="00B846DA">
        <w:t xml:space="preserve"> are living or traveling overseas.  Title 38 CFR 17.125(</w:t>
      </w:r>
      <w:r>
        <w:t>c</w:t>
      </w:r>
      <w:r w:rsidRPr="00B846DA">
        <w:t>) states that requests for consideration of claim reimbursement from approved health care providers and Veterans are to be mailed to VHA Health Administration Center</w:t>
      </w:r>
      <w:r>
        <w:t>.</w:t>
      </w:r>
      <w:r w:rsidRPr="00B846DA">
        <w:t xml:space="preserve"> The VA Form 10-7959f-2, </w:t>
      </w:r>
      <w:r w:rsidRPr="00B846DA" w:rsidR="00267AAE">
        <w:t xml:space="preserve">Foreign Medical Program </w:t>
      </w:r>
      <w:r w:rsidRPr="00B846DA">
        <w:t>Claim Cover Sheet</w:t>
      </w:r>
      <w:r w:rsidR="00267AAE">
        <w:t xml:space="preserve">, </w:t>
      </w:r>
      <w:r w:rsidRPr="00B846DA">
        <w:t>streamlines the claims submission process for claimants or p</w:t>
      </w:r>
      <w:r w:rsidR="001E1FED">
        <w:t>rovider</w:t>
      </w:r>
      <w:r w:rsidRPr="00B846DA">
        <w:t>s while also reducing the time spent by VA on processing FMP claims.  The cover sheet will allow foreign providers</w:t>
      </w:r>
      <w:r w:rsidR="008C4D31">
        <w:t xml:space="preserve"> and </w:t>
      </w:r>
      <w:r w:rsidRPr="00B846DA">
        <w:t>Veterans</w:t>
      </w:r>
      <w:r w:rsidR="00896054">
        <w:t xml:space="preserve"> </w:t>
      </w:r>
      <w:r w:rsidRPr="00B846DA">
        <w:t>a better understanding of</w:t>
      </w:r>
      <w:r w:rsidR="008C4D31">
        <w:t xml:space="preserve"> the</w:t>
      </w:r>
      <w:r w:rsidRPr="00B846DA">
        <w:t xml:space="preserve"> basic information required for the processing and payment of claims.  </w:t>
      </w:r>
    </w:p>
    <w:p w:rsidR="00621026" w:rsidP="00621026" w:rsidRDefault="00621026">
      <w:pPr>
        <w:tabs>
          <w:tab w:val="left" w:pos="547"/>
          <w:tab w:val="left" w:pos="1080"/>
          <w:tab w:val="left" w:pos="1627"/>
          <w:tab w:val="left" w:pos="2160"/>
        </w:tabs>
      </w:pPr>
    </w:p>
    <w:bookmarkEnd w:id="1"/>
    <w:p w:rsidRPr="007B1194" w:rsidR="00621026" w:rsidP="00621026" w:rsidRDefault="00621026">
      <w:pPr>
        <w:tabs>
          <w:tab w:val="left" w:pos="547"/>
          <w:tab w:val="left" w:pos="1080"/>
          <w:tab w:val="left" w:pos="1627"/>
          <w:tab w:val="left" w:pos="2160"/>
          <w:tab w:val="left" w:pos="2880"/>
        </w:tabs>
        <w:rPr>
          <w:sz w:val="22"/>
          <w:szCs w:val="22"/>
        </w:rPr>
      </w:pPr>
      <w:r>
        <w:tab/>
      </w: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621026" w:rsidRDefault="00621026">
      <w:pPr>
        <w:tabs>
          <w:tab w:val="left" w:pos="547"/>
          <w:tab w:val="left" w:pos="1080"/>
          <w:tab w:val="left" w:pos="1627"/>
          <w:tab w:val="left" w:pos="2160"/>
          <w:tab w:val="left" w:pos="2880"/>
        </w:tabs>
        <w:rPr>
          <w:b/>
          <w:color w:val="000000"/>
          <w:sz w:val="22"/>
          <w:szCs w:val="22"/>
        </w:rPr>
      </w:pPr>
    </w:p>
    <w:p w:rsidR="00896054" w:rsidRDefault="00316142">
      <w:pPr>
        <w:tabs>
          <w:tab w:val="left" w:pos="547"/>
          <w:tab w:val="left" w:pos="1080"/>
          <w:tab w:val="left" w:pos="1627"/>
          <w:tab w:val="left" w:pos="2160"/>
          <w:tab w:val="left" w:pos="2880"/>
        </w:tabs>
        <w:rPr>
          <w:snapToGrid w:val="0"/>
        </w:rPr>
      </w:pPr>
      <w:r>
        <w:rPr>
          <w:snapToGrid w:val="0"/>
        </w:rPr>
        <w:tab/>
      </w:r>
      <w:r w:rsidRPr="00B846DA" w:rsidR="00621026">
        <w:rPr>
          <w:snapToGrid w:val="0"/>
        </w:rPr>
        <w:t xml:space="preserve">The Veteran will complete VA Form 10-7959f-1 for the purpose of enrollment in FMP.  Information is entered into the FMP data base for maintaining enrollment records and for future processing of claims.  </w:t>
      </w:r>
      <w:r w:rsidRPr="00B846DA" w:rsidR="00621026">
        <w:t xml:space="preserve">The VA Form 10-7959f-2 is for the purpose of submitting claims for payment/ reimbursement of expenses related to Veterans who are overseas except for the </w:t>
      </w:r>
      <w:smartTag w:uri="urn:schemas-microsoft-com:office:smarttags" w:element="country-region">
        <w:smartTag w:uri="urn:schemas-microsoft-com:office:smarttags" w:element="place">
          <w:r w:rsidR="00621026" w:rsidRPr="00B846DA">
            <w:t>Philippines</w:t>
          </w:r>
        </w:smartTag>
      </w:smartTag>
      <w:r w:rsidRPr="00B846DA" w:rsidR="00621026">
        <w:t xml:space="preserve"> with a service-connected disability.  </w:t>
      </w:r>
      <w:r w:rsidRPr="00B846DA" w:rsidR="00621026">
        <w:rPr>
          <w:snapToGrid w:val="0"/>
        </w:rPr>
        <w:t xml:space="preserve">The professional staff at the VHA </w:t>
      </w:r>
      <w:r w:rsidR="006E14B2">
        <w:rPr>
          <w:snapToGrid w:val="0"/>
        </w:rPr>
        <w:t>Office of Community Care</w:t>
      </w:r>
      <w:r w:rsidR="00621026">
        <w:rPr>
          <w:snapToGrid w:val="0"/>
        </w:rPr>
        <w:t xml:space="preserve"> (</w:t>
      </w:r>
      <w:r w:rsidR="006E14B2">
        <w:rPr>
          <w:snapToGrid w:val="0"/>
        </w:rPr>
        <w:t>VHA OCC</w:t>
      </w:r>
      <w:r w:rsidR="00621026">
        <w:rPr>
          <w:snapToGrid w:val="0"/>
        </w:rPr>
        <w:t>)</w:t>
      </w:r>
      <w:r w:rsidRPr="00B846DA" w:rsidR="00621026">
        <w:rPr>
          <w:snapToGrid w:val="0"/>
        </w:rPr>
        <w:t>, Denver, Colorado, will use this information to determine the appropriateness of Veteran information; i.e.</w:t>
      </w:r>
      <w:r w:rsidR="00621026">
        <w:rPr>
          <w:snapToGrid w:val="0"/>
        </w:rPr>
        <w:t>,</w:t>
      </w:r>
      <w:r w:rsidRPr="00B846DA" w:rsidR="00621026">
        <w:rPr>
          <w:snapToGrid w:val="0"/>
        </w:rPr>
        <w:t xml:space="preserve"> name, address, Social Security number and VA claim number for bills submitted for consideration of claim payment.  </w:t>
      </w:r>
      <w:r w:rsidRPr="00B846DA" w:rsidR="00621026">
        <w:t>Use of this form by providers or Veterans is optional.  However, the form outlines the</w:t>
      </w:r>
      <w:r w:rsidRPr="00B846DA" w:rsidR="00621026">
        <w:rPr>
          <w:snapToGrid w:val="0"/>
        </w:rPr>
        <w:t xml:space="preserve"> basic Veteran information necessary for consideration of claims for reimbursement.  </w:t>
      </w:r>
    </w:p>
    <w:p w:rsidR="00896054" w:rsidRDefault="00896054">
      <w:pPr>
        <w:tabs>
          <w:tab w:val="left" w:pos="547"/>
          <w:tab w:val="left" w:pos="1080"/>
          <w:tab w:val="left" w:pos="1627"/>
          <w:tab w:val="left" w:pos="2160"/>
          <w:tab w:val="left" w:pos="2880"/>
        </w:tabs>
        <w:rPr>
          <w:snapToGrid w:val="0"/>
        </w:rPr>
      </w:pPr>
    </w:p>
    <w:p w:rsidR="00621026" w:rsidRDefault="00896054">
      <w:pPr>
        <w:tabs>
          <w:tab w:val="left" w:pos="547"/>
          <w:tab w:val="left" w:pos="1080"/>
          <w:tab w:val="left" w:pos="1627"/>
          <w:tab w:val="left" w:pos="2160"/>
          <w:tab w:val="left" w:pos="2880"/>
        </w:tabs>
        <w:rPr>
          <w:snapToGrid w:val="0"/>
        </w:rPr>
      </w:pPr>
      <w:r>
        <w:rPr>
          <w:snapToGrid w:val="0"/>
        </w:rPr>
        <w:tab/>
      </w:r>
      <w:r w:rsidRPr="00B846DA" w:rsidR="00621026">
        <w:rPr>
          <w:snapToGrid w:val="0"/>
        </w:rPr>
        <w:t xml:space="preserve">The information also </w:t>
      </w:r>
      <w:r w:rsidR="00CE0D0B">
        <w:rPr>
          <w:snapToGrid w:val="0"/>
        </w:rPr>
        <w:t xml:space="preserve">is </w:t>
      </w:r>
      <w:r w:rsidRPr="00B846DA" w:rsidR="00621026">
        <w:rPr>
          <w:snapToGrid w:val="0"/>
        </w:rPr>
        <w:t>instrumental in the timely and accurate processing of provider claims for reimbursement.  The frequency of submissions will be based on the volume of medical services provided to patients and whether providers</w:t>
      </w:r>
      <w:r w:rsidRPr="00B846DA" w:rsidR="00621026">
        <w:rPr>
          <w:b/>
          <w:bCs/>
          <w:snapToGrid w:val="0"/>
        </w:rPr>
        <w:t>/</w:t>
      </w:r>
      <w:r w:rsidRPr="00B846DA" w:rsidR="00621026">
        <w:rPr>
          <w:snapToGrid w:val="0"/>
        </w:rPr>
        <w:t>Veterans choose to submit claims for reimbursement individually or in batches.  VA also accepts provider generated billing statements, Uniform Billing-Forms (UB) 04, and Medicare Health Insurance Claims Form, CMS 1500</w:t>
      </w:r>
      <w:r w:rsidR="00621026">
        <w:rPr>
          <w:snapToGrid w:val="0"/>
        </w:rPr>
        <w:t>.</w:t>
      </w:r>
    </w:p>
    <w:p w:rsidR="00896054" w:rsidRDefault="00896054">
      <w:pPr>
        <w:tabs>
          <w:tab w:val="left" w:pos="547"/>
          <w:tab w:val="left" w:pos="1080"/>
          <w:tab w:val="left" w:pos="1627"/>
          <w:tab w:val="left" w:pos="2160"/>
          <w:tab w:val="left" w:pos="2880"/>
        </w:tabs>
        <w:rPr>
          <w:snapToGrid w:val="0"/>
        </w:rPr>
      </w:pPr>
    </w:p>
    <w:p w:rsidR="00896054" w:rsidRDefault="00896054">
      <w:pPr>
        <w:tabs>
          <w:tab w:val="left" w:pos="547"/>
          <w:tab w:val="left" w:pos="1080"/>
          <w:tab w:val="left" w:pos="1627"/>
          <w:tab w:val="left" w:pos="2160"/>
          <w:tab w:val="left" w:pos="2880"/>
        </w:tabs>
        <w:rPr>
          <w:snapToGrid w:val="0"/>
        </w:rPr>
      </w:pPr>
    </w:p>
    <w:p w:rsidR="00F24E5F" w:rsidRDefault="00F24E5F">
      <w:pPr>
        <w:tabs>
          <w:tab w:val="left" w:pos="547"/>
          <w:tab w:val="left" w:pos="1080"/>
          <w:tab w:val="left" w:pos="1627"/>
          <w:tab w:val="left" w:pos="2160"/>
          <w:tab w:val="left" w:pos="2880"/>
        </w:tabs>
        <w:rPr>
          <w:snapToGrid w:val="0"/>
        </w:rPr>
      </w:pPr>
    </w:p>
    <w:p w:rsidRPr="00EA6F4F" w:rsidR="00896054" w:rsidRDefault="00896054">
      <w:pPr>
        <w:tabs>
          <w:tab w:val="left" w:pos="547"/>
          <w:tab w:val="left" w:pos="1080"/>
          <w:tab w:val="left" w:pos="1627"/>
          <w:tab w:val="left" w:pos="2160"/>
          <w:tab w:val="left" w:pos="2880"/>
        </w:tabs>
        <w:rPr>
          <w:color w:val="000000"/>
          <w:sz w:val="22"/>
          <w:szCs w:val="22"/>
        </w:rPr>
      </w:pPr>
    </w:p>
    <w:p w:rsidRPr="00EA6F4F"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Pr="007B1194" w:rsidR="00536A11" w:rsidRDefault="00536A11">
      <w:pPr>
        <w:tabs>
          <w:tab w:val="left" w:pos="547"/>
          <w:tab w:val="left" w:pos="1080"/>
          <w:tab w:val="left" w:pos="1627"/>
          <w:tab w:val="left" w:pos="2160"/>
          <w:tab w:val="left" w:pos="2880"/>
        </w:tabs>
        <w:rPr>
          <w:sz w:val="22"/>
          <w:szCs w:val="22"/>
        </w:rPr>
      </w:pPr>
    </w:p>
    <w:p w:rsidRPr="00B846DA" w:rsidR="00621026" w:rsidP="00621026" w:rsidRDefault="00621026">
      <w:pPr>
        <w:widowControl w:val="0"/>
        <w:tabs>
          <w:tab w:val="left" w:pos="547"/>
          <w:tab w:val="left" w:pos="1080"/>
          <w:tab w:val="left" w:pos="1627"/>
          <w:tab w:val="left" w:pos="2160"/>
        </w:tabs>
        <w:spacing w:line="260" w:lineRule="exact"/>
        <w:rPr>
          <w:snapToGrid w:val="0"/>
        </w:rPr>
      </w:pPr>
      <w:r w:rsidRPr="00B846DA">
        <w:rPr>
          <w:snapToGrid w:val="0"/>
        </w:rPr>
        <w:tab/>
        <w:t>The FMP does not currently have plans to receive registration forms from foreign countries</w:t>
      </w:r>
      <w:r w:rsidR="00896054">
        <w:rPr>
          <w:snapToGrid w:val="0"/>
        </w:rPr>
        <w:t>,</w:t>
      </w:r>
      <w:r w:rsidRPr="00B846DA">
        <w:rPr>
          <w:snapToGrid w:val="0"/>
        </w:rPr>
        <w:t xml:space="preserve"> as we are trying to meet the H</w:t>
      </w:r>
      <w:r>
        <w:rPr>
          <w:snapToGrid w:val="0"/>
        </w:rPr>
        <w:t xml:space="preserve">ealth </w:t>
      </w:r>
      <w:r w:rsidRPr="00B846DA">
        <w:rPr>
          <w:snapToGrid w:val="0"/>
        </w:rPr>
        <w:t>I</w:t>
      </w:r>
      <w:r>
        <w:rPr>
          <w:snapToGrid w:val="0"/>
        </w:rPr>
        <w:t xml:space="preserve">nsurance </w:t>
      </w:r>
      <w:r w:rsidRPr="00B846DA">
        <w:rPr>
          <w:snapToGrid w:val="0"/>
        </w:rPr>
        <w:t>P</w:t>
      </w:r>
      <w:r>
        <w:rPr>
          <w:snapToGrid w:val="0"/>
        </w:rPr>
        <w:t xml:space="preserve">ortability and </w:t>
      </w:r>
      <w:r w:rsidRPr="00B846DA">
        <w:rPr>
          <w:snapToGrid w:val="0"/>
        </w:rPr>
        <w:t>A</w:t>
      </w:r>
      <w:r>
        <w:rPr>
          <w:snapToGrid w:val="0"/>
        </w:rPr>
        <w:t xml:space="preserve">ccountability </w:t>
      </w:r>
      <w:r w:rsidRPr="00B846DA">
        <w:rPr>
          <w:snapToGrid w:val="0"/>
        </w:rPr>
        <w:t>A</w:t>
      </w:r>
      <w:r>
        <w:rPr>
          <w:snapToGrid w:val="0"/>
        </w:rPr>
        <w:t>ct (HIPAA)</w:t>
      </w:r>
      <w:r w:rsidRPr="00B846DA">
        <w:rPr>
          <w:snapToGrid w:val="0"/>
        </w:rPr>
        <w:t xml:space="preserve"> requirements. VA Form 10-7959f-1 is an Adobe Reader extended pdf fill-in document, which can be completed, saved, and printed. It contains information that can be used in the future for submission of the information electronically. The </w:t>
      </w:r>
      <w:r w:rsidR="006E14B2">
        <w:rPr>
          <w:snapToGrid w:val="0"/>
        </w:rPr>
        <w:t>VHA OCC</w:t>
      </w:r>
      <w:r w:rsidRPr="00B846DA">
        <w:rPr>
          <w:snapToGrid w:val="0"/>
        </w:rPr>
        <w:t xml:space="preserve"> is implementing this process with some of our other forms and once the details are worked out and tested this form can follow with those same capabilities.</w:t>
      </w:r>
    </w:p>
    <w:p w:rsidRPr="00B846DA" w:rsidR="00621026" w:rsidP="00621026" w:rsidRDefault="00621026">
      <w:pPr>
        <w:tabs>
          <w:tab w:val="left" w:pos="547"/>
          <w:tab w:val="left" w:pos="1080"/>
          <w:tab w:val="left" w:pos="1627"/>
          <w:tab w:val="left" w:pos="2160"/>
        </w:tabs>
      </w:pPr>
    </w:p>
    <w:p w:rsidR="00621026" w:rsidP="00621026" w:rsidRDefault="00621026">
      <w:pPr>
        <w:widowControl w:val="0"/>
        <w:tabs>
          <w:tab w:val="left" w:pos="547"/>
          <w:tab w:val="left" w:pos="1080"/>
          <w:tab w:val="left" w:pos="1627"/>
          <w:tab w:val="left" w:pos="2160"/>
        </w:tabs>
        <w:spacing w:line="260" w:lineRule="exact"/>
        <w:rPr>
          <w:snapToGrid w:val="0"/>
        </w:rPr>
      </w:pPr>
      <w:r w:rsidRPr="00B846DA">
        <w:rPr>
          <w:snapToGrid w:val="0"/>
        </w:rPr>
        <w:tab/>
        <w:t>The FMP does not currently receive foreign claims electronically</w:t>
      </w:r>
      <w:r w:rsidR="005F3FF5">
        <w:rPr>
          <w:snapToGrid w:val="0"/>
        </w:rPr>
        <w:t>,</w:t>
      </w:r>
      <w:r w:rsidRPr="00B846DA">
        <w:rPr>
          <w:snapToGrid w:val="0"/>
        </w:rPr>
        <w:t xml:space="preserve"> as we do not have the capability to accept E</w:t>
      </w:r>
      <w:r>
        <w:rPr>
          <w:snapToGrid w:val="0"/>
        </w:rPr>
        <w:t xml:space="preserve">lectronic </w:t>
      </w:r>
      <w:r w:rsidRPr="00B846DA">
        <w:rPr>
          <w:snapToGrid w:val="0"/>
        </w:rPr>
        <w:t>D</w:t>
      </w:r>
      <w:r>
        <w:rPr>
          <w:snapToGrid w:val="0"/>
        </w:rPr>
        <w:t xml:space="preserve">ata </w:t>
      </w:r>
      <w:r w:rsidRPr="00B846DA">
        <w:rPr>
          <w:snapToGrid w:val="0"/>
        </w:rPr>
        <w:t>I</w:t>
      </w:r>
      <w:r>
        <w:rPr>
          <w:snapToGrid w:val="0"/>
        </w:rPr>
        <w:t>nterchange for</w:t>
      </w:r>
      <w:r w:rsidRPr="00B846DA">
        <w:rPr>
          <w:snapToGrid w:val="0"/>
        </w:rPr>
        <w:t xml:space="preserve"> </w:t>
      </w:r>
      <w:r>
        <w:rPr>
          <w:snapToGrid w:val="0"/>
        </w:rPr>
        <w:t xml:space="preserve">Administration </w:t>
      </w:r>
      <w:r w:rsidRPr="00B846DA">
        <w:rPr>
          <w:snapToGrid w:val="0"/>
        </w:rPr>
        <w:t>C</w:t>
      </w:r>
      <w:r>
        <w:rPr>
          <w:snapToGrid w:val="0"/>
        </w:rPr>
        <w:t>ommerce and Transport (EDIFACT)</w:t>
      </w:r>
      <w:r w:rsidRPr="00B846DA">
        <w:rPr>
          <w:snapToGrid w:val="0"/>
        </w:rPr>
        <w:t xml:space="preserve"> claims (standard transaction set for foreign claims) and receipt of foreign claims electronically is not a part of HIPAA requirements.  VA Form 10-7959f-2 is an Adobe Reader extended pdf fill-in document, which can be completed, saved, and printed.  The </w:t>
      </w:r>
      <w:r w:rsidR="006E14B2">
        <w:rPr>
          <w:snapToGrid w:val="0"/>
        </w:rPr>
        <w:t>VHA OCC</w:t>
      </w:r>
      <w:r w:rsidRPr="00B846DA">
        <w:rPr>
          <w:snapToGrid w:val="0"/>
        </w:rPr>
        <w:t xml:space="preserve"> is implementing the process of electronic submission with some of our other forms and once the details are worked out and tested this form can follow with those capabilities.</w:t>
      </w:r>
    </w:p>
    <w:p w:rsidRPr="00B846DA" w:rsidR="00F24E5F" w:rsidP="00621026" w:rsidRDefault="00F24E5F">
      <w:pPr>
        <w:widowControl w:val="0"/>
        <w:tabs>
          <w:tab w:val="left" w:pos="547"/>
          <w:tab w:val="left" w:pos="1080"/>
          <w:tab w:val="left" w:pos="1627"/>
          <w:tab w:val="left" w:pos="2160"/>
        </w:tabs>
        <w:spacing w:line="260" w:lineRule="exact"/>
        <w:rPr>
          <w:snapToGrid w:val="0"/>
        </w:rPr>
      </w:pPr>
    </w:p>
    <w:p w:rsidRPr="007B1194" w:rsidR="00536A11" w:rsidRDefault="00536A11">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Pr="00B846DA" w:rsidR="00621026" w:rsidP="00621026" w:rsidRDefault="00621026">
      <w:pPr>
        <w:pStyle w:val="Header"/>
        <w:tabs>
          <w:tab w:val="clear" w:pos="4320"/>
          <w:tab w:val="clear" w:pos="8640"/>
          <w:tab w:val="left" w:pos="547"/>
          <w:tab w:val="left" w:pos="1080"/>
          <w:tab w:val="left" w:pos="1627"/>
          <w:tab w:val="left" w:pos="2160"/>
        </w:tabs>
        <w:rPr>
          <w:sz w:val="24"/>
        </w:rPr>
      </w:pPr>
    </w:p>
    <w:p w:rsidRPr="00B846DA" w:rsidR="00621026" w:rsidP="00621026" w:rsidRDefault="00621026">
      <w:pPr>
        <w:widowControl w:val="0"/>
        <w:tabs>
          <w:tab w:val="left" w:pos="547"/>
          <w:tab w:val="left" w:pos="1080"/>
          <w:tab w:val="left" w:pos="1627"/>
          <w:tab w:val="left" w:pos="2160"/>
        </w:tabs>
        <w:spacing w:line="260" w:lineRule="exact"/>
        <w:rPr>
          <w:snapToGrid w:val="0"/>
        </w:rPr>
      </w:pPr>
      <w:r w:rsidRPr="00B846DA">
        <w:rPr>
          <w:snapToGrid w:val="0"/>
        </w:rPr>
        <w:tab/>
        <w:t>Similar information is not available from other sources.  The VA does not currently possess an alternative source for the required information.</w:t>
      </w:r>
    </w:p>
    <w:p w:rsidRPr="00EA6F4F" w:rsidR="00621026" w:rsidRDefault="00621026">
      <w:pPr>
        <w:tabs>
          <w:tab w:val="left" w:pos="547"/>
          <w:tab w:val="left" w:pos="1080"/>
          <w:tab w:val="left" w:pos="1627"/>
          <w:tab w:val="left" w:pos="2160"/>
          <w:tab w:val="left" w:pos="2880"/>
        </w:tabs>
        <w:rPr>
          <w:b/>
          <w:color w:val="000000"/>
          <w:sz w:val="22"/>
          <w:szCs w:val="22"/>
        </w:rPr>
      </w:pPr>
    </w:p>
    <w:p w:rsidRPr="00EA6F4F"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536A11"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621026" w:rsidRDefault="00621026">
      <w:pPr>
        <w:tabs>
          <w:tab w:val="left" w:pos="547"/>
          <w:tab w:val="left" w:pos="1080"/>
          <w:tab w:val="left" w:pos="1627"/>
          <w:tab w:val="left" w:pos="2160"/>
          <w:tab w:val="left" w:pos="2880"/>
        </w:tabs>
        <w:rPr>
          <w:b/>
          <w:sz w:val="22"/>
          <w:szCs w:val="22"/>
        </w:rPr>
      </w:pPr>
    </w:p>
    <w:p w:rsidRPr="00B846DA" w:rsidR="00621026" w:rsidP="00621026" w:rsidRDefault="00621026">
      <w:pPr>
        <w:pStyle w:val="Header"/>
        <w:tabs>
          <w:tab w:val="clear" w:pos="4320"/>
          <w:tab w:val="clear" w:pos="8640"/>
          <w:tab w:val="left" w:pos="547"/>
          <w:tab w:val="left" w:pos="1080"/>
          <w:tab w:val="left" w:pos="1627"/>
          <w:tab w:val="left" w:pos="2160"/>
        </w:tabs>
        <w:rPr>
          <w:sz w:val="24"/>
          <w:szCs w:val="24"/>
        </w:rPr>
      </w:pPr>
      <w:r w:rsidRPr="00B846DA">
        <w:rPr>
          <w:sz w:val="24"/>
          <w:szCs w:val="24"/>
        </w:rPr>
        <w:t>No small businesses or other small entities are impacted by the VA Form 10-7959f-1 information collection.</w:t>
      </w:r>
    </w:p>
    <w:p w:rsidRPr="00B846DA" w:rsidR="00621026" w:rsidP="00621026" w:rsidRDefault="00621026">
      <w:pPr>
        <w:pStyle w:val="Header"/>
        <w:tabs>
          <w:tab w:val="clear" w:pos="4320"/>
          <w:tab w:val="clear" w:pos="8640"/>
          <w:tab w:val="left" w:pos="547"/>
          <w:tab w:val="left" w:pos="1080"/>
          <w:tab w:val="left" w:pos="1627"/>
          <w:tab w:val="left" w:pos="2160"/>
        </w:tabs>
        <w:rPr>
          <w:sz w:val="24"/>
          <w:szCs w:val="24"/>
        </w:rPr>
      </w:pPr>
    </w:p>
    <w:p w:rsidRPr="00B846DA" w:rsidR="00621026" w:rsidP="00621026" w:rsidRDefault="00621026">
      <w:pPr>
        <w:pStyle w:val="OmniPage260"/>
        <w:tabs>
          <w:tab w:val="clear" w:pos="110"/>
          <w:tab w:val="clear" w:pos="9226"/>
          <w:tab w:val="left" w:pos="547"/>
          <w:tab w:val="left" w:pos="1080"/>
          <w:tab w:val="left" w:pos="1627"/>
          <w:tab w:val="left" w:pos="2160"/>
        </w:tabs>
        <w:rPr>
          <w:rFonts w:ascii="Times New Roman" w:hAnsi="Times New Roman"/>
          <w:sz w:val="24"/>
          <w:szCs w:val="24"/>
        </w:rPr>
      </w:pPr>
      <w:r w:rsidRPr="00B846DA">
        <w:rPr>
          <w:rFonts w:ascii="Times New Roman" w:hAnsi="Times New Roman"/>
          <w:snapToGrid w:val="0"/>
          <w:sz w:val="24"/>
          <w:szCs w:val="24"/>
        </w:rPr>
        <w:tab/>
        <w:t xml:space="preserve">Small businesses and other entities provide much of the information on VA Form 10-7959f-2.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Uniform Billing-Forms (UB) 04 or CMS 1500, the Medicare Health Insurance Claim forms. </w:t>
      </w:r>
      <w:r w:rsidRPr="00B846DA">
        <w:rPr>
          <w:rFonts w:ascii="Times New Roman" w:hAnsi="Times New Roman"/>
          <w:sz w:val="24"/>
          <w:szCs w:val="24"/>
        </w:rPr>
        <w:t xml:space="preserve"> Foreign providers basically use their own type of “billing invoice”.  Countries such as </w:t>
      </w:r>
      <w:smartTag w:uri="urn:schemas-microsoft-com:office:smarttags" w:element="country-region">
        <w:smartTag w:uri="urn:schemas-microsoft-com:office:smarttags" w:element="place">
          <w:r w:rsidRPr="00B846DA">
            <w:rPr>
              <w:rFonts w:ascii="Times New Roman" w:hAnsi="Times New Roman"/>
              <w:sz w:val="24"/>
              <w:szCs w:val="24"/>
            </w:rPr>
            <w:t>Panama</w:t>
          </w:r>
        </w:smartTag>
      </w:smartTag>
      <w:r w:rsidRPr="00B846DA">
        <w:rPr>
          <w:rFonts w:ascii="Times New Roman" w:hAnsi="Times New Roman"/>
          <w:sz w:val="24"/>
          <w:szCs w:val="24"/>
        </w:rPr>
        <w:t xml:space="preserve"> do use the UB 04 &amp; CMS 1500.  The information required from providers includes the date of service, location of service, address of provider, as well as a signature certifying the service.</w:t>
      </w:r>
    </w:p>
    <w:p w:rsidRPr="007B1194" w:rsidR="008618F0" w:rsidP="008618F0" w:rsidRDefault="0024664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7B1194">
        <w:rPr>
          <w:color w:val="FF0000"/>
          <w:sz w:val="22"/>
          <w:szCs w:val="22"/>
        </w:rPr>
        <w:t>.</w:t>
      </w:r>
    </w:p>
    <w:p w:rsidRPr="007B1194"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7B1194" w:rsidR="00536A11" w:rsidRDefault="00536A11">
      <w:pPr>
        <w:tabs>
          <w:tab w:val="left" w:pos="547"/>
          <w:tab w:val="left" w:pos="1080"/>
          <w:tab w:val="left" w:pos="1627"/>
          <w:tab w:val="left" w:pos="2160"/>
          <w:tab w:val="left" w:pos="2880"/>
        </w:tabs>
        <w:rPr>
          <w:sz w:val="22"/>
          <w:szCs w:val="22"/>
        </w:rPr>
      </w:pPr>
    </w:p>
    <w:p w:rsidR="00536A11" w:rsidRDefault="00621026">
      <w:pPr>
        <w:tabs>
          <w:tab w:val="left" w:pos="547"/>
          <w:tab w:val="left" w:pos="1080"/>
          <w:tab w:val="left" w:pos="1627"/>
          <w:tab w:val="left" w:pos="2160"/>
          <w:tab w:val="left" w:pos="2880"/>
        </w:tabs>
        <w:rPr>
          <w:snapToGrid w:val="0"/>
        </w:rPr>
      </w:pPr>
      <w:r w:rsidRPr="00B846DA">
        <w:rPr>
          <w:snapToGrid w:val="0"/>
        </w:rPr>
        <w:t>If any of this information is not collected on VA Form 10-7959f-1, VA would be unable to register Veterans residing or traveling overseas into the Foreign Medical Program to reimburse VA adjudicated service-connected conditions.</w:t>
      </w:r>
    </w:p>
    <w:p w:rsidR="005F3FF5" w:rsidRDefault="005F3FF5">
      <w:pPr>
        <w:tabs>
          <w:tab w:val="left" w:pos="547"/>
          <w:tab w:val="left" w:pos="1080"/>
          <w:tab w:val="left" w:pos="1627"/>
          <w:tab w:val="left" w:pos="2160"/>
          <w:tab w:val="left" w:pos="2880"/>
        </w:tabs>
        <w:rPr>
          <w:snapToGrid w:val="0"/>
        </w:rPr>
      </w:pPr>
    </w:p>
    <w:p w:rsidR="005F3FF5" w:rsidRDefault="005F3FF5">
      <w:pPr>
        <w:tabs>
          <w:tab w:val="left" w:pos="547"/>
          <w:tab w:val="left" w:pos="1080"/>
          <w:tab w:val="left" w:pos="1627"/>
          <w:tab w:val="left" w:pos="2160"/>
          <w:tab w:val="left" w:pos="2880"/>
        </w:tabs>
        <w:rPr>
          <w:snapToGrid w:val="0"/>
        </w:rPr>
      </w:pPr>
    </w:p>
    <w:p w:rsidR="00621026" w:rsidRDefault="00621026">
      <w:pPr>
        <w:tabs>
          <w:tab w:val="left" w:pos="547"/>
          <w:tab w:val="left" w:pos="1080"/>
          <w:tab w:val="left" w:pos="1627"/>
          <w:tab w:val="left" w:pos="2160"/>
          <w:tab w:val="left" w:pos="2880"/>
        </w:tabs>
        <w:rPr>
          <w:snapToGrid w:val="0"/>
        </w:rPr>
      </w:pPr>
      <w:r w:rsidRPr="00B846DA">
        <w:rPr>
          <w:snapToGrid w:val="0"/>
        </w:rPr>
        <w:tab/>
        <w:t>For VA Form 10-7959f-2, the frequency of payment is dependent upon the frequency of submission of the information; we have little control over how often this information is submitted.  However, the amount of data collected is kept to a minimum.  If any of this information was not collected, VA would be unable to process provider claims for payment or reimbursement of medical care</w:t>
      </w:r>
      <w:r w:rsidR="009C10D2">
        <w:rPr>
          <w:snapToGrid w:val="0"/>
        </w:rPr>
        <w:t>.</w:t>
      </w:r>
    </w:p>
    <w:p w:rsidR="009C10D2" w:rsidRDefault="009C10D2">
      <w:pPr>
        <w:tabs>
          <w:tab w:val="left" w:pos="547"/>
          <w:tab w:val="left" w:pos="1080"/>
          <w:tab w:val="left" w:pos="1627"/>
          <w:tab w:val="left" w:pos="2160"/>
          <w:tab w:val="left" w:pos="2880"/>
        </w:tabs>
        <w:rPr>
          <w:snapToGrid w:val="0"/>
        </w:rPr>
      </w:pPr>
    </w:p>
    <w:p w:rsidRPr="007B1194" w:rsidR="00621026" w:rsidRDefault="00621026">
      <w:pPr>
        <w:tabs>
          <w:tab w:val="left" w:pos="547"/>
          <w:tab w:val="left" w:pos="1080"/>
          <w:tab w:val="left" w:pos="1627"/>
          <w:tab w:val="left" w:pos="2160"/>
          <w:tab w:val="left" w:pos="2880"/>
        </w:tabs>
        <w:rPr>
          <w:color w:val="FF0000"/>
          <w:sz w:val="22"/>
          <w:szCs w:val="22"/>
        </w:rPr>
      </w:pPr>
    </w:p>
    <w:p w:rsidR="00536A11"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21026" w:rsidRDefault="00621026">
      <w:pPr>
        <w:tabs>
          <w:tab w:val="left" w:pos="547"/>
          <w:tab w:val="left" w:pos="1080"/>
          <w:tab w:val="left" w:pos="1627"/>
          <w:tab w:val="left" w:pos="2160"/>
          <w:tab w:val="left" w:pos="2880"/>
        </w:tabs>
        <w:rPr>
          <w:b/>
          <w:sz w:val="22"/>
          <w:szCs w:val="22"/>
        </w:rPr>
      </w:pPr>
    </w:p>
    <w:p w:rsidR="00621026" w:rsidP="00621026" w:rsidRDefault="00621026">
      <w:pPr>
        <w:widowControl w:val="0"/>
        <w:tabs>
          <w:tab w:val="left" w:pos="547"/>
          <w:tab w:val="left" w:pos="1080"/>
          <w:tab w:val="left" w:pos="1627"/>
          <w:tab w:val="left" w:pos="2160"/>
        </w:tabs>
        <w:spacing w:line="260" w:lineRule="exact"/>
        <w:rPr>
          <w:snapToGrid w:val="0"/>
        </w:rPr>
      </w:pPr>
      <w:r w:rsidRPr="00B846DA">
        <w:tab/>
      </w:r>
      <w:r w:rsidRPr="00B846DA">
        <w:rPr>
          <w:snapToGrid w:val="0"/>
        </w:rPr>
        <w:t>There are no special circumstances that will require collection to be conducted in a manner inconsistent with the guidelines in 5 CFR 1320.6.</w:t>
      </w:r>
    </w:p>
    <w:p w:rsidRPr="00B846DA" w:rsidR="009C10D2" w:rsidP="00621026" w:rsidRDefault="009C10D2">
      <w:pPr>
        <w:widowControl w:val="0"/>
        <w:tabs>
          <w:tab w:val="left" w:pos="547"/>
          <w:tab w:val="left" w:pos="1080"/>
          <w:tab w:val="left" w:pos="1627"/>
          <w:tab w:val="left" w:pos="2160"/>
        </w:tabs>
        <w:spacing w:line="260" w:lineRule="exact"/>
        <w:rPr>
          <w:snapToGrid w:val="0"/>
        </w:rPr>
      </w:pPr>
    </w:p>
    <w:p w:rsidRPr="007B1194" w:rsidR="00536A11" w:rsidRDefault="00536A11">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F905C3" w:rsidR="00621026" w:rsidRDefault="00621026">
      <w:pPr>
        <w:tabs>
          <w:tab w:val="left" w:pos="547"/>
          <w:tab w:val="left" w:pos="1080"/>
          <w:tab w:val="left" w:pos="1627"/>
          <w:tab w:val="left" w:pos="2160"/>
          <w:tab w:val="left" w:pos="2880"/>
        </w:tabs>
        <w:rPr>
          <w:bCs/>
          <w:sz w:val="22"/>
          <w:szCs w:val="22"/>
        </w:rPr>
      </w:pPr>
    </w:p>
    <w:p w:rsidRPr="00F905C3" w:rsidR="000634F6" w:rsidP="000634F6" w:rsidRDefault="000634F6">
      <w:pPr>
        <w:tabs>
          <w:tab w:val="left" w:pos="547"/>
          <w:tab w:val="left" w:pos="1080"/>
          <w:tab w:val="left" w:pos="1627"/>
          <w:tab w:val="left" w:pos="2160"/>
          <w:tab w:val="left" w:pos="2880"/>
        </w:tabs>
        <w:rPr>
          <w:bCs/>
          <w:sz w:val="22"/>
          <w:szCs w:val="22"/>
        </w:rPr>
      </w:pPr>
      <w:r w:rsidRPr="00F905C3">
        <w:rPr>
          <w:bCs/>
          <w:sz w:val="22"/>
          <w:szCs w:val="22"/>
        </w:rPr>
        <w:tab/>
      </w:r>
      <w:bookmarkStart w:name="_Hlk56607965" w:id="2"/>
      <w:r w:rsidRPr="00F905C3">
        <w:rPr>
          <w:bCs/>
          <w:sz w:val="22"/>
          <w:szCs w:val="22"/>
        </w:rPr>
        <w:t xml:space="preserve">The </w:t>
      </w:r>
      <w:r w:rsidR="00AC56E4">
        <w:rPr>
          <w:bCs/>
          <w:sz w:val="22"/>
          <w:szCs w:val="22"/>
        </w:rPr>
        <w:t xml:space="preserve">60-day </w:t>
      </w:r>
      <w:r w:rsidRPr="00F905C3">
        <w:rPr>
          <w:bCs/>
          <w:sz w:val="22"/>
          <w:szCs w:val="22"/>
        </w:rPr>
        <w:t>notice of Proposed Information Collection Activity was published in the Federal Register on</w:t>
      </w:r>
      <w:r w:rsidRPr="00F905C3" w:rsidR="00F905C3">
        <w:rPr>
          <w:bCs/>
          <w:sz w:val="22"/>
          <w:szCs w:val="22"/>
        </w:rPr>
        <w:t xml:space="preserve"> April 28, 2020</w:t>
      </w:r>
      <w:r w:rsidRPr="00F905C3">
        <w:rPr>
          <w:bCs/>
          <w:sz w:val="22"/>
          <w:szCs w:val="22"/>
        </w:rPr>
        <w:t xml:space="preserve"> (Volume </w:t>
      </w:r>
      <w:r w:rsidRPr="00F905C3" w:rsidR="00F905C3">
        <w:rPr>
          <w:bCs/>
          <w:sz w:val="22"/>
          <w:szCs w:val="22"/>
        </w:rPr>
        <w:t>85</w:t>
      </w:r>
      <w:r w:rsidRPr="00F905C3">
        <w:rPr>
          <w:bCs/>
          <w:sz w:val="22"/>
          <w:szCs w:val="22"/>
        </w:rPr>
        <w:t xml:space="preserve">, Number </w:t>
      </w:r>
      <w:r w:rsidRPr="00F905C3" w:rsidR="00F905C3">
        <w:rPr>
          <w:bCs/>
          <w:sz w:val="22"/>
          <w:szCs w:val="22"/>
        </w:rPr>
        <w:t>82</w:t>
      </w:r>
      <w:r w:rsidRPr="00F905C3">
        <w:rPr>
          <w:bCs/>
          <w:sz w:val="22"/>
          <w:szCs w:val="22"/>
        </w:rPr>
        <w:t xml:space="preserve">, Page </w:t>
      </w:r>
      <w:r w:rsidRPr="00F905C3" w:rsidR="00F905C3">
        <w:rPr>
          <w:bCs/>
          <w:sz w:val="22"/>
          <w:szCs w:val="22"/>
        </w:rPr>
        <w:t>23603</w:t>
      </w:r>
      <w:r w:rsidRPr="00F905C3">
        <w:rPr>
          <w:bCs/>
          <w:sz w:val="22"/>
          <w:szCs w:val="22"/>
        </w:rPr>
        <w:t xml:space="preserve">).  </w:t>
      </w:r>
      <w:bookmarkEnd w:id="2"/>
      <w:r w:rsidRPr="00F905C3" w:rsidR="00F905C3">
        <w:rPr>
          <w:bCs/>
          <w:sz w:val="22"/>
          <w:szCs w:val="22"/>
        </w:rPr>
        <w:t>VA</w:t>
      </w:r>
      <w:r w:rsidRPr="00F905C3">
        <w:rPr>
          <w:bCs/>
          <w:sz w:val="22"/>
          <w:szCs w:val="22"/>
        </w:rPr>
        <w:t xml:space="preserve"> received no comments in response to this notice.</w:t>
      </w:r>
    </w:p>
    <w:p w:rsidRPr="00580CE9" w:rsidR="000634F6" w:rsidP="000634F6" w:rsidRDefault="000634F6">
      <w:pPr>
        <w:tabs>
          <w:tab w:val="left" w:pos="547"/>
          <w:tab w:val="left" w:pos="1080"/>
          <w:tab w:val="left" w:pos="1627"/>
          <w:tab w:val="left" w:pos="2160"/>
          <w:tab w:val="left" w:pos="2880"/>
        </w:tabs>
        <w:rPr>
          <w:b/>
          <w:color w:val="AEAAAA"/>
          <w:sz w:val="22"/>
          <w:szCs w:val="22"/>
        </w:rPr>
      </w:pPr>
    </w:p>
    <w:p w:rsidR="00536A11" w:rsidRDefault="005D4059">
      <w:pPr>
        <w:tabs>
          <w:tab w:val="left" w:pos="547"/>
          <w:tab w:val="left" w:pos="1080"/>
          <w:tab w:val="left" w:pos="1627"/>
          <w:tab w:val="left" w:pos="2160"/>
          <w:tab w:val="left" w:pos="2880"/>
        </w:tabs>
        <w:rPr>
          <w:bCs/>
          <w:sz w:val="22"/>
          <w:szCs w:val="22"/>
        </w:rPr>
      </w:pPr>
      <w:r>
        <w:rPr>
          <w:b/>
          <w:sz w:val="22"/>
          <w:szCs w:val="22"/>
        </w:rPr>
        <w:tab/>
      </w:r>
      <w:r w:rsidRPr="00F905C3" w:rsidR="00AC56E4">
        <w:rPr>
          <w:bCs/>
          <w:sz w:val="22"/>
          <w:szCs w:val="22"/>
        </w:rPr>
        <w:t xml:space="preserve">The </w:t>
      </w:r>
      <w:r w:rsidR="00AC56E4">
        <w:rPr>
          <w:bCs/>
          <w:sz w:val="22"/>
          <w:szCs w:val="22"/>
        </w:rPr>
        <w:t>3</w:t>
      </w:r>
      <w:r w:rsidR="00AC56E4">
        <w:rPr>
          <w:bCs/>
          <w:sz w:val="22"/>
          <w:szCs w:val="22"/>
        </w:rPr>
        <w:t xml:space="preserve">0-day </w:t>
      </w:r>
      <w:r w:rsidRPr="00F905C3" w:rsidR="00AC56E4">
        <w:rPr>
          <w:bCs/>
          <w:sz w:val="22"/>
          <w:szCs w:val="22"/>
        </w:rPr>
        <w:t xml:space="preserve">notice of Proposed Information Collection Activity was published in the Federal Register on </w:t>
      </w:r>
      <w:r w:rsidR="00AC56E4">
        <w:rPr>
          <w:bCs/>
          <w:sz w:val="22"/>
          <w:szCs w:val="22"/>
        </w:rPr>
        <w:t>November</w:t>
      </w:r>
      <w:r w:rsidRPr="00F905C3" w:rsidR="00AC56E4">
        <w:rPr>
          <w:bCs/>
          <w:sz w:val="22"/>
          <w:szCs w:val="22"/>
        </w:rPr>
        <w:t xml:space="preserve"> </w:t>
      </w:r>
      <w:r w:rsidR="00AC56E4">
        <w:rPr>
          <w:bCs/>
          <w:sz w:val="22"/>
          <w:szCs w:val="22"/>
        </w:rPr>
        <w:t>1</w:t>
      </w:r>
      <w:r w:rsidRPr="00F905C3" w:rsidR="00AC56E4">
        <w:rPr>
          <w:bCs/>
          <w:sz w:val="22"/>
          <w:szCs w:val="22"/>
        </w:rPr>
        <w:t xml:space="preserve">8, 2020 (Volume 85, Number </w:t>
      </w:r>
      <w:r w:rsidR="00AC56E4">
        <w:rPr>
          <w:bCs/>
          <w:sz w:val="22"/>
          <w:szCs w:val="22"/>
        </w:rPr>
        <w:t>223</w:t>
      </w:r>
      <w:r w:rsidRPr="00F905C3" w:rsidR="00AC56E4">
        <w:rPr>
          <w:bCs/>
          <w:sz w:val="22"/>
          <w:szCs w:val="22"/>
        </w:rPr>
        <w:t>, Page</w:t>
      </w:r>
      <w:r w:rsidR="00AC56E4">
        <w:rPr>
          <w:bCs/>
          <w:sz w:val="22"/>
          <w:szCs w:val="22"/>
        </w:rPr>
        <w:t>s 73596-73597</w:t>
      </w:r>
      <w:r w:rsidRPr="00F905C3" w:rsidR="00AC56E4">
        <w:rPr>
          <w:bCs/>
          <w:sz w:val="22"/>
          <w:szCs w:val="22"/>
        </w:rPr>
        <w:t xml:space="preserve">).  </w:t>
      </w:r>
    </w:p>
    <w:p w:rsidRPr="000634F6" w:rsidR="00AC56E4" w:rsidRDefault="00AC56E4">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Pr="00B846DA" w:rsidR="00621026" w:rsidP="00621026" w:rsidRDefault="00B47D0D">
      <w:r w:rsidRPr="00EA6F4F">
        <w:rPr>
          <w:color w:val="000000"/>
          <w:sz w:val="22"/>
          <w:szCs w:val="22"/>
        </w:rPr>
        <w:tab/>
      </w:r>
      <w:r w:rsidRPr="00B846DA" w:rsidR="00621026">
        <w:rPr>
          <w:snapToGrid w:val="0"/>
        </w:rPr>
        <w:t>The VA Form 10-7959f-1 is a simple one-time form for registration requiring only basic information, such as: Name, Address, Social Security Number, VA Claim File Number and Phone/Fax Number.</w:t>
      </w:r>
    </w:p>
    <w:p w:rsidR="00621026" w:rsidP="00621026" w:rsidRDefault="00621026">
      <w:pPr>
        <w:rPr>
          <w:snapToGrid w:val="0"/>
        </w:rPr>
      </w:pPr>
      <w:r w:rsidRPr="00B846DA">
        <w:rPr>
          <w:snapToGrid w:val="0"/>
        </w:rPr>
        <w:tab/>
        <w:t xml:space="preserve">For the VA Form 10-7959f-2, VA has consulted the claims processors in the FMP of </w:t>
      </w:r>
      <w:r w:rsidR="006E14B2">
        <w:rPr>
          <w:snapToGrid w:val="0"/>
        </w:rPr>
        <w:t>VHA OCC</w:t>
      </w:r>
      <w:r>
        <w:rPr>
          <w:snapToGrid w:val="0"/>
        </w:rPr>
        <w:t>.</w:t>
      </w:r>
      <w:r w:rsidRPr="00B846DA">
        <w:rPr>
          <w:snapToGrid w:val="0"/>
        </w:rPr>
        <w:t xml:space="preserve">  The purpose of this consultation was to obtain their views regarding the availability of data, frequency of collection, clarity of instructions; disclosure and recordkeeping format and on the data elements to be recorded, disclosed, or reported.  In addition, staff at </w:t>
      </w:r>
      <w:r w:rsidR="006E14B2">
        <w:rPr>
          <w:snapToGrid w:val="0"/>
        </w:rPr>
        <w:t>VHA OCC</w:t>
      </w:r>
      <w:r w:rsidRPr="00B846DA">
        <w:rPr>
          <w:snapToGrid w:val="0"/>
        </w:rPr>
        <w:t xml:space="preserve"> provided the expertise and advice gained in reviewing numerous public and private health insurance forms.  This expertise and advice resulted in the VA determination to use provider generated billing statements or existing forms (e.g., UB 04 and CMS 1500) in lieu of creating new VA forms.  Foreign medical providers use foreign codes (diagnosis, procedure, etc.) and submit billing invoices in different foreign languages.  As the FMP is unable to incorporate a “detailed/specific” claim form for the type of medical service in each country, a simple form was created to ensure Veterans/providers submit the required information. </w:t>
      </w:r>
    </w:p>
    <w:p w:rsidR="00621026" w:rsidP="00621026" w:rsidRDefault="00621026">
      <w:pPr>
        <w:ind w:firstLine="720"/>
      </w:pPr>
      <w:r w:rsidRPr="00B846DA">
        <w:rPr>
          <w:snapToGrid w:val="0"/>
        </w:rPr>
        <w:lastRenderedPageBreak/>
        <w:t>Additionally, o</w:t>
      </w:r>
      <w:r w:rsidRPr="00B846DA">
        <w:t>utside consultation is also conducted with the public regarding both forms through the 60- and 30-day Federal Register notices.</w:t>
      </w:r>
    </w:p>
    <w:p w:rsidR="005F3FF5" w:rsidP="00621026" w:rsidRDefault="005F3FF5">
      <w:pPr>
        <w:ind w:firstLine="720"/>
      </w:pPr>
    </w:p>
    <w:p w:rsidR="005F3FF5" w:rsidP="00621026" w:rsidRDefault="005F3FF5">
      <w:pPr>
        <w:ind w:firstLine="720"/>
      </w:pP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Pr="00EA6F4F" w:rsidR="00536A11"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pPr>
        <w:tabs>
          <w:tab w:val="left" w:pos="547"/>
          <w:tab w:val="left" w:pos="1080"/>
          <w:tab w:val="left" w:pos="1627"/>
          <w:tab w:val="left" w:pos="2160"/>
          <w:tab w:val="left" w:pos="2880"/>
        </w:tabs>
        <w:rPr>
          <w:sz w:val="22"/>
          <w:szCs w:val="22"/>
        </w:rPr>
      </w:pPr>
    </w:p>
    <w:p w:rsidRPr="007B1194" w:rsidR="00407746" w:rsidP="00407746" w:rsidRDefault="00536A11">
      <w:pPr>
        <w:tabs>
          <w:tab w:val="left" w:pos="547"/>
          <w:tab w:val="left" w:pos="1080"/>
          <w:tab w:val="left" w:pos="1627"/>
          <w:tab w:val="left" w:pos="2160"/>
          <w:tab w:val="left" w:pos="2880"/>
        </w:tabs>
        <w:rPr>
          <w:sz w:val="22"/>
          <w:szCs w:val="22"/>
        </w:rPr>
      </w:pPr>
      <w:r w:rsidRPr="007B1194">
        <w:rPr>
          <w:sz w:val="22"/>
          <w:szCs w:val="22"/>
        </w:rPr>
        <w:tab/>
      </w:r>
      <w:r w:rsidRPr="00B846DA" w:rsidR="00621026">
        <w:rPr>
          <w:snapToGrid w:val="0"/>
        </w:rPr>
        <w:t>No gifts will be made to respondents.  The purpose of the information is to either register Veterans in the program or to reimburse Veterans or health care providers for services rendered to Veterans when this relates to their service-connected disability.</w:t>
      </w:r>
      <w:r w:rsidRPr="007B1194" w:rsidR="00407746">
        <w:rPr>
          <w:sz w:val="22"/>
          <w:szCs w:val="22"/>
        </w:rPr>
        <w:t xml:space="preserve"> </w:t>
      </w:r>
    </w:p>
    <w:p w:rsidR="00536A11" w:rsidRDefault="00536A11">
      <w:pPr>
        <w:tabs>
          <w:tab w:val="left" w:pos="547"/>
          <w:tab w:val="left" w:pos="1080"/>
          <w:tab w:val="left" w:pos="1627"/>
          <w:tab w:val="left" w:pos="2160"/>
          <w:tab w:val="left" w:pos="2880"/>
        </w:tabs>
        <w:rPr>
          <w:sz w:val="22"/>
          <w:szCs w:val="22"/>
        </w:rPr>
      </w:pPr>
    </w:p>
    <w:p w:rsidRPr="007B1194" w:rsidR="009C10D2" w:rsidRDefault="009C10D2">
      <w:pPr>
        <w:tabs>
          <w:tab w:val="left" w:pos="547"/>
          <w:tab w:val="left" w:pos="1080"/>
          <w:tab w:val="left" w:pos="1627"/>
          <w:tab w:val="left" w:pos="2160"/>
          <w:tab w:val="left" w:pos="2880"/>
        </w:tabs>
        <w:rPr>
          <w:sz w:val="22"/>
          <w:szCs w:val="22"/>
        </w:rPr>
      </w:pPr>
    </w:p>
    <w:p w:rsidR="001E0EF2"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Pr="00EA6F4F" w:rsidR="00884E96" w:rsidRDefault="00884E96">
      <w:pPr>
        <w:tabs>
          <w:tab w:val="left" w:pos="547"/>
          <w:tab w:val="left" w:pos="1080"/>
          <w:tab w:val="left" w:pos="1627"/>
          <w:tab w:val="left" w:pos="2160"/>
          <w:tab w:val="left" w:pos="2880"/>
        </w:tabs>
        <w:rPr>
          <w:b/>
          <w:color w:val="000000"/>
          <w:sz w:val="22"/>
          <w:szCs w:val="22"/>
        </w:rPr>
      </w:pPr>
    </w:p>
    <w:p w:rsidRPr="007B1194" w:rsidR="0009405D" w:rsidP="0009405D" w:rsidRDefault="001E0EF2">
      <w:pPr>
        <w:tabs>
          <w:tab w:val="left" w:pos="547"/>
          <w:tab w:val="left" w:pos="1080"/>
          <w:tab w:val="left" w:pos="1627"/>
          <w:tab w:val="left" w:pos="2160"/>
          <w:tab w:val="left" w:pos="2880"/>
        </w:tabs>
        <w:rPr>
          <w:i/>
          <w:sz w:val="22"/>
          <w:szCs w:val="22"/>
        </w:rPr>
      </w:pPr>
      <w:r w:rsidRPr="007B1194">
        <w:rPr>
          <w:color w:val="FF0000"/>
          <w:sz w:val="22"/>
          <w:szCs w:val="22"/>
        </w:rPr>
        <w:tab/>
      </w:r>
      <w:r w:rsidRPr="00B846DA" w:rsidR="00621026">
        <w:t xml:space="preserve">Assurances of confidentiality are contained in 38 U.S.C. 5701 and 7332. Respondents are informed that the information collected will become part of records that comply with the Privacy Act of 1974.  These documents are part of the system of records identified as </w:t>
      </w:r>
      <w:r w:rsidR="00621026">
        <w:t>54VA16</w:t>
      </w:r>
      <w:r w:rsidRPr="00B846DA" w:rsidR="00621026">
        <w:t xml:space="preserve"> “Health Administration Center Foreign Medical Program Records – VA” as set forth in the </w:t>
      </w:r>
      <w:bookmarkStart w:name="OLE_LINK3" w:id="3"/>
      <w:bookmarkStart w:name="OLE_LINK6" w:id="4"/>
      <w:r w:rsidRPr="00B846DA" w:rsidR="00621026">
        <w:t>2003 Compilation of Privacy Act Issuances</w:t>
      </w:r>
      <w:bookmarkEnd w:id="3"/>
      <w:bookmarkEnd w:id="4"/>
      <w:r w:rsidRPr="00B846DA" w:rsidR="00621026">
        <w:t xml:space="preserve"> via online GPO access at</w:t>
      </w:r>
      <w:r w:rsidR="00621026">
        <w:t xml:space="preserve"> </w:t>
      </w:r>
      <w:r w:rsidRPr="007B1194" w:rsidR="007142A1">
        <w:rPr>
          <w:i/>
          <w:color w:val="0000FF"/>
          <w:sz w:val="22"/>
          <w:szCs w:val="22"/>
        </w:rPr>
        <w:t>http://www.gpoaccess.gov/privacyact/index.html.</w:t>
      </w:r>
    </w:p>
    <w:p w:rsidR="001A05E0" w:rsidRDefault="001A05E0">
      <w:pPr>
        <w:widowControl w:val="0"/>
        <w:tabs>
          <w:tab w:val="left" w:pos="547"/>
          <w:tab w:val="left" w:pos="1080"/>
          <w:tab w:val="left" w:pos="1627"/>
          <w:tab w:val="left" w:pos="2160"/>
          <w:tab w:val="left" w:pos="2880"/>
        </w:tabs>
        <w:rPr>
          <w:color w:val="FF0000"/>
          <w:sz w:val="22"/>
          <w:szCs w:val="22"/>
        </w:rPr>
      </w:pPr>
    </w:p>
    <w:p w:rsidRPr="007B1194" w:rsidR="009C10D2" w:rsidRDefault="009C10D2">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00536A11" w:rsidRDefault="00B74084">
      <w:pPr>
        <w:tabs>
          <w:tab w:val="left" w:pos="547"/>
          <w:tab w:val="left" w:pos="1080"/>
          <w:tab w:val="left" w:pos="1627"/>
          <w:tab w:val="left" w:pos="2160"/>
          <w:tab w:val="left" w:pos="2880"/>
        </w:tabs>
        <w:ind w:right="3744"/>
        <w:rPr>
          <w:snapToGrid w:val="0"/>
        </w:rPr>
      </w:pPr>
      <w:r>
        <w:rPr>
          <w:snapToGrid w:val="0"/>
        </w:rPr>
        <w:tab/>
      </w:r>
      <w:r w:rsidRPr="00B846DA">
        <w:rPr>
          <w:snapToGrid w:val="0"/>
        </w:rPr>
        <w:t>Respondents are not asked questions of a sensitive nature.</w:t>
      </w:r>
    </w:p>
    <w:p w:rsidR="009C10D2" w:rsidRDefault="009C10D2">
      <w:pPr>
        <w:tabs>
          <w:tab w:val="left" w:pos="547"/>
          <w:tab w:val="left" w:pos="1080"/>
          <w:tab w:val="left" w:pos="1627"/>
          <w:tab w:val="left" w:pos="2160"/>
          <w:tab w:val="left" w:pos="2880"/>
        </w:tabs>
        <w:ind w:right="3744"/>
        <w:rPr>
          <w:snapToGrid w:val="0"/>
        </w:rPr>
      </w:pPr>
    </w:p>
    <w:p w:rsidR="00B74084" w:rsidRDefault="00B74084">
      <w:pPr>
        <w:tabs>
          <w:tab w:val="left" w:pos="547"/>
          <w:tab w:val="left" w:pos="1080"/>
          <w:tab w:val="left" w:pos="1627"/>
          <w:tab w:val="left" w:pos="2160"/>
          <w:tab w:val="left" w:pos="2880"/>
        </w:tabs>
        <w:ind w:right="3744"/>
        <w:rPr>
          <w:color w:val="FF0000"/>
          <w:sz w:val="22"/>
          <w:szCs w:val="22"/>
        </w:rPr>
      </w:pPr>
    </w:p>
    <w:p w:rsidRPr="007B1194" w:rsidR="009D6B80" w:rsidRDefault="009D6B80">
      <w:pPr>
        <w:tabs>
          <w:tab w:val="left" w:pos="547"/>
          <w:tab w:val="left" w:pos="1080"/>
          <w:tab w:val="left" w:pos="1627"/>
          <w:tab w:val="left" w:pos="2160"/>
          <w:tab w:val="left" w:pos="2880"/>
        </w:tabs>
        <w:ind w:right="3744"/>
        <w:rPr>
          <w:color w:val="FF0000"/>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00B74084">
        <w:rPr>
          <w:b/>
          <w:sz w:val="22"/>
          <w:szCs w:val="22"/>
        </w:rPr>
        <w:t xml:space="preserve">a.  </w:t>
      </w:r>
      <w:r w:rsidRPr="00EA6F4F">
        <w:rPr>
          <w:b/>
          <w:color w:val="000000"/>
          <w:sz w:val="22"/>
          <w:szCs w:val="22"/>
        </w:rPr>
        <w:t>Estimate of the hour burden of the collection of information:</w:t>
      </w:r>
    </w:p>
    <w:p w:rsidR="00B74084" w:rsidRDefault="00B74084">
      <w:pPr>
        <w:tabs>
          <w:tab w:val="left" w:pos="547"/>
          <w:tab w:val="left" w:pos="1080"/>
          <w:tab w:val="left" w:pos="1627"/>
          <w:tab w:val="left" w:pos="2160"/>
          <w:tab w:val="left" w:pos="2880"/>
        </w:tabs>
        <w:rPr>
          <w:b/>
          <w:color w:val="000000"/>
          <w:sz w:val="22"/>
          <w:szCs w:val="22"/>
        </w:rPr>
      </w:pPr>
    </w:p>
    <w:tbl>
      <w:tblPr>
        <w:tblW w:w="9090" w:type="dxa"/>
        <w:tblInd w:w="648" w:type="dxa"/>
        <w:tblLayout w:type="fixed"/>
        <w:tblLook w:val="0000" w:firstRow="0" w:lastRow="0" w:firstColumn="0" w:lastColumn="0" w:noHBand="0" w:noVBand="0"/>
      </w:tblPr>
      <w:tblGrid>
        <w:gridCol w:w="1260"/>
        <w:gridCol w:w="1440"/>
        <w:gridCol w:w="1260"/>
        <w:gridCol w:w="1260"/>
        <w:gridCol w:w="1260"/>
        <w:gridCol w:w="1170"/>
        <w:gridCol w:w="1440"/>
      </w:tblGrid>
      <w:tr w:rsidRPr="00B846DA" w:rsidR="00B74084" w:rsidTr="00C22498">
        <w:trPr>
          <w:trHeight w:val="319"/>
        </w:trPr>
        <w:tc>
          <w:tcPr>
            <w:tcW w:w="9090" w:type="dxa"/>
            <w:gridSpan w:val="7"/>
            <w:tcBorders>
              <w:top w:val="single" w:color="auto" w:sz="12" w:space="0"/>
              <w:left w:val="single" w:color="auto" w:sz="12" w:space="0"/>
              <w:bottom w:val="single" w:color="auto" w:sz="4" w:space="0"/>
              <w:right w:val="single" w:color="000000" w:sz="12" w:space="0"/>
            </w:tcBorders>
            <w:shd w:val="clear" w:color="auto" w:fill="auto"/>
            <w:noWrap/>
            <w:vAlign w:val="bottom"/>
          </w:tcPr>
          <w:p w:rsidRPr="00B846DA" w:rsidR="00B74084" w:rsidP="00C22498" w:rsidRDefault="00B74084">
            <w:pPr>
              <w:jc w:val="center"/>
              <w:rPr>
                <w:b/>
                <w:bCs/>
                <w:sz w:val="22"/>
                <w:szCs w:val="22"/>
              </w:rPr>
            </w:pPr>
            <w:r w:rsidRPr="00B846DA">
              <w:rPr>
                <w:b/>
                <w:bCs/>
                <w:sz w:val="22"/>
                <w:szCs w:val="22"/>
              </w:rPr>
              <w:t xml:space="preserve">Calculation of Annual Burden </w:t>
            </w:r>
            <w:r w:rsidR="00884E96">
              <w:rPr>
                <w:b/>
                <w:bCs/>
                <w:sz w:val="22"/>
                <w:szCs w:val="22"/>
              </w:rPr>
              <w:t>w</w:t>
            </w:r>
            <w:r w:rsidRPr="00B846DA">
              <w:rPr>
                <w:b/>
                <w:bCs/>
                <w:sz w:val="22"/>
                <w:szCs w:val="22"/>
              </w:rPr>
              <w:t>ith More Than One Response</w:t>
            </w:r>
          </w:p>
        </w:tc>
      </w:tr>
      <w:tr w:rsidRPr="00B846DA" w:rsidR="00B74084" w:rsidTr="00C22498">
        <w:trPr>
          <w:trHeight w:val="642"/>
        </w:trPr>
        <w:tc>
          <w:tcPr>
            <w:tcW w:w="1260" w:type="dxa"/>
            <w:tcBorders>
              <w:top w:val="nil"/>
              <w:left w:val="single" w:color="auto" w:sz="12" w:space="0"/>
              <w:bottom w:val="single" w:color="auto" w:sz="8" w:space="0"/>
              <w:right w:val="single" w:color="auto" w:sz="4" w:space="0"/>
            </w:tcBorders>
            <w:shd w:val="clear" w:color="auto" w:fill="auto"/>
            <w:noWrap/>
            <w:vAlign w:val="center"/>
          </w:tcPr>
          <w:p w:rsidRPr="00B846DA" w:rsidR="00B74084" w:rsidP="00C22498" w:rsidRDefault="00B74084">
            <w:pPr>
              <w:jc w:val="center"/>
              <w:rPr>
                <w:b/>
                <w:bCs/>
                <w:sz w:val="22"/>
                <w:szCs w:val="22"/>
              </w:rPr>
            </w:pPr>
            <w:r w:rsidRPr="00B846DA">
              <w:rPr>
                <w:b/>
                <w:bCs/>
                <w:sz w:val="22"/>
                <w:szCs w:val="22"/>
              </w:rPr>
              <w:t>VA Form</w:t>
            </w:r>
          </w:p>
        </w:tc>
        <w:tc>
          <w:tcPr>
            <w:tcW w:w="1440" w:type="dxa"/>
            <w:tcBorders>
              <w:top w:val="nil"/>
              <w:left w:val="nil"/>
              <w:bottom w:val="single" w:color="auto" w:sz="8" w:space="0"/>
              <w:right w:val="single" w:color="auto" w:sz="4" w:space="0"/>
            </w:tcBorders>
            <w:shd w:val="clear" w:color="auto" w:fill="auto"/>
            <w:vAlign w:val="center"/>
          </w:tcPr>
          <w:p w:rsidRPr="00B846DA" w:rsidR="00B74084" w:rsidP="00C22498" w:rsidRDefault="00B74084">
            <w:pPr>
              <w:jc w:val="center"/>
              <w:rPr>
                <w:b/>
                <w:bCs/>
                <w:sz w:val="22"/>
                <w:szCs w:val="22"/>
              </w:rPr>
            </w:pPr>
            <w:r w:rsidRPr="00B846DA">
              <w:rPr>
                <w:b/>
                <w:bCs/>
                <w:sz w:val="22"/>
                <w:szCs w:val="22"/>
              </w:rPr>
              <w:t>Respondents</w:t>
            </w:r>
          </w:p>
        </w:tc>
        <w:tc>
          <w:tcPr>
            <w:tcW w:w="1260" w:type="dxa"/>
            <w:tcBorders>
              <w:top w:val="nil"/>
              <w:left w:val="nil"/>
              <w:bottom w:val="single" w:color="auto" w:sz="8" w:space="0"/>
              <w:right w:val="single" w:color="auto" w:sz="4" w:space="0"/>
            </w:tcBorders>
            <w:shd w:val="clear" w:color="auto" w:fill="auto"/>
            <w:noWrap/>
            <w:vAlign w:val="center"/>
          </w:tcPr>
          <w:p w:rsidRPr="00B846DA" w:rsidR="00B74084" w:rsidP="00884E96" w:rsidRDefault="00B74084">
            <w:pPr>
              <w:rPr>
                <w:b/>
                <w:bCs/>
                <w:sz w:val="22"/>
                <w:szCs w:val="22"/>
              </w:rPr>
            </w:pPr>
            <w:r w:rsidRPr="00B846DA">
              <w:rPr>
                <w:b/>
                <w:bCs/>
                <w:sz w:val="22"/>
                <w:szCs w:val="22"/>
              </w:rPr>
              <w:t>Frequency</w:t>
            </w:r>
          </w:p>
        </w:tc>
        <w:tc>
          <w:tcPr>
            <w:tcW w:w="1260" w:type="dxa"/>
            <w:tcBorders>
              <w:top w:val="nil"/>
              <w:left w:val="nil"/>
              <w:bottom w:val="single" w:color="auto" w:sz="8" w:space="0"/>
              <w:right w:val="single" w:color="auto" w:sz="4" w:space="0"/>
            </w:tcBorders>
            <w:shd w:val="clear" w:color="auto" w:fill="auto"/>
            <w:vAlign w:val="center"/>
          </w:tcPr>
          <w:p w:rsidRPr="00B846DA" w:rsidR="00B74084" w:rsidP="00C22498" w:rsidRDefault="00B74084">
            <w:pPr>
              <w:jc w:val="center"/>
              <w:rPr>
                <w:b/>
                <w:bCs/>
                <w:sz w:val="22"/>
                <w:szCs w:val="22"/>
              </w:rPr>
            </w:pPr>
            <w:r w:rsidRPr="00B846DA">
              <w:rPr>
                <w:b/>
                <w:bCs/>
                <w:sz w:val="22"/>
                <w:szCs w:val="22"/>
              </w:rPr>
              <w:t>Responses Annually</w:t>
            </w:r>
          </w:p>
        </w:tc>
        <w:tc>
          <w:tcPr>
            <w:tcW w:w="1260" w:type="dxa"/>
            <w:tcBorders>
              <w:top w:val="nil"/>
              <w:left w:val="nil"/>
              <w:bottom w:val="single" w:color="auto" w:sz="8" w:space="0"/>
              <w:right w:val="single" w:color="auto" w:sz="4" w:space="0"/>
            </w:tcBorders>
            <w:shd w:val="clear" w:color="auto" w:fill="auto"/>
            <w:vAlign w:val="center"/>
          </w:tcPr>
          <w:p w:rsidRPr="00B846DA" w:rsidR="00B74084" w:rsidP="00C22498" w:rsidRDefault="00B74084">
            <w:pPr>
              <w:jc w:val="center"/>
              <w:rPr>
                <w:b/>
                <w:bCs/>
                <w:sz w:val="22"/>
                <w:szCs w:val="22"/>
              </w:rPr>
            </w:pPr>
            <w:r w:rsidRPr="00B846DA">
              <w:rPr>
                <w:b/>
                <w:bCs/>
                <w:sz w:val="22"/>
                <w:szCs w:val="22"/>
              </w:rPr>
              <w:t>Minutes</w:t>
            </w:r>
          </w:p>
        </w:tc>
        <w:tc>
          <w:tcPr>
            <w:tcW w:w="1170" w:type="dxa"/>
            <w:tcBorders>
              <w:top w:val="nil"/>
              <w:left w:val="nil"/>
              <w:bottom w:val="single" w:color="auto" w:sz="8" w:space="0"/>
              <w:right w:val="single" w:color="auto" w:sz="4" w:space="0"/>
            </w:tcBorders>
            <w:shd w:val="clear" w:color="auto" w:fill="auto"/>
            <w:vAlign w:val="center"/>
          </w:tcPr>
          <w:p w:rsidRPr="00B846DA" w:rsidR="00B74084" w:rsidP="00C22498" w:rsidRDefault="00B74084">
            <w:pPr>
              <w:jc w:val="center"/>
              <w:rPr>
                <w:b/>
                <w:bCs/>
                <w:sz w:val="22"/>
                <w:szCs w:val="22"/>
              </w:rPr>
            </w:pPr>
            <w:r w:rsidRPr="00B846DA">
              <w:rPr>
                <w:b/>
                <w:bCs/>
                <w:sz w:val="22"/>
                <w:szCs w:val="22"/>
              </w:rPr>
              <w:t>Divided by 60</w:t>
            </w:r>
          </w:p>
        </w:tc>
        <w:tc>
          <w:tcPr>
            <w:tcW w:w="1440" w:type="dxa"/>
            <w:tcBorders>
              <w:top w:val="nil"/>
              <w:left w:val="nil"/>
              <w:bottom w:val="single" w:color="auto" w:sz="8" w:space="0"/>
              <w:right w:val="single" w:color="auto" w:sz="12" w:space="0"/>
            </w:tcBorders>
            <w:shd w:val="clear" w:color="auto" w:fill="auto"/>
            <w:vAlign w:val="center"/>
          </w:tcPr>
          <w:p w:rsidRPr="00B846DA" w:rsidR="00B74084" w:rsidP="00C22498" w:rsidRDefault="00B74084">
            <w:pPr>
              <w:jc w:val="center"/>
              <w:rPr>
                <w:b/>
                <w:bCs/>
                <w:sz w:val="22"/>
                <w:szCs w:val="22"/>
              </w:rPr>
            </w:pPr>
            <w:r w:rsidRPr="00B846DA">
              <w:rPr>
                <w:b/>
                <w:bCs/>
                <w:sz w:val="22"/>
                <w:szCs w:val="22"/>
              </w:rPr>
              <w:t>Annual Burden Hours</w:t>
            </w:r>
          </w:p>
        </w:tc>
      </w:tr>
      <w:tr w:rsidRPr="00B846DA" w:rsidR="00B74084" w:rsidTr="00C22498">
        <w:trPr>
          <w:trHeight w:val="319"/>
        </w:trPr>
        <w:tc>
          <w:tcPr>
            <w:tcW w:w="1260" w:type="dxa"/>
            <w:tcBorders>
              <w:top w:val="nil"/>
              <w:left w:val="single" w:color="auto" w:sz="12" w:space="0"/>
              <w:bottom w:val="single" w:color="auto" w:sz="4" w:space="0"/>
              <w:right w:val="single" w:color="auto" w:sz="4" w:space="0"/>
            </w:tcBorders>
            <w:shd w:val="clear" w:color="auto" w:fill="auto"/>
            <w:noWrap/>
            <w:vAlign w:val="bottom"/>
          </w:tcPr>
          <w:p w:rsidRPr="00B846DA" w:rsidR="00B74084" w:rsidP="00C22498" w:rsidRDefault="00B74084">
            <w:pPr>
              <w:jc w:val="center"/>
              <w:rPr>
                <w:bCs/>
                <w:sz w:val="22"/>
                <w:szCs w:val="22"/>
              </w:rPr>
            </w:pPr>
            <w:r w:rsidRPr="00B846DA">
              <w:rPr>
                <w:bCs/>
                <w:sz w:val="22"/>
                <w:szCs w:val="22"/>
              </w:rPr>
              <w:t>10-7959f-1</w:t>
            </w:r>
          </w:p>
        </w:tc>
        <w:tc>
          <w:tcPr>
            <w:tcW w:w="1440" w:type="dxa"/>
            <w:tcBorders>
              <w:top w:val="nil"/>
              <w:left w:val="nil"/>
              <w:bottom w:val="single" w:color="auto" w:sz="4"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1,660</w:t>
            </w:r>
          </w:p>
        </w:tc>
        <w:tc>
          <w:tcPr>
            <w:tcW w:w="1260" w:type="dxa"/>
            <w:tcBorders>
              <w:top w:val="nil"/>
              <w:left w:val="nil"/>
              <w:bottom w:val="single" w:color="auto" w:sz="4"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1</w:t>
            </w:r>
          </w:p>
        </w:tc>
        <w:tc>
          <w:tcPr>
            <w:tcW w:w="1260" w:type="dxa"/>
            <w:tcBorders>
              <w:top w:val="nil"/>
              <w:left w:val="nil"/>
              <w:bottom w:val="single" w:color="auto" w:sz="4" w:space="0"/>
              <w:right w:val="single" w:color="auto" w:sz="4" w:space="0"/>
            </w:tcBorders>
            <w:shd w:val="clear" w:color="auto" w:fill="auto"/>
            <w:noWrap/>
            <w:vAlign w:val="bottom"/>
          </w:tcPr>
          <w:p w:rsidRPr="00B846DA" w:rsidR="00B74084" w:rsidP="00C22498" w:rsidRDefault="00B74084">
            <w:pPr>
              <w:jc w:val="center"/>
              <w:rPr>
                <w:bCs/>
                <w:sz w:val="22"/>
                <w:szCs w:val="22"/>
              </w:rPr>
            </w:pPr>
            <w:r w:rsidRPr="00B846DA">
              <w:rPr>
                <w:bCs/>
                <w:sz w:val="22"/>
                <w:szCs w:val="22"/>
              </w:rPr>
              <w:t>1,660</w:t>
            </w:r>
          </w:p>
        </w:tc>
        <w:tc>
          <w:tcPr>
            <w:tcW w:w="1260" w:type="dxa"/>
            <w:tcBorders>
              <w:top w:val="nil"/>
              <w:left w:val="nil"/>
              <w:bottom w:val="single" w:color="auto" w:sz="4"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4</w:t>
            </w:r>
          </w:p>
        </w:tc>
        <w:tc>
          <w:tcPr>
            <w:tcW w:w="1170" w:type="dxa"/>
            <w:tcBorders>
              <w:top w:val="nil"/>
              <w:left w:val="nil"/>
              <w:bottom w:val="single" w:color="auto" w:sz="4"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60</w:t>
            </w:r>
          </w:p>
        </w:tc>
        <w:tc>
          <w:tcPr>
            <w:tcW w:w="1440" w:type="dxa"/>
            <w:tcBorders>
              <w:top w:val="nil"/>
              <w:left w:val="nil"/>
              <w:bottom w:val="single" w:color="auto" w:sz="4" w:space="0"/>
              <w:right w:val="single" w:color="auto" w:sz="12" w:space="0"/>
            </w:tcBorders>
            <w:shd w:val="clear" w:color="auto" w:fill="auto"/>
            <w:vAlign w:val="bottom"/>
          </w:tcPr>
          <w:p w:rsidRPr="00B846DA" w:rsidR="00B74084" w:rsidP="00C22498" w:rsidRDefault="005F3FF5">
            <w:pPr>
              <w:jc w:val="center"/>
              <w:rPr>
                <w:bCs/>
                <w:sz w:val="22"/>
                <w:szCs w:val="22"/>
              </w:rPr>
            </w:pPr>
            <w:r>
              <w:rPr>
                <w:bCs/>
                <w:sz w:val="22"/>
                <w:szCs w:val="22"/>
              </w:rPr>
              <w:t xml:space="preserve">  </w:t>
            </w:r>
            <w:r w:rsidRPr="00B846DA" w:rsidR="00B74084">
              <w:rPr>
                <w:bCs/>
                <w:sz w:val="22"/>
                <w:szCs w:val="22"/>
              </w:rPr>
              <w:t>111</w:t>
            </w:r>
          </w:p>
        </w:tc>
      </w:tr>
      <w:tr w:rsidRPr="00B846DA" w:rsidR="00B74084" w:rsidTr="00C22498">
        <w:trPr>
          <w:trHeight w:val="319"/>
        </w:trPr>
        <w:tc>
          <w:tcPr>
            <w:tcW w:w="1260" w:type="dxa"/>
            <w:tcBorders>
              <w:top w:val="nil"/>
              <w:left w:val="single" w:color="auto" w:sz="12" w:space="0"/>
              <w:bottom w:val="single" w:color="auto" w:sz="8" w:space="0"/>
              <w:right w:val="single" w:color="auto" w:sz="4" w:space="0"/>
            </w:tcBorders>
            <w:shd w:val="clear" w:color="auto" w:fill="auto"/>
            <w:noWrap/>
            <w:vAlign w:val="bottom"/>
          </w:tcPr>
          <w:p w:rsidRPr="00B846DA" w:rsidR="00B74084" w:rsidP="00C22498" w:rsidRDefault="00B74084">
            <w:pPr>
              <w:jc w:val="center"/>
              <w:rPr>
                <w:bCs/>
                <w:sz w:val="22"/>
                <w:szCs w:val="22"/>
              </w:rPr>
            </w:pPr>
            <w:r w:rsidRPr="00B846DA">
              <w:rPr>
                <w:bCs/>
                <w:sz w:val="22"/>
                <w:szCs w:val="22"/>
              </w:rPr>
              <w:t>10-7959f-2</w:t>
            </w:r>
          </w:p>
        </w:tc>
        <w:tc>
          <w:tcPr>
            <w:tcW w:w="1440" w:type="dxa"/>
            <w:tcBorders>
              <w:top w:val="nil"/>
              <w:left w:val="nil"/>
              <w:bottom w:val="single" w:color="auto" w:sz="8"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1,660</w:t>
            </w:r>
          </w:p>
        </w:tc>
        <w:tc>
          <w:tcPr>
            <w:tcW w:w="1260" w:type="dxa"/>
            <w:tcBorders>
              <w:top w:val="nil"/>
              <w:left w:val="nil"/>
              <w:bottom w:val="single" w:color="auto" w:sz="8"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12</w:t>
            </w:r>
          </w:p>
        </w:tc>
        <w:tc>
          <w:tcPr>
            <w:tcW w:w="1260" w:type="dxa"/>
            <w:tcBorders>
              <w:top w:val="nil"/>
              <w:left w:val="nil"/>
              <w:bottom w:val="single" w:color="auto" w:sz="8" w:space="0"/>
              <w:right w:val="single" w:color="auto" w:sz="4" w:space="0"/>
            </w:tcBorders>
            <w:shd w:val="clear" w:color="auto" w:fill="auto"/>
            <w:noWrap/>
            <w:vAlign w:val="bottom"/>
          </w:tcPr>
          <w:p w:rsidRPr="00B846DA" w:rsidR="00B74084" w:rsidP="00C22498" w:rsidRDefault="00B74084">
            <w:pPr>
              <w:jc w:val="center"/>
              <w:rPr>
                <w:bCs/>
                <w:sz w:val="22"/>
                <w:szCs w:val="22"/>
              </w:rPr>
            </w:pPr>
            <w:r w:rsidRPr="00B846DA">
              <w:rPr>
                <w:bCs/>
                <w:sz w:val="22"/>
                <w:szCs w:val="22"/>
              </w:rPr>
              <w:t>19,920</w:t>
            </w:r>
          </w:p>
        </w:tc>
        <w:tc>
          <w:tcPr>
            <w:tcW w:w="1260" w:type="dxa"/>
            <w:tcBorders>
              <w:top w:val="nil"/>
              <w:left w:val="nil"/>
              <w:bottom w:val="single" w:color="auto" w:sz="8"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11</w:t>
            </w:r>
          </w:p>
        </w:tc>
        <w:tc>
          <w:tcPr>
            <w:tcW w:w="1170" w:type="dxa"/>
            <w:tcBorders>
              <w:top w:val="nil"/>
              <w:left w:val="nil"/>
              <w:bottom w:val="single" w:color="auto" w:sz="8" w:space="0"/>
              <w:right w:val="single" w:color="auto" w:sz="4" w:space="0"/>
            </w:tcBorders>
            <w:shd w:val="clear" w:color="auto" w:fill="auto"/>
            <w:vAlign w:val="bottom"/>
          </w:tcPr>
          <w:p w:rsidRPr="00B846DA" w:rsidR="00B74084" w:rsidP="00C22498" w:rsidRDefault="00B74084">
            <w:pPr>
              <w:jc w:val="center"/>
              <w:rPr>
                <w:bCs/>
                <w:sz w:val="22"/>
                <w:szCs w:val="22"/>
              </w:rPr>
            </w:pPr>
            <w:r w:rsidRPr="00B846DA">
              <w:rPr>
                <w:bCs/>
                <w:sz w:val="22"/>
                <w:szCs w:val="22"/>
              </w:rPr>
              <w:t>60</w:t>
            </w:r>
          </w:p>
        </w:tc>
        <w:tc>
          <w:tcPr>
            <w:tcW w:w="1440" w:type="dxa"/>
            <w:tcBorders>
              <w:top w:val="nil"/>
              <w:left w:val="nil"/>
              <w:bottom w:val="single" w:color="auto" w:sz="8" w:space="0"/>
              <w:right w:val="single" w:color="auto" w:sz="12" w:space="0"/>
            </w:tcBorders>
            <w:shd w:val="clear" w:color="auto" w:fill="auto"/>
            <w:vAlign w:val="bottom"/>
          </w:tcPr>
          <w:p w:rsidRPr="00B846DA" w:rsidR="00B74084" w:rsidP="00C22498" w:rsidRDefault="00B74084">
            <w:pPr>
              <w:jc w:val="center"/>
              <w:rPr>
                <w:bCs/>
                <w:sz w:val="22"/>
                <w:szCs w:val="22"/>
              </w:rPr>
            </w:pPr>
            <w:r w:rsidRPr="00B846DA">
              <w:rPr>
                <w:bCs/>
                <w:sz w:val="22"/>
                <w:szCs w:val="22"/>
              </w:rPr>
              <w:t>3,652</w:t>
            </w:r>
          </w:p>
        </w:tc>
      </w:tr>
      <w:tr w:rsidRPr="00B846DA" w:rsidR="00B74084" w:rsidTr="00C22498">
        <w:trPr>
          <w:trHeight w:val="319"/>
        </w:trPr>
        <w:tc>
          <w:tcPr>
            <w:tcW w:w="1260" w:type="dxa"/>
            <w:tcBorders>
              <w:top w:val="nil"/>
              <w:left w:val="single" w:color="auto" w:sz="12" w:space="0"/>
              <w:bottom w:val="single" w:color="auto" w:sz="12" w:space="0"/>
              <w:right w:val="single" w:color="auto" w:sz="4" w:space="0"/>
            </w:tcBorders>
            <w:shd w:val="clear" w:color="auto" w:fill="auto"/>
            <w:noWrap/>
            <w:vAlign w:val="bottom"/>
          </w:tcPr>
          <w:p w:rsidRPr="00884E96" w:rsidR="00B74084" w:rsidP="00C22498" w:rsidRDefault="00B74084">
            <w:pPr>
              <w:jc w:val="center"/>
              <w:rPr>
                <w:b/>
                <w:bCs/>
                <w:sz w:val="22"/>
                <w:szCs w:val="22"/>
              </w:rPr>
            </w:pPr>
            <w:r w:rsidRPr="00884E96">
              <w:rPr>
                <w:b/>
                <w:bCs/>
                <w:sz w:val="22"/>
                <w:szCs w:val="22"/>
              </w:rPr>
              <w:t>TOTAL</w:t>
            </w:r>
          </w:p>
        </w:tc>
        <w:tc>
          <w:tcPr>
            <w:tcW w:w="1440" w:type="dxa"/>
            <w:tcBorders>
              <w:top w:val="nil"/>
              <w:left w:val="nil"/>
              <w:bottom w:val="single" w:color="auto" w:sz="12" w:space="0"/>
              <w:right w:val="single" w:color="auto" w:sz="4" w:space="0"/>
            </w:tcBorders>
            <w:shd w:val="clear" w:color="auto" w:fill="auto"/>
            <w:vAlign w:val="bottom"/>
          </w:tcPr>
          <w:p w:rsidRPr="00884E96" w:rsidR="00B74084" w:rsidP="00C22498" w:rsidRDefault="00B74084">
            <w:pPr>
              <w:jc w:val="center"/>
              <w:rPr>
                <w:bCs/>
                <w:sz w:val="22"/>
                <w:szCs w:val="22"/>
              </w:rPr>
            </w:pPr>
            <w:r w:rsidRPr="00884E96">
              <w:rPr>
                <w:bCs/>
                <w:sz w:val="22"/>
                <w:szCs w:val="22"/>
              </w:rPr>
              <w:t>3,320</w:t>
            </w:r>
          </w:p>
        </w:tc>
        <w:tc>
          <w:tcPr>
            <w:tcW w:w="1260" w:type="dxa"/>
            <w:tcBorders>
              <w:top w:val="nil"/>
              <w:left w:val="nil"/>
              <w:bottom w:val="single" w:color="auto" w:sz="12" w:space="0"/>
              <w:right w:val="single" w:color="auto" w:sz="4" w:space="0"/>
            </w:tcBorders>
            <w:shd w:val="clear" w:color="auto" w:fill="auto"/>
            <w:vAlign w:val="bottom"/>
          </w:tcPr>
          <w:p w:rsidRPr="00884E96" w:rsidR="00B74084" w:rsidP="00C22498" w:rsidRDefault="00B74084">
            <w:pPr>
              <w:jc w:val="center"/>
              <w:rPr>
                <w:bCs/>
                <w:sz w:val="22"/>
                <w:szCs w:val="22"/>
              </w:rPr>
            </w:pPr>
            <w:r w:rsidRPr="00884E96">
              <w:rPr>
                <w:bCs/>
                <w:sz w:val="22"/>
                <w:szCs w:val="22"/>
              </w:rPr>
              <w:t> </w:t>
            </w:r>
          </w:p>
        </w:tc>
        <w:tc>
          <w:tcPr>
            <w:tcW w:w="1260" w:type="dxa"/>
            <w:tcBorders>
              <w:top w:val="nil"/>
              <w:left w:val="nil"/>
              <w:bottom w:val="single" w:color="auto" w:sz="12" w:space="0"/>
              <w:right w:val="single" w:color="auto" w:sz="4" w:space="0"/>
            </w:tcBorders>
            <w:shd w:val="clear" w:color="auto" w:fill="auto"/>
            <w:noWrap/>
            <w:vAlign w:val="bottom"/>
          </w:tcPr>
          <w:p w:rsidRPr="00884E96" w:rsidR="00B74084" w:rsidP="00C22498" w:rsidRDefault="00B74084">
            <w:pPr>
              <w:jc w:val="center"/>
              <w:rPr>
                <w:b/>
                <w:bCs/>
                <w:sz w:val="22"/>
                <w:szCs w:val="22"/>
              </w:rPr>
            </w:pPr>
            <w:r w:rsidRPr="00884E96">
              <w:rPr>
                <w:b/>
                <w:bCs/>
                <w:sz w:val="22"/>
                <w:szCs w:val="22"/>
              </w:rPr>
              <w:t>21,580</w:t>
            </w:r>
          </w:p>
        </w:tc>
        <w:tc>
          <w:tcPr>
            <w:tcW w:w="1260" w:type="dxa"/>
            <w:tcBorders>
              <w:top w:val="nil"/>
              <w:left w:val="nil"/>
              <w:bottom w:val="single" w:color="auto" w:sz="12" w:space="0"/>
              <w:right w:val="single" w:color="auto" w:sz="4" w:space="0"/>
            </w:tcBorders>
            <w:shd w:val="clear" w:color="auto" w:fill="auto"/>
            <w:vAlign w:val="bottom"/>
          </w:tcPr>
          <w:p w:rsidRPr="00884E96" w:rsidR="00B74084" w:rsidP="00C22498" w:rsidRDefault="00B74084">
            <w:pPr>
              <w:jc w:val="center"/>
              <w:rPr>
                <w:bCs/>
                <w:sz w:val="22"/>
                <w:szCs w:val="22"/>
              </w:rPr>
            </w:pPr>
            <w:r w:rsidRPr="00884E96">
              <w:rPr>
                <w:bCs/>
                <w:sz w:val="22"/>
                <w:szCs w:val="22"/>
              </w:rPr>
              <w:t> </w:t>
            </w:r>
          </w:p>
        </w:tc>
        <w:tc>
          <w:tcPr>
            <w:tcW w:w="1170" w:type="dxa"/>
            <w:tcBorders>
              <w:top w:val="nil"/>
              <w:left w:val="nil"/>
              <w:bottom w:val="single" w:color="auto" w:sz="12" w:space="0"/>
              <w:right w:val="single" w:color="auto" w:sz="4" w:space="0"/>
            </w:tcBorders>
            <w:shd w:val="clear" w:color="auto" w:fill="auto"/>
            <w:vAlign w:val="bottom"/>
          </w:tcPr>
          <w:p w:rsidRPr="00884E96" w:rsidR="00B74084" w:rsidP="00C22498" w:rsidRDefault="00B74084">
            <w:pPr>
              <w:jc w:val="center"/>
              <w:rPr>
                <w:bCs/>
                <w:sz w:val="22"/>
                <w:szCs w:val="22"/>
              </w:rPr>
            </w:pPr>
            <w:r w:rsidRPr="00884E96">
              <w:rPr>
                <w:bCs/>
                <w:sz w:val="22"/>
                <w:szCs w:val="22"/>
              </w:rPr>
              <w:t> </w:t>
            </w:r>
          </w:p>
        </w:tc>
        <w:tc>
          <w:tcPr>
            <w:tcW w:w="1440" w:type="dxa"/>
            <w:tcBorders>
              <w:top w:val="nil"/>
              <w:left w:val="nil"/>
              <w:bottom w:val="single" w:color="auto" w:sz="12" w:space="0"/>
              <w:right w:val="single" w:color="auto" w:sz="12" w:space="0"/>
            </w:tcBorders>
            <w:shd w:val="clear" w:color="auto" w:fill="auto"/>
            <w:vAlign w:val="bottom"/>
          </w:tcPr>
          <w:p w:rsidRPr="00884E96" w:rsidR="00B74084" w:rsidP="00C22498" w:rsidRDefault="00B74084">
            <w:pPr>
              <w:jc w:val="center"/>
              <w:rPr>
                <w:b/>
                <w:bCs/>
                <w:sz w:val="22"/>
                <w:szCs w:val="22"/>
              </w:rPr>
            </w:pPr>
            <w:r w:rsidRPr="00884E96">
              <w:rPr>
                <w:b/>
                <w:bCs/>
                <w:sz w:val="22"/>
                <w:szCs w:val="22"/>
              </w:rPr>
              <w:t>3,763</w:t>
            </w:r>
          </w:p>
        </w:tc>
      </w:tr>
    </w:tbl>
    <w:p w:rsidRPr="00EA6F4F" w:rsidR="00B74084" w:rsidRDefault="00B74084">
      <w:pPr>
        <w:tabs>
          <w:tab w:val="left" w:pos="547"/>
          <w:tab w:val="left" w:pos="1080"/>
          <w:tab w:val="left" w:pos="1627"/>
          <w:tab w:val="left" w:pos="2160"/>
          <w:tab w:val="left" w:pos="2880"/>
        </w:tabs>
        <w:rPr>
          <w:b/>
          <w:color w:val="000000"/>
          <w:sz w:val="22"/>
          <w:szCs w:val="22"/>
        </w:rPr>
      </w:pPr>
    </w:p>
    <w:p w:rsidR="00536A11" w:rsidP="00B74084" w:rsidRDefault="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bookmarkStart w:name="_Hlk5363288" w:id="5"/>
      <w:r w:rsidRPr="00EA6F4F">
        <w:rPr>
          <w:b/>
          <w:color w:val="000000"/>
          <w:sz w:val="22"/>
          <w:szCs w:val="22"/>
        </w:rPr>
        <w:tab/>
      </w:r>
      <w:bookmarkStart w:name="_Hlk5363767" w:id="6"/>
      <w:bookmarkEnd w:id="5"/>
    </w:p>
    <w:p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w:t>
      </w:r>
      <w:r w:rsidR="00316142">
        <w:rPr>
          <w:b/>
          <w:color w:val="000000"/>
        </w:rPr>
        <w:t>3</w:t>
      </w:r>
      <w:r>
        <w:rPr>
          <w:b/>
        </w:rPr>
        <w:t>.</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7F1C5F" w:rsidP="007F1C5F" w:rsidRDefault="00B74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sidRPr="00B846DA">
        <w:rPr>
          <w:bCs/>
        </w:rPr>
        <w:t xml:space="preserve">See </w:t>
      </w:r>
      <w:r>
        <w:rPr>
          <w:bCs/>
        </w:rPr>
        <w:t>chart in 12a above.</w:t>
      </w:r>
    </w:p>
    <w:p w:rsidR="00B74084" w:rsidP="007F1C5F" w:rsidRDefault="00B740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9C10D2" w:rsidP="007F1C5F" w:rsidRDefault="009C10D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9C10D2" w:rsidP="007F1C5F" w:rsidRDefault="009C10D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9C10D2" w:rsidP="007F1C5F" w:rsidRDefault="009C10D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9D6B80" w:rsidP="007F1C5F" w:rsidRDefault="009D6B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9D6B80" w:rsidP="007F1C5F" w:rsidRDefault="009D6B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B74084" w:rsidRDefault="00B74084">
      <w:pPr>
        <w:tabs>
          <w:tab w:val="left" w:pos="547"/>
          <w:tab w:val="left" w:pos="1080"/>
          <w:tab w:val="left" w:pos="1627"/>
          <w:tab w:val="left" w:pos="2160"/>
          <w:tab w:val="left" w:pos="2880"/>
        </w:tabs>
        <w:rPr>
          <w:b/>
        </w:rPr>
      </w:pPr>
    </w:p>
    <w:p w:rsidRPr="00F905C3" w:rsidR="00F905C3" w:rsidP="00F905C3" w:rsidRDefault="00F905C3">
      <w:pPr>
        <w:ind w:right="684" w:firstLine="720"/>
        <w:contextualSpacing/>
        <w:rPr>
          <w:color w:val="FF0000"/>
        </w:rPr>
      </w:pPr>
      <w:r w:rsidRPr="00F905C3">
        <w:t xml:space="preserve">VHA uses general wage data to estimate the respondents’ costs associated with completing the information collection. </w:t>
      </w:r>
      <w:bookmarkStart w:name="_Hlk2954761" w:id="7"/>
      <w:r w:rsidRPr="00F905C3">
        <w:rPr>
          <w:rFonts w:eastAsia="Calibri"/>
        </w:rPr>
        <w:t>The Bureau of Labor Statistics (BLS) gathers information on full-time wage and salary workers.  In accordance with the latest available BLS</w:t>
      </w:r>
      <w:r w:rsidRPr="00F905C3">
        <w:rPr>
          <w:szCs w:val="20"/>
        </w:rPr>
        <w:t xml:space="preserve"> Occupational Wage Code Median Hourly (May 2019)</w:t>
      </w:r>
      <w:r w:rsidRPr="00F905C3">
        <w:rPr>
          <w:rFonts w:eastAsia="Calibri"/>
        </w:rPr>
        <w:t xml:space="preserve">, the mean hourly wage is $25.72 based on the BLS wage code – “00-0000 All Occupations.”  This information was taken from the following website: </w:t>
      </w:r>
      <w:hyperlink w:history="1" r:id="rId7">
        <w:r w:rsidRPr="008A51A4">
          <w:rPr>
            <w:rFonts w:eastAsia="Calibri"/>
            <w:color w:val="0563C1"/>
            <w:u w:val="single"/>
          </w:rPr>
          <w:t>https://www.bls.gov/oes/current/oes_nat.htm</w:t>
        </w:r>
      </w:hyperlink>
      <w:r w:rsidRPr="008A51A4">
        <w:rPr>
          <w:rFonts w:eastAsia="Calibri"/>
        </w:rPr>
        <w:t>.   </w:t>
      </w:r>
    </w:p>
    <w:p w:rsidR="00F905C3" w:rsidP="00F905C3" w:rsidRDefault="00F905C3">
      <w:pPr>
        <w:rPr>
          <w:rFonts w:eastAsia="Calibri"/>
        </w:rPr>
      </w:pPr>
    </w:p>
    <w:p w:rsidRPr="00F905C3" w:rsidR="00F905C3" w:rsidP="00F905C3" w:rsidRDefault="00F905C3">
      <w:pPr>
        <w:ind w:firstLine="720"/>
        <w:rPr>
          <w:rFonts w:eastAsia="Calibri"/>
        </w:rPr>
      </w:pPr>
      <w:r w:rsidRPr="00F905C3">
        <w:rPr>
          <w:rFonts w:eastAsia="Calibri"/>
        </w:rPr>
        <w:t xml:space="preserve">Legally, respondents may not pay a person or business for assistance in completing the information collection. Therefore, there are no expected overhead costs for completing the information collection.  VBA estimates the total cost to all respondents to be $96,784.36 (3,763 burden hours x </w:t>
      </w:r>
    </w:p>
    <w:p w:rsidRPr="00F905C3" w:rsidR="00F905C3" w:rsidP="00F905C3" w:rsidRDefault="00F905C3">
      <w:pPr>
        <w:rPr>
          <w:rFonts w:eastAsia="Calibri"/>
        </w:rPr>
      </w:pPr>
      <w:r w:rsidRPr="00F905C3">
        <w:rPr>
          <w:rFonts w:eastAsia="Calibri"/>
        </w:rPr>
        <w:t xml:space="preserve">$25.72 per hour). </w:t>
      </w:r>
      <w:bookmarkEnd w:id="7"/>
      <w:r w:rsidRPr="00F905C3">
        <w:rPr>
          <w:rFonts w:eastAsia="Calibri"/>
        </w:rPr>
        <w:t> </w:t>
      </w:r>
    </w:p>
    <w:p w:rsidR="00F905C3" w:rsidP="00F905C3" w:rsidRDefault="00F905C3">
      <w:pPr>
        <w:tabs>
          <w:tab w:val="left" w:pos="547"/>
          <w:tab w:val="left" w:pos="1080"/>
          <w:tab w:val="left" w:pos="1627"/>
          <w:tab w:val="left" w:pos="2160"/>
          <w:tab w:val="left" w:pos="2880"/>
        </w:tabs>
        <w:rPr>
          <w:b/>
        </w:rPr>
      </w:pPr>
    </w:p>
    <w:p w:rsidR="00A72935" w:rsidP="00F905C3" w:rsidRDefault="006629A8">
      <w:pPr>
        <w:tabs>
          <w:tab w:val="left" w:pos="540"/>
          <w:tab w:val="left" w:pos="1080"/>
          <w:tab w:val="left" w:pos="1620"/>
          <w:tab w:val="left" w:pos="2160"/>
        </w:tabs>
      </w:pPr>
      <w:r>
        <w:tab/>
      </w:r>
      <w:bookmarkEnd w:id="6"/>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AC3B93" w:rsidR="00AC3B93" w:rsidP="00AC3B93" w:rsidRDefault="00AC3B93">
      <w:pPr>
        <w:tabs>
          <w:tab w:val="left" w:pos="547"/>
          <w:tab w:val="left" w:pos="1080"/>
          <w:tab w:val="left" w:pos="1627"/>
          <w:tab w:val="left" w:pos="2160"/>
          <w:tab w:val="left" w:pos="2880"/>
        </w:tabs>
      </w:pPr>
      <w:bookmarkStart w:name="_Hlk8119017" w:id="8"/>
    </w:p>
    <w:p w:rsidRPr="00AC3B93" w:rsidR="00AC3B93" w:rsidP="00AC3B93" w:rsidRDefault="00AC3B9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AC3B93">
        <w:rPr>
          <w:b w:val="0"/>
          <w:sz w:val="24"/>
        </w:rPr>
        <w:tab/>
        <w:t>a.</w:t>
      </w:r>
      <w:r w:rsidRPr="00AC3B93">
        <w:rPr>
          <w:b w:val="0"/>
          <w:sz w:val="24"/>
        </w:rPr>
        <w:tab/>
        <w:t>There are no capital, start-up, operation or maintenance costs.</w:t>
      </w:r>
    </w:p>
    <w:p w:rsidRPr="00AC3B93" w:rsidR="00AC3B93" w:rsidP="00AC3B93" w:rsidRDefault="00AC3B9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AC3B93">
        <w:rPr>
          <w:b w:val="0"/>
          <w:sz w:val="24"/>
        </w:rPr>
        <w:tab/>
        <w:t>b.</w:t>
      </w:r>
      <w:r w:rsidRPr="00AC3B93">
        <w:rPr>
          <w:b w:val="0"/>
          <w:sz w:val="24"/>
        </w:rPr>
        <w:tab/>
        <w:t>Cost estimates are not expected to vary widely.  The only cost is that for the time of the respondent.</w:t>
      </w:r>
    </w:p>
    <w:p w:rsidRPr="00AC3B93" w:rsidR="00AC3B93" w:rsidP="00AC3B93" w:rsidRDefault="00AC3B9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AC3B93">
        <w:rPr>
          <w:b w:val="0"/>
          <w:sz w:val="24"/>
        </w:rPr>
        <w:tab/>
        <w:t>c.</w:t>
      </w:r>
      <w:r w:rsidRPr="00AC3B93">
        <w:rPr>
          <w:b w:val="0"/>
          <w:sz w:val="24"/>
        </w:rPr>
        <w:tab/>
        <w:t xml:space="preserve">There is no anticipated recordkeeping burden </w:t>
      </w:r>
      <w:r w:rsidRPr="00AC3B93">
        <w:rPr>
          <w:b w:val="0"/>
          <w:sz w:val="24"/>
          <w:szCs w:val="24"/>
        </w:rPr>
        <w:t xml:space="preserve">beyond that which is considered usual and customary. </w:t>
      </w:r>
    </w:p>
    <w:bookmarkEnd w:id="8"/>
    <w:p w:rsidRPr="00AC3B93" w:rsidR="00AC3B93" w:rsidP="00AC3B93" w:rsidRDefault="00AC3B9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3539E" w:rsidRDefault="0023539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tbl>
      <w:tblPr>
        <w:tblW w:w="10440" w:type="dxa"/>
        <w:tblInd w:w="108" w:type="dxa"/>
        <w:tblLayout w:type="fixed"/>
        <w:tblLook w:val="0000" w:firstRow="0" w:lastRow="0" w:firstColumn="0" w:lastColumn="0" w:noHBand="0" w:noVBand="0"/>
      </w:tblPr>
      <w:tblGrid>
        <w:gridCol w:w="4140"/>
        <w:gridCol w:w="602"/>
        <w:gridCol w:w="388"/>
        <w:gridCol w:w="990"/>
        <w:gridCol w:w="1260"/>
        <w:gridCol w:w="990"/>
        <w:gridCol w:w="900"/>
        <w:gridCol w:w="1170"/>
      </w:tblGrid>
      <w:tr w:rsidRPr="00B846DA" w:rsidR="0023539E" w:rsidTr="0023539E">
        <w:trPr>
          <w:trHeight w:val="435"/>
        </w:trPr>
        <w:tc>
          <w:tcPr>
            <w:tcW w:w="10440" w:type="dxa"/>
            <w:gridSpan w:val="8"/>
            <w:tcBorders>
              <w:top w:val="single" w:color="000000" w:sz="18" w:space="0"/>
              <w:left w:val="single" w:color="000000" w:sz="18" w:space="0"/>
              <w:bottom w:val="single" w:color="auto" w:sz="4" w:space="0"/>
              <w:right w:val="single" w:color="000000" w:sz="18" w:space="0"/>
            </w:tcBorders>
            <w:shd w:val="clear" w:color="auto" w:fill="auto"/>
            <w:vAlign w:val="center"/>
          </w:tcPr>
          <w:p w:rsidRPr="00B846DA" w:rsidR="0023539E" w:rsidP="00C22498" w:rsidRDefault="0023539E">
            <w:pPr>
              <w:jc w:val="center"/>
              <w:rPr>
                <w:b/>
                <w:bCs/>
              </w:rPr>
            </w:pPr>
            <w:r w:rsidRPr="00B846DA">
              <w:rPr>
                <w:b/>
                <w:bCs/>
              </w:rPr>
              <w:t>Federal Government Processing/Analyzing Costs</w:t>
            </w:r>
          </w:p>
        </w:tc>
      </w:tr>
      <w:tr w:rsidRPr="00B846DA" w:rsidR="0023539E" w:rsidTr="0023539E">
        <w:trPr>
          <w:trHeight w:val="642"/>
        </w:trPr>
        <w:tc>
          <w:tcPr>
            <w:tcW w:w="4140" w:type="dxa"/>
            <w:tcBorders>
              <w:top w:val="single" w:color="auto" w:sz="4" w:space="0"/>
              <w:left w:val="single" w:color="auto" w:sz="18" w:space="0"/>
              <w:bottom w:val="single" w:color="auto" w:sz="12" w:space="0"/>
              <w:right w:val="single" w:color="auto" w:sz="4" w:space="0"/>
            </w:tcBorders>
            <w:shd w:val="clear" w:color="auto" w:fill="auto"/>
            <w:noWrap/>
            <w:vAlign w:val="center"/>
          </w:tcPr>
          <w:p w:rsidRPr="00B846DA" w:rsidR="0023539E" w:rsidP="00C22498" w:rsidRDefault="0023539E">
            <w:pPr>
              <w:jc w:val="center"/>
              <w:rPr>
                <w:b/>
                <w:bCs/>
              </w:rPr>
            </w:pPr>
            <w:r w:rsidRPr="00B846DA">
              <w:rPr>
                <w:b/>
                <w:bCs/>
              </w:rPr>
              <w:t> </w:t>
            </w:r>
          </w:p>
        </w:tc>
        <w:tc>
          <w:tcPr>
            <w:tcW w:w="990" w:type="dxa"/>
            <w:gridSpan w:val="2"/>
            <w:tcBorders>
              <w:top w:val="single" w:color="auto" w:sz="4" w:space="0"/>
              <w:left w:val="nil"/>
              <w:bottom w:val="single" w:color="auto" w:sz="12" w:space="0"/>
              <w:right w:val="single" w:color="auto" w:sz="4" w:space="0"/>
            </w:tcBorders>
            <w:shd w:val="clear" w:color="auto" w:fill="auto"/>
            <w:vAlign w:val="center"/>
          </w:tcPr>
          <w:p w:rsidRPr="00B846DA" w:rsidR="0023539E" w:rsidP="00C22498" w:rsidRDefault="0023539E">
            <w:pPr>
              <w:jc w:val="center"/>
              <w:rPr>
                <w:b/>
                <w:bCs/>
              </w:rPr>
            </w:pPr>
            <w:r w:rsidRPr="00B846DA">
              <w:rPr>
                <w:b/>
                <w:bCs/>
              </w:rPr>
              <w:t>Salary</w:t>
            </w:r>
          </w:p>
        </w:tc>
        <w:tc>
          <w:tcPr>
            <w:tcW w:w="990" w:type="dxa"/>
            <w:tcBorders>
              <w:top w:val="single" w:color="auto" w:sz="4" w:space="0"/>
              <w:left w:val="nil"/>
              <w:bottom w:val="single" w:color="auto" w:sz="12" w:space="0"/>
              <w:right w:val="single" w:color="auto" w:sz="4" w:space="0"/>
            </w:tcBorders>
            <w:shd w:val="clear" w:color="auto" w:fill="auto"/>
            <w:vAlign w:val="center"/>
          </w:tcPr>
          <w:p w:rsidRPr="00B846DA" w:rsidR="0023539E" w:rsidP="00C22498" w:rsidRDefault="0023539E">
            <w:pPr>
              <w:jc w:val="center"/>
              <w:rPr>
                <w:b/>
                <w:bCs/>
              </w:rPr>
            </w:pPr>
            <w:r w:rsidRPr="00B846DA">
              <w:rPr>
                <w:b/>
                <w:bCs/>
              </w:rPr>
              <w:t>Responses</w:t>
            </w:r>
          </w:p>
        </w:tc>
        <w:tc>
          <w:tcPr>
            <w:tcW w:w="1260" w:type="dxa"/>
            <w:tcBorders>
              <w:top w:val="single" w:color="auto" w:sz="4" w:space="0"/>
              <w:left w:val="nil"/>
              <w:bottom w:val="single" w:color="auto" w:sz="12" w:space="0"/>
              <w:right w:val="single" w:color="auto" w:sz="4" w:space="0"/>
            </w:tcBorders>
            <w:shd w:val="clear" w:color="auto" w:fill="auto"/>
            <w:noWrap/>
            <w:vAlign w:val="center"/>
          </w:tcPr>
          <w:p w:rsidRPr="00B846DA" w:rsidR="0023539E" w:rsidP="00C22498" w:rsidRDefault="0023539E">
            <w:pPr>
              <w:jc w:val="center"/>
              <w:rPr>
                <w:b/>
                <w:bCs/>
              </w:rPr>
            </w:pPr>
            <w:r w:rsidRPr="00B846DA">
              <w:rPr>
                <w:b/>
                <w:bCs/>
              </w:rPr>
              <w:t>Equals</w:t>
            </w:r>
          </w:p>
        </w:tc>
        <w:tc>
          <w:tcPr>
            <w:tcW w:w="990" w:type="dxa"/>
            <w:tcBorders>
              <w:top w:val="single" w:color="auto" w:sz="4" w:space="0"/>
              <w:left w:val="nil"/>
              <w:bottom w:val="single" w:color="auto" w:sz="12" w:space="0"/>
              <w:right w:val="single" w:color="auto" w:sz="4" w:space="0"/>
            </w:tcBorders>
            <w:shd w:val="clear" w:color="auto" w:fill="auto"/>
            <w:noWrap/>
            <w:vAlign w:val="center"/>
          </w:tcPr>
          <w:p w:rsidRPr="00B846DA" w:rsidR="0023539E" w:rsidP="00C22498" w:rsidRDefault="0023539E">
            <w:pPr>
              <w:jc w:val="center"/>
              <w:rPr>
                <w:b/>
                <w:bCs/>
              </w:rPr>
            </w:pPr>
            <w:r w:rsidRPr="00B846DA">
              <w:rPr>
                <w:b/>
                <w:bCs/>
              </w:rPr>
              <w:t>Minutes</w:t>
            </w:r>
          </w:p>
        </w:tc>
        <w:tc>
          <w:tcPr>
            <w:tcW w:w="900" w:type="dxa"/>
            <w:tcBorders>
              <w:top w:val="single" w:color="auto" w:sz="4" w:space="0"/>
              <w:left w:val="nil"/>
              <w:bottom w:val="single" w:color="auto" w:sz="12" w:space="0"/>
              <w:right w:val="single" w:color="auto" w:sz="4" w:space="0"/>
            </w:tcBorders>
            <w:shd w:val="clear" w:color="auto" w:fill="auto"/>
            <w:vAlign w:val="center"/>
          </w:tcPr>
          <w:p w:rsidRPr="00B846DA" w:rsidR="0023539E" w:rsidP="00C22498" w:rsidRDefault="0023539E">
            <w:pPr>
              <w:jc w:val="center"/>
              <w:rPr>
                <w:b/>
                <w:bCs/>
              </w:rPr>
            </w:pPr>
            <w:r w:rsidRPr="00B846DA">
              <w:rPr>
                <w:b/>
                <w:bCs/>
              </w:rPr>
              <w:t>Divided by 60</w:t>
            </w:r>
          </w:p>
        </w:tc>
        <w:tc>
          <w:tcPr>
            <w:tcW w:w="1170" w:type="dxa"/>
            <w:tcBorders>
              <w:top w:val="single" w:color="auto" w:sz="4" w:space="0"/>
              <w:left w:val="nil"/>
              <w:bottom w:val="single" w:color="auto" w:sz="12" w:space="0"/>
              <w:right w:val="single" w:color="auto" w:sz="18" w:space="0"/>
            </w:tcBorders>
            <w:shd w:val="clear" w:color="auto" w:fill="auto"/>
            <w:vAlign w:val="center"/>
          </w:tcPr>
          <w:p w:rsidRPr="00B846DA" w:rsidR="0023539E" w:rsidP="00C22498" w:rsidRDefault="0023539E">
            <w:pPr>
              <w:jc w:val="center"/>
              <w:rPr>
                <w:b/>
                <w:bCs/>
              </w:rPr>
            </w:pPr>
            <w:r w:rsidRPr="00B846DA">
              <w:rPr>
                <w:b/>
                <w:bCs/>
              </w:rPr>
              <w:t>Total</w:t>
            </w:r>
          </w:p>
        </w:tc>
      </w:tr>
      <w:tr w:rsidRPr="00B846DA" w:rsidR="0023539E" w:rsidTr="0023539E">
        <w:trPr>
          <w:trHeight w:val="342"/>
        </w:trPr>
        <w:tc>
          <w:tcPr>
            <w:tcW w:w="4140" w:type="dxa"/>
            <w:tcBorders>
              <w:top w:val="single" w:color="auto" w:sz="12" w:space="0"/>
              <w:left w:val="single" w:color="auto" w:sz="18" w:space="0"/>
              <w:bottom w:val="single" w:color="auto" w:sz="4" w:space="0"/>
              <w:right w:val="single" w:color="auto" w:sz="4" w:space="0"/>
            </w:tcBorders>
            <w:shd w:val="clear" w:color="auto" w:fill="auto"/>
            <w:noWrap/>
            <w:vAlign w:val="center"/>
          </w:tcPr>
          <w:p w:rsidRPr="00B846DA" w:rsidR="0023539E" w:rsidP="00C22498" w:rsidRDefault="0023539E">
            <w:pPr>
              <w:rPr>
                <w:bCs/>
              </w:rPr>
            </w:pPr>
            <w:r w:rsidRPr="00B846DA">
              <w:rPr>
                <w:bCs/>
              </w:rPr>
              <w:t>10-7959f-1, Clerical Processing, GS 5/5</w:t>
            </w:r>
          </w:p>
        </w:tc>
        <w:tc>
          <w:tcPr>
            <w:tcW w:w="990" w:type="dxa"/>
            <w:gridSpan w:val="2"/>
            <w:tcBorders>
              <w:top w:val="single" w:color="auto" w:sz="12" w:space="0"/>
              <w:left w:val="nil"/>
              <w:bottom w:val="single" w:color="auto" w:sz="4" w:space="0"/>
              <w:right w:val="single" w:color="auto" w:sz="4" w:space="0"/>
            </w:tcBorders>
            <w:shd w:val="clear" w:color="auto" w:fill="auto"/>
            <w:vAlign w:val="center"/>
          </w:tcPr>
          <w:p w:rsidRPr="00B846DA" w:rsidR="0023539E" w:rsidP="00C22498" w:rsidRDefault="0023539E">
            <w:pPr>
              <w:jc w:val="center"/>
              <w:rPr>
                <w:bCs/>
              </w:rPr>
            </w:pPr>
            <w:r w:rsidRPr="00B846DA">
              <w:rPr>
                <w:bCs/>
              </w:rPr>
              <w:t>$</w:t>
            </w:r>
            <w:r>
              <w:rPr>
                <w:bCs/>
              </w:rPr>
              <w:t>20.08</w:t>
            </w:r>
            <w:r w:rsidRPr="00B846DA">
              <w:rPr>
                <w:bCs/>
              </w:rPr>
              <w:t xml:space="preserve"> </w:t>
            </w:r>
          </w:p>
        </w:tc>
        <w:tc>
          <w:tcPr>
            <w:tcW w:w="990" w:type="dxa"/>
            <w:tcBorders>
              <w:top w:val="single" w:color="auto" w:sz="12" w:space="0"/>
              <w:left w:val="nil"/>
              <w:bottom w:val="single" w:color="auto" w:sz="4" w:space="0"/>
              <w:right w:val="single" w:color="auto" w:sz="4" w:space="0"/>
            </w:tcBorders>
            <w:shd w:val="clear" w:color="auto" w:fill="auto"/>
            <w:vAlign w:val="center"/>
          </w:tcPr>
          <w:p w:rsidRPr="00B846DA" w:rsidR="0023539E" w:rsidP="00C22498" w:rsidRDefault="0023539E">
            <w:pPr>
              <w:jc w:val="center"/>
              <w:rPr>
                <w:bCs/>
              </w:rPr>
            </w:pPr>
            <w:r w:rsidRPr="00B846DA">
              <w:rPr>
                <w:bCs/>
              </w:rPr>
              <w:t xml:space="preserve">1,660 </w:t>
            </w:r>
          </w:p>
        </w:tc>
        <w:tc>
          <w:tcPr>
            <w:tcW w:w="1260" w:type="dxa"/>
            <w:tcBorders>
              <w:top w:val="single" w:color="auto" w:sz="12" w:space="0"/>
              <w:left w:val="nil"/>
              <w:bottom w:val="single" w:color="auto" w:sz="4" w:space="0"/>
              <w:right w:val="single" w:color="auto" w:sz="4" w:space="0"/>
            </w:tcBorders>
            <w:shd w:val="clear" w:color="auto" w:fill="auto"/>
            <w:noWrap/>
            <w:vAlign w:val="center"/>
          </w:tcPr>
          <w:p w:rsidRPr="00B846DA" w:rsidR="0023539E" w:rsidP="00C22498" w:rsidRDefault="0023539E">
            <w:pPr>
              <w:jc w:val="center"/>
              <w:rPr>
                <w:bCs/>
              </w:rPr>
            </w:pPr>
            <w:r w:rsidRPr="00B846DA">
              <w:rPr>
                <w:bCs/>
              </w:rPr>
              <w:t>$</w:t>
            </w:r>
            <w:r>
              <w:rPr>
                <w:bCs/>
              </w:rPr>
              <w:t>33,333</w:t>
            </w:r>
          </w:p>
        </w:tc>
        <w:tc>
          <w:tcPr>
            <w:tcW w:w="990" w:type="dxa"/>
            <w:tcBorders>
              <w:top w:val="single" w:color="auto" w:sz="12" w:space="0"/>
              <w:left w:val="nil"/>
              <w:bottom w:val="single" w:color="auto" w:sz="4" w:space="0"/>
              <w:right w:val="single" w:color="auto" w:sz="4" w:space="0"/>
            </w:tcBorders>
            <w:shd w:val="clear" w:color="auto" w:fill="auto"/>
            <w:noWrap/>
            <w:vAlign w:val="center"/>
          </w:tcPr>
          <w:p w:rsidRPr="00B846DA" w:rsidR="0023539E" w:rsidP="00C22498" w:rsidRDefault="0023539E">
            <w:pPr>
              <w:jc w:val="center"/>
              <w:rPr>
                <w:bCs/>
              </w:rPr>
            </w:pPr>
            <w:r w:rsidRPr="00B846DA">
              <w:rPr>
                <w:bCs/>
              </w:rPr>
              <w:t>4</w:t>
            </w:r>
          </w:p>
        </w:tc>
        <w:tc>
          <w:tcPr>
            <w:tcW w:w="900" w:type="dxa"/>
            <w:tcBorders>
              <w:top w:val="single" w:color="auto" w:sz="12" w:space="0"/>
              <w:left w:val="nil"/>
              <w:bottom w:val="single" w:color="auto" w:sz="4" w:space="0"/>
              <w:right w:val="single" w:color="auto" w:sz="4" w:space="0"/>
            </w:tcBorders>
            <w:shd w:val="clear" w:color="auto" w:fill="auto"/>
            <w:vAlign w:val="center"/>
          </w:tcPr>
          <w:p w:rsidRPr="00B846DA" w:rsidR="0023539E" w:rsidP="00C22498" w:rsidRDefault="0023539E">
            <w:pPr>
              <w:jc w:val="center"/>
              <w:rPr>
                <w:bCs/>
              </w:rPr>
            </w:pPr>
            <w:r w:rsidRPr="00B846DA">
              <w:rPr>
                <w:bCs/>
              </w:rPr>
              <w:t>60</w:t>
            </w:r>
          </w:p>
        </w:tc>
        <w:tc>
          <w:tcPr>
            <w:tcW w:w="1170" w:type="dxa"/>
            <w:tcBorders>
              <w:top w:val="single" w:color="auto" w:sz="12" w:space="0"/>
              <w:left w:val="nil"/>
              <w:bottom w:val="single" w:color="auto" w:sz="4" w:space="0"/>
              <w:right w:val="single" w:color="auto" w:sz="18" w:space="0"/>
            </w:tcBorders>
            <w:shd w:val="clear" w:color="auto" w:fill="auto"/>
            <w:vAlign w:val="center"/>
          </w:tcPr>
          <w:p w:rsidRPr="00B846DA" w:rsidR="0023539E" w:rsidP="00C22498" w:rsidRDefault="0023539E">
            <w:pPr>
              <w:jc w:val="center"/>
              <w:rPr>
                <w:bCs/>
              </w:rPr>
            </w:pPr>
            <w:r w:rsidRPr="00B846DA">
              <w:rPr>
                <w:bCs/>
              </w:rPr>
              <w:t>$</w:t>
            </w:r>
            <w:r>
              <w:rPr>
                <w:bCs/>
              </w:rPr>
              <w:t>2,222</w:t>
            </w:r>
            <w:r w:rsidRPr="00B846DA">
              <w:rPr>
                <w:bCs/>
              </w:rPr>
              <w:t xml:space="preserve"> </w:t>
            </w:r>
          </w:p>
        </w:tc>
      </w:tr>
      <w:tr w:rsidRPr="00B846DA" w:rsidR="0023539E" w:rsidTr="0023539E">
        <w:trPr>
          <w:trHeight w:val="342"/>
        </w:trPr>
        <w:tc>
          <w:tcPr>
            <w:tcW w:w="4140" w:type="dxa"/>
            <w:tcBorders>
              <w:top w:val="single" w:color="auto" w:sz="4" w:space="0"/>
              <w:left w:val="single" w:color="auto" w:sz="18" w:space="0"/>
              <w:bottom w:val="single" w:color="auto" w:sz="4" w:space="0"/>
              <w:right w:val="single" w:color="auto" w:sz="4" w:space="0"/>
            </w:tcBorders>
            <w:shd w:val="clear" w:color="auto" w:fill="auto"/>
            <w:noWrap/>
            <w:vAlign w:val="center"/>
          </w:tcPr>
          <w:p w:rsidRPr="00B846DA" w:rsidR="0023539E" w:rsidP="00C22498" w:rsidRDefault="0023539E">
            <w:pPr>
              <w:rPr>
                <w:bCs/>
              </w:rPr>
            </w:pPr>
            <w:r w:rsidRPr="00B846DA">
              <w:rPr>
                <w:bCs/>
              </w:rPr>
              <w:t>10-7959f-2, Clerical Processing, GS 5/5</w:t>
            </w:r>
          </w:p>
        </w:tc>
        <w:tc>
          <w:tcPr>
            <w:tcW w:w="990" w:type="dxa"/>
            <w:gridSpan w:val="2"/>
            <w:tcBorders>
              <w:top w:val="single" w:color="auto" w:sz="4" w:space="0"/>
              <w:left w:val="nil"/>
              <w:bottom w:val="single" w:color="auto" w:sz="4" w:space="0"/>
              <w:right w:val="single" w:color="auto" w:sz="4" w:space="0"/>
            </w:tcBorders>
            <w:shd w:val="clear" w:color="auto" w:fill="auto"/>
            <w:vAlign w:val="center"/>
          </w:tcPr>
          <w:p w:rsidRPr="00B846DA" w:rsidR="0023539E" w:rsidP="00C22498" w:rsidRDefault="0023539E">
            <w:pPr>
              <w:jc w:val="center"/>
              <w:rPr>
                <w:bCs/>
              </w:rPr>
            </w:pPr>
            <w:r w:rsidRPr="00B846DA">
              <w:rPr>
                <w:bCs/>
              </w:rPr>
              <w:t>$</w:t>
            </w:r>
            <w:r>
              <w:rPr>
                <w:bCs/>
              </w:rPr>
              <w:t>20.08</w:t>
            </w:r>
            <w:r w:rsidRPr="00B846DA">
              <w:rPr>
                <w:bCs/>
              </w:rPr>
              <w:t xml:space="preserve"> </w:t>
            </w:r>
          </w:p>
        </w:tc>
        <w:tc>
          <w:tcPr>
            <w:tcW w:w="990" w:type="dxa"/>
            <w:tcBorders>
              <w:top w:val="single" w:color="auto" w:sz="4" w:space="0"/>
              <w:left w:val="nil"/>
              <w:bottom w:val="single" w:color="auto" w:sz="4" w:space="0"/>
              <w:right w:val="single" w:color="auto" w:sz="4" w:space="0"/>
            </w:tcBorders>
            <w:shd w:val="clear" w:color="auto" w:fill="auto"/>
            <w:vAlign w:val="center"/>
          </w:tcPr>
          <w:p w:rsidRPr="00B846DA" w:rsidR="0023539E" w:rsidP="00C22498" w:rsidRDefault="0023539E">
            <w:pPr>
              <w:jc w:val="center"/>
              <w:rPr>
                <w:bCs/>
              </w:rPr>
            </w:pPr>
            <w:r w:rsidRPr="00B846DA">
              <w:rPr>
                <w:bCs/>
              </w:rPr>
              <w:t xml:space="preserve">19,920 </w:t>
            </w:r>
          </w:p>
        </w:tc>
        <w:tc>
          <w:tcPr>
            <w:tcW w:w="1260" w:type="dxa"/>
            <w:tcBorders>
              <w:top w:val="single" w:color="auto" w:sz="4" w:space="0"/>
              <w:left w:val="nil"/>
              <w:bottom w:val="single" w:color="auto" w:sz="4" w:space="0"/>
              <w:right w:val="single" w:color="auto" w:sz="4" w:space="0"/>
            </w:tcBorders>
            <w:shd w:val="clear" w:color="auto" w:fill="auto"/>
            <w:noWrap/>
            <w:vAlign w:val="center"/>
          </w:tcPr>
          <w:p w:rsidRPr="00B846DA" w:rsidR="0023539E" w:rsidP="00C22498" w:rsidRDefault="0023539E">
            <w:pPr>
              <w:jc w:val="center"/>
              <w:rPr>
                <w:bCs/>
              </w:rPr>
            </w:pPr>
            <w:r w:rsidRPr="00B846DA">
              <w:rPr>
                <w:bCs/>
              </w:rPr>
              <w:t>$</w:t>
            </w:r>
            <w:r>
              <w:rPr>
                <w:bCs/>
              </w:rPr>
              <w:t>399,994</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B846DA" w:rsidR="0023539E" w:rsidP="00C22498" w:rsidRDefault="0023539E">
            <w:pPr>
              <w:jc w:val="center"/>
              <w:rPr>
                <w:bCs/>
              </w:rPr>
            </w:pPr>
            <w:r w:rsidRPr="00B846DA">
              <w:rPr>
                <w:bCs/>
              </w:rPr>
              <w:t>5</w:t>
            </w:r>
          </w:p>
        </w:tc>
        <w:tc>
          <w:tcPr>
            <w:tcW w:w="900" w:type="dxa"/>
            <w:tcBorders>
              <w:top w:val="single" w:color="auto" w:sz="4" w:space="0"/>
              <w:left w:val="nil"/>
              <w:bottom w:val="single" w:color="auto" w:sz="4" w:space="0"/>
              <w:right w:val="single" w:color="auto" w:sz="4" w:space="0"/>
            </w:tcBorders>
            <w:shd w:val="clear" w:color="auto" w:fill="auto"/>
            <w:vAlign w:val="center"/>
          </w:tcPr>
          <w:p w:rsidRPr="00B846DA" w:rsidR="0023539E" w:rsidP="00C22498" w:rsidRDefault="0023539E">
            <w:pPr>
              <w:jc w:val="center"/>
              <w:rPr>
                <w:bCs/>
              </w:rPr>
            </w:pPr>
            <w:r w:rsidRPr="00B846DA">
              <w:rPr>
                <w:bCs/>
              </w:rPr>
              <w:t>60</w:t>
            </w:r>
          </w:p>
        </w:tc>
        <w:tc>
          <w:tcPr>
            <w:tcW w:w="1170" w:type="dxa"/>
            <w:tcBorders>
              <w:top w:val="single" w:color="auto" w:sz="4" w:space="0"/>
              <w:left w:val="nil"/>
              <w:bottom w:val="single" w:color="auto" w:sz="4" w:space="0"/>
              <w:right w:val="single" w:color="auto" w:sz="18" w:space="0"/>
            </w:tcBorders>
            <w:shd w:val="clear" w:color="auto" w:fill="auto"/>
            <w:vAlign w:val="center"/>
          </w:tcPr>
          <w:p w:rsidRPr="00B846DA" w:rsidR="0023539E" w:rsidP="00C22498" w:rsidRDefault="0023539E">
            <w:pPr>
              <w:jc w:val="center"/>
              <w:rPr>
                <w:bCs/>
              </w:rPr>
            </w:pPr>
            <w:r w:rsidRPr="00B846DA">
              <w:rPr>
                <w:bCs/>
              </w:rPr>
              <w:t>$</w:t>
            </w:r>
            <w:r>
              <w:rPr>
                <w:bCs/>
              </w:rPr>
              <w:t>33,333</w:t>
            </w:r>
            <w:r w:rsidRPr="00B846DA">
              <w:rPr>
                <w:bCs/>
              </w:rPr>
              <w:t xml:space="preserve"> </w:t>
            </w:r>
          </w:p>
        </w:tc>
      </w:tr>
      <w:tr w:rsidRPr="00B846DA" w:rsidR="0023539E" w:rsidTr="0023539E">
        <w:trPr>
          <w:trHeight w:val="342"/>
        </w:trPr>
        <w:tc>
          <w:tcPr>
            <w:tcW w:w="9270" w:type="dxa"/>
            <w:gridSpan w:val="7"/>
            <w:tcBorders>
              <w:top w:val="single" w:color="auto" w:sz="4" w:space="0"/>
              <w:left w:val="single" w:color="auto" w:sz="18" w:space="0"/>
              <w:bottom w:val="single" w:color="auto" w:sz="12" w:space="0"/>
              <w:right w:val="single" w:color="000000" w:sz="4" w:space="0"/>
            </w:tcBorders>
            <w:shd w:val="clear" w:color="auto" w:fill="auto"/>
            <w:noWrap/>
            <w:vAlign w:val="center"/>
          </w:tcPr>
          <w:p w:rsidRPr="00B846DA" w:rsidR="0023539E" w:rsidP="00C22498" w:rsidRDefault="0023539E">
            <w:pPr>
              <w:rPr>
                <w:bCs/>
              </w:rPr>
            </w:pPr>
            <w:r w:rsidRPr="00B846DA">
              <w:rPr>
                <w:bCs/>
              </w:rPr>
              <w:t>Printing</w:t>
            </w:r>
          </w:p>
        </w:tc>
        <w:tc>
          <w:tcPr>
            <w:tcW w:w="1170" w:type="dxa"/>
            <w:tcBorders>
              <w:top w:val="single" w:color="auto" w:sz="4" w:space="0"/>
              <w:left w:val="nil"/>
              <w:bottom w:val="single" w:color="auto" w:sz="12" w:space="0"/>
              <w:right w:val="single" w:color="auto" w:sz="18" w:space="0"/>
            </w:tcBorders>
            <w:shd w:val="clear" w:color="auto" w:fill="auto"/>
            <w:vAlign w:val="center"/>
          </w:tcPr>
          <w:p w:rsidRPr="00B846DA" w:rsidR="0023539E" w:rsidP="00C22498" w:rsidRDefault="0023539E">
            <w:pPr>
              <w:jc w:val="center"/>
              <w:rPr>
                <w:bCs/>
              </w:rPr>
            </w:pPr>
            <w:r w:rsidRPr="00B846DA">
              <w:rPr>
                <w:bCs/>
              </w:rPr>
              <w:t>$</w:t>
            </w:r>
            <w:r>
              <w:rPr>
                <w:bCs/>
              </w:rPr>
              <w:t>3</w:t>
            </w:r>
            <w:r w:rsidRPr="00B846DA">
              <w:rPr>
                <w:bCs/>
              </w:rPr>
              <w:t>,</w:t>
            </w:r>
            <w:r>
              <w:rPr>
                <w:bCs/>
              </w:rPr>
              <w:t>1</w:t>
            </w:r>
            <w:r w:rsidRPr="00B846DA">
              <w:rPr>
                <w:bCs/>
              </w:rPr>
              <w:t xml:space="preserve">00 </w:t>
            </w:r>
          </w:p>
        </w:tc>
      </w:tr>
      <w:tr w:rsidRPr="00B846DA" w:rsidR="0023539E" w:rsidTr="0023539E">
        <w:trPr>
          <w:trHeight w:val="342"/>
        </w:trPr>
        <w:tc>
          <w:tcPr>
            <w:tcW w:w="4742" w:type="dxa"/>
            <w:gridSpan w:val="2"/>
            <w:tcBorders>
              <w:top w:val="single" w:color="auto" w:sz="12" w:space="0"/>
              <w:left w:val="single" w:color="auto" w:sz="18" w:space="0"/>
              <w:bottom w:val="single" w:color="auto" w:sz="18" w:space="0"/>
            </w:tcBorders>
            <w:shd w:val="clear" w:color="auto" w:fill="auto"/>
            <w:noWrap/>
            <w:vAlign w:val="center"/>
          </w:tcPr>
          <w:p w:rsidRPr="00B846DA" w:rsidR="0023539E" w:rsidP="00C22498" w:rsidRDefault="0023539E">
            <w:pPr>
              <w:jc w:val="center"/>
              <w:rPr>
                <w:bCs/>
              </w:rPr>
            </w:pPr>
            <w:r w:rsidRPr="00B846DA">
              <w:rPr>
                <w:bCs/>
              </w:rPr>
              <w:t>TOTAL</w:t>
            </w:r>
          </w:p>
        </w:tc>
        <w:tc>
          <w:tcPr>
            <w:tcW w:w="4528" w:type="dxa"/>
            <w:gridSpan w:val="5"/>
            <w:tcBorders>
              <w:top w:val="single" w:color="auto" w:sz="12" w:space="0"/>
              <w:bottom w:val="single" w:color="auto" w:sz="18" w:space="0"/>
              <w:right w:val="single" w:color="auto" w:sz="4" w:space="0"/>
            </w:tcBorders>
            <w:shd w:val="clear" w:color="auto" w:fill="auto"/>
            <w:vAlign w:val="center"/>
          </w:tcPr>
          <w:p w:rsidRPr="00B846DA" w:rsidR="0023539E" w:rsidP="00C22498" w:rsidRDefault="0023539E">
            <w:pPr>
              <w:jc w:val="center"/>
              <w:rPr>
                <w:bCs/>
              </w:rPr>
            </w:pPr>
            <w:r w:rsidRPr="00B846DA">
              <w:rPr>
                <w:bCs/>
              </w:rPr>
              <w:t> </w:t>
            </w:r>
          </w:p>
        </w:tc>
        <w:tc>
          <w:tcPr>
            <w:tcW w:w="1170" w:type="dxa"/>
            <w:tcBorders>
              <w:top w:val="single" w:color="auto" w:sz="12" w:space="0"/>
              <w:left w:val="nil"/>
              <w:bottom w:val="single" w:color="auto" w:sz="18" w:space="0"/>
              <w:right w:val="single" w:color="auto" w:sz="18" w:space="0"/>
            </w:tcBorders>
            <w:shd w:val="clear" w:color="auto" w:fill="auto"/>
            <w:vAlign w:val="center"/>
          </w:tcPr>
          <w:p w:rsidRPr="00B846DA" w:rsidR="0023539E" w:rsidP="00C22498" w:rsidRDefault="0023539E">
            <w:pPr>
              <w:jc w:val="center"/>
              <w:rPr>
                <w:bCs/>
              </w:rPr>
            </w:pPr>
            <w:r w:rsidRPr="00B846DA">
              <w:rPr>
                <w:bCs/>
              </w:rPr>
              <w:t>$</w:t>
            </w:r>
            <w:r>
              <w:rPr>
                <w:bCs/>
              </w:rPr>
              <w:t>38,655</w:t>
            </w:r>
            <w:r w:rsidRPr="00B846DA">
              <w:rPr>
                <w:bCs/>
              </w:rPr>
              <w:t xml:space="preserve"> </w:t>
            </w:r>
          </w:p>
        </w:tc>
      </w:tr>
    </w:tbl>
    <w:p w:rsidR="00990F35" w:rsidRDefault="00990F35">
      <w:pPr>
        <w:tabs>
          <w:tab w:val="left" w:pos="547"/>
          <w:tab w:val="left" w:pos="1080"/>
          <w:tab w:val="left" w:pos="1627"/>
          <w:tab w:val="left" w:pos="2160"/>
          <w:tab w:val="left" w:pos="2880"/>
        </w:tabs>
        <w:ind w:right="-396"/>
        <w:rPr>
          <w:color w:val="FF0000"/>
        </w:rPr>
      </w:pPr>
    </w:p>
    <w:p w:rsidR="009E06F0" w:rsidRDefault="009E06F0">
      <w:pPr>
        <w:tabs>
          <w:tab w:val="left" w:pos="547"/>
          <w:tab w:val="left" w:pos="1080"/>
          <w:tab w:val="left" w:pos="1627"/>
          <w:tab w:val="left" w:pos="2160"/>
          <w:tab w:val="left" w:pos="2880"/>
        </w:tabs>
        <w:ind w:right="-396"/>
        <w:rPr>
          <w:color w:val="FF0000"/>
        </w:rPr>
      </w:pPr>
    </w:p>
    <w:p w:rsidR="009E06F0" w:rsidRDefault="009E06F0">
      <w:pPr>
        <w:tabs>
          <w:tab w:val="left" w:pos="547"/>
          <w:tab w:val="left" w:pos="1080"/>
          <w:tab w:val="left" w:pos="1627"/>
          <w:tab w:val="left" w:pos="2160"/>
          <w:tab w:val="left" w:pos="2880"/>
        </w:tabs>
        <w:ind w:right="-396"/>
        <w:rPr>
          <w:color w:val="FF0000"/>
        </w:rPr>
      </w:pPr>
    </w:p>
    <w:p w:rsidRPr="00246646" w:rsidR="009E06F0" w:rsidRDefault="009E06F0">
      <w:pPr>
        <w:tabs>
          <w:tab w:val="left" w:pos="547"/>
          <w:tab w:val="left" w:pos="1080"/>
          <w:tab w:val="left" w:pos="1627"/>
          <w:tab w:val="left" w:pos="2160"/>
          <w:tab w:val="left" w:pos="2880"/>
        </w:tabs>
        <w:ind w:right="-396"/>
        <w:rPr>
          <w:color w:val="FF0000"/>
        </w:rPr>
      </w:pPr>
    </w:p>
    <w:p w:rsidRPr="00E65021"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316142">
        <w:rPr>
          <w:b/>
        </w:rPr>
        <w:t>4</w:t>
      </w:r>
      <w:r>
        <w:rPr>
          <w:b/>
        </w:rPr>
        <w:t>.</w:t>
      </w:r>
    </w:p>
    <w:p w:rsidR="0023539E" w:rsidP="0023539E" w:rsidRDefault="009D6B80">
      <w:pPr>
        <w:pStyle w:val="Heading3"/>
        <w:tabs>
          <w:tab w:val="left" w:pos="547"/>
          <w:tab w:val="left" w:pos="1080"/>
          <w:tab w:val="left" w:pos="1627"/>
          <w:tab w:val="left" w:pos="2160"/>
        </w:tabs>
        <w:rPr>
          <w:rFonts w:ascii="Times New Roman" w:hAnsi="Times New Roman"/>
          <w:b w:val="0"/>
          <w:bCs w:val="0"/>
          <w:sz w:val="24"/>
          <w:szCs w:val="24"/>
        </w:rPr>
      </w:pPr>
      <w:r>
        <w:rPr>
          <w:rFonts w:ascii="Times New Roman" w:hAnsi="Times New Roman"/>
          <w:b w:val="0"/>
          <w:bCs w:val="0"/>
          <w:sz w:val="24"/>
          <w:szCs w:val="24"/>
        </w:rPr>
        <w:tab/>
      </w:r>
      <w:r w:rsidRPr="0023539E" w:rsidR="0023539E">
        <w:rPr>
          <w:rFonts w:ascii="Times New Roman" w:hAnsi="Times New Roman"/>
          <w:b w:val="0"/>
          <w:bCs w:val="0"/>
          <w:sz w:val="24"/>
          <w:szCs w:val="24"/>
        </w:rPr>
        <w:t>At least one IC has a burden increase because of Program Change due to Agency Discretion.</w:t>
      </w:r>
    </w:p>
    <w:p w:rsidR="009D6B80" w:rsidP="0023539E" w:rsidRDefault="009D6B80"/>
    <w:p w:rsidRPr="0023539E" w:rsidR="009D6B80" w:rsidP="0023539E" w:rsidRDefault="009D6B80"/>
    <w:p w:rsidRPr="00E65021" w:rsidR="00536A11" w:rsidP="0023539E" w:rsidRDefault="00536A11">
      <w:pPr>
        <w:tabs>
          <w:tab w:val="left" w:pos="547"/>
          <w:tab w:val="left" w:pos="1080"/>
          <w:tab w:val="left" w:pos="1627"/>
          <w:tab w:val="left" w:pos="2160"/>
          <w:tab w:val="left" w:pos="2880"/>
        </w:tabs>
        <w:rPr>
          <w:b/>
        </w:rPr>
      </w:pPr>
      <w:r w:rsidRPr="00E65021">
        <w:rPr>
          <w:b/>
        </w:rPr>
        <w:t>16.</w:t>
      </w:r>
      <w:r w:rsidRPr="00E6502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Pr="00B846DA" w:rsidR="0023539E" w:rsidP="0023539E" w:rsidRDefault="0023539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B846DA">
        <w:tab/>
      </w:r>
      <w:r>
        <w:t>The expiration date has been added to the form.</w:t>
      </w:r>
    </w:p>
    <w:p w:rsidR="00AC3B93" w:rsidRDefault="00AC3B93">
      <w:pPr>
        <w:tabs>
          <w:tab w:val="left" w:pos="547"/>
          <w:tab w:val="left" w:pos="1080"/>
          <w:tab w:val="left" w:pos="1627"/>
          <w:tab w:val="left" w:pos="2160"/>
          <w:tab w:val="left" w:pos="2880"/>
        </w:tabs>
      </w:pPr>
    </w:p>
    <w:p w:rsidR="00AC3B93" w:rsidRDefault="00AC3B93">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A705D" w:rsidRDefault="00BA705D">
      <w:pPr>
        <w:tabs>
          <w:tab w:val="left" w:pos="547"/>
          <w:tab w:val="left" w:pos="1080"/>
          <w:tab w:val="left" w:pos="1627"/>
          <w:tab w:val="left" w:pos="2160"/>
          <w:tab w:val="left" w:pos="2880"/>
        </w:tabs>
        <w:ind w:right="-108"/>
        <w:rPr>
          <w:b/>
          <w:color w:val="FF0000"/>
        </w:rPr>
      </w:pPr>
    </w:p>
    <w:p w:rsidRPr="00B846DA" w:rsidR="0023539E" w:rsidP="0023539E" w:rsidRDefault="00BA705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246646">
        <w:rPr>
          <w:b/>
          <w:color w:val="FF0000"/>
        </w:rPr>
        <w:tab/>
      </w:r>
      <w:bookmarkStart w:name="_Hlk23757265" w:id="9"/>
      <w:r w:rsidRPr="00B846DA" w:rsidR="0023539E">
        <w:tab/>
      </w:r>
      <w:r w:rsidR="0023539E">
        <w:t>The expiration date has been added to the form.</w:t>
      </w:r>
    </w:p>
    <w:bookmarkEnd w:id="9"/>
    <w:p w:rsidR="00BA705D" w:rsidP="00BA705D" w:rsidRDefault="00BA705D">
      <w:pPr>
        <w:tabs>
          <w:tab w:val="left" w:pos="547"/>
          <w:tab w:val="left" w:pos="1080"/>
          <w:tab w:val="left" w:pos="1627"/>
          <w:tab w:val="left" w:pos="2160"/>
          <w:tab w:val="left" w:pos="2880"/>
        </w:tabs>
        <w:ind w:right="-108"/>
        <w:rPr>
          <w:b/>
          <w:color w:val="FF0000"/>
        </w:rPr>
      </w:pPr>
    </w:p>
    <w:p w:rsidRPr="00246646" w:rsidR="009D6B80" w:rsidP="00BA705D" w:rsidRDefault="009D6B80">
      <w:pPr>
        <w:tabs>
          <w:tab w:val="left" w:pos="547"/>
          <w:tab w:val="left" w:pos="1080"/>
          <w:tab w:val="left" w:pos="1627"/>
          <w:tab w:val="left" w:pos="2160"/>
          <w:tab w:val="left" w:pos="2880"/>
        </w:tabs>
        <w:ind w:right="-108"/>
        <w:rPr>
          <w:b/>
          <w:color w:val="FF0000"/>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P="00434CF1" w:rsidRDefault="00536A11">
      <w:pPr>
        <w:widowControl w:val="0"/>
        <w:tabs>
          <w:tab w:val="left" w:pos="547"/>
          <w:tab w:val="left" w:pos="1080"/>
          <w:tab w:val="left" w:pos="1627"/>
          <w:tab w:val="left" w:pos="2160"/>
        </w:tabs>
        <w:spacing w:line="232" w:lineRule="exact"/>
      </w:pPr>
      <w:r>
        <w:rPr>
          <w:color w:val="FF0000"/>
        </w:rPr>
        <w:tab/>
      </w:r>
      <w:r w:rsidRPr="00B846DA" w:rsidR="00B30F2F">
        <w:tab/>
      </w:r>
      <w:r w:rsidRPr="00B846DA" w:rsidR="00B30F2F">
        <w:rPr>
          <w:snapToGrid w:val="0"/>
        </w:rPr>
        <w:t>There are no exceptions.</w:t>
      </w:r>
      <w:r w:rsidR="00434CF1">
        <w:rPr>
          <w:snapToGrid w:val="0"/>
        </w:rPr>
        <w:t xml:space="preserve"> </w:t>
      </w:r>
    </w:p>
    <w:sectPr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0B5" w:rsidRDefault="00D140B5">
      <w:r>
        <w:separator/>
      </w:r>
    </w:p>
  </w:endnote>
  <w:endnote w:type="continuationSeparator" w:id="0">
    <w:p w:rsidR="00D140B5" w:rsidRDefault="00D1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0B5" w:rsidRDefault="00D140B5">
      <w:r>
        <w:separator/>
      </w:r>
    </w:p>
  </w:footnote>
  <w:footnote w:type="continuationSeparator" w:id="0">
    <w:p w:rsidR="00D140B5" w:rsidRDefault="00D14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44C5"/>
    <w:rsid w:val="0002119C"/>
    <w:rsid w:val="000315F1"/>
    <w:rsid w:val="00032ECC"/>
    <w:rsid w:val="00055653"/>
    <w:rsid w:val="00056470"/>
    <w:rsid w:val="000634F6"/>
    <w:rsid w:val="00074A23"/>
    <w:rsid w:val="0009309E"/>
    <w:rsid w:val="0009405D"/>
    <w:rsid w:val="00094C6E"/>
    <w:rsid w:val="0013387E"/>
    <w:rsid w:val="00133C89"/>
    <w:rsid w:val="001437A4"/>
    <w:rsid w:val="001552E3"/>
    <w:rsid w:val="001A05E0"/>
    <w:rsid w:val="001A64C7"/>
    <w:rsid w:val="001B5F40"/>
    <w:rsid w:val="001C472C"/>
    <w:rsid w:val="001D1D56"/>
    <w:rsid w:val="001E0EF2"/>
    <w:rsid w:val="001E1FED"/>
    <w:rsid w:val="001E33FD"/>
    <w:rsid w:val="0021230F"/>
    <w:rsid w:val="00222FFF"/>
    <w:rsid w:val="0023539E"/>
    <w:rsid w:val="002454A0"/>
    <w:rsid w:val="00246572"/>
    <w:rsid w:val="00246646"/>
    <w:rsid w:val="0025306C"/>
    <w:rsid w:val="002572F6"/>
    <w:rsid w:val="00257EB2"/>
    <w:rsid w:val="00267AAE"/>
    <w:rsid w:val="002A3939"/>
    <w:rsid w:val="002A7CB3"/>
    <w:rsid w:val="002B5BEF"/>
    <w:rsid w:val="002C7D08"/>
    <w:rsid w:val="002D63BC"/>
    <w:rsid w:val="002E3685"/>
    <w:rsid w:val="002F51D3"/>
    <w:rsid w:val="00300944"/>
    <w:rsid w:val="00301F6D"/>
    <w:rsid w:val="00305CE7"/>
    <w:rsid w:val="00316142"/>
    <w:rsid w:val="0032240F"/>
    <w:rsid w:val="003522CD"/>
    <w:rsid w:val="00353971"/>
    <w:rsid w:val="003A6E39"/>
    <w:rsid w:val="003F775F"/>
    <w:rsid w:val="00407746"/>
    <w:rsid w:val="00434CF1"/>
    <w:rsid w:val="00435D66"/>
    <w:rsid w:val="0043761D"/>
    <w:rsid w:val="00444309"/>
    <w:rsid w:val="00467431"/>
    <w:rsid w:val="0048017B"/>
    <w:rsid w:val="00482F63"/>
    <w:rsid w:val="00483680"/>
    <w:rsid w:val="00490CB8"/>
    <w:rsid w:val="00493A54"/>
    <w:rsid w:val="004B4D29"/>
    <w:rsid w:val="00503DE2"/>
    <w:rsid w:val="00505561"/>
    <w:rsid w:val="005115E5"/>
    <w:rsid w:val="00513E92"/>
    <w:rsid w:val="0052156A"/>
    <w:rsid w:val="00536A11"/>
    <w:rsid w:val="00553136"/>
    <w:rsid w:val="005546F1"/>
    <w:rsid w:val="0056011D"/>
    <w:rsid w:val="005661C6"/>
    <w:rsid w:val="00580CE9"/>
    <w:rsid w:val="0058644A"/>
    <w:rsid w:val="005C3C2F"/>
    <w:rsid w:val="005D047A"/>
    <w:rsid w:val="005D4059"/>
    <w:rsid w:val="005D5EF6"/>
    <w:rsid w:val="005F3FF5"/>
    <w:rsid w:val="00605E40"/>
    <w:rsid w:val="00621026"/>
    <w:rsid w:val="0064683C"/>
    <w:rsid w:val="006629A8"/>
    <w:rsid w:val="00664E16"/>
    <w:rsid w:val="00683DE2"/>
    <w:rsid w:val="006957E9"/>
    <w:rsid w:val="006A5DBA"/>
    <w:rsid w:val="006E14B2"/>
    <w:rsid w:val="006E43AA"/>
    <w:rsid w:val="006F13CD"/>
    <w:rsid w:val="007142A1"/>
    <w:rsid w:val="00736FAD"/>
    <w:rsid w:val="0077215D"/>
    <w:rsid w:val="007B1194"/>
    <w:rsid w:val="007C23F0"/>
    <w:rsid w:val="007C39AF"/>
    <w:rsid w:val="007E5426"/>
    <w:rsid w:val="007F1C5F"/>
    <w:rsid w:val="00800EC2"/>
    <w:rsid w:val="00801051"/>
    <w:rsid w:val="008075FC"/>
    <w:rsid w:val="008265DC"/>
    <w:rsid w:val="00837379"/>
    <w:rsid w:val="008618F0"/>
    <w:rsid w:val="00884E96"/>
    <w:rsid w:val="00896054"/>
    <w:rsid w:val="008B2753"/>
    <w:rsid w:val="008C15FA"/>
    <w:rsid w:val="008C4D31"/>
    <w:rsid w:val="008E4A13"/>
    <w:rsid w:val="008E5550"/>
    <w:rsid w:val="008F3BE5"/>
    <w:rsid w:val="00906983"/>
    <w:rsid w:val="00923444"/>
    <w:rsid w:val="00926418"/>
    <w:rsid w:val="0097111E"/>
    <w:rsid w:val="00976BF5"/>
    <w:rsid w:val="00987315"/>
    <w:rsid w:val="00990F35"/>
    <w:rsid w:val="009C10D2"/>
    <w:rsid w:val="009D6B80"/>
    <w:rsid w:val="009E06F0"/>
    <w:rsid w:val="00A3577D"/>
    <w:rsid w:val="00A35E09"/>
    <w:rsid w:val="00A62192"/>
    <w:rsid w:val="00A63C7F"/>
    <w:rsid w:val="00A65784"/>
    <w:rsid w:val="00A72935"/>
    <w:rsid w:val="00A9516A"/>
    <w:rsid w:val="00AB273F"/>
    <w:rsid w:val="00AC3B93"/>
    <w:rsid w:val="00AC56E4"/>
    <w:rsid w:val="00AC6772"/>
    <w:rsid w:val="00AE459B"/>
    <w:rsid w:val="00AF703C"/>
    <w:rsid w:val="00B16AAF"/>
    <w:rsid w:val="00B208A9"/>
    <w:rsid w:val="00B30F2F"/>
    <w:rsid w:val="00B47D0D"/>
    <w:rsid w:val="00B5127B"/>
    <w:rsid w:val="00B63399"/>
    <w:rsid w:val="00B74084"/>
    <w:rsid w:val="00B9026F"/>
    <w:rsid w:val="00BA49E4"/>
    <w:rsid w:val="00BA705D"/>
    <w:rsid w:val="00BF2CF3"/>
    <w:rsid w:val="00C10B99"/>
    <w:rsid w:val="00C218A5"/>
    <w:rsid w:val="00C22498"/>
    <w:rsid w:val="00C36879"/>
    <w:rsid w:val="00C53083"/>
    <w:rsid w:val="00C62BC4"/>
    <w:rsid w:val="00C64B79"/>
    <w:rsid w:val="00CD3D2F"/>
    <w:rsid w:val="00CD6329"/>
    <w:rsid w:val="00CE0D0B"/>
    <w:rsid w:val="00CE26AB"/>
    <w:rsid w:val="00D03A4A"/>
    <w:rsid w:val="00D140B5"/>
    <w:rsid w:val="00D167FC"/>
    <w:rsid w:val="00D40265"/>
    <w:rsid w:val="00D411D1"/>
    <w:rsid w:val="00D770C6"/>
    <w:rsid w:val="00D83ED6"/>
    <w:rsid w:val="00D90D06"/>
    <w:rsid w:val="00DA0CFF"/>
    <w:rsid w:val="00DB5935"/>
    <w:rsid w:val="00E10A39"/>
    <w:rsid w:val="00E4266D"/>
    <w:rsid w:val="00E61871"/>
    <w:rsid w:val="00E6326A"/>
    <w:rsid w:val="00E65021"/>
    <w:rsid w:val="00E73A43"/>
    <w:rsid w:val="00E76F54"/>
    <w:rsid w:val="00E83E49"/>
    <w:rsid w:val="00EA6F4F"/>
    <w:rsid w:val="00ED0B63"/>
    <w:rsid w:val="00EE12CD"/>
    <w:rsid w:val="00F02429"/>
    <w:rsid w:val="00F24E5F"/>
    <w:rsid w:val="00F36EDC"/>
    <w:rsid w:val="00F6088C"/>
    <w:rsid w:val="00F905C3"/>
    <w:rsid w:val="00FB6120"/>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3244FE1"/>
  <w15:chartTrackingRefBased/>
  <w15:docId w15:val="{FA1319AA-5580-478F-99B6-20C21729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link w:val="Heading3Char"/>
    <w:semiHidden/>
    <w:unhideWhenUsed/>
    <w:qFormat/>
    <w:rsid w:val="0023539E"/>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OmniPage260">
    <w:name w:val="OmniPage #260"/>
    <w:rsid w:val="00621026"/>
    <w:pPr>
      <w:tabs>
        <w:tab w:val="left" w:pos="110"/>
        <w:tab w:val="right" w:pos="9226"/>
      </w:tabs>
    </w:pPr>
    <w:rPr>
      <w:rFonts w:ascii="Courier New" w:hAnsi="Courier New"/>
    </w:rPr>
  </w:style>
  <w:style w:type="character" w:customStyle="1" w:styleId="f3">
    <w:name w:val="f3"/>
    <w:rsid w:val="00621026"/>
    <w:rPr>
      <w:color w:val="666666"/>
    </w:rPr>
  </w:style>
  <w:style w:type="character" w:customStyle="1" w:styleId="Heading3Char">
    <w:name w:val="Heading 3 Char"/>
    <w:link w:val="Heading3"/>
    <w:semiHidden/>
    <w:rsid w:val="0023539E"/>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15839</CharactersWithSpaces>
  <SharedDoc>false</SharedDoc>
  <HLinks>
    <vt:vector size="6" baseType="variant">
      <vt:variant>
        <vt:i4>2031679</vt:i4>
      </vt:variant>
      <vt:variant>
        <vt:i4>0</vt:i4>
      </vt:variant>
      <vt:variant>
        <vt:i4>0</vt:i4>
      </vt:variant>
      <vt:variant>
        <vt:i4>5</vt:i4>
      </vt:variant>
      <vt:variant>
        <vt:lpwstr>https://www.bls.gov/oes/2018/may/oes_nat.htm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Frances</cp:lastModifiedBy>
  <cp:revision>3</cp:revision>
  <cp:lastPrinted>2009-07-20T16:27:00Z</cp:lastPrinted>
  <dcterms:created xsi:type="dcterms:W3CDTF">2020-11-18T21:08:00Z</dcterms:created>
  <dcterms:modified xsi:type="dcterms:W3CDTF">2020-11-18T21:09:00Z</dcterms:modified>
</cp:coreProperties>
</file>