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772BC5" w:rsidR="00772BC5" w:rsidP="00772BC5" w:rsidRDefault="00772BC5" w14:paraId="7DF3FCCD" w14:textId="5AFE8791">
      <w:pPr>
        <w:ind w:left="360" w:right="576"/>
        <w:rPr>
          <w:sz w:val="24"/>
          <w:szCs w:val="24"/>
        </w:rPr>
      </w:pPr>
      <w:r w:rsidRPr="00772BC5">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1502 provides for payment of improved pension with aid and attendance to eligible beneficiaries who are patients in nursing home.  Parents and surviving spouses entitled to service-connected death benefits and spouses of living veterans receiving service-connected compensation at 30 percent or higher are also entitled to aid and attendance benefits based on status as nursing home patients (38 U.S.C. 1115(1)(E)), 38 U.S.C. 1311(c), 38 U.S.C 1315(h)).  </w:t>
      </w:r>
    </w:p>
    <w:p w:rsidR="00772BC5" w:rsidP="00772BC5" w:rsidRDefault="00772BC5" w14:paraId="015FB908" w14:textId="77777777">
      <w:pPr>
        <w:ind w:left="360" w:right="576"/>
        <w:rPr>
          <w:sz w:val="24"/>
          <w:szCs w:val="24"/>
        </w:rPr>
      </w:pPr>
    </w:p>
    <w:p w:rsidR="00772BC5" w:rsidP="00772BC5" w:rsidRDefault="00772BC5" w14:paraId="14364FEB" w14:textId="5B19883F">
      <w:pPr>
        <w:ind w:left="360" w:right="576"/>
        <w:rPr>
          <w:sz w:val="24"/>
          <w:szCs w:val="24"/>
        </w:rPr>
      </w:pPr>
      <w:r w:rsidRPr="00772BC5">
        <w:rPr>
          <w:sz w:val="24"/>
          <w:szCs w:val="24"/>
        </w:rPr>
        <w:t>Per 38 U.S.C. 5503, if a veteran having neither spouse nor child, or a surviving spouse having no child, is receiving Medicaid-covered nursing home care, improved pension is limited to $90 per month.  Regulatory authority is found in 38 CFR 3.351 and 3.551.  Information is requested by this form under the authority of 38 U.S.C. 501(a)(2).</w:t>
      </w:r>
    </w:p>
    <w:p w:rsidR="00772BC5" w:rsidP="00772BC5" w:rsidRDefault="00772BC5" w14:paraId="7D8CAE00" w14:textId="18FC4364">
      <w:pPr>
        <w:ind w:left="360" w:right="576"/>
        <w:rPr>
          <w:sz w:val="24"/>
          <w:szCs w:val="24"/>
        </w:rPr>
      </w:pPr>
    </w:p>
    <w:p w:rsidRPr="00772BC5" w:rsidR="0051524F" w:rsidP="00772BC5" w:rsidRDefault="00772BC5" w14:paraId="05A129E5" w14:textId="58086D7F">
      <w:pPr>
        <w:ind w:left="360" w:right="576"/>
        <w:rPr>
          <w:sz w:val="24"/>
          <w:szCs w:val="24"/>
          <w:highlight w:val="yellow"/>
        </w:rPr>
      </w:pPr>
      <w:r>
        <w:rPr>
          <w:sz w:val="24"/>
          <w:szCs w:val="24"/>
        </w:rPr>
        <w:t xml:space="preserve">This is an extension only.  No change in burden.  </w:t>
      </w:r>
      <w:r w:rsidRPr="00772BC5" w:rsidR="003B797D">
        <w:rPr>
          <w:sz w:val="24"/>
          <w:szCs w:val="24"/>
          <w:highlight w:val="yellow"/>
        </w:rPr>
        <w:t xml:space="preserve">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772BC5" w:rsidR="00772BC5" w:rsidP="00772BC5" w:rsidRDefault="00772BC5" w14:paraId="560DACD2" w14:textId="77777777">
      <w:pPr>
        <w:ind w:left="360" w:right="576"/>
        <w:rPr>
          <w:sz w:val="24"/>
          <w:szCs w:val="24"/>
        </w:rPr>
      </w:pPr>
      <w:r w:rsidRPr="00772BC5">
        <w:rPr>
          <w:sz w:val="24"/>
          <w:szCs w:val="24"/>
        </w:rPr>
        <w:t xml:space="preserve">VA Form 21-0779 is used to gather the necessary information to determine eligibility for pension and aid and attendance benefits based on nursing home status. The form also requests information regarding Medicaid status and nursing home care charges, so VA can determine the proper rate of payment.  </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0693E803">
      <w:pPr>
        <w:tabs>
          <w:tab w:val="left" w:pos="630"/>
        </w:tabs>
        <w:ind w:left="360"/>
        <w:rPr>
          <w:sz w:val="24"/>
          <w:szCs w:val="24"/>
        </w:rPr>
      </w:pPr>
      <w:r w:rsidRPr="00617D2B">
        <w:rPr>
          <w:color w:val="000000"/>
          <w:sz w:val="24"/>
          <w:szCs w:val="24"/>
        </w:rPr>
        <w:t xml:space="preserve">VA </w:t>
      </w:r>
      <w:r w:rsidRPr="00772BC5">
        <w:rPr>
          <w:color w:val="000000"/>
          <w:sz w:val="24"/>
          <w:szCs w:val="24"/>
        </w:rPr>
        <w:t>Form 21-</w:t>
      </w:r>
      <w:r w:rsidR="00772BC5">
        <w:rPr>
          <w:color w:val="000000"/>
          <w:sz w:val="24"/>
          <w:szCs w:val="24"/>
        </w:rPr>
        <w:t>0779</w:t>
      </w:r>
      <w:r w:rsidRPr="00772BC5">
        <w:rPr>
          <w:color w:val="000000"/>
          <w:sz w:val="24"/>
          <w:szCs w:val="24"/>
        </w:rPr>
        <w:t xml:space="preserve"> is available</w:t>
      </w:r>
      <w:r w:rsidRPr="00617D2B">
        <w:rPr>
          <w:color w:val="000000"/>
          <w:sz w:val="24"/>
          <w:szCs w:val="24"/>
        </w:rPr>
        <w:t xml:space="preserv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772BC5" w:rsidR="00772BC5" w:rsidP="00772BC5" w:rsidRDefault="00772BC5" w14:paraId="5890AF6A" w14:textId="77777777">
      <w:pPr>
        <w:ind w:left="360" w:right="576"/>
        <w:rPr>
          <w:sz w:val="24"/>
          <w:szCs w:val="24"/>
        </w:rPr>
      </w:pPr>
      <w:r w:rsidRPr="00772BC5">
        <w:rPr>
          <w:sz w:val="24"/>
          <w:szCs w:val="24"/>
        </w:rPr>
        <w:t xml:space="preserve">VA Form 21-0779 is used to gather the necessary information to determine eligibility for pension and aid and attendance benefits based on nursing home status. The form also requests information regarding Medicaid status and nursing home care charges, so VA can determine the proper rate of payment.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3C12AC7B">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06210D">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D94A38" w:rsidP="00726753" w:rsidRDefault="0095533E" w14:paraId="56A7E42C" w14:textId="2B84AA0A">
      <w:pPr>
        <w:pStyle w:val="ListParagraph"/>
        <w:tabs>
          <w:tab w:val="left" w:pos="547"/>
          <w:tab w:val="left" w:pos="1080"/>
          <w:tab w:val="left" w:pos="1627"/>
          <w:tab w:val="left" w:pos="2160"/>
          <w:tab w:val="left" w:pos="2880"/>
        </w:tabs>
        <w:ind w:left="360"/>
        <w:rPr>
          <w:sz w:val="24"/>
          <w:szCs w:val="24"/>
        </w:rPr>
      </w:pPr>
      <w:r w:rsidRPr="0095533E">
        <w:rPr>
          <w:sz w:val="24"/>
          <w:szCs w:val="24"/>
        </w:rPr>
        <w:t xml:space="preserve">The Department notice was published in the Federal Register on </w:t>
      </w:r>
      <w:r w:rsidR="00883AD4">
        <w:rPr>
          <w:sz w:val="24"/>
          <w:szCs w:val="24"/>
        </w:rPr>
        <w:t>December 5, 2019,</w:t>
      </w:r>
      <w:r w:rsidRPr="0095533E">
        <w:rPr>
          <w:sz w:val="24"/>
          <w:szCs w:val="24"/>
        </w:rPr>
        <w:t xml:space="preserve"> Volume</w:t>
      </w:r>
      <w:r w:rsidR="00883AD4">
        <w:rPr>
          <w:sz w:val="24"/>
          <w:szCs w:val="24"/>
        </w:rPr>
        <w:t xml:space="preserve"> 84</w:t>
      </w:r>
      <w:r w:rsidRPr="0095533E">
        <w:rPr>
          <w:sz w:val="24"/>
          <w:szCs w:val="24"/>
        </w:rPr>
        <w:t>, No.</w:t>
      </w:r>
      <w:r w:rsidR="00883AD4">
        <w:rPr>
          <w:sz w:val="24"/>
          <w:szCs w:val="24"/>
        </w:rPr>
        <w:t xml:space="preserve"> 234, pages 66707 and 66708</w:t>
      </w:r>
      <w:r w:rsidRPr="0095533E">
        <w:rPr>
          <w:sz w:val="24"/>
          <w:szCs w:val="24"/>
        </w:rPr>
        <w:t xml:space="preserve">.  </w:t>
      </w:r>
      <w:r w:rsidR="001419E2">
        <w:rPr>
          <w:sz w:val="24"/>
          <w:szCs w:val="24"/>
        </w:rPr>
        <w:t>Two</w:t>
      </w:r>
      <w:r w:rsidRPr="0095533E">
        <w:rPr>
          <w:sz w:val="24"/>
          <w:szCs w:val="24"/>
        </w:rPr>
        <w:t xml:space="preserve"> comment</w:t>
      </w:r>
      <w:r w:rsidR="001419E2">
        <w:rPr>
          <w:sz w:val="24"/>
          <w:szCs w:val="24"/>
        </w:rPr>
        <w:t>s</w:t>
      </w:r>
      <w:r w:rsidRPr="0095533E">
        <w:rPr>
          <w:sz w:val="24"/>
          <w:szCs w:val="24"/>
        </w:rPr>
        <w:t xml:space="preserve"> w</w:t>
      </w:r>
      <w:r w:rsidR="001419E2">
        <w:rPr>
          <w:sz w:val="24"/>
          <w:szCs w:val="24"/>
        </w:rPr>
        <w:t>ere</w:t>
      </w:r>
      <w:r w:rsidRPr="0095533E">
        <w:rPr>
          <w:sz w:val="24"/>
          <w:szCs w:val="24"/>
        </w:rPr>
        <w:t xml:space="preserve"> received in response to this notice.</w:t>
      </w:r>
    </w:p>
    <w:p w:rsidR="00883AD4" w:rsidP="00726753" w:rsidRDefault="00883AD4" w14:paraId="2581CD28" w14:textId="7FA84D05">
      <w:pPr>
        <w:pStyle w:val="ListParagraph"/>
        <w:tabs>
          <w:tab w:val="left" w:pos="547"/>
          <w:tab w:val="left" w:pos="1080"/>
          <w:tab w:val="left" w:pos="1627"/>
          <w:tab w:val="left" w:pos="2160"/>
          <w:tab w:val="left" w:pos="2880"/>
        </w:tabs>
        <w:ind w:left="360"/>
        <w:rPr>
          <w:sz w:val="24"/>
          <w:szCs w:val="24"/>
        </w:rPr>
      </w:pPr>
    </w:p>
    <w:p w:rsidR="0006210D" w:rsidP="0006210D" w:rsidRDefault="001419E2" w14:paraId="7B2FE6DC" w14:textId="1656F506">
      <w:pPr>
        <w:ind w:left="360"/>
        <w:rPr>
          <w:sz w:val="24"/>
          <w:szCs w:val="24"/>
        </w:rPr>
      </w:pPr>
      <w:r w:rsidRPr="00883AD4">
        <w:rPr>
          <w:sz w:val="24"/>
          <w:szCs w:val="24"/>
          <w:u w:val="single"/>
        </w:rPr>
        <w:lastRenderedPageBreak/>
        <w:t>Comment</w:t>
      </w:r>
      <w:r>
        <w:rPr>
          <w:sz w:val="24"/>
          <w:szCs w:val="24"/>
          <w:u w:val="single"/>
        </w:rPr>
        <w:t xml:space="preserve"> (1)</w:t>
      </w:r>
      <w:r w:rsidR="00883AD4">
        <w:rPr>
          <w:sz w:val="24"/>
          <w:szCs w:val="24"/>
        </w:rPr>
        <w:t xml:space="preserve">: </w:t>
      </w:r>
    </w:p>
    <w:p w:rsidR="0006210D" w:rsidP="0006210D" w:rsidRDefault="001419E2" w14:paraId="137BFE96" w14:textId="37057837">
      <w:pPr>
        <w:ind w:left="360"/>
        <w:rPr>
          <w:sz w:val="24"/>
          <w:szCs w:val="24"/>
        </w:rPr>
      </w:pPr>
      <w:r>
        <w:rPr>
          <w:sz w:val="24"/>
          <w:szCs w:val="24"/>
        </w:rPr>
        <w:t xml:space="preserve">VBA received </w:t>
      </w:r>
      <w:r w:rsidR="002B4434">
        <w:rPr>
          <w:sz w:val="24"/>
          <w:szCs w:val="24"/>
        </w:rPr>
        <w:t>a</w:t>
      </w:r>
      <w:r>
        <w:rPr>
          <w:sz w:val="24"/>
          <w:szCs w:val="24"/>
        </w:rPr>
        <w:t xml:space="preserve"> comment from Mr. Barry Little, representing Christ’s Home, a personal care facility on January 20, 2020.  </w:t>
      </w:r>
      <w:r>
        <w:rPr>
          <w:sz w:val="24"/>
          <w:szCs w:val="24"/>
        </w:rPr>
        <w:t xml:space="preserve">Comment: </w:t>
      </w:r>
      <w:r w:rsidRPr="00883AD4" w:rsidR="00883AD4">
        <w:rPr>
          <w:sz w:val="24"/>
          <w:szCs w:val="24"/>
        </w:rPr>
        <w:t>Very briefly, we have a resident in our Personal Care Facility applying for VA benefits</w:t>
      </w:r>
      <w:r w:rsidR="0006210D">
        <w:rPr>
          <w:sz w:val="24"/>
          <w:szCs w:val="24"/>
        </w:rPr>
        <w:t xml:space="preserve"> </w:t>
      </w:r>
      <w:r w:rsidRPr="00883AD4" w:rsidR="00883AD4">
        <w:rPr>
          <w:sz w:val="24"/>
          <w:szCs w:val="24"/>
        </w:rPr>
        <w:t>(through deceased spouse).  On form OMB no 2900-0652 it just mentions Nursing Home</w:t>
      </w:r>
      <w:r w:rsidR="0006210D">
        <w:rPr>
          <w:sz w:val="24"/>
          <w:szCs w:val="24"/>
        </w:rPr>
        <w:t xml:space="preserve"> </w:t>
      </w:r>
      <w:r w:rsidRPr="00883AD4" w:rsidR="00883AD4">
        <w:rPr>
          <w:sz w:val="24"/>
          <w:szCs w:val="24"/>
        </w:rPr>
        <w:t>several times.  The resident resides in a Personal Care unit, not a Nursing Home.  I will check</w:t>
      </w:r>
      <w:r w:rsidR="0006210D">
        <w:rPr>
          <w:sz w:val="24"/>
          <w:szCs w:val="24"/>
        </w:rPr>
        <w:t xml:space="preserve"> </w:t>
      </w:r>
      <w:r w:rsidRPr="00883AD4" w:rsidR="00883AD4">
        <w:rPr>
          <w:sz w:val="24"/>
          <w:szCs w:val="24"/>
        </w:rPr>
        <w:t>off “Intermediate Nursing Care” and assume that will cover her situation.</w:t>
      </w:r>
      <w:r w:rsidR="00883AD4">
        <w:rPr>
          <w:sz w:val="24"/>
          <w:szCs w:val="24"/>
        </w:rPr>
        <w:t xml:space="preserve"> </w:t>
      </w:r>
    </w:p>
    <w:p w:rsidR="0006210D" w:rsidP="0006210D" w:rsidRDefault="0006210D" w14:paraId="0A848BE1" w14:textId="77777777">
      <w:pPr>
        <w:ind w:left="360"/>
        <w:rPr>
          <w:sz w:val="24"/>
          <w:szCs w:val="24"/>
        </w:rPr>
      </w:pPr>
    </w:p>
    <w:p w:rsidR="00883AD4" w:rsidP="0006210D" w:rsidRDefault="00883AD4" w14:paraId="0DE560DB" w14:textId="38F9ACFA">
      <w:pPr>
        <w:ind w:left="360"/>
        <w:rPr>
          <w:sz w:val="24"/>
          <w:szCs w:val="24"/>
        </w:rPr>
      </w:pPr>
      <w:r w:rsidRPr="00883AD4">
        <w:rPr>
          <w:sz w:val="24"/>
          <w:szCs w:val="24"/>
          <w:u w:val="single"/>
        </w:rPr>
        <w:t>V</w:t>
      </w:r>
      <w:r w:rsidR="002B4434">
        <w:rPr>
          <w:sz w:val="24"/>
          <w:szCs w:val="24"/>
          <w:u w:val="single"/>
        </w:rPr>
        <w:t>B</w:t>
      </w:r>
      <w:r w:rsidRPr="00883AD4">
        <w:rPr>
          <w:sz w:val="24"/>
          <w:szCs w:val="24"/>
          <w:u w:val="single"/>
        </w:rPr>
        <w:t>A Response</w:t>
      </w:r>
      <w:r>
        <w:rPr>
          <w:sz w:val="24"/>
          <w:szCs w:val="24"/>
        </w:rPr>
        <w:t>:</w:t>
      </w:r>
    </w:p>
    <w:p w:rsidRPr="002B4434" w:rsidR="0006210D" w:rsidP="002B4434" w:rsidRDefault="002B4434" w14:paraId="45F3CB0F" w14:textId="0DD5E5ED">
      <w:pPr>
        <w:pStyle w:val="Default"/>
        <w:ind w:left="360"/>
        <w:rPr>
          <w:rFonts w:ascii="Times New Roman" w:hAnsi="Times New Roman" w:eastAsia="Times New Roman" w:cs="Times New Roman"/>
          <w:color w:val="auto"/>
        </w:rPr>
      </w:pPr>
      <w:r>
        <w:rPr>
          <w:rFonts w:ascii="Times New Roman" w:hAnsi="Times New Roman" w:eastAsia="Times New Roman" w:cs="Times New Roman"/>
          <w:color w:val="auto"/>
        </w:rPr>
        <w:t>As, t</w:t>
      </w:r>
      <w:r w:rsidRPr="002B4434">
        <w:rPr>
          <w:rFonts w:ascii="Times New Roman" w:hAnsi="Times New Roman" w:eastAsia="Times New Roman" w:cs="Times New Roman"/>
          <w:color w:val="auto"/>
        </w:rPr>
        <w:t>his comment is not relevant to the proposed extension; V</w:t>
      </w:r>
      <w:r>
        <w:rPr>
          <w:rFonts w:ascii="Times New Roman" w:hAnsi="Times New Roman" w:eastAsia="Times New Roman" w:cs="Times New Roman"/>
          <w:color w:val="auto"/>
        </w:rPr>
        <w:t>B</w:t>
      </w:r>
      <w:r w:rsidRPr="002B4434">
        <w:rPr>
          <w:rFonts w:ascii="Times New Roman" w:hAnsi="Times New Roman" w:eastAsia="Times New Roman" w:cs="Times New Roman"/>
          <w:color w:val="auto"/>
        </w:rPr>
        <w:t xml:space="preserve">A </w:t>
      </w:r>
      <w:r>
        <w:rPr>
          <w:rFonts w:ascii="Times New Roman" w:hAnsi="Times New Roman" w:eastAsia="Times New Roman" w:cs="Times New Roman"/>
          <w:color w:val="auto"/>
        </w:rPr>
        <w:t>will not make any</w:t>
      </w:r>
      <w:r w:rsidRPr="002B4434">
        <w:rPr>
          <w:rFonts w:ascii="Times New Roman" w:hAnsi="Times New Roman" w:eastAsia="Times New Roman" w:cs="Times New Roman"/>
          <w:color w:val="auto"/>
        </w:rPr>
        <w:t xml:space="preserve"> changes </w:t>
      </w:r>
      <w:r w:rsidR="00B02F00">
        <w:rPr>
          <w:rFonts w:ascii="Times New Roman" w:hAnsi="Times New Roman" w:eastAsia="Times New Roman" w:cs="Times New Roman"/>
          <w:color w:val="auto"/>
        </w:rPr>
        <w:t>to VA Form 21-0779</w:t>
      </w:r>
      <w:r w:rsidRPr="002B4434">
        <w:rPr>
          <w:rFonts w:ascii="Times New Roman" w:hAnsi="Times New Roman" w:eastAsia="Times New Roman" w:cs="Times New Roman"/>
          <w:color w:val="auto"/>
        </w:rPr>
        <w:t>.</w:t>
      </w:r>
      <w:r>
        <w:rPr>
          <w:rFonts w:ascii="Times New Roman" w:hAnsi="Times New Roman" w:eastAsia="Times New Roman" w:cs="Times New Roman"/>
          <w:color w:val="auto"/>
        </w:rPr>
        <w:t xml:space="preserve">  However, since the commenter is </w:t>
      </w:r>
      <w:r w:rsidRPr="002B4434" w:rsidR="0006210D">
        <w:rPr>
          <w:rFonts w:ascii="Times New Roman" w:hAnsi="Times New Roman" w:eastAsia="Times New Roman" w:cs="Times New Roman"/>
          <w:color w:val="auto"/>
        </w:rPr>
        <w:t xml:space="preserve">requesting information on how to complete the </w:t>
      </w:r>
      <w:r>
        <w:rPr>
          <w:rFonts w:ascii="Times New Roman" w:hAnsi="Times New Roman" w:eastAsia="Times New Roman" w:cs="Times New Roman"/>
          <w:color w:val="auto"/>
        </w:rPr>
        <w:t>active</w:t>
      </w:r>
      <w:r w:rsidRPr="002B4434" w:rsidR="0006210D">
        <w:rPr>
          <w:rFonts w:ascii="Times New Roman" w:hAnsi="Times New Roman" w:eastAsia="Times New Roman" w:cs="Times New Roman"/>
          <w:color w:val="auto"/>
        </w:rPr>
        <w:t xml:space="preserve"> version of VA Form 21-0779, </w:t>
      </w:r>
      <w:r w:rsidRPr="002B4434">
        <w:rPr>
          <w:rFonts w:ascii="Times New Roman" w:hAnsi="Times New Roman" w:eastAsia="Times New Roman" w:cs="Times New Roman"/>
          <w:color w:val="auto"/>
        </w:rPr>
        <w:t>VBA has provided the following response to Mr. Little:</w:t>
      </w:r>
    </w:p>
    <w:p w:rsidRPr="0006210D" w:rsidR="0006210D" w:rsidP="0006210D" w:rsidRDefault="0006210D" w14:paraId="34C1CBB4" w14:textId="77777777">
      <w:pPr>
        <w:rPr>
          <w:sz w:val="24"/>
          <w:szCs w:val="24"/>
        </w:rPr>
      </w:pPr>
    </w:p>
    <w:p w:rsidR="0006210D" w:rsidP="002B4434" w:rsidRDefault="0006210D" w14:paraId="61D9A2FB" w14:textId="74456F99">
      <w:pPr>
        <w:ind w:left="360"/>
        <w:rPr>
          <w:sz w:val="24"/>
          <w:szCs w:val="24"/>
        </w:rPr>
      </w:pPr>
      <w:r w:rsidRPr="002B4434">
        <w:rPr>
          <w:sz w:val="24"/>
          <w:szCs w:val="24"/>
        </w:rPr>
        <w:t xml:space="preserve">VA regulation 38 CFR 3.1(z) defines a nursing home as: “(1) Any extended care facility which is licensed by a State to provide skilled or intermediate-level nursing care, (2) A nursing home care unit in a State veterans' home which is approved for payment under 38 U.S.C. 1742, or (3) A Department of Veterans Affairs Nursing Home Care Unit.” Additionally, in accordance with procedural guidance (M21-1.V.iii.2.B.1.b.), VA must use the Medicare.gov’s Nursing Home Compare website to determine whether or not an extended-care facility is licensed by a State to provide skilled or intermediate-level nursing care. </w:t>
      </w:r>
      <w:r w:rsidRPr="002B4434" w:rsidR="002B4434">
        <w:rPr>
          <w:sz w:val="24"/>
          <w:szCs w:val="24"/>
        </w:rPr>
        <w:t xml:space="preserve"> </w:t>
      </w:r>
      <w:r w:rsidRPr="002B4434">
        <w:rPr>
          <w:sz w:val="24"/>
          <w:szCs w:val="24"/>
        </w:rPr>
        <w:t>If assistance is needed determining which form to submit, or how to complete any VA forms, please call 1-800-827-1000 (toll-free).</w:t>
      </w:r>
    </w:p>
    <w:p w:rsidR="002B4434" w:rsidP="002B4434" w:rsidRDefault="002B4434" w14:paraId="26D7377F" w14:textId="2978C0CE">
      <w:pPr>
        <w:ind w:left="360"/>
        <w:rPr>
          <w:sz w:val="24"/>
          <w:szCs w:val="24"/>
        </w:rPr>
      </w:pPr>
    </w:p>
    <w:p w:rsidR="002B4434" w:rsidP="002B4434" w:rsidRDefault="002B4434" w14:paraId="1889651F" w14:textId="5EAD206D">
      <w:pPr>
        <w:ind w:left="360"/>
        <w:rPr>
          <w:sz w:val="24"/>
          <w:szCs w:val="24"/>
        </w:rPr>
      </w:pPr>
      <w:r w:rsidRPr="002B4434">
        <w:rPr>
          <w:sz w:val="24"/>
          <w:szCs w:val="24"/>
          <w:u w:val="single"/>
        </w:rPr>
        <w:t>Comment (2)</w:t>
      </w:r>
      <w:r>
        <w:rPr>
          <w:sz w:val="24"/>
          <w:szCs w:val="24"/>
        </w:rPr>
        <w:t xml:space="preserve">: </w:t>
      </w:r>
    </w:p>
    <w:p w:rsidR="002B4434" w:rsidP="002B4434" w:rsidRDefault="002B4434" w14:paraId="32C1DC07" w14:textId="0E81FF17">
      <w:pPr>
        <w:ind w:left="360"/>
        <w:rPr>
          <w:sz w:val="24"/>
          <w:szCs w:val="24"/>
        </w:rPr>
      </w:pPr>
      <w:r>
        <w:rPr>
          <w:sz w:val="24"/>
          <w:szCs w:val="24"/>
        </w:rPr>
        <w:t xml:space="preserve">VBA received a comment from </w:t>
      </w:r>
      <w:r w:rsidR="00B02F00">
        <w:rPr>
          <w:sz w:val="24"/>
          <w:szCs w:val="24"/>
        </w:rPr>
        <w:t xml:space="preserve">Ms. Jasmine </w:t>
      </w:r>
      <w:proofErr w:type="spellStart"/>
      <w:r w:rsidR="00B02F00">
        <w:rPr>
          <w:sz w:val="24"/>
          <w:szCs w:val="24"/>
        </w:rPr>
        <w:t>Morais</w:t>
      </w:r>
      <w:proofErr w:type="spellEnd"/>
      <w:r w:rsidR="00B02F00">
        <w:rPr>
          <w:sz w:val="24"/>
          <w:szCs w:val="24"/>
        </w:rPr>
        <w:t xml:space="preserve">, a project coordinator from the Strategic Funding Group, on January 6, 2020.  Comment: Can you please confirm whether grantees whom are required to submit a LOI, </w:t>
      </w:r>
      <w:proofErr w:type="spellStart"/>
      <w:r w:rsidR="00B02F00">
        <w:rPr>
          <w:sz w:val="24"/>
          <w:szCs w:val="24"/>
        </w:rPr>
        <w:t>CoC</w:t>
      </w:r>
      <w:proofErr w:type="spellEnd"/>
      <w:r w:rsidR="00B02F00">
        <w:rPr>
          <w:sz w:val="24"/>
          <w:szCs w:val="24"/>
        </w:rPr>
        <w:t xml:space="preserve"> letter and a budget must do so via email?</w:t>
      </w:r>
    </w:p>
    <w:p w:rsidR="00B02F00" w:rsidP="002B4434" w:rsidRDefault="00B02F00" w14:paraId="2C23C29D" w14:textId="72EDCFC8">
      <w:pPr>
        <w:ind w:left="360"/>
        <w:rPr>
          <w:sz w:val="24"/>
          <w:szCs w:val="24"/>
        </w:rPr>
      </w:pPr>
    </w:p>
    <w:p w:rsidR="00B02F00" w:rsidP="002B4434" w:rsidRDefault="00B02F00" w14:paraId="28492830" w14:textId="3AC26DD8">
      <w:pPr>
        <w:ind w:left="360"/>
        <w:rPr>
          <w:sz w:val="24"/>
          <w:szCs w:val="24"/>
        </w:rPr>
      </w:pPr>
      <w:r w:rsidRPr="00B02F00">
        <w:rPr>
          <w:sz w:val="24"/>
          <w:szCs w:val="24"/>
          <w:u w:val="single"/>
        </w:rPr>
        <w:t>VBA Response</w:t>
      </w:r>
      <w:r>
        <w:rPr>
          <w:sz w:val="24"/>
          <w:szCs w:val="24"/>
        </w:rPr>
        <w:t>:</w:t>
      </w:r>
    </w:p>
    <w:p w:rsidR="002B4434" w:rsidP="00B02F00" w:rsidRDefault="00B02F00" w14:paraId="32DCE1C3" w14:textId="79D477CC">
      <w:pPr>
        <w:ind w:left="360"/>
      </w:pPr>
      <w:r>
        <w:rPr>
          <w:sz w:val="24"/>
          <w:szCs w:val="24"/>
        </w:rPr>
        <w:t xml:space="preserve">As the comment is unclear and needed clarifying in order to officially respond, effort was made to request a clarification from the commenter.  No response was provided by Ms. </w:t>
      </w:r>
      <w:proofErr w:type="spellStart"/>
      <w:r>
        <w:rPr>
          <w:sz w:val="24"/>
          <w:szCs w:val="24"/>
        </w:rPr>
        <w:t>Morais</w:t>
      </w:r>
      <w:proofErr w:type="spellEnd"/>
      <w:r>
        <w:rPr>
          <w:sz w:val="24"/>
          <w:szCs w:val="24"/>
        </w:rPr>
        <w:t xml:space="preserve">.  As such, since VBA did not receive a clarifying statement </w:t>
      </w:r>
      <w:r w:rsidR="00BF5B44">
        <w:rPr>
          <w:sz w:val="24"/>
          <w:szCs w:val="24"/>
        </w:rPr>
        <w:t>regarding</w:t>
      </w:r>
      <w:r>
        <w:rPr>
          <w:sz w:val="24"/>
          <w:szCs w:val="24"/>
        </w:rPr>
        <w:t xml:space="preserve"> our proposed extension of VA Form 21-0779, VBA will not make any changes </w:t>
      </w:r>
      <w:r w:rsidR="000E59E1">
        <w:rPr>
          <w:sz w:val="24"/>
          <w:szCs w:val="24"/>
        </w:rPr>
        <w:t xml:space="preserve">and is not required to respond.  </w:t>
      </w:r>
      <w:bookmarkStart w:name="_GoBack" w:id="0"/>
      <w:bookmarkEnd w:id="0"/>
      <w:r>
        <w:rPr>
          <w:sz w:val="24"/>
          <w:szCs w:val="24"/>
        </w:rPr>
        <w:t xml:space="preserve">  </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lastRenderedPageBreak/>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772BC5">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A411DD" w:rsidR="003B6D49" w:rsidP="00310573" w:rsidRDefault="00E36537" w14:paraId="283C193F" w14:textId="112B3952">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772BC5">
        <w:rPr>
          <w:sz w:val="24"/>
          <w:szCs w:val="24"/>
        </w:rPr>
        <w:t>61,125</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6C6BB253">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772BC5">
        <w:rPr>
          <w:sz w:val="24"/>
          <w:szCs w:val="24"/>
        </w:rPr>
        <w:t>10,188</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3A2A17CB">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772BC5">
        <w:rPr>
          <w:sz w:val="24"/>
          <w:szCs w:val="24"/>
        </w:rPr>
        <w:t>10</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00782C13" w:rsidRDefault="00782C13" w14:paraId="3C294A41" w14:textId="34DF13E4">
      <w:pPr>
        <w:pStyle w:val="ListParagraph"/>
        <w:numPr>
          <w:ilvl w:val="0"/>
          <w:numId w:val="8"/>
        </w:numPr>
        <w:tabs>
          <w:tab w:val="left" w:pos="480"/>
          <w:tab w:val="right" w:pos="720"/>
        </w:tabs>
        <w:ind w:right="684"/>
        <w:rPr>
          <w:sz w:val="24"/>
        </w:rPr>
      </w:pPr>
      <w:r w:rsidRPr="00772BC5">
        <w:rPr>
          <w:sz w:val="24"/>
          <w:szCs w:val="24"/>
        </w:rPr>
        <w:t xml:space="preserve">The respondent population for </w:t>
      </w:r>
      <w:r w:rsidRPr="00772BC5">
        <w:rPr>
          <w:color w:val="000000"/>
          <w:sz w:val="24"/>
          <w:szCs w:val="24"/>
        </w:rPr>
        <w:t>VA Form 2</w:t>
      </w:r>
      <w:r w:rsidRPr="00772BC5" w:rsidR="00A411DD">
        <w:rPr>
          <w:color w:val="000000"/>
          <w:sz w:val="24"/>
          <w:szCs w:val="24"/>
        </w:rPr>
        <w:t>1-</w:t>
      </w:r>
      <w:r w:rsidRPr="00772BC5" w:rsidR="00772BC5">
        <w:rPr>
          <w:color w:val="000000"/>
          <w:sz w:val="24"/>
          <w:szCs w:val="24"/>
        </w:rPr>
        <w:t>0779 is composed of individuals who may be entitled to aid and attendance benefits based on nursing home status</w:t>
      </w:r>
      <w:r w:rsidR="00772BC5">
        <w:rPr>
          <w:color w:val="000000"/>
          <w:sz w:val="24"/>
          <w:szCs w:val="24"/>
        </w:rPr>
        <w:t>.</w:t>
      </w:r>
      <w:r w:rsidRPr="00A411DD">
        <w:rPr>
          <w:sz w:val="24"/>
          <w:szCs w:val="24"/>
        </w:rPr>
        <w:t xml:space="preserve">  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823C3C" w:rsidP="00823C3C" w:rsidRDefault="00823C3C" w14:paraId="3D81FFC6" w14:textId="5FB6CC36">
      <w:pPr>
        <w:tabs>
          <w:tab w:val="left" w:pos="480"/>
          <w:tab w:val="right" w:pos="8640"/>
          <w:tab w:val="left" w:pos="9504"/>
        </w:tabs>
        <w:ind w:left="720" w:right="54"/>
        <w:rPr>
          <w:sz w:val="24"/>
          <w:szCs w:val="24"/>
        </w:rPr>
      </w:pPr>
      <w:bookmarkStart w:name="_Hlk2954761" w:id="1"/>
      <w:r w:rsidRPr="00823C3C">
        <w:rPr>
          <w:sz w:val="24"/>
          <w:szCs w:val="24"/>
        </w:rPr>
        <w:t>The Bureau of Labor Statistics (BLS) gathers information on full-time wage and salary workers.  According to the latest available BLS data, the mean hourly wage is $24.</w:t>
      </w:r>
      <w:r w:rsidR="00563695">
        <w:rPr>
          <w:sz w:val="24"/>
          <w:szCs w:val="24"/>
        </w:rPr>
        <w:t>98</w:t>
      </w:r>
      <w:r w:rsidRPr="00823C3C">
        <w:rPr>
          <w:sz w:val="24"/>
          <w:szCs w:val="24"/>
        </w:rPr>
        <w:t xml:space="preserve"> based on the BLS wage code – “00-0000 All Occupations.”  This information was taken from the following website:</w:t>
      </w:r>
      <w:r>
        <w:rPr>
          <w:sz w:val="24"/>
          <w:szCs w:val="24"/>
        </w:rPr>
        <w:t xml:space="preserve"> </w:t>
      </w:r>
      <w:hyperlink w:history="1" r:id="rId11">
        <w:r w:rsidRPr="005C77A7" w:rsidR="00563695">
          <w:rPr>
            <w:rStyle w:val="Hyperlink"/>
            <w:sz w:val="24"/>
            <w:szCs w:val="24"/>
          </w:rPr>
          <w:t>https://www.bls.gov/oes/current/oes_nat.htm</w:t>
        </w:r>
      </w:hyperlink>
      <w:r>
        <w:rPr>
          <w:sz w:val="24"/>
          <w:szCs w:val="24"/>
        </w:rPr>
        <w:t>.</w:t>
      </w:r>
      <w:r w:rsidR="00563695">
        <w:rPr>
          <w:sz w:val="24"/>
          <w:szCs w:val="24"/>
        </w:rPr>
        <w:t xml:space="preserve">  </w:t>
      </w:r>
    </w:p>
    <w:p w:rsidR="00823C3C" w:rsidP="00823C3C" w:rsidRDefault="00823C3C" w14:paraId="73681825" w14:textId="77777777">
      <w:pPr>
        <w:tabs>
          <w:tab w:val="left" w:pos="480"/>
          <w:tab w:val="right" w:pos="8640"/>
          <w:tab w:val="left" w:pos="9504"/>
        </w:tabs>
        <w:ind w:left="720" w:right="54"/>
        <w:rPr>
          <w:sz w:val="24"/>
          <w:szCs w:val="24"/>
        </w:rPr>
      </w:pPr>
    </w:p>
    <w:p w:rsidRPr="00782C13" w:rsidR="00312610" w:rsidP="00782C13" w:rsidRDefault="00782C13" w14:paraId="39388D56" w14:textId="713695BC">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772BC5">
        <w:t>254,496.24</w:t>
      </w:r>
      <w:r w:rsidRPr="00F174D2">
        <w:t xml:space="preserve"> </w:t>
      </w:r>
      <w:r w:rsidR="00772BC5">
        <w:t>(10,188</w:t>
      </w:r>
      <w:r w:rsidRPr="00F174D2">
        <w:t xml:space="preserve"> burden hours x </w:t>
      </w:r>
      <w:r w:rsidRPr="00B82974">
        <w:t>$</w:t>
      </w:r>
      <w:r w:rsidRPr="00B82974" w:rsidR="00B82974">
        <w:t>24.</w:t>
      </w:r>
      <w:r w:rsidR="00563695">
        <w:t>98</w:t>
      </w:r>
      <w:r w:rsidRPr="00F174D2">
        <w:t xml:space="preserve"> per hour). </w:t>
      </w:r>
      <w:bookmarkEnd w:id="1"/>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lastRenderedPageBreak/>
        <w:t>This submission does not involve any recordkeeping costs.</w:t>
      </w:r>
    </w:p>
    <w:bookmarkEnd w:id="2"/>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31412782">
      <w:pPr>
        <w:tabs>
          <w:tab w:val="left" w:pos="480"/>
          <w:tab w:val="right" w:pos="8640"/>
        </w:tabs>
        <w:ind w:left="360" w:right="684"/>
        <w:rPr>
          <w:sz w:val="24"/>
        </w:rPr>
      </w:pPr>
      <w:r w:rsidRPr="00772BC5">
        <w:rPr>
          <w:sz w:val="24"/>
        </w:rPr>
        <w:t>Estimated Costs to the Federal Government:</w:t>
      </w:r>
    </w:p>
    <w:p w:rsidR="000D74BD" w:rsidP="00F54C17" w:rsidRDefault="000D74BD" w14:paraId="2B95865C" w14:textId="77777777">
      <w:pPr>
        <w:tabs>
          <w:tab w:val="left" w:pos="480"/>
          <w:tab w:val="right" w:pos="8640"/>
        </w:tabs>
        <w:ind w:left="360" w:right="684"/>
        <w:rPr>
          <w:sz w:val="24"/>
        </w:rPr>
      </w:pPr>
    </w:p>
    <w:tbl>
      <w:tblPr>
        <w:tblW w:w="8100" w:type="dxa"/>
        <w:tblInd w:w="710" w:type="dxa"/>
        <w:tblLook w:val="04A0" w:firstRow="1" w:lastRow="0" w:firstColumn="1" w:lastColumn="0" w:noHBand="0" w:noVBand="1"/>
      </w:tblPr>
      <w:tblGrid>
        <w:gridCol w:w="900"/>
        <w:gridCol w:w="720"/>
        <w:gridCol w:w="810"/>
        <w:gridCol w:w="900"/>
        <w:gridCol w:w="900"/>
        <w:gridCol w:w="990"/>
        <w:gridCol w:w="1080"/>
        <w:gridCol w:w="1800"/>
      </w:tblGrid>
      <w:tr w:rsidRPr="000D74BD" w:rsidR="000D74BD" w:rsidTr="005A485E" w14:paraId="59B6A2F7" w14:textId="77777777">
        <w:trPr>
          <w:trHeight w:val="765"/>
        </w:trPr>
        <w:tc>
          <w:tcPr>
            <w:tcW w:w="90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0D74BD" w:rsidR="000D74BD" w:rsidP="000D74BD" w:rsidRDefault="000D74BD" w14:paraId="4FEB0A12" w14:textId="77777777">
            <w:pPr>
              <w:jc w:val="center"/>
              <w:rPr>
                <w:color w:val="000000"/>
                <w:sz w:val="18"/>
                <w:szCs w:val="18"/>
              </w:rPr>
            </w:pPr>
            <w:r w:rsidRPr="000D74BD">
              <w:rPr>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auto" w:fill="auto"/>
            <w:vAlign w:val="bottom"/>
            <w:hideMark/>
          </w:tcPr>
          <w:p w:rsidRPr="000D74BD" w:rsidR="000D74BD" w:rsidP="000D74BD" w:rsidRDefault="000D74BD" w14:paraId="06EE3307" w14:textId="77777777">
            <w:pPr>
              <w:jc w:val="center"/>
              <w:rPr>
                <w:color w:val="000000"/>
                <w:sz w:val="18"/>
                <w:szCs w:val="18"/>
              </w:rPr>
            </w:pPr>
            <w:r w:rsidRPr="000D74BD">
              <w:rPr>
                <w:color w:val="000000"/>
                <w:sz w:val="18"/>
                <w:szCs w:val="18"/>
              </w:rPr>
              <w:t>Step</w:t>
            </w:r>
          </w:p>
        </w:tc>
        <w:tc>
          <w:tcPr>
            <w:tcW w:w="810" w:type="dxa"/>
            <w:tcBorders>
              <w:top w:val="single" w:color="auto" w:sz="8" w:space="0"/>
              <w:left w:val="nil"/>
              <w:bottom w:val="single" w:color="auto" w:sz="8" w:space="0"/>
              <w:right w:val="single" w:color="auto" w:sz="8" w:space="0"/>
            </w:tcBorders>
            <w:shd w:val="clear" w:color="auto" w:fill="auto"/>
            <w:vAlign w:val="bottom"/>
            <w:hideMark/>
          </w:tcPr>
          <w:p w:rsidRPr="000D74BD" w:rsidR="000D74BD" w:rsidP="000D74BD" w:rsidRDefault="000D74BD" w14:paraId="7B2848E3" w14:textId="77777777">
            <w:pPr>
              <w:jc w:val="center"/>
              <w:rPr>
                <w:color w:val="000000"/>
                <w:sz w:val="18"/>
                <w:szCs w:val="18"/>
              </w:rPr>
            </w:pPr>
            <w:r w:rsidRPr="000D74BD">
              <w:rPr>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auto" w:fill="auto"/>
            <w:vAlign w:val="bottom"/>
            <w:hideMark/>
          </w:tcPr>
          <w:p w:rsidRPr="000D74BD" w:rsidR="000D74BD" w:rsidP="000D74BD" w:rsidRDefault="000D74BD" w14:paraId="53813941" w14:textId="77777777">
            <w:pPr>
              <w:jc w:val="center"/>
              <w:rPr>
                <w:color w:val="000000"/>
                <w:sz w:val="18"/>
                <w:szCs w:val="18"/>
              </w:rPr>
            </w:pPr>
            <w:r w:rsidRPr="000D74BD">
              <w:rPr>
                <w:color w:val="000000"/>
                <w:sz w:val="18"/>
                <w:szCs w:val="18"/>
              </w:rPr>
              <w:t>Fraction of Hour</w:t>
            </w:r>
          </w:p>
        </w:tc>
        <w:tc>
          <w:tcPr>
            <w:tcW w:w="900" w:type="dxa"/>
            <w:tcBorders>
              <w:top w:val="single" w:color="auto" w:sz="8" w:space="0"/>
              <w:left w:val="nil"/>
              <w:bottom w:val="single" w:color="auto" w:sz="8" w:space="0"/>
              <w:right w:val="single" w:color="auto" w:sz="8" w:space="0"/>
            </w:tcBorders>
            <w:shd w:val="clear" w:color="auto" w:fill="auto"/>
            <w:vAlign w:val="bottom"/>
            <w:hideMark/>
          </w:tcPr>
          <w:p w:rsidRPr="000D74BD" w:rsidR="000D74BD" w:rsidP="000D74BD" w:rsidRDefault="000D74BD" w14:paraId="1F7E5825" w14:textId="77777777">
            <w:pPr>
              <w:jc w:val="center"/>
              <w:rPr>
                <w:color w:val="000000"/>
                <w:sz w:val="18"/>
                <w:szCs w:val="18"/>
              </w:rPr>
            </w:pPr>
            <w:r w:rsidRPr="000D74BD">
              <w:rPr>
                <w:color w:val="000000"/>
                <w:sz w:val="18"/>
                <w:szCs w:val="18"/>
              </w:rPr>
              <w:t>Hourly Rate</w:t>
            </w:r>
          </w:p>
        </w:tc>
        <w:tc>
          <w:tcPr>
            <w:tcW w:w="990" w:type="dxa"/>
            <w:tcBorders>
              <w:top w:val="single" w:color="auto" w:sz="8" w:space="0"/>
              <w:left w:val="nil"/>
              <w:bottom w:val="single" w:color="auto" w:sz="8" w:space="0"/>
              <w:right w:val="single" w:color="auto" w:sz="8" w:space="0"/>
            </w:tcBorders>
            <w:shd w:val="clear" w:color="auto" w:fill="auto"/>
            <w:vAlign w:val="bottom"/>
            <w:hideMark/>
          </w:tcPr>
          <w:p w:rsidRPr="000D74BD" w:rsidR="000D74BD" w:rsidP="000D74BD" w:rsidRDefault="000D74BD" w14:paraId="4D083BA3" w14:textId="77777777">
            <w:pPr>
              <w:jc w:val="center"/>
              <w:rPr>
                <w:color w:val="000000"/>
                <w:sz w:val="18"/>
                <w:szCs w:val="18"/>
              </w:rPr>
            </w:pPr>
            <w:r w:rsidRPr="000D74BD">
              <w:rPr>
                <w:color w:val="000000"/>
                <w:sz w:val="18"/>
                <w:szCs w:val="18"/>
              </w:rPr>
              <w:t>Cost Per Response</w:t>
            </w:r>
          </w:p>
        </w:tc>
        <w:tc>
          <w:tcPr>
            <w:tcW w:w="1080" w:type="dxa"/>
            <w:tcBorders>
              <w:top w:val="single" w:color="auto" w:sz="8" w:space="0"/>
              <w:left w:val="nil"/>
              <w:bottom w:val="single" w:color="auto" w:sz="8" w:space="0"/>
              <w:right w:val="single" w:color="auto" w:sz="8" w:space="0"/>
            </w:tcBorders>
            <w:shd w:val="clear" w:color="auto" w:fill="auto"/>
            <w:vAlign w:val="bottom"/>
            <w:hideMark/>
          </w:tcPr>
          <w:p w:rsidRPr="000D74BD" w:rsidR="000D74BD" w:rsidP="000D74BD" w:rsidRDefault="000D74BD" w14:paraId="4FE4BEE5" w14:textId="77777777">
            <w:pPr>
              <w:jc w:val="center"/>
              <w:rPr>
                <w:color w:val="000000"/>
                <w:sz w:val="18"/>
                <w:szCs w:val="18"/>
              </w:rPr>
            </w:pPr>
            <w:r w:rsidRPr="000D74BD">
              <w:rPr>
                <w:color w:val="000000"/>
                <w:sz w:val="18"/>
                <w:szCs w:val="18"/>
              </w:rPr>
              <w:t>Total Responses</w:t>
            </w:r>
          </w:p>
        </w:tc>
        <w:tc>
          <w:tcPr>
            <w:tcW w:w="1800" w:type="dxa"/>
            <w:tcBorders>
              <w:top w:val="single" w:color="auto" w:sz="8" w:space="0"/>
              <w:left w:val="nil"/>
              <w:bottom w:val="single" w:color="auto" w:sz="8" w:space="0"/>
              <w:right w:val="single" w:color="auto" w:sz="8" w:space="0"/>
            </w:tcBorders>
            <w:shd w:val="clear" w:color="auto" w:fill="auto"/>
            <w:vAlign w:val="bottom"/>
            <w:hideMark/>
          </w:tcPr>
          <w:p w:rsidRPr="000D74BD" w:rsidR="000D74BD" w:rsidP="000D74BD" w:rsidRDefault="000D74BD" w14:paraId="157C3980" w14:textId="77777777">
            <w:pPr>
              <w:jc w:val="center"/>
              <w:rPr>
                <w:color w:val="000000"/>
                <w:sz w:val="18"/>
                <w:szCs w:val="18"/>
              </w:rPr>
            </w:pPr>
            <w:r w:rsidRPr="000D74BD">
              <w:rPr>
                <w:color w:val="000000"/>
                <w:sz w:val="18"/>
                <w:szCs w:val="18"/>
              </w:rPr>
              <w:t>Total</w:t>
            </w:r>
          </w:p>
        </w:tc>
      </w:tr>
      <w:tr w:rsidRPr="000D74BD" w:rsidR="000D74BD" w:rsidTr="005A485E" w14:paraId="3829202E"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0D74BD" w:rsidR="000D74BD" w:rsidP="000D74BD" w:rsidRDefault="000D74BD" w14:paraId="4E96B1CD" w14:textId="77777777">
            <w:pPr>
              <w:jc w:val="center"/>
              <w:rPr>
                <w:color w:val="000000"/>
                <w:sz w:val="22"/>
                <w:szCs w:val="22"/>
              </w:rPr>
            </w:pPr>
            <w:r w:rsidRPr="000D74BD">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062FD7AC" w14:textId="77777777">
            <w:pPr>
              <w:jc w:val="center"/>
              <w:rPr>
                <w:color w:val="000000"/>
                <w:sz w:val="22"/>
                <w:szCs w:val="22"/>
              </w:rPr>
            </w:pPr>
            <w:r w:rsidRPr="000D74BD">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74719EEC" w14:textId="77777777">
            <w:pPr>
              <w:jc w:val="center"/>
              <w:rPr>
                <w:color w:val="000000"/>
                <w:sz w:val="22"/>
                <w:szCs w:val="22"/>
              </w:rPr>
            </w:pPr>
            <w:r w:rsidRPr="000D74BD">
              <w:rPr>
                <w:color w:val="000000"/>
                <w:sz w:val="22"/>
                <w:szCs w:val="22"/>
              </w:rPr>
              <w:t>30</w:t>
            </w:r>
          </w:p>
        </w:tc>
        <w:tc>
          <w:tcPr>
            <w:tcW w:w="90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45EAC1D7" w14:textId="77777777">
            <w:pPr>
              <w:jc w:val="center"/>
              <w:rPr>
                <w:color w:val="000000"/>
                <w:sz w:val="22"/>
                <w:szCs w:val="22"/>
              </w:rPr>
            </w:pPr>
            <w:r w:rsidRPr="000D74BD">
              <w:rPr>
                <w:color w:val="000000"/>
                <w:sz w:val="22"/>
                <w:szCs w:val="22"/>
              </w:rPr>
              <w:t>0.50</w:t>
            </w:r>
          </w:p>
        </w:tc>
        <w:tc>
          <w:tcPr>
            <w:tcW w:w="90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5A1B238E" w14:textId="77777777">
            <w:pPr>
              <w:jc w:val="center"/>
              <w:rPr>
                <w:color w:val="000000"/>
                <w:sz w:val="22"/>
                <w:szCs w:val="22"/>
              </w:rPr>
            </w:pPr>
            <w:r w:rsidRPr="000D74BD">
              <w:rPr>
                <w:color w:val="000000"/>
                <w:sz w:val="22"/>
                <w:szCs w:val="22"/>
              </w:rPr>
              <w:t xml:space="preserve"> $19.06 </w:t>
            </w:r>
          </w:p>
        </w:tc>
        <w:tc>
          <w:tcPr>
            <w:tcW w:w="99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5E2FDF3E" w14:textId="77777777">
            <w:pPr>
              <w:jc w:val="center"/>
              <w:rPr>
                <w:color w:val="000000"/>
                <w:sz w:val="22"/>
                <w:szCs w:val="22"/>
              </w:rPr>
            </w:pPr>
            <w:r w:rsidRPr="000D74BD">
              <w:rPr>
                <w:color w:val="000000"/>
                <w:sz w:val="22"/>
                <w:szCs w:val="22"/>
              </w:rPr>
              <w:t>9.530</w:t>
            </w:r>
          </w:p>
        </w:tc>
        <w:tc>
          <w:tcPr>
            <w:tcW w:w="108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6D943380" w14:textId="77777777">
            <w:pPr>
              <w:jc w:val="center"/>
              <w:rPr>
                <w:color w:val="000000"/>
                <w:sz w:val="22"/>
                <w:szCs w:val="22"/>
              </w:rPr>
            </w:pPr>
            <w:r w:rsidRPr="000D74BD">
              <w:rPr>
                <w:color w:val="000000"/>
                <w:sz w:val="22"/>
                <w:szCs w:val="22"/>
              </w:rPr>
              <w:t xml:space="preserve">   226,000 </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69889781" w14:textId="77777777">
            <w:pPr>
              <w:jc w:val="center"/>
              <w:rPr>
                <w:color w:val="000000"/>
                <w:sz w:val="22"/>
                <w:szCs w:val="22"/>
              </w:rPr>
            </w:pPr>
            <w:r w:rsidRPr="000D74BD">
              <w:rPr>
                <w:color w:val="000000"/>
                <w:sz w:val="22"/>
                <w:szCs w:val="22"/>
              </w:rPr>
              <w:t xml:space="preserve"> $    2,153,780.00 </w:t>
            </w:r>
          </w:p>
        </w:tc>
      </w:tr>
      <w:tr w:rsidRPr="000D74BD" w:rsidR="000D74BD" w:rsidTr="005A485E" w14:paraId="4B5908F2"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D74BD" w:rsidR="000D74BD" w:rsidP="000D74BD" w:rsidRDefault="000D74BD" w14:paraId="1CC46944" w14:textId="77777777">
            <w:pPr>
              <w:rPr>
                <w:color w:val="000000"/>
                <w:sz w:val="22"/>
                <w:szCs w:val="22"/>
              </w:rPr>
            </w:pPr>
            <w:r w:rsidRPr="000D74BD">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36072667" w14:textId="77777777">
            <w:pPr>
              <w:jc w:val="center"/>
              <w:rPr>
                <w:color w:val="000000"/>
                <w:sz w:val="22"/>
                <w:szCs w:val="22"/>
              </w:rPr>
            </w:pPr>
            <w:r w:rsidRPr="000D74BD">
              <w:rPr>
                <w:color w:val="000000"/>
                <w:sz w:val="22"/>
                <w:szCs w:val="22"/>
              </w:rPr>
              <w:t xml:space="preserve"> $    2,153,780.00 </w:t>
            </w:r>
          </w:p>
        </w:tc>
      </w:tr>
      <w:tr w:rsidRPr="000D74BD" w:rsidR="000D74BD" w:rsidTr="005A485E" w14:paraId="40C65119"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0D74BD" w:rsidR="000D74BD" w:rsidP="000D74BD" w:rsidRDefault="000D74BD" w14:paraId="31B9095A" w14:textId="77777777">
            <w:pPr>
              <w:jc w:val="center"/>
              <w:rPr>
                <w:color w:val="000000"/>
                <w:sz w:val="22"/>
                <w:szCs w:val="22"/>
              </w:rPr>
            </w:pPr>
            <w:r w:rsidRPr="000D74BD">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22A88894" w14:textId="77777777">
            <w:pPr>
              <w:jc w:val="center"/>
              <w:rPr>
                <w:color w:val="000000"/>
                <w:sz w:val="22"/>
                <w:szCs w:val="22"/>
              </w:rPr>
            </w:pPr>
            <w:r w:rsidRPr="000D74BD">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368C6929" w14:textId="77777777">
            <w:pPr>
              <w:jc w:val="center"/>
              <w:rPr>
                <w:color w:val="000000"/>
                <w:sz w:val="22"/>
                <w:szCs w:val="22"/>
              </w:rPr>
            </w:pPr>
            <w:r w:rsidRPr="000D74BD">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43AB2A1A" w14:textId="77777777">
            <w:pPr>
              <w:jc w:val="center"/>
              <w:rPr>
                <w:color w:val="000000"/>
                <w:sz w:val="22"/>
                <w:szCs w:val="22"/>
              </w:rPr>
            </w:pPr>
            <w:r w:rsidRPr="000D74BD">
              <w:rPr>
                <w:color w:val="000000"/>
                <w:sz w:val="22"/>
                <w:szCs w:val="22"/>
              </w:rPr>
              <w:t>0.25</w:t>
            </w:r>
          </w:p>
        </w:tc>
        <w:tc>
          <w:tcPr>
            <w:tcW w:w="90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187B09FB" w14:textId="77777777">
            <w:pPr>
              <w:jc w:val="center"/>
              <w:rPr>
                <w:color w:val="000000"/>
                <w:sz w:val="22"/>
                <w:szCs w:val="22"/>
              </w:rPr>
            </w:pPr>
            <w:r w:rsidRPr="000D74BD">
              <w:rPr>
                <w:color w:val="000000"/>
                <w:sz w:val="22"/>
                <w:szCs w:val="22"/>
              </w:rPr>
              <w:t xml:space="preserve"> $23.32 </w:t>
            </w:r>
          </w:p>
        </w:tc>
        <w:tc>
          <w:tcPr>
            <w:tcW w:w="99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433A9031" w14:textId="77777777">
            <w:pPr>
              <w:jc w:val="center"/>
              <w:rPr>
                <w:color w:val="000000"/>
                <w:sz w:val="22"/>
                <w:szCs w:val="22"/>
              </w:rPr>
            </w:pPr>
            <w:r w:rsidRPr="000D74BD">
              <w:rPr>
                <w:color w:val="000000"/>
                <w:sz w:val="22"/>
                <w:szCs w:val="22"/>
              </w:rPr>
              <w:t>5.830</w:t>
            </w:r>
          </w:p>
        </w:tc>
        <w:tc>
          <w:tcPr>
            <w:tcW w:w="108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38BA6F82" w14:textId="77777777">
            <w:pPr>
              <w:jc w:val="center"/>
              <w:rPr>
                <w:color w:val="000000"/>
                <w:sz w:val="22"/>
                <w:szCs w:val="22"/>
              </w:rPr>
            </w:pPr>
            <w:r w:rsidRPr="000D74BD">
              <w:rPr>
                <w:color w:val="000000"/>
                <w:sz w:val="22"/>
                <w:szCs w:val="22"/>
              </w:rPr>
              <w:t xml:space="preserve">   226,000 </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6354A18C" w14:textId="77777777">
            <w:pPr>
              <w:jc w:val="center"/>
              <w:rPr>
                <w:color w:val="000000"/>
                <w:sz w:val="22"/>
                <w:szCs w:val="22"/>
              </w:rPr>
            </w:pPr>
            <w:r w:rsidRPr="000D74BD">
              <w:rPr>
                <w:color w:val="000000"/>
                <w:sz w:val="22"/>
                <w:szCs w:val="22"/>
              </w:rPr>
              <w:t xml:space="preserve"> $    1,317,580.00 </w:t>
            </w:r>
          </w:p>
        </w:tc>
      </w:tr>
      <w:tr w:rsidRPr="000D74BD" w:rsidR="000D74BD" w:rsidTr="005A485E" w14:paraId="2A072A7A"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D74BD" w:rsidR="000D74BD" w:rsidP="000D74BD" w:rsidRDefault="000D74BD" w14:paraId="132212BD" w14:textId="77777777">
            <w:pPr>
              <w:rPr>
                <w:color w:val="000000"/>
                <w:sz w:val="22"/>
                <w:szCs w:val="22"/>
              </w:rPr>
            </w:pPr>
            <w:r w:rsidRPr="000D74BD">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1D358A4B" w14:textId="77777777">
            <w:pPr>
              <w:jc w:val="center"/>
              <w:rPr>
                <w:color w:val="000000"/>
                <w:sz w:val="22"/>
                <w:szCs w:val="22"/>
              </w:rPr>
            </w:pPr>
            <w:r w:rsidRPr="000D74BD">
              <w:rPr>
                <w:color w:val="000000"/>
                <w:sz w:val="22"/>
                <w:szCs w:val="22"/>
              </w:rPr>
              <w:t xml:space="preserve"> $    1,317,580.00 </w:t>
            </w:r>
          </w:p>
        </w:tc>
      </w:tr>
      <w:tr w:rsidRPr="000D74BD" w:rsidR="000D74BD" w:rsidTr="005A485E" w14:paraId="4DB9042C"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0D74BD" w:rsidR="000D74BD" w:rsidP="000D74BD" w:rsidRDefault="000D74BD" w14:paraId="6FF54BE1" w14:textId="77777777">
            <w:pPr>
              <w:jc w:val="center"/>
              <w:rPr>
                <w:color w:val="000000"/>
                <w:sz w:val="22"/>
                <w:szCs w:val="22"/>
              </w:rPr>
            </w:pPr>
            <w:r w:rsidRPr="000D74BD">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306CF478" w14:textId="77777777">
            <w:pPr>
              <w:jc w:val="center"/>
              <w:rPr>
                <w:color w:val="000000"/>
                <w:sz w:val="22"/>
                <w:szCs w:val="22"/>
              </w:rPr>
            </w:pPr>
            <w:r w:rsidRPr="000D74BD">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5EEB71A3" w14:textId="77777777">
            <w:pPr>
              <w:jc w:val="center"/>
              <w:rPr>
                <w:color w:val="000000"/>
                <w:sz w:val="22"/>
                <w:szCs w:val="22"/>
              </w:rPr>
            </w:pPr>
            <w:r w:rsidRPr="000D74BD">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09737673" w14:textId="77777777">
            <w:pPr>
              <w:jc w:val="center"/>
              <w:rPr>
                <w:color w:val="000000"/>
                <w:sz w:val="22"/>
                <w:szCs w:val="22"/>
              </w:rPr>
            </w:pPr>
            <w:r w:rsidRPr="000D74BD">
              <w:rPr>
                <w:color w:val="000000"/>
                <w:sz w:val="22"/>
                <w:szCs w:val="22"/>
              </w:rPr>
              <w:t>0.25</w:t>
            </w:r>
          </w:p>
        </w:tc>
        <w:tc>
          <w:tcPr>
            <w:tcW w:w="90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2D93D366" w14:textId="77777777">
            <w:pPr>
              <w:jc w:val="center"/>
              <w:rPr>
                <w:color w:val="000000"/>
                <w:sz w:val="22"/>
                <w:szCs w:val="22"/>
              </w:rPr>
            </w:pPr>
            <w:r w:rsidRPr="000D74BD">
              <w:rPr>
                <w:color w:val="000000"/>
                <w:sz w:val="22"/>
                <w:szCs w:val="22"/>
              </w:rPr>
              <w:t xml:space="preserve"> $28.21 </w:t>
            </w:r>
          </w:p>
        </w:tc>
        <w:tc>
          <w:tcPr>
            <w:tcW w:w="99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1B21BDAF" w14:textId="77777777">
            <w:pPr>
              <w:jc w:val="center"/>
              <w:rPr>
                <w:color w:val="000000"/>
                <w:sz w:val="22"/>
                <w:szCs w:val="22"/>
              </w:rPr>
            </w:pPr>
            <w:r w:rsidRPr="000D74BD">
              <w:rPr>
                <w:color w:val="000000"/>
                <w:sz w:val="22"/>
                <w:szCs w:val="22"/>
              </w:rPr>
              <w:t>7.053</w:t>
            </w:r>
          </w:p>
        </w:tc>
        <w:tc>
          <w:tcPr>
            <w:tcW w:w="1080" w:type="dxa"/>
            <w:tcBorders>
              <w:top w:val="nil"/>
              <w:left w:val="nil"/>
              <w:bottom w:val="single" w:color="auto" w:sz="4" w:space="0"/>
              <w:right w:val="single" w:color="auto" w:sz="4" w:space="0"/>
            </w:tcBorders>
            <w:shd w:val="clear" w:color="auto" w:fill="auto"/>
            <w:vAlign w:val="bottom"/>
            <w:hideMark/>
          </w:tcPr>
          <w:p w:rsidRPr="000D74BD" w:rsidR="000D74BD" w:rsidP="000D74BD" w:rsidRDefault="000D74BD" w14:paraId="78769CF1" w14:textId="77777777">
            <w:pPr>
              <w:jc w:val="center"/>
              <w:rPr>
                <w:color w:val="000000"/>
                <w:sz w:val="22"/>
                <w:szCs w:val="22"/>
              </w:rPr>
            </w:pPr>
            <w:r w:rsidRPr="000D74BD">
              <w:rPr>
                <w:color w:val="000000"/>
                <w:sz w:val="22"/>
                <w:szCs w:val="22"/>
              </w:rPr>
              <w:t xml:space="preserve">   226,000 </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796FB67E" w14:textId="77777777">
            <w:pPr>
              <w:jc w:val="center"/>
              <w:rPr>
                <w:color w:val="000000"/>
                <w:sz w:val="22"/>
                <w:szCs w:val="22"/>
              </w:rPr>
            </w:pPr>
            <w:r w:rsidRPr="000D74BD">
              <w:rPr>
                <w:color w:val="000000"/>
                <w:sz w:val="22"/>
                <w:szCs w:val="22"/>
              </w:rPr>
              <w:t xml:space="preserve"> $    1,593,865.00 </w:t>
            </w:r>
          </w:p>
        </w:tc>
      </w:tr>
      <w:tr w:rsidRPr="000D74BD" w:rsidR="000D74BD" w:rsidTr="005A485E" w14:paraId="3CCB80BB"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D74BD" w:rsidR="000D74BD" w:rsidP="000D74BD" w:rsidRDefault="000D74BD" w14:paraId="4DE1E453" w14:textId="77777777">
            <w:pPr>
              <w:rPr>
                <w:color w:val="000000"/>
                <w:sz w:val="22"/>
                <w:szCs w:val="22"/>
              </w:rPr>
            </w:pPr>
            <w:r w:rsidRPr="000D74BD">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6E0123E9" w14:textId="77777777">
            <w:pPr>
              <w:jc w:val="center"/>
              <w:rPr>
                <w:color w:val="000000"/>
                <w:sz w:val="22"/>
                <w:szCs w:val="22"/>
              </w:rPr>
            </w:pPr>
            <w:r w:rsidRPr="000D74BD">
              <w:rPr>
                <w:color w:val="000000"/>
                <w:sz w:val="22"/>
                <w:szCs w:val="22"/>
              </w:rPr>
              <w:t xml:space="preserve"> $    1,593,865.00 </w:t>
            </w:r>
          </w:p>
        </w:tc>
      </w:tr>
      <w:tr w:rsidRPr="000D74BD" w:rsidR="000D74BD" w:rsidTr="005A485E" w14:paraId="6AF7DD1B"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D74BD" w:rsidR="000D74BD" w:rsidP="000D74BD" w:rsidRDefault="000D74BD" w14:paraId="66164CBD" w14:textId="77777777">
            <w:pPr>
              <w:jc w:val="center"/>
              <w:rPr>
                <w:color w:val="000000"/>
                <w:sz w:val="22"/>
                <w:szCs w:val="22"/>
              </w:rPr>
            </w:pPr>
            <w:r w:rsidRPr="000D74BD">
              <w:rPr>
                <w:color w:val="000000"/>
                <w:sz w:val="22"/>
                <w:szCs w:val="22"/>
              </w:rPr>
              <w:t> </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008AE174" w14:textId="77777777">
            <w:pPr>
              <w:jc w:val="center"/>
              <w:rPr>
                <w:color w:val="000000"/>
                <w:sz w:val="22"/>
                <w:szCs w:val="22"/>
              </w:rPr>
            </w:pPr>
            <w:r w:rsidRPr="000D74BD">
              <w:rPr>
                <w:color w:val="000000"/>
                <w:sz w:val="22"/>
                <w:szCs w:val="22"/>
              </w:rPr>
              <w:t> </w:t>
            </w:r>
          </w:p>
        </w:tc>
      </w:tr>
      <w:tr w:rsidRPr="000D74BD" w:rsidR="000D74BD" w:rsidTr="005A485E" w14:paraId="59405128"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D74BD" w:rsidR="000D74BD" w:rsidP="000D74BD" w:rsidRDefault="000D74BD" w14:paraId="41EA36F7" w14:textId="77777777">
            <w:pPr>
              <w:rPr>
                <w:color w:val="000000"/>
                <w:sz w:val="22"/>
                <w:szCs w:val="22"/>
              </w:rPr>
            </w:pPr>
            <w:r w:rsidRPr="000D74BD">
              <w:rPr>
                <w:color w:val="000000"/>
                <w:sz w:val="22"/>
                <w:szCs w:val="22"/>
              </w:rPr>
              <w:t>Processing / Analyzing Costs</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514B8529" w14:textId="2BB2D496">
            <w:pPr>
              <w:jc w:val="center"/>
              <w:rPr>
                <w:color w:val="000000"/>
                <w:sz w:val="22"/>
                <w:szCs w:val="22"/>
              </w:rPr>
            </w:pPr>
            <w:r w:rsidRPr="000D74BD">
              <w:rPr>
                <w:color w:val="000000"/>
                <w:sz w:val="22"/>
                <w:szCs w:val="22"/>
              </w:rPr>
              <w:t xml:space="preserve"> </w:t>
            </w:r>
            <w:r w:rsidRPr="000D74BD" w:rsidR="005A485E">
              <w:rPr>
                <w:color w:val="000000"/>
                <w:sz w:val="22"/>
                <w:szCs w:val="22"/>
              </w:rPr>
              <w:t>$ 10,130,450.00</w:t>
            </w:r>
            <w:r w:rsidRPr="000D74BD">
              <w:rPr>
                <w:color w:val="000000"/>
                <w:sz w:val="22"/>
                <w:szCs w:val="22"/>
              </w:rPr>
              <w:t xml:space="preserve"> </w:t>
            </w:r>
          </w:p>
        </w:tc>
      </w:tr>
      <w:tr w:rsidRPr="000D74BD" w:rsidR="000D74BD" w:rsidTr="005A485E" w14:paraId="19579E21" w14:textId="77777777">
        <w:trPr>
          <w:trHeight w:val="300"/>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0D74BD" w:rsidR="000D74BD" w:rsidP="000D74BD" w:rsidRDefault="000D74BD" w14:paraId="13764E84" w14:textId="77777777">
            <w:pPr>
              <w:rPr>
                <w:color w:val="000000"/>
                <w:sz w:val="22"/>
                <w:szCs w:val="22"/>
              </w:rPr>
            </w:pPr>
            <w:r w:rsidRPr="000D74BD">
              <w:rPr>
                <w:color w:val="000000"/>
                <w:sz w:val="22"/>
                <w:szCs w:val="22"/>
              </w:rPr>
              <w:t>Printing and Production Cost</w:t>
            </w:r>
          </w:p>
        </w:tc>
        <w:tc>
          <w:tcPr>
            <w:tcW w:w="1800" w:type="dxa"/>
            <w:tcBorders>
              <w:top w:val="nil"/>
              <w:left w:val="nil"/>
              <w:bottom w:val="single" w:color="auto" w:sz="4" w:space="0"/>
              <w:right w:val="single" w:color="auto" w:sz="8" w:space="0"/>
            </w:tcBorders>
            <w:shd w:val="clear" w:color="auto" w:fill="auto"/>
            <w:vAlign w:val="bottom"/>
            <w:hideMark/>
          </w:tcPr>
          <w:p w:rsidRPr="000D74BD" w:rsidR="000D74BD" w:rsidP="000D74BD" w:rsidRDefault="000D74BD" w14:paraId="3CAECF68" w14:textId="77777777">
            <w:pPr>
              <w:jc w:val="center"/>
              <w:rPr>
                <w:color w:val="000000"/>
                <w:sz w:val="22"/>
                <w:szCs w:val="22"/>
              </w:rPr>
            </w:pPr>
            <w:r w:rsidRPr="000D74BD">
              <w:rPr>
                <w:color w:val="000000"/>
                <w:sz w:val="22"/>
                <w:szCs w:val="22"/>
              </w:rPr>
              <w:t xml:space="preserve"> $      112,560.56 </w:t>
            </w:r>
          </w:p>
        </w:tc>
      </w:tr>
      <w:tr w:rsidRPr="000D74BD" w:rsidR="000D74BD" w:rsidTr="005A485E" w14:paraId="0319D48B" w14:textId="77777777">
        <w:trPr>
          <w:trHeight w:val="315"/>
        </w:trPr>
        <w:tc>
          <w:tcPr>
            <w:tcW w:w="630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0D74BD" w:rsidR="000D74BD" w:rsidP="000D74BD" w:rsidRDefault="000D74BD" w14:paraId="515A0731" w14:textId="77777777">
            <w:pPr>
              <w:rPr>
                <w:color w:val="000000"/>
                <w:sz w:val="22"/>
                <w:szCs w:val="22"/>
              </w:rPr>
            </w:pPr>
            <w:r w:rsidRPr="000D74BD">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0D74BD" w:rsidR="000D74BD" w:rsidP="000D74BD" w:rsidRDefault="000D74BD" w14:paraId="05D2CD47" w14:textId="367ED01F">
            <w:pPr>
              <w:jc w:val="center"/>
              <w:rPr>
                <w:color w:val="000000"/>
                <w:sz w:val="22"/>
                <w:szCs w:val="22"/>
              </w:rPr>
            </w:pPr>
            <w:r w:rsidRPr="000D74BD">
              <w:rPr>
                <w:color w:val="000000"/>
                <w:sz w:val="22"/>
                <w:szCs w:val="22"/>
              </w:rPr>
              <w:t xml:space="preserve"> </w:t>
            </w:r>
            <w:r w:rsidRPr="000D74BD" w:rsidR="005A485E">
              <w:rPr>
                <w:color w:val="000000"/>
                <w:sz w:val="22"/>
                <w:szCs w:val="22"/>
              </w:rPr>
              <w:t>$ 10,243,010.56</w:t>
            </w:r>
            <w:r w:rsidRPr="000D74BD">
              <w:rPr>
                <w:color w:val="000000"/>
                <w:sz w:val="22"/>
                <w:szCs w:val="22"/>
              </w:rPr>
              <w:t xml:space="preserve">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5A485E" w:rsidP="005A485E" w:rsidRDefault="005A485E" w14:paraId="0229082C" w14:textId="72A743EE">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A485E" w:rsidP="005A485E" w:rsidRDefault="005A485E" w14:paraId="7B2B3601" w14:textId="77777777">
      <w:pPr>
        <w:pStyle w:val="ListParagraph"/>
        <w:tabs>
          <w:tab w:val="right" w:pos="8370"/>
        </w:tabs>
        <w:ind w:left="360" w:right="576"/>
        <w:rPr>
          <w:sz w:val="24"/>
          <w:szCs w:val="24"/>
        </w:rPr>
      </w:pPr>
    </w:p>
    <w:p w:rsidR="005A485E" w:rsidP="005A485E" w:rsidRDefault="005A485E" w14:paraId="43C3C325" w14:textId="3276388B">
      <w:pPr>
        <w:pStyle w:val="ListParagraph"/>
        <w:tabs>
          <w:tab w:val="right" w:pos="8370"/>
        </w:tabs>
        <w:ind w:left="360" w:right="576"/>
        <w:rPr>
          <w:sz w:val="24"/>
          <w:szCs w:val="24"/>
        </w:rPr>
      </w:pPr>
      <w:r>
        <w:rPr>
          <w:sz w:val="24"/>
          <w:szCs w:val="24"/>
        </w:rPr>
        <w:t>Printing and production costs approximates the cost of printing this information collection per year.  (Processing/Analyzing Cost total divided by $90).</w:t>
      </w:r>
    </w:p>
    <w:p w:rsidRPr="0061385F" w:rsidR="005A485E" w:rsidP="005A485E" w:rsidRDefault="005A485E" w14:paraId="482239E2" w14:textId="77777777">
      <w:pPr>
        <w:pStyle w:val="ListParagraph"/>
        <w:tabs>
          <w:tab w:val="right" w:pos="8370"/>
        </w:tabs>
        <w:ind w:left="0" w:right="576"/>
        <w:jc w:val="both"/>
        <w:rPr>
          <w:sz w:val="24"/>
          <w:szCs w:val="24"/>
        </w:rPr>
      </w:pPr>
    </w:p>
    <w:p w:rsidR="005A485E" w:rsidP="005A485E" w:rsidRDefault="005A485E" w14:paraId="16981414" w14:textId="77777777">
      <w:pPr>
        <w:ind w:left="360"/>
      </w:pPr>
      <w:bookmarkStart w:name="_Hlk29579534" w:id="3"/>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bookmarkEnd w:id="3"/>
      <w:r>
        <w:t xml:space="preserve">  </w:t>
      </w:r>
    </w:p>
    <w:p w:rsidR="005A485E" w:rsidP="005A485E" w:rsidRDefault="005A485E" w14:paraId="36E18CC3" w14:textId="77777777">
      <w:pPr>
        <w:ind w:left="360"/>
      </w:pPr>
    </w:p>
    <w:p w:rsidRPr="005A485E" w:rsidR="00E36537" w:rsidP="005A485E" w:rsidRDefault="005A485E" w14:paraId="4B247415" w14:textId="634706ED">
      <w:pPr>
        <w:ind w:left="360"/>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A485E" w:rsidP="005A485E" w:rsidRDefault="005A485E" w14:paraId="1F63B9DA" w14:textId="77777777">
      <w:pPr>
        <w:tabs>
          <w:tab w:val="left" w:pos="480"/>
          <w:tab w:val="right" w:pos="8640"/>
        </w:tabs>
        <w:ind w:right="684"/>
        <w:rPr>
          <w:sz w:val="24"/>
          <w:szCs w:val="24"/>
        </w:rPr>
      </w:pPr>
    </w:p>
    <w:p w:rsidR="00B02F00" w:rsidRDefault="00B02F00" w14:paraId="52A2E0AA" w14:textId="77777777">
      <w:pPr>
        <w:rPr>
          <w:b/>
          <w:sz w:val="24"/>
          <w:szCs w:val="24"/>
        </w:rPr>
      </w:pPr>
      <w:r>
        <w:rPr>
          <w:b/>
          <w:sz w:val="24"/>
          <w:szCs w:val="24"/>
        </w:rPr>
        <w:br w:type="page"/>
      </w:r>
    </w:p>
    <w:p w:rsidRPr="008C254F" w:rsidR="00495C22" w:rsidP="008C254F" w:rsidRDefault="00495C22" w14:paraId="46E5CEED" w14:textId="39963603">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lastRenderedPageBreak/>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D71829" w:rsidRDefault="00710DDD" w14:paraId="412A96EF" w14:textId="2441A611">
      <w:pPr>
        <w:ind w:left="360" w:right="540"/>
        <w:rPr>
          <w:sz w:val="24"/>
          <w:szCs w:val="24"/>
        </w:rPr>
      </w:pPr>
      <w:r w:rsidRPr="00D71829">
        <w:rPr>
          <w:sz w:val="24"/>
          <w:szCs w:val="24"/>
        </w:rPr>
        <w:t>The respondent burden has not changed.</w:t>
      </w:r>
      <w:r w:rsidR="0006210D">
        <w:rPr>
          <w:sz w:val="24"/>
          <w:szCs w:val="24"/>
        </w:rPr>
        <w:t xml:space="preserve">  This is an extension only.  </w:t>
      </w:r>
      <w:r w:rsidRPr="00D71829">
        <w:rPr>
          <w:sz w:val="24"/>
          <w:szCs w:val="24"/>
        </w:rPr>
        <w:t xml:space="preserve">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2165A4AC">
      <w:pPr>
        <w:rPr>
          <w:b/>
          <w:sz w:val="24"/>
          <w:szCs w:val="24"/>
        </w:rPr>
      </w:pPr>
      <w:r w:rsidRPr="008C254F">
        <w:rPr>
          <w:b/>
          <w:sz w:val="24"/>
          <w:szCs w:val="24"/>
        </w:rPr>
        <w:t xml:space="preserve">B.  </w:t>
      </w:r>
      <w:r w:rsidRPr="008C254F">
        <w:rPr>
          <w:b/>
          <w:sz w:val="24"/>
          <w:szCs w:val="24"/>
          <w:u w:val="single"/>
        </w:rPr>
        <w:t xml:space="preserve">Collection of Information </w:t>
      </w:r>
      <w:r w:rsidRPr="008C254F" w:rsidR="005A485E">
        <w:rPr>
          <w:b/>
          <w:sz w:val="24"/>
          <w:szCs w:val="24"/>
          <w:u w:val="single"/>
        </w:rPr>
        <w:t>Employing Statistical</w:t>
      </w:r>
      <w:r w:rsidRPr="008C254F">
        <w:rPr>
          <w:b/>
          <w:sz w:val="24"/>
          <w:szCs w:val="24"/>
          <w:u w:val="single"/>
        </w:rPr>
        <w:t xml:space="preserve">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3258" w14:textId="77777777" w:rsidR="00FA2C62" w:rsidRDefault="00FA2C62" w:rsidP="00606AD2">
      <w:r>
        <w:separator/>
      </w:r>
    </w:p>
  </w:endnote>
  <w:endnote w:type="continuationSeparator" w:id="0">
    <w:p w14:paraId="1A37BA03" w14:textId="77777777" w:rsidR="00FA2C62" w:rsidRDefault="00FA2C62"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8D64B" w14:textId="77777777" w:rsidR="00FA2C62" w:rsidRDefault="00FA2C62" w:rsidP="00606AD2">
      <w:r>
        <w:separator/>
      </w:r>
    </w:p>
  </w:footnote>
  <w:footnote w:type="continuationSeparator" w:id="0">
    <w:p w14:paraId="7C8C979B" w14:textId="77777777" w:rsidR="00FA2C62" w:rsidRDefault="00FA2C62"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5E30" w14:textId="7CAB2BE2" w:rsidR="00F81B22" w:rsidRPr="00F81B22" w:rsidRDefault="00726753" w:rsidP="00F81B22">
    <w:pPr>
      <w:jc w:val="center"/>
      <w:rPr>
        <w:b/>
        <w:sz w:val="24"/>
        <w:szCs w:val="24"/>
      </w:rPr>
    </w:pPr>
    <w:r w:rsidRPr="00F81B22">
      <w:rPr>
        <w:sz w:val="24"/>
        <w:szCs w:val="24"/>
      </w:rPr>
      <w:t>Supporting Statement for VA Form 21-</w:t>
    </w:r>
    <w:r w:rsidR="005927ED">
      <w:rPr>
        <w:sz w:val="24"/>
        <w:szCs w:val="24"/>
      </w:rPr>
      <w:t>0779</w:t>
    </w:r>
    <w:r w:rsidRPr="00F81B22">
      <w:rPr>
        <w:sz w:val="24"/>
        <w:szCs w:val="24"/>
      </w:rPr>
      <w:t>,</w:t>
    </w:r>
  </w:p>
  <w:p w14:paraId="1A687DB3" w14:textId="515689AD" w:rsidR="00606AD2" w:rsidRPr="00F81B22" w:rsidRDefault="005927ED" w:rsidP="00F81B22">
    <w:pPr>
      <w:jc w:val="center"/>
      <w:rPr>
        <w:b/>
        <w:sz w:val="24"/>
        <w:szCs w:val="24"/>
      </w:rPr>
    </w:pPr>
    <w:r>
      <w:rPr>
        <w:sz w:val="24"/>
        <w:szCs w:val="24"/>
      </w:rPr>
      <w:t>Request for Nursing Home Information in Connection with Claim for Aid and Attendance</w:t>
    </w:r>
  </w:p>
  <w:p w14:paraId="75B0C283" w14:textId="7D309045" w:rsidR="00726753" w:rsidRPr="00F81B22" w:rsidRDefault="00F81B22" w:rsidP="00F81B22">
    <w:pPr>
      <w:jc w:val="center"/>
      <w:rPr>
        <w:sz w:val="24"/>
        <w:szCs w:val="24"/>
      </w:rPr>
    </w:pPr>
    <w:r>
      <w:rPr>
        <w:sz w:val="24"/>
        <w:szCs w:val="24"/>
      </w:rPr>
      <w:t>OMB #</w:t>
    </w:r>
    <w:r w:rsidR="00726753" w:rsidRPr="00F81B22">
      <w:rPr>
        <w:sz w:val="24"/>
        <w:szCs w:val="24"/>
      </w:rPr>
      <w:t>2900-</w:t>
    </w:r>
    <w:r w:rsidR="005927ED">
      <w:rPr>
        <w:sz w:val="24"/>
        <w:szCs w:val="24"/>
      </w:rPr>
      <w:t>0652</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6210D"/>
    <w:rsid w:val="00072B8C"/>
    <w:rsid w:val="000A3F32"/>
    <w:rsid w:val="000D74BD"/>
    <w:rsid w:val="000E59E1"/>
    <w:rsid w:val="001419E2"/>
    <w:rsid w:val="00142589"/>
    <w:rsid w:val="0016376A"/>
    <w:rsid w:val="00171C87"/>
    <w:rsid w:val="00174B1F"/>
    <w:rsid w:val="001968BC"/>
    <w:rsid w:val="001D6D11"/>
    <w:rsid w:val="00272B57"/>
    <w:rsid w:val="00295605"/>
    <w:rsid w:val="002B4434"/>
    <w:rsid w:val="00303259"/>
    <w:rsid w:val="00310573"/>
    <w:rsid w:val="00312610"/>
    <w:rsid w:val="003210D0"/>
    <w:rsid w:val="00334E84"/>
    <w:rsid w:val="00347A7B"/>
    <w:rsid w:val="003A209D"/>
    <w:rsid w:val="003B6D49"/>
    <w:rsid w:val="003B797D"/>
    <w:rsid w:val="003F663E"/>
    <w:rsid w:val="0043068B"/>
    <w:rsid w:val="00430D02"/>
    <w:rsid w:val="00447F72"/>
    <w:rsid w:val="00486812"/>
    <w:rsid w:val="00495C22"/>
    <w:rsid w:val="004D3BF6"/>
    <w:rsid w:val="004E0438"/>
    <w:rsid w:val="0051524F"/>
    <w:rsid w:val="0053151A"/>
    <w:rsid w:val="0053466D"/>
    <w:rsid w:val="00547E0C"/>
    <w:rsid w:val="00563695"/>
    <w:rsid w:val="00581C1C"/>
    <w:rsid w:val="005927ED"/>
    <w:rsid w:val="005A485E"/>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BC5"/>
    <w:rsid w:val="00772F07"/>
    <w:rsid w:val="00773666"/>
    <w:rsid w:val="00782C13"/>
    <w:rsid w:val="007D0781"/>
    <w:rsid w:val="007D14AB"/>
    <w:rsid w:val="007D2741"/>
    <w:rsid w:val="007F3759"/>
    <w:rsid w:val="00823C3C"/>
    <w:rsid w:val="0084157F"/>
    <w:rsid w:val="00883AD4"/>
    <w:rsid w:val="0089361A"/>
    <w:rsid w:val="008A68B3"/>
    <w:rsid w:val="008C254F"/>
    <w:rsid w:val="009135FA"/>
    <w:rsid w:val="0094691E"/>
    <w:rsid w:val="0095533E"/>
    <w:rsid w:val="00993FA5"/>
    <w:rsid w:val="009A5278"/>
    <w:rsid w:val="009B5624"/>
    <w:rsid w:val="009D1D80"/>
    <w:rsid w:val="009E3506"/>
    <w:rsid w:val="00A073C3"/>
    <w:rsid w:val="00A21543"/>
    <w:rsid w:val="00A22565"/>
    <w:rsid w:val="00A411DD"/>
    <w:rsid w:val="00A757D5"/>
    <w:rsid w:val="00B02F00"/>
    <w:rsid w:val="00B03501"/>
    <w:rsid w:val="00B32D2A"/>
    <w:rsid w:val="00B37719"/>
    <w:rsid w:val="00B40113"/>
    <w:rsid w:val="00B6651E"/>
    <w:rsid w:val="00B713C7"/>
    <w:rsid w:val="00B82974"/>
    <w:rsid w:val="00BA0556"/>
    <w:rsid w:val="00BD7201"/>
    <w:rsid w:val="00BF5B44"/>
    <w:rsid w:val="00C17C77"/>
    <w:rsid w:val="00C47978"/>
    <w:rsid w:val="00C75126"/>
    <w:rsid w:val="00CA418A"/>
    <w:rsid w:val="00CA7E43"/>
    <w:rsid w:val="00D20A37"/>
    <w:rsid w:val="00D656BB"/>
    <w:rsid w:val="00D71829"/>
    <w:rsid w:val="00D7449F"/>
    <w:rsid w:val="00D94A38"/>
    <w:rsid w:val="00D975C9"/>
    <w:rsid w:val="00DD0140"/>
    <w:rsid w:val="00DD5D06"/>
    <w:rsid w:val="00E3211D"/>
    <w:rsid w:val="00E36537"/>
    <w:rsid w:val="00E915F3"/>
    <w:rsid w:val="00E948A8"/>
    <w:rsid w:val="00EC2E2D"/>
    <w:rsid w:val="00F01D5F"/>
    <w:rsid w:val="00F458E2"/>
    <w:rsid w:val="00F47131"/>
    <w:rsid w:val="00F531B6"/>
    <w:rsid w:val="00F54C17"/>
    <w:rsid w:val="00F81B22"/>
    <w:rsid w:val="00F9546D"/>
    <w:rsid w:val="00FA2C62"/>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customStyle="1" w:styleId="UnresolvedMention1">
    <w:name w:val="Unresolved Mention1"/>
    <w:basedOn w:val="DefaultParagraphFont"/>
    <w:uiPriority w:val="99"/>
    <w:semiHidden/>
    <w:unhideWhenUsed/>
    <w:rsid w:val="00563695"/>
    <w:rPr>
      <w:color w:val="605E5C"/>
      <w:shd w:val="clear" w:color="auto" w:fill="E1DFDD"/>
    </w:rPr>
  </w:style>
  <w:style w:type="paragraph" w:customStyle="1" w:styleId="Default">
    <w:name w:val="Default"/>
    <w:basedOn w:val="Normal"/>
    <w:rsid w:val="0006210D"/>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591009397">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08268994">
      <w:bodyDiv w:val="1"/>
      <w:marLeft w:val="0"/>
      <w:marRight w:val="0"/>
      <w:marTop w:val="0"/>
      <w:marBottom w:val="0"/>
      <w:divBdr>
        <w:top w:val="none" w:sz="0" w:space="0" w:color="auto"/>
        <w:left w:val="none" w:sz="0" w:space="0" w:color="auto"/>
        <w:bottom w:val="none" w:sz="0" w:space="0" w:color="auto"/>
        <w:right w:val="none" w:sz="0" w:space="0" w:color="auto"/>
      </w:divBdr>
    </w:div>
    <w:div w:id="130025832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97494971">
      <w:bodyDiv w:val="1"/>
      <w:marLeft w:val="0"/>
      <w:marRight w:val="0"/>
      <w:marTop w:val="0"/>
      <w:marBottom w:val="0"/>
      <w:divBdr>
        <w:top w:val="none" w:sz="0" w:space="0" w:color="auto"/>
        <w:left w:val="none" w:sz="0" w:space="0" w:color="auto"/>
        <w:bottom w:val="none" w:sz="0" w:space="0" w:color="auto"/>
        <w:right w:val="none" w:sz="0" w:space="0" w:color="auto"/>
      </w:divBdr>
    </w:div>
    <w:div w:id="207789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96536E8-51D5-4852-899D-91385707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13447</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2020-02-07T18:42:00Z</dcterms:created>
  <dcterms:modified xsi:type="dcterms:W3CDTF">2020-02-07T19:08:00Z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