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87EE9" w14:textId="77777777" w:rsidR="005B6ADB" w:rsidRPr="005375A8" w:rsidRDefault="001C5341" w:rsidP="005375A8">
      <w:pPr>
        <w:tabs>
          <w:tab w:val="center" w:pos="4680"/>
        </w:tabs>
        <w:jc w:val="center"/>
        <w:rPr>
          <w:rFonts w:ascii="Times New Roman" w:hAnsi="Times New Roman"/>
          <w:szCs w:val="24"/>
        </w:rPr>
      </w:pPr>
      <w:bookmarkStart w:id="0" w:name="_GoBack"/>
      <w:bookmarkEnd w:id="0"/>
      <w:r w:rsidRPr="005375A8">
        <w:rPr>
          <w:rFonts w:ascii="Times New Roman" w:hAnsi="Times New Roman"/>
          <w:szCs w:val="24"/>
        </w:rPr>
        <w:t>SUPPORTING STATEMENT</w:t>
      </w:r>
    </w:p>
    <w:p w14:paraId="2FA976A1" w14:textId="77777777" w:rsidR="005B6ADB" w:rsidRPr="005375A8" w:rsidRDefault="001C5341" w:rsidP="005375A8">
      <w:pPr>
        <w:tabs>
          <w:tab w:val="center" w:pos="4680"/>
        </w:tabs>
        <w:jc w:val="center"/>
        <w:rPr>
          <w:rFonts w:ascii="Times New Roman" w:hAnsi="Times New Roman"/>
          <w:szCs w:val="24"/>
        </w:rPr>
      </w:pPr>
      <w:r w:rsidRPr="005375A8">
        <w:rPr>
          <w:rFonts w:ascii="Times New Roman" w:hAnsi="Times New Roman"/>
          <w:szCs w:val="24"/>
        </w:rPr>
        <w:t>Reporting Requirements Associated with Resolution Planning</w:t>
      </w:r>
    </w:p>
    <w:p w14:paraId="1338CAFE" w14:textId="655FD657" w:rsidR="008C29DB" w:rsidRPr="005375A8" w:rsidRDefault="00175B53" w:rsidP="005375A8">
      <w:pPr>
        <w:tabs>
          <w:tab w:val="center" w:pos="4680"/>
        </w:tabs>
        <w:jc w:val="center"/>
        <w:rPr>
          <w:rFonts w:ascii="Times New Roman" w:hAnsi="Times New Roman"/>
          <w:szCs w:val="24"/>
        </w:rPr>
      </w:pPr>
      <w:r w:rsidRPr="005375A8">
        <w:rPr>
          <w:rFonts w:ascii="Times New Roman" w:hAnsi="Times New Roman"/>
          <w:szCs w:val="24"/>
        </w:rPr>
        <w:t xml:space="preserve">(OMB Control No. </w:t>
      </w:r>
      <w:r w:rsidR="008C29DB" w:rsidRPr="005375A8">
        <w:rPr>
          <w:rFonts w:ascii="Times New Roman" w:hAnsi="Times New Roman"/>
          <w:szCs w:val="24"/>
        </w:rPr>
        <w:t>3064-</w:t>
      </w:r>
      <w:r w:rsidR="0087615C">
        <w:rPr>
          <w:rFonts w:ascii="Times New Roman" w:hAnsi="Times New Roman"/>
          <w:szCs w:val="24"/>
        </w:rPr>
        <w:t>0210)</w:t>
      </w:r>
    </w:p>
    <w:p w14:paraId="04D03736" w14:textId="77777777" w:rsidR="005B6ADB" w:rsidRPr="005375A8" w:rsidRDefault="005B6ADB" w:rsidP="005375A8">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p>
    <w:p w14:paraId="42E2CA4A" w14:textId="77777777" w:rsidR="005B6ADB" w:rsidRPr="005375A8" w:rsidRDefault="005B6ADB" w:rsidP="005375A8">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r w:rsidRPr="005375A8">
        <w:rPr>
          <w:rFonts w:ascii="Times New Roman" w:hAnsi="Times New Roman"/>
          <w:szCs w:val="24"/>
          <w:u w:val="single"/>
        </w:rPr>
        <w:t>INTRODUCTION</w:t>
      </w:r>
    </w:p>
    <w:p w14:paraId="11775127" w14:textId="77777777" w:rsidR="005B6ADB" w:rsidRPr="005375A8" w:rsidRDefault="005B6ADB" w:rsidP="005375A8">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p>
    <w:p w14:paraId="2970F799" w14:textId="30D36B2B" w:rsidR="005B6ADB" w:rsidRPr="005375A8" w:rsidRDefault="0087615C" w:rsidP="0087615C">
      <w:pPr>
        <w:rPr>
          <w:rFonts w:ascii="Times New Roman" w:hAnsi="Times New Roman"/>
          <w:szCs w:val="24"/>
        </w:rPr>
      </w:pPr>
      <w:r w:rsidRPr="00BC71D9">
        <w:rPr>
          <w:rFonts w:ascii="Times New Roman" w:hAnsi="Times New Roman"/>
          <w:szCs w:val="24"/>
        </w:rPr>
        <w:t>This submission is being made</w:t>
      </w:r>
      <w:r>
        <w:rPr>
          <w:rFonts w:ascii="Times New Roman" w:hAnsi="Times New Roman"/>
          <w:szCs w:val="24"/>
        </w:rPr>
        <w:t xml:space="preserve"> by the</w:t>
      </w:r>
      <w:r w:rsidRPr="00BC71D9">
        <w:rPr>
          <w:rFonts w:ascii="Times New Roman" w:hAnsi="Times New Roman"/>
          <w:szCs w:val="24"/>
        </w:rPr>
        <w:t xml:space="preserve"> </w:t>
      </w:r>
      <w:r w:rsidRPr="005375A8">
        <w:rPr>
          <w:rFonts w:ascii="Times New Roman" w:hAnsi="Times New Roman"/>
          <w:szCs w:val="24"/>
        </w:rPr>
        <w:t xml:space="preserve">Federal Deposit Insurance Corporation (FDIC) </w:t>
      </w:r>
      <w:r w:rsidRPr="00BC71D9">
        <w:rPr>
          <w:rFonts w:ascii="Times New Roman" w:hAnsi="Times New Roman"/>
          <w:szCs w:val="24"/>
        </w:rPr>
        <w:t xml:space="preserve">in connection with a </w:t>
      </w:r>
      <w:r w:rsidR="00A330C8">
        <w:rPr>
          <w:rFonts w:ascii="Times New Roman" w:hAnsi="Times New Roman"/>
          <w:szCs w:val="24"/>
        </w:rPr>
        <w:t>final r</w:t>
      </w:r>
      <w:r>
        <w:rPr>
          <w:rFonts w:ascii="Times New Roman" w:hAnsi="Times New Roman"/>
          <w:szCs w:val="24"/>
        </w:rPr>
        <w:t>ule</w:t>
      </w:r>
      <w:r w:rsidRPr="00BC71D9">
        <w:rPr>
          <w:rFonts w:ascii="Times New Roman" w:hAnsi="Times New Roman"/>
          <w:szCs w:val="24"/>
        </w:rPr>
        <w:t xml:space="preserve"> published in the </w:t>
      </w:r>
      <w:r w:rsidRPr="00675B5D">
        <w:rPr>
          <w:rFonts w:ascii="Times New Roman" w:hAnsi="Times New Roman"/>
          <w:i/>
          <w:szCs w:val="24"/>
        </w:rPr>
        <w:t>Federal Register</w:t>
      </w:r>
      <w:r w:rsidRPr="00675B5D">
        <w:rPr>
          <w:rStyle w:val="FootnoteReference"/>
          <w:szCs w:val="24"/>
          <w:vertAlign w:val="superscript"/>
        </w:rPr>
        <w:footnoteReference w:id="1"/>
      </w:r>
      <w:r w:rsidR="00A17F91">
        <w:rPr>
          <w:rFonts w:ascii="Times New Roman" w:hAnsi="Times New Roman"/>
          <w:szCs w:val="24"/>
        </w:rPr>
        <w:t xml:space="preserve"> (the Final Rule).</w:t>
      </w:r>
      <w:r>
        <w:rPr>
          <w:rFonts w:ascii="Times New Roman" w:hAnsi="Times New Roman"/>
          <w:i/>
          <w:szCs w:val="24"/>
        </w:rPr>
        <w:t xml:space="preserve"> </w:t>
      </w:r>
      <w:r w:rsidR="00322032">
        <w:rPr>
          <w:rFonts w:ascii="Times New Roman" w:hAnsi="Times New Roman"/>
          <w:szCs w:val="24"/>
        </w:rPr>
        <w:t xml:space="preserve">The </w:t>
      </w:r>
      <w:r w:rsidR="00A17F91">
        <w:rPr>
          <w:rFonts w:ascii="Times New Roman" w:hAnsi="Times New Roman"/>
          <w:szCs w:val="24"/>
        </w:rPr>
        <w:t>Final Rule</w:t>
      </w:r>
      <w:r w:rsidR="00D826FD" w:rsidRPr="005375A8">
        <w:rPr>
          <w:rFonts w:ascii="Times New Roman" w:hAnsi="Times New Roman"/>
          <w:szCs w:val="24"/>
        </w:rPr>
        <w:t xml:space="preserve"> amend</w:t>
      </w:r>
      <w:r w:rsidR="00322032">
        <w:rPr>
          <w:rFonts w:ascii="Times New Roman" w:hAnsi="Times New Roman"/>
          <w:szCs w:val="24"/>
        </w:rPr>
        <w:t>s</w:t>
      </w:r>
      <w:r w:rsidR="00D826FD" w:rsidRPr="005375A8">
        <w:rPr>
          <w:rFonts w:ascii="Times New Roman" w:hAnsi="Times New Roman"/>
          <w:szCs w:val="24"/>
        </w:rPr>
        <w:t xml:space="preserve"> and restate</w:t>
      </w:r>
      <w:r w:rsidR="00322032">
        <w:rPr>
          <w:rFonts w:ascii="Times New Roman" w:hAnsi="Times New Roman"/>
          <w:szCs w:val="24"/>
        </w:rPr>
        <w:t>s</w:t>
      </w:r>
      <w:r w:rsidR="00D826FD" w:rsidRPr="005375A8">
        <w:rPr>
          <w:rFonts w:ascii="Times New Roman" w:hAnsi="Times New Roman"/>
          <w:szCs w:val="24"/>
        </w:rPr>
        <w:t xml:space="preserve"> the jointly-issued rule</w:t>
      </w:r>
      <w:r w:rsidR="00316291" w:rsidRPr="005375A8">
        <w:rPr>
          <w:rFonts w:ascii="Times New Roman" w:hAnsi="Times New Roman"/>
          <w:szCs w:val="24"/>
        </w:rPr>
        <w:t xml:space="preserve"> (12 C.F.R. Part 381</w:t>
      </w:r>
      <w:r w:rsidR="00BA7051">
        <w:rPr>
          <w:rFonts w:ascii="Times New Roman" w:hAnsi="Times New Roman"/>
          <w:szCs w:val="24"/>
        </w:rPr>
        <w:t xml:space="preserve"> (FDIC), 12 C.F.R Part 243 (Board of Governors of the Federal Reserve System)</w:t>
      </w:r>
      <w:r w:rsidR="00316291" w:rsidRPr="005375A8">
        <w:rPr>
          <w:rFonts w:ascii="Times New Roman" w:hAnsi="Times New Roman"/>
          <w:szCs w:val="24"/>
        </w:rPr>
        <w:t>)</w:t>
      </w:r>
      <w:r w:rsidR="00D826FD" w:rsidRPr="005375A8">
        <w:rPr>
          <w:rFonts w:ascii="Times New Roman" w:hAnsi="Times New Roman"/>
          <w:szCs w:val="24"/>
        </w:rPr>
        <w:t xml:space="preserve"> </w:t>
      </w:r>
      <w:r w:rsidR="00D0471A" w:rsidRPr="005375A8">
        <w:rPr>
          <w:rFonts w:ascii="Times New Roman" w:hAnsi="Times New Roman"/>
          <w:szCs w:val="24"/>
        </w:rPr>
        <w:t>(the Rule)</w:t>
      </w:r>
      <w:r w:rsidR="00D0471A">
        <w:rPr>
          <w:rFonts w:ascii="Times New Roman" w:hAnsi="Times New Roman"/>
          <w:szCs w:val="24"/>
        </w:rPr>
        <w:t xml:space="preserve"> </w:t>
      </w:r>
      <w:r w:rsidR="00D826FD" w:rsidRPr="005375A8">
        <w:rPr>
          <w:rFonts w:ascii="Times New Roman" w:hAnsi="Times New Roman"/>
          <w:szCs w:val="24"/>
        </w:rPr>
        <w:t>that was adopted in 2011 implementing section 165(d) of the Dodd-Frank Wall Street Reform and Consumer Protection Act (the Dodd-Frank Act).  The Rule</w:t>
      </w:r>
      <w:r w:rsidR="00322032">
        <w:rPr>
          <w:rFonts w:ascii="Times New Roman" w:hAnsi="Times New Roman"/>
          <w:szCs w:val="24"/>
        </w:rPr>
        <w:t xml:space="preserve"> requires </w:t>
      </w:r>
      <w:r w:rsidR="002D28D0" w:rsidRPr="005375A8">
        <w:rPr>
          <w:rFonts w:ascii="Times New Roman" w:hAnsi="Times New Roman"/>
          <w:szCs w:val="24"/>
        </w:rPr>
        <w:t>certain financial companies</w:t>
      </w:r>
      <w:r w:rsidR="00D00566" w:rsidRPr="005375A8">
        <w:rPr>
          <w:rStyle w:val="FootnoteReference"/>
          <w:szCs w:val="24"/>
          <w:vertAlign w:val="superscript"/>
        </w:rPr>
        <w:footnoteReference w:id="2"/>
      </w:r>
      <w:r w:rsidR="005B6ADB" w:rsidRPr="005375A8">
        <w:rPr>
          <w:rFonts w:ascii="Times New Roman" w:hAnsi="Times New Roman"/>
          <w:szCs w:val="24"/>
          <w:vertAlign w:val="superscript"/>
        </w:rPr>
        <w:t xml:space="preserve"> </w:t>
      </w:r>
      <w:r w:rsidR="005B6ADB" w:rsidRPr="005375A8">
        <w:rPr>
          <w:rFonts w:ascii="Times New Roman" w:hAnsi="Times New Roman"/>
          <w:szCs w:val="24"/>
        </w:rPr>
        <w:t xml:space="preserve">(covered </w:t>
      </w:r>
      <w:r w:rsidR="002D28D0" w:rsidRPr="005375A8">
        <w:rPr>
          <w:rFonts w:ascii="Times New Roman" w:hAnsi="Times New Roman"/>
          <w:szCs w:val="24"/>
        </w:rPr>
        <w:t>companies</w:t>
      </w:r>
      <w:r w:rsidR="005B6ADB" w:rsidRPr="005375A8">
        <w:rPr>
          <w:rFonts w:ascii="Times New Roman" w:hAnsi="Times New Roman"/>
          <w:szCs w:val="24"/>
        </w:rPr>
        <w:t>)</w:t>
      </w:r>
      <w:r w:rsidR="002D28D0" w:rsidRPr="005375A8">
        <w:rPr>
          <w:rFonts w:ascii="Times New Roman" w:hAnsi="Times New Roman"/>
          <w:szCs w:val="24"/>
        </w:rPr>
        <w:t xml:space="preserve"> to report periodically to the FDIC and the Board of Governors of the Federal Reserve System (Board) (together, the agencies) their plans for rapid and orderly resolution under the U.S. Bankruptcy Code </w:t>
      </w:r>
      <w:r w:rsidR="004F270F">
        <w:rPr>
          <w:rFonts w:ascii="Times New Roman" w:hAnsi="Times New Roman"/>
          <w:szCs w:val="24"/>
        </w:rPr>
        <w:t xml:space="preserve">(Bankruptcy Code) </w:t>
      </w:r>
      <w:r w:rsidR="002D28D0" w:rsidRPr="005375A8">
        <w:rPr>
          <w:rFonts w:ascii="Times New Roman" w:hAnsi="Times New Roman"/>
          <w:szCs w:val="24"/>
        </w:rPr>
        <w:t xml:space="preserve">in the event of material </w:t>
      </w:r>
      <w:r w:rsidR="00D826FD" w:rsidRPr="005375A8">
        <w:rPr>
          <w:rFonts w:ascii="Times New Roman" w:hAnsi="Times New Roman"/>
          <w:szCs w:val="24"/>
        </w:rPr>
        <w:t xml:space="preserve">financial distress or failure.  When the Rule was adopted in 2011, the Board took the entire Paperwork Reduction Act (PRA) burden associated with the Rule even though the Board and the FDIC are both legally authorized to receive and review resolution plans.  The agencies have decided to now share equally in the burden associated with the </w:t>
      </w:r>
      <w:r w:rsidR="00A17F91">
        <w:rPr>
          <w:rFonts w:ascii="Times New Roman" w:hAnsi="Times New Roman"/>
          <w:szCs w:val="24"/>
        </w:rPr>
        <w:t>Final Rule</w:t>
      </w:r>
      <w:r w:rsidR="00D826FD" w:rsidRPr="005375A8">
        <w:rPr>
          <w:rFonts w:ascii="Times New Roman" w:hAnsi="Times New Roman"/>
          <w:szCs w:val="24"/>
        </w:rPr>
        <w:t xml:space="preserve">.  As a result, the FDIC is requesting approval from the OMB for one half of the Board’s PRA burden, as </w:t>
      </w:r>
      <w:r w:rsidR="00322032">
        <w:rPr>
          <w:rFonts w:ascii="Times New Roman" w:hAnsi="Times New Roman"/>
          <w:szCs w:val="24"/>
        </w:rPr>
        <w:t xml:space="preserve">revised by the </w:t>
      </w:r>
      <w:r w:rsidR="00A17F91">
        <w:rPr>
          <w:rFonts w:ascii="Times New Roman" w:hAnsi="Times New Roman"/>
          <w:szCs w:val="24"/>
        </w:rPr>
        <w:t>Final Rule</w:t>
      </w:r>
      <w:r w:rsidR="00322032">
        <w:rPr>
          <w:rFonts w:ascii="Times New Roman" w:hAnsi="Times New Roman"/>
          <w:szCs w:val="24"/>
        </w:rPr>
        <w:t>.</w:t>
      </w:r>
    </w:p>
    <w:p w14:paraId="6DD7656C" w14:textId="77777777" w:rsidR="005B6ADB" w:rsidRPr="005375A8" w:rsidRDefault="005B6ADB" w:rsidP="005375A8">
      <w:pPr>
        <w:tabs>
          <w:tab w:val="left" w:pos="240"/>
          <w:tab w:val="left" w:pos="840"/>
          <w:tab w:val="left" w:pos="1440"/>
          <w:tab w:val="left" w:pos="2040"/>
          <w:tab w:val="left" w:pos="2640"/>
          <w:tab w:val="left" w:pos="3240"/>
          <w:tab w:val="left" w:pos="3840"/>
          <w:tab w:val="left" w:pos="4440"/>
        </w:tabs>
        <w:rPr>
          <w:rFonts w:ascii="Times New Roman" w:hAnsi="Times New Roman"/>
          <w:szCs w:val="24"/>
        </w:rPr>
      </w:pPr>
    </w:p>
    <w:p w14:paraId="7B5ACCF4" w14:textId="77777777" w:rsidR="005B6ADB" w:rsidRPr="005375A8" w:rsidRDefault="005B6ADB" w:rsidP="005375A8">
      <w:pPr>
        <w:pStyle w:val="ListParagraph"/>
        <w:numPr>
          <w:ilvl w:val="0"/>
          <w:numId w:val="2"/>
        </w:numPr>
        <w:rPr>
          <w:rFonts w:ascii="Times New Roman" w:hAnsi="Times New Roman"/>
          <w:szCs w:val="24"/>
        </w:rPr>
      </w:pPr>
      <w:r w:rsidRPr="005375A8">
        <w:rPr>
          <w:rFonts w:ascii="Times New Roman" w:hAnsi="Times New Roman"/>
          <w:szCs w:val="24"/>
          <w:u w:val="single"/>
        </w:rPr>
        <w:t>JUSTIFICATION</w:t>
      </w:r>
    </w:p>
    <w:p w14:paraId="65759C0F" w14:textId="77777777" w:rsidR="005B6ADB" w:rsidRPr="005375A8" w:rsidRDefault="005B6ADB" w:rsidP="005375A8">
      <w:pPr>
        <w:rPr>
          <w:rFonts w:ascii="Times New Roman" w:hAnsi="Times New Roman"/>
          <w:i/>
          <w:szCs w:val="24"/>
        </w:rPr>
      </w:pPr>
    </w:p>
    <w:p w14:paraId="6BF0C92F" w14:textId="77777777" w:rsidR="00274C31" w:rsidRPr="00712682" w:rsidRDefault="00274C31" w:rsidP="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712682">
        <w:rPr>
          <w:rFonts w:ascii="Times New Roman" w:hAnsi="Times New Roman"/>
          <w:u w:val="single"/>
        </w:rPr>
        <w:t>Circumstances that make the collection necessary:</w:t>
      </w:r>
    </w:p>
    <w:p w14:paraId="0F62F2D5" w14:textId="77777777" w:rsidR="005B6ADB" w:rsidRPr="005375A8" w:rsidRDefault="005B6ADB" w:rsidP="005375A8">
      <w:pPr>
        <w:rPr>
          <w:rFonts w:ascii="Times New Roman" w:hAnsi="Times New Roman"/>
          <w:i/>
          <w:szCs w:val="24"/>
        </w:rPr>
      </w:pPr>
    </w:p>
    <w:p w14:paraId="620A9870" w14:textId="5579C7B6" w:rsidR="00454E22" w:rsidRPr="005375A8" w:rsidRDefault="00454E22" w:rsidP="00274C31">
      <w:pPr>
        <w:pStyle w:val="BodyText"/>
        <w:spacing w:after="0"/>
        <w:ind w:left="1080" w:right="374"/>
        <w:rPr>
          <w:rFonts w:ascii="Times New Roman" w:hAnsi="Times New Roman"/>
          <w:szCs w:val="24"/>
        </w:rPr>
      </w:pPr>
      <w:r w:rsidRPr="005375A8">
        <w:rPr>
          <w:rFonts w:ascii="Times New Roman" w:hAnsi="Times New Roman"/>
          <w:szCs w:val="24"/>
        </w:rPr>
        <w:t xml:space="preserve">To promote financial stability, section 165(d) of the Dodd-Frank Act requires </w:t>
      </w:r>
      <w:r w:rsidR="000B1917">
        <w:rPr>
          <w:rFonts w:ascii="Times New Roman" w:hAnsi="Times New Roman"/>
          <w:szCs w:val="24"/>
        </w:rPr>
        <w:t>certain</w:t>
      </w:r>
      <w:r w:rsidRPr="005375A8">
        <w:rPr>
          <w:rFonts w:ascii="Times New Roman" w:hAnsi="Times New Roman"/>
          <w:szCs w:val="24"/>
        </w:rPr>
        <w:t xml:space="preserve"> compan</w:t>
      </w:r>
      <w:r w:rsidR="000B1917">
        <w:rPr>
          <w:rFonts w:ascii="Times New Roman" w:hAnsi="Times New Roman"/>
          <w:szCs w:val="24"/>
        </w:rPr>
        <w:t>ies</w:t>
      </w:r>
      <w:r w:rsidRPr="005375A8">
        <w:rPr>
          <w:rFonts w:ascii="Times New Roman" w:hAnsi="Times New Roman"/>
          <w:szCs w:val="24"/>
        </w:rPr>
        <w:t xml:space="preserve"> to periodically submit a plan for such company’s rapid and orderly resolution under the Bankruptcy Code in the event of the company’s material financial distress or failure.</w:t>
      </w:r>
    </w:p>
    <w:p w14:paraId="4B86F055" w14:textId="77777777" w:rsidR="00454E22" w:rsidRPr="005375A8" w:rsidRDefault="00454E22" w:rsidP="00274C31">
      <w:pPr>
        <w:pStyle w:val="BodyText"/>
        <w:spacing w:after="0"/>
        <w:ind w:left="360"/>
        <w:rPr>
          <w:rFonts w:ascii="Times New Roman" w:hAnsi="Times New Roman"/>
          <w:szCs w:val="24"/>
        </w:rPr>
      </w:pPr>
    </w:p>
    <w:p w14:paraId="12BEB916" w14:textId="77777777" w:rsidR="00454E22" w:rsidRPr="005375A8" w:rsidRDefault="00454E22" w:rsidP="00274C31">
      <w:pPr>
        <w:pStyle w:val="BodyText"/>
        <w:spacing w:after="0"/>
        <w:ind w:left="1080" w:right="396"/>
        <w:rPr>
          <w:rFonts w:ascii="Times New Roman" w:hAnsi="Times New Roman"/>
          <w:szCs w:val="24"/>
        </w:rPr>
      </w:pPr>
      <w:r w:rsidRPr="005375A8">
        <w:rPr>
          <w:rFonts w:ascii="Times New Roman" w:hAnsi="Times New Roman"/>
          <w:szCs w:val="24"/>
        </w:rPr>
        <w:t xml:space="preserve">On November 1, 2011, the agencies published the Rule in the </w:t>
      </w:r>
      <w:r w:rsidRPr="005375A8">
        <w:rPr>
          <w:rFonts w:ascii="Times New Roman" w:hAnsi="Times New Roman"/>
          <w:i/>
          <w:szCs w:val="24"/>
        </w:rPr>
        <w:t>Federal Register</w:t>
      </w:r>
      <w:r w:rsidR="00E305AF" w:rsidRPr="005375A8">
        <w:rPr>
          <w:rFonts w:ascii="Times New Roman" w:hAnsi="Times New Roman"/>
          <w:i/>
          <w:szCs w:val="24"/>
        </w:rPr>
        <w:t xml:space="preserve"> </w:t>
      </w:r>
      <w:r w:rsidRPr="005375A8">
        <w:rPr>
          <w:rFonts w:ascii="Times New Roman" w:hAnsi="Times New Roman"/>
          <w:szCs w:val="24"/>
        </w:rPr>
        <w:t>(76 FR 67323), to implement the resolution plan requirement set forth in section 165(d)(1) of the Dodd-Frank Act. The effective date for the Rule was November 30, 2011, and the first set of resolution plans were submitted in July 2012, as required by the regulation.</w:t>
      </w:r>
    </w:p>
    <w:p w14:paraId="39CF2A0E" w14:textId="77777777" w:rsidR="00454E22" w:rsidRPr="005375A8" w:rsidRDefault="00454E22" w:rsidP="00274C31">
      <w:pPr>
        <w:pStyle w:val="BodyText"/>
        <w:spacing w:after="0"/>
        <w:ind w:left="360"/>
        <w:rPr>
          <w:rFonts w:ascii="Times New Roman" w:hAnsi="Times New Roman"/>
          <w:szCs w:val="24"/>
        </w:rPr>
      </w:pPr>
    </w:p>
    <w:p w14:paraId="5B8D233E" w14:textId="1272D54D" w:rsidR="00454E22" w:rsidRPr="005375A8" w:rsidRDefault="00454E22" w:rsidP="00274C31">
      <w:pPr>
        <w:pStyle w:val="BodyText"/>
        <w:spacing w:after="0"/>
        <w:ind w:left="1080" w:right="389"/>
        <w:rPr>
          <w:rFonts w:ascii="Times New Roman" w:hAnsi="Times New Roman"/>
          <w:szCs w:val="24"/>
        </w:rPr>
      </w:pPr>
      <w:r w:rsidRPr="005375A8">
        <w:rPr>
          <w:rFonts w:ascii="Times New Roman" w:hAnsi="Times New Roman"/>
          <w:szCs w:val="24"/>
        </w:rPr>
        <w:t xml:space="preserve">Resolution plans filed under section 165(d) and the Rule assist covered companies and regulators in conducting advance resolution planning for a covered company.  Through the FDIC’s experience in failed bank resolutions, as well as the Board’s and the FDIC’s experience in the most recent </w:t>
      </w:r>
      <w:r w:rsidR="00E125A8">
        <w:rPr>
          <w:rFonts w:ascii="Times New Roman" w:hAnsi="Times New Roman"/>
          <w:szCs w:val="24"/>
        </w:rPr>
        <w:t xml:space="preserve">financial </w:t>
      </w:r>
      <w:r w:rsidRPr="005375A8">
        <w:rPr>
          <w:rFonts w:ascii="Times New Roman" w:hAnsi="Times New Roman"/>
          <w:szCs w:val="24"/>
        </w:rPr>
        <w:t xml:space="preserve">crisis, it became apparent that advance planning </w:t>
      </w:r>
      <w:r w:rsidR="00CB7B9A">
        <w:rPr>
          <w:rFonts w:ascii="Times New Roman" w:hAnsi="Times New Roman"/>
          <w:szCs w:val="24"/>
        </w:rPr>
        <w:t xml:space="preserve">has the potential to </w:t>
      </w:r>
      <w:r w:rsidRPr="005375A8">
        <w:rPr>
          <w:rFonts w:ascii="Times New Roman" w:hAnsi="Times New Roman"/>
          <w:szCs w:val="24"/>
        </w:rPr>
        <w:t xml:space="preserve">improve the </w:t>
      </w:r>
      <w:r w:rsidRPr="005375A8">
        <w:rPr>
          <w:rFonts w:ascii="Times New Roman" w:hAnsi="Times New Roman"/>
          <w:szCs w:val="24"/>
        </w:rPr>
        <w:lastRenderedPageBreak/>
        <w:t xml:space="preserve">efficient resolution of a covered company.  Advance planning has long been a component of resiliency and recovery planning by financial companies. </w:t>
      </w:r>
      <w:r w:rsidRPr="009E652C">
        <w:rPr>
          <w:rFonts w:ascii="Times New Roman" w:hAnsi="Times New Roman"/>
          <w:szCs w:val="24"/>
        </w:rPr>
        <w:t>The resolution plan required of covered companies under the Rule supports the FDIC’s planning for the exercise of its resolution authority under the Dodd-Frank Act by providing the FDIC with an understanding of the covered companies’ structures and complexity</w:t>
      </w:r>
      <w:r w:rsidR="00CB7B9A" w:rsidRPr="009E652C">
        <w:rPr>
          <w:rFonts w:ascii="Times New Roman" w:hAnsi="Times New Roman"/>
          <w:szCs w:val="24"/>
        </w:rPr>
        <w:t>,</w:t>
      </w:r>
      <w:r w:rsidRPr="009E652C">
        <w:rPr>
          <w:rFonts w:ascii="Times New Roman" w:hAnsi="Times New Roman"/>
          <w:szCs w:val="24"/>
        </w:rPr>
        <w:t xml:space="preserve"> as well as their resolution strategies and processes</w:t>
      </w:r>
      <w:r w:rsidRPr="005375A8">
        <w:rPr>
          <w:rFonts w:ascii="Times New Roman" w:hAnsi="Times New Roman"/>
          <w:szCs w:val="24"/>
        </w:rPr>
        <w:t>. The resolution plans also keep the agencies apprised of relevant changes to the covered companies’ structure, complexity, and other factors that may affect resolvability</w:t>
      </w:r>
      <w:r w:rsidR="00B36F25">
        <w:rPr>
          <w:rFonts w:ascii="Times New Roman" w:hAnsi="Times New Roman"/>
          <w:szCs w:val="24"/>
        </w:rPr>
        <w:t xml:space="preserve">. </w:t>
      </w:r>
      <w:r w:rsidRPr="005375A8">
        <w:rPr>
          <w:rFonts w:ascii="Times New Roman" w:hAnsi="Times New Roman"/>
          <w:szCs w:val="24"/>
        </w:rPr>
        <w:t>In addition, these plans enhance the agencies’ understanding of the U.S. operations of foreign bank</w:t>
      </w:r>
      <w:r w:rsidR="00B2174D">
        <w:rPr>
          <w:rFonts w:ascii="Times New Roman" w:hAnsi="Times New Roman"/>
          <w:szCs w:val="24"/>
        </w:rPr>
        <w:t>ing organization</w:t>
      </w:r>
      <w:r w:rsidRPr="005375A8">
        <w:rPr>
          <w:rFonts w:ascii="Times New Roman" w:hAnsi="Times New Roman"/>
          <w:szCs w:val="24"/>
        </w:rPr>
        <w:t xml:space="preserve">s and improve efforts to develop a comprehensive and coordinated resolution strategy for a </w:t>
      </w:r>
      <w:r w:rsidR="00DE2EA9">
        <w:rPr>
          <w:rFonts w:ascii="Times New Roman" w:hAnsi="Times New Roman"/>
          <w:szCs w:val="24"/>
        </w:rPr>
        <w:t>foreign banking organization</w:t>
      </w:r>
      <w:r w:rsidRPr="005375A8">
        <w:rPr>
          <w:rFonts w:ascii="Times New Roman" w:hAnsi="Times New Roman"/>
          <w:szCs w:val="24"/>
        </w:rPr>
        <w:t>.</w:t>
      </w:r>
    </w:p>
    <w:p w14:paraId="508DD84A" w14:textId="77777777" w:rsidR="00454E22" w:rsidRPr="005375A8" w:rsidRDefault="00454E22" w:rsidP="00274C31">
      <w:pPr>
        <w:pStyle w:val="BodyText"/>
        <w:spacing w:after="0"/>
        <w:ind w:left="1320"/>
        <w:rPr>
          <w:rFonts w:ascii="Times New Roman" w:hAnsi="Times New Roman"/>
          <w:szCs w:val="24"/>
        </w:rPr>
      </w:pPr>
    </w:p>
    <w:p w14:paraId="6CAF75C2" w14:textId="066C6A16" w:rsidR="00454E22" w:rsidRPr="005375A8" w:rsidRDefault="00316291" w:rsidP="00274C31">
      <w:pPr>
        <w:pStyle w:val="BodyText"/>
        <w:spacing w:after="0"/>
        <w:ind w:left="1080" w:right="363"/>
        <w:rPr>
          <w:rFonts w:ascii="Times New Roman" w:hAnsi="Times New Roman"/>
          <w:szCs w:val="24"/>
        </w:rPr>
      </w:pPr>
      <w:r w:rsidRPr="005375A8">
        <w:rPr>
          <w:rFonts w:ascii="Times New Roman" w:hAnsi="Times New Roman"/>
          <w:szCs w:val="24"/>
        </w:rPr>
        <w:t xml:space="preserve">The Rule </w:t>
      </w:r>
      <w:r w:rsidR="00454E22" w:rsidRPr="005375A8">
        <w:rPr>
          <w:rFonts w:ascii="Times New Roman" w:hAnsi="Times New Roman"/>
          <w:szCs w:val="24"/>
        </w:rPr>
        <w:t xml:space="preserve">requires each resolution plan to contain certain information, including information regarding the manner and extent to which any insured depository institution affiliated with the covered company is adequately protected from risks arising from the activities of nonbank subsidiaries of the company; descriptions of the ownership structure, assets, liabilities, and contractual obligations of the company; identification of the cross-guarantees tied to different securities; identification of major counterparties; a process for determining to whom the collateral of the company is pledged; and other information that the Board and the FDIC jointly require by rule or order. </w:t>
      </w:r>
      <w:r w:rsidRPr="005375A8">
        <w:rPr>
          <w:rFonts w:ascii="Times New Roman" w:hAnsi="Times New Roman"/>
          <w:szCs w:val="24"/>
        </w:rPr>
        <w:t xml:space="preserve"> The Rule a</w:t>
      </w:r>
      <w:r w:rsidR="00454E22" w:rsidRPr="005375A8">
        <w:rPr>
          <w:rFonts w:ascii="Times New Roman" w:hAnsi="Times New Roman"/>
          <w:szCs w:val="24"/>
        </w:rPr>
        <w:t>lso requires a strategic analysis by the covered</w:t>
      </w:r>
      <w:r w:rsidRPr="005375A8">
        <w:rPr>
          <w:rFonts w:ascii="Times New Roman" w:hAnsi="Times New Roman"/>
          <w:position w:val="7"/>
          <w:szCs w:val="24"/>
        </w:rPr>
        <w:t xml:space="preserve"> </w:t>
      </w:r>
      <w:r w:rsidR="00454E22" w:rsidRPr="005375A8">
        <w:rPr>
          <w:rFonts w:ascii="Times New Roman" w:hAnsi="Times New Roman"/>
          <w:szCs w:val="24"/>
        </w:rPr>
        <w:t>company of how it can be resolved under the Bankruptcy Code within a reasonable period of time and in a manner that substantially mitigates the risk that the failure of the covered company would have serious adverse effects on fina</w:t>
      </w:r>
      <w:r w:rsidR="00E305AF" w:rsidRPr="005375A8">
        <w:rPr>
          <w:rFonts w:ascii="Times New Roman" w:hAnsi="Times New Roman"/>
          <w:szCs w:val="24"/>
        </w:rPr>
        <w:t xml:space="preserve">ncial </w:t>
      </w:r>
      <w:r w:rsidR="00454E22" w:rsidRPr="005375A8">
        <w:rPr>
          <w:rFonts w:ascii="Times New Roman" w:hAnsi="Times New Roman"/>
          <w:szCs w:val="24"/>
        </w:rPr>
        <w:t xml:space="preserve">stability in the United States. </w:t>
      </w:r>
      <w:r w:rsidRPr="005375A8">
        <w:rPr>
          <w:rFonts w:ascii="Times New Roman" w:hAnsi="Times New Roman"/>
          <w:szCs w:val="24"/>
        </w:rPr>
        <w:t xml:space="preserve"> </w:t>
      </w:r>
      <w:r w:rsidR="00454E22" w:rsidRPr="005375A8">
        <w:rPr>
          <w:rFonts w:ascii="Times New Roman" w:hAnsi="Times New Roman"/>
          <w:szCs w:val="24"/>
        </w:rPr>
        <w:t xml:space="preserve">Since the implementation of </w:t>
      </w:r>
      <w:r w:rsidRPr="005375A8">
        <w:rPr>
          <w:rFonts w:ascii="Times New Roman" w:hAnsi="Times New Roman"/>
          <w:szCs w:val="24"/>
        </w:rPr>
        <w:t>the Rule</w:t>
      </w:r>
      <w:r w:rsidR="00454E22" w:rsidRPr="005375A8">
        <w:rPr>
          <w:rFonts w:ascii="Times New Roman" w:hAnsi="Times New Roman"/>
          <w:szCs w:val="24"/>
        </w:rPr>
        <w:t xml:space="preserve"> in 2011, the agencies have provided additional guidance to covered companies regarding the information that should be included in, or that can be omitted from, a company’s resolution plan.</w:t>
      </w:r>
    </w:p>
    <w:p w14:paraId="22457C61" w14:textId="77777777" w:rsidR="00454E22" w:rsidRPr="005375A8" w:rsidRDefault="00454E22" w:rsidP="00274C31">
      <w:pPr>
        <w:pStyle w:val="BodyText"/>
        <w:spacing w:after="0"/>
        <w:ind w:left="1320"/>
        <w:rPr>
          <w:rFonts w:ascii="Times New Roman" w:hAnsi="Times New Roman"/>
          <w:szCs w:val="24"/>
        </w:rPr>
      </w:pPr>
    </w:p>
    <w:p w14:paraId="5EC1541A" w14:textId="1C592DC9" w:rsidR="00E305AF" w:rsidRPr="005375A8" w:rsidRDefault="00454E22" w:rsidP="00274C31">
      <w:pPr>
        <w:pStyle w:val="BodyText"/>
        <w:spacing w:after="0"/>
        <w:ind w:left="1080" w:right="441"/>
        <w:rPr>
          <w:rFonts w:ascii="Times New Roman" w:hAnsi="Times New Roman"/>
          <w:szCs w:val="24"/>
        </w:rPr>
      </w:pPr>
      <w:r w:rsidRPr="005375A8">
        <w:rPr>
          <w:rFonts w:ascii="Times New Roman" w:hAnsi="Times New Roman"/>
          <w:szCs w:val="24"/>
        </w:rPr>
        <w:t xml:space="preserve">The information collected under </w:t>
      </w:r>
      <w:r w:rsidR="00316291" w:rsidRPr="005375A8">
        <w:rPr>
          <w:rFonts w:ascii="Times New Roman" w:hAnsi="Times New Roman"/>
          <w:szCs w:val="24"/>
        </w:rPr>
        <w:t>the Rule</w:t>
      </w:r>
      <w:r w:rsidRPr="005375A8">
        <w:rPr>
          <w:rFonts w:ascii="Times New Roman" w:hAnsi="Times New Roman"/>
          <w:szCs w:val="24"/>
        </w:rPr>
        <w:t xml:space="preserve"> has been helpful for identifying obstacles to a rapid and orderly resolution under the Bankruptcy Code. The agencies have used this information to </w:t>
      </w:r>
      <w:r w:rsidR="00370284">
        <w:rPr>
          <w:rFonts w:ascii="Times New Roman" w:hAnsi="Times New Roman"/>
          <w:szCs w:val="24"/>
        </w:rPr>
        <w:t>provide feedback to</w:t>
      </w:r>
      <w:r w:rsidR="00D61093" w:rsidRPr="005375A8">
        <w:rPr>
          <w:rFonts w:ascii="Times New Roman" w:hAnsi="Times New Roman"/>
          <w:szCs w:val="24"/>
        </w:rPr>
        <w:t xml:space="preserve"> </w:t>
      </w:r>
      <w:r w:rsidRPr="005375A8">
        <w:rPr>
          <w:rFonts w:ascii="Times New Roman" w:hAnsi="Times New Roman"/>
          <w:szCs w:val="24"/>
        </w:rPr>
        <w:t xml:space="preserve">covered companies </w:t>
      </w:r>
      <w:r w:rsidR="00370284">
        <w:rPr>
          <w:rFonts w:ascii="Times New Roman" w:hAnsi="Times New Roman"/>
          <w:szCs w:val="24"/>
        </w:rPr>
        <w:t>concerning</w:t>
      </w:r>
      <w:r w:rsidRPr="005375A8">
        <w:rPr>
          <w:rFonts w:ascii="Times New Roman" w:hAnsi="Times New Roman"/>
          <w:szCs w:val="24"/>
        </w:rPr>
        <w:t xml:space="preserve"> improvements to their resolution plans and planning processes. </w:t>
      </w:r>
      <w:r w:rsidRPr="009E652C">
        <w:rPr>
          <w:rFonts w:ascii="Times New Roman" w:hAnsi="Times New Roman"/>
          <w:szCs w:val="24"/>
        </w:rPr>
        <w:t xml:space="preserve">The resolution plan submissions have also provided information about covered companies’ structure and </w:t>
      </w:r>
      <w:r w:rsidR="00316291" w:rsidRPr="009E652C">
        <w:rPr>
          <w:rFonts w:ascii="Times New Roman" w:hAnsi="Times New Roman"/>
          <w:szCs w:val="24"/>
        </w:rPr>
        <w:t>operations that have</w:t>
      </w:r>
      <w:r w:rsidRPr="009E652C">
        <w:rPr>
          <w:rFonts w:ascii="Times New Roman" w:hAnsi="Times New Roman"/>
          <w:szCs w:val="24"/>
        </w:rPr>
        <w:t xml:space="preserve"> been useful to the FDIC in planning for any actions it would take with respect to its authority under the Dodd-Frank Act</w:t>
      </w:r>
      <w:r w:rsidRPr="005375A8">
        <w:rPr>
          <w:rFonts w:ascii="Times New Roman" w:hAnsi="Times New Roman"/>
          <w:szCs w:val="24"/>
        </w:rPr>
        <w:t>.</w:t>
      </w:r>
    </w:p>
    <w:p w14:paraId="39C4527F" w14:textId="77777777" w:rsidR="00E305AF" w:rsidRPr="005375A8" w:rsidRDefault="00E305AF" w:rsidP="005375A8">
      <w:pPr>
        <w:pStyle w:val="BodyText"/>
        <w:spacing w:after="0"/>
        <w:ind w:left="1080" w:right="441"/>
        <w:rPr>
          <w:rFonts w:ascii="Times New Roman" w:hAnsi="Times New Roman"/>
          <w:szCs w:val="24"/>
        </w:rPr>
      </w:pPr>
    </w:p>
    <w:p w14:paraId="28E73DFF" w14:textId="77777777" w:rsidR="00274C31" w:rsidRDefault="00274C31" w:rsidP="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 xml:space="preserve">Use of the information: </w:t>
      </w:r>
    </w:p>
    <w:p w14:paraId="4A422D30" w14:textId="77777777" w:rsidR="005B6ADB" w:rsidRPr="005375A8" w:rsidRDefault="005B6ADB" w:rsidP="005375A8">
      <w:pPr>
        <w:rPr>
          <w:rFonts w:ascii="Times New Roman" w:hAnsi="Times New Roman"/>
          <w:szCs w:val="24"/>
        </w:rPr>
      </w:pPr>
    </w:p>
    <w:p w14:paraId="67CC6433" w14:textId="53676F14" w:rsidR="00E305AF" w:rsidRPr="005375A8" w:rsidRDefault="00E305AF" w:rsidP="00274C31">
      <w:pPr>
        <w:pStyle w:val="BodyTextIndent"/>
        <w:ind w:left="1080"/>
        <w:rPr>
          <w:szCs w:val="24"/>
        </w:rPr>
      </w:pPr>
      <w:r w:rsidRPr="00CC6356">
        <w:rPr>
          <w:szCs w:val="24"/>
        </w:rPr>
        <w:t>As stated above, the resolution plan</w:t>
      </w:r>
      <w:r w:rsidR="00370284" w:rsidRPr="00CC6356">
        <w:rPr>
          <w:szCs w:val="24"/>
        </w:rPr>
        <w:t>s</w:t>
      </w:r>
      <w:r w:rsidRPr="00CC6356">
        <w:rPr>
          <w:szCs w:val="24"/>
        </w:rPr>
        <w:t xml:space="preserve"> required of covered companies under the Rule support the FDIC’s planning for the exercise of its resolution authority under the Dodd-Frank Act and the </w:t>
      </w:r>
      <w:r w:rsidR="00DF0477">
        <w:rPr>
          <w:szCs w:val="24"/>
        </w:rPr>
        <w:t>Federal Deposit Insurance Act (</w:t>
      </w:r>
      <w:r w:rsidR="005375A8" w:rsidRPr="00CC6356">
        <w:rPr>
          <w:szCs w:val="24"/>
        </w:rPr>
        <w:t>FDI Act</w:t>
      </w:r>
      <w:r w:rsidR="00DF0477">
        <w:rPr>
          <w:szCs w:val="24"/>
        </w:rPr>
        <w:t>)</w:t>
      </w:r>
      <w:r w:rsidRPr="00CC6356">
        <w:rPr>
          <w:szCs w:val="24"/>
        </w:rPr>
        <w:t xml:space="preserve"> by providing the FDIC with an understanding of the covered companies’ structures and complexity</w:t>
      </w:r>
      <w:r w:rsidR="00EC4E34" w:rsidRPr="00CC6356">
        <w:rPr>
          <w:szCs w:val="24"/>
        </w:rPr>
        <w:t>,</w:t>
      </w:r>
      <w:r w:rsidRPr="00CC6356">
        <w:rPr>
          <w:szCs w:val="24"/>
        </w:rPr>
        <w:t xml:space="preserve"> as well as their resolution strategies and processes</w:t>
      </w:r>
      <w:r w:rsidRPr="005375A8">
        <w:rPr>
          <w:szCs w:val="24"/>
        </w:rPr>
        <w:t xml:space="preserve">. </w:t>
      </w:r>
      <w:r w:rsidR="005375A8" w:rsidRPr="005375A8">
        <w:rPr>
          <w:szCs w:val="24"/>
        </w:rPr>
        <w:t xml:space="preserve"> </w:t>
      </w:r>
      <w:r w:rsidRPr="005375A8">
        <w:rPr>
          <w:szCs w:val="24"/>
        </w:rPr>
        <w:t xml:space="preserve">The resolution plans also keep the agencies apprised of relevant changes to the covered companies’ structure, complexity, and other factors that may affect resolvability.  </w:t>
      </w:r>
    </w:p>
    <w:p w14:paraId="272CE999" w14:textId="77777777" w:rsidR="00E305AF" w:rsidRPr="005375A8" w:rsidRDefault="00E305AF" w:rsidP="00274C31">
      <w:pPr>
        <w:pStyle w:val="BodyTextIndent"/>
        <w:ind w:left="360"/>
        <w:rPr>
          <w:szCs w:val="24"/>
        </w:rPr>
      </w:pPr>
    </w:p>
    <w:p w14:paraId="010A49BC" w14:textId="70F09441" w:rsidR="00E305AF" w:rsidRPr="005375A8" w:rsidRDefault="00E305AF" w:rsidP="00274C31">
      <w:pPr>
        <w:pStyle w:val="BodyTextIndent"/>
        <w:ind w:left="1080"/>
        <w:rPr>
          <w:szCs w:val="24"/>
        </w:rPr>
      </w:pPr>
      <w:r w:rsidRPr="005375A8">
        <w:rPr>
          <w:szCs w:val="24"/>
        </w:rPr>
        <w:lastRenderedPageBreak/>
        <w:t>The reporting requirements are found in sections 381.3, 381.4, 381.5, 381.6, 381.7, 381.8</w:t>
      </w:r>
      <w:r w:rsidR="00F7046C">
        <w:rPr>
          <w:szCs w:val="24"/>
        </w:rPr>
        <w:t>, 381.11</w:t>
      </w:r>
      <w:r w:rsidRPr="005375A8">
        <w:rPr>
          <w:szCs w:val="24"/>
        </w:rPr>
        <w:t xml:space="preserve"> of the </w:t>
      </w:r>
      <w:r w:rsidR="00A17F91">
        <w:rPr>
          <w:szCs w:val="24"/>
        </w:rPr>
        <w:t>Final Rule</w:t>
      </w:r>
      <w:r w:rsidRPr="005375A8">
        <w:rPr>
          <w:szCs w:val="24"/>
        </w:rPr>
        <w:t xml:space="preserve">. Compliance with the information collection </w:t>
      </w:r>
      <w:r w:rsidR="00A330C8">
        <w:rPr>
          <w:szCs w:val="24"/>
        </w:rPr>
        <w:t>is</w:t>
      </w:r>
      <w:r w:rsidR="007A7214" w:rsidRPr="005375A8">
        <w:rPr>
          <w:szCs w:val="24"/>
        </w:rPr>
        <w:t xml:space="preserve"> </w:t>
      </w:r>
      <w:r w:rsidRPr="005375A8">
        <w:rPr>
          <w:szCs w:val="24"/>
        </w:rPr>
        <w:t>mandatory.  No other federal law mandates these reporting requirements.</w:t>
      </w:r>
    </w:p>
    <w:p w14:paraId="02BB58CA" w14:textId="77777777" w:rsidR="005375A8" w:rsidRPr="005375A8" w:rsidRDefault="005375A8" w:rsidP="00274C31">
      <w:pPr>
        <w:pStyle w:val="BodyText"/>
        <w:spacing w:after="0"/>
        <w:ind w:left="360" w:right="441"/>
        <w:rPr>
          <w:rFonts w:ascii="Times New Roman" w:hAnsi="Times New Roman"/>
          <w:szCs w:val="24"/>
        </w:rPr>
      </w:pPr>
    </w:p>
    <w:p w14:paraId="6849E64B" w14:textId="77777777" w:rsidR="00E305AF" w:rsidRPr="005375A8" w:rsidRDefault="00E305AF" w:rsidP="00274C31">
      <w:pPr>
        <w:pStyle w:val="BodyText"/>
        <w:spacing w:after="0"/>
        <w:ind w:left="1080" w:right="441"/>
        <w:rPr>
          <w:rFonts w:ascii="Times New Roman" w:hAnsi="Times New Roman"/>
          <w:szCs w:val="24"/>
        </w:rPr>
      </w:pPr>
      <w:r w:rsidRPr="005375A8">
        <w:rPr>
          <w:rFonts w:ascii="Times New Roman" w:hAnsi="Times New Roman"/>
          <w:szCs w:val="24"/>
        </w:rPr>
        <w:t>General Requirements</w:t>
      </w:r>
    </w:p>
    <w:p w14:paraId="7614B753" w14:textId="77777777" w:rsidR="00E305AF" w:rsidRPr="005375A8" w:rsidRDefault="00E305AF" w:rsidP="00274C31">
      <w:pPr>
        <w:pStyle w:val="Heading1"/>
        <w:ind w:left="1200"/>
        <w:rPr>
          <w:b w:val="0"/>
        </w:rPr>
      </w:pPr>
    </w:p>
    <w:p w14:paraId="13C9E836" w14:textId="428F231B" w:rsidR="005375A8" w:rsidRPr="005375A8" w:rsidRDefault="005375A8" w:rsidP="00274C31">
      <w:pPr>
        <w:pStyle w:val="Heading1"/>
        <w:ind w:left="1080"/>
        <w:rPr>
          <w:b w:val="0"/>
        </w:rPr>
      </w:pPr>
      <w:r w:rsidRPr="005375A8">
        <w:rPr>
          <w:b w:val="0"/>
        </w:rPr>
        <w:t xml:space="preserve">Section 381.3 - In connection with the submission of a resolution plan, </w:t>
      </w:r>
      <w:r w:rsidR="00F7046C">
        <w:rPr>
          <w:b w:val="0"/>
        </w:rPr>
        <w:t xml:space="preserve">certain </w:t>
      </w:r>
      <w:r w:rsidRPr="005375A8">
        <w:rPr>
          <w:b w:val="0"/>
        </w:rPr>
        <w:t>covered compan</w:t>
      </w:r>
      <w:r w:rsidR="00F7046C">
        <w:rPr>
          <w:b w:val="0"/>
        </w:rPr>
        <w:t xml:space="preserve">ies </w:t>
      </w:r>
      <w:r w:rsidR="00322032">
        <w:rPr>
          <w:b w:val="0"/>
        </w:rPr>
        <w:t>are</w:t>
      </w:r>
      <w:r w:rsidR="00A67722">
        <w:rPr>
          <w:b w:val="0"/>
        </w:rPr>
        <w:t xml:space="preserve"> required to</w:t>
      </w:r>
      <w:r w:rsidR="00F7046C">
        <w:rPr>
          <w:b w:val="0"/>
        </w:rPr>
        <w:t xml:space="preserve"> establish and implement a process and methodology to identify each of its critical operations.  Certain covered companies, including those</w:t>
      </w:r>
      <w:r w:rsidRPr="005375A8">
        <w:rPr>
          <w:b w:val="0"/>
        </w:rPr>
        <w:t xml:space="preserve"> that ha</w:t>
      </w:r>
      <w:r w:rsidR="00F7046C">
        <w:rPr>
          <w:b w:val="0"/>
        </w:rPr>
        <w:t>ve</w:t>
      </w:r>
      <w:r w:rsidRPr="005375A8">
        <w:rPr>
          <w:b w:val="0"/>
        </w:rPr>
        <w:t xml:space="preserve"> previously submitted a resolution plan under this part and do not currently have an identified critical operation under this part </w:t>
      </w:r>
      <w:r w:rsidR="00C077D6">
        <w:rPr>
          <w:b w:val="0"/>
        </w:rPr>
        <w:t>would be able to</w:t>
      </w:r>
      <w:r w:rsidR="00C077D6" w:rsidRPr="005375A8">
        <w:rPr>
          <w:b w:val="0"/>
        </w:rPr>
        <w:t xml:space="preserve"> </w:t>
      </w:r>
      <w:r w:rsidRPr="005375A8">
        <w:rPr>
          <w:b w:val="0"/>
        </w:rPr>
        <w:t>request a waiver of the requirement to have a process and methodology under 381.3(a)(1)</w:t>
      </w:r>
      <w:r>
        <w:rPr>
          <w:b w:val="0"/>
        </w:rPr>
        <w:t>.</w:t>
      </w:r>
      <w:r w:rsidRPr="005375A8">
        <w:t xml:space="preserve"> </w:t>
      </w:r>
    </w:p>
    <w:p w14:paraId="43DE193D" w14:textId="77777777" w:rsidR="005375A8" w:rsidRPr="005375A8" w:rsidRDefault="005375A8" w:rsidP="00274C31">
      <w:pPr>
        <w:pStyle w:val="Heading1"/>
        <w:ind w:left="1080"/>
        <w:rPr>
          <w:b w:val="0"/>
        </w:rPr>
      </w:pPr>
    </w:p>
    <w:p w14:paraId="3A7B06C9" w14:textId="11C40FD4" w:rsidR="00E305AF" w:rsidRPr="005375A8" w:rsidRDefault="00E305AF" w:rsidP="00274C31">
      <w:pPr>
        <w:pStyle w:val="Heading1"/>
        <w:ind w:left="1080"/>
        <w:rPr>
          <w:b w:val="0"/>
        </w:rPr>
      </w:pPr>
      <w:r w:rsidRPr="005375A8">
        <w:rPr>
          <w:b w:val="0"/>
        </w:rPr>
        <w:t xml:space="preserve">Section 381.4 - Resolution plan required sets forth a staggered schedule for submission of initial resolution plans by </w:t>
      </w:r>
      <w:r w:rsidR="00F7046C">
        <w:rPr>
          <w:b w:val="0"/>
        </w:rPr>
        <w:t xml:space="preserve">firms that become </w:t>
      </w:r>
      <w:r w:rsidRPr="005375A8">
        <w:rPr>
          <w:b w:val="0"/>
        </w:rPr>
        <w:t>covered companies</w:t>
      </w:r>
      <w:r w:rsidR="00F7046C">
        <w:rPr>
          <w:b w:val="0"/>
        </w:rPr>
        <w:t xml:space="preserve"> and become subject to the </w:t>
      </w:r>
      <w:r w:rsidR="00A17F91">
        <w:rPr>
          <w:b w:val="0"/>
        </w:rPr>
        <w:t>Final Rule</w:t>
      </w:r>
      <w:r w:rsidRPr="005375A8">
        <w:rPr>
          <w:b w:val="0"/>
        </w:rPr>
        <w:t>, and require</w:t>
      </w:r>
      <w:r w:rsidR="005F3C3C">
        <w:rPr>
          <w:b w:val="0"/>
        </w:rPr>
        <w:t>s</w:t>
      </w:r>
      <w:r w:rsidRPr="005375A8">
        <w:rPr>
          <w:b w:val="0"/>
        </w:rPr>
        <w:t xml:space="preserve"> that covered companies </w:t>
      </w:r>
      <w:r w:rsidR="005375A8">
        <w:rPr>
          <w:b w:val="0"/>
        </w:rPr>
        <w:t>submit</w:t>
      </w:r>
      <w:r w:rsidRPr="005375A8">
        <w:rPr>
          <w:b w:val="0"/>
        </w:rPr>
        <w:t xml:space="preserve"> an updated resolution plan on the </w:t>
      </w:r>
      <w:r w:rsidR="005375A8">
        <w:rPr>
          <w:b w:val="0"/>
        </w:rPr>
        <w:t>July 1 of each year in which a plan is due</w:t>
      </w:r>
      <w:r w:rsidRPr="005375A8">
        <w:rPr>
          <w:b w:val="0"/>
        </w:rPr>
        <w:t xml:space="preserve">. In addition, section </w:t>
      </w:r>
      <w:r w:rsidR="005375A8">
        <w:rPr>
          <w:b w:val="0"/>
        </w:rPr>
        <w:t>381.4</w:t>
      </w:r>
      <w:r w:rsidRPr="005375A8">
        <w:rPr>
          <w:b w:val="0"/>
        </w:rPr>
        <w:t xml:space="preserve"> establish</w:t>
      </w:r>
      <w:r w:rsidR="005F3C3C">
        <w:rPr>
          <w:b w:val="0"/>
        </w:rPr>
        <w:t>es</w:t>
      </w:r>
      <w:r w:rsidRPr="005375A8">
        <w:rPr>
          <w:b w:val="0"/>
        </w:rPr>
        <w:t xml:space="preserve"> a requirement that a covered company provide notice to the Board and FDIC of </w:t>
      </w:r>
      <w:r w:rsidR="005375A8">
        <w:rPr>
          <w:b w:val="0"/>
        </w:rPr>
        <w:t>extraordinary</w:t>
      </w:r>
      <w:r w:rsidRPr="005375A8">
        <w:rPr>
          <w:b w:val="0"/>
        </w:rPr>
        <w:t xml:space="preserve"> events that have the potential to affect its resol</w:t>
      </w:r>
      <w:r w:rsidR="00B37E46">
        <w:rPr>
          <w:b w:val="0"/>
        </w:rPr>
        <w:t>vability</w:t>
      </w:r>
      <w:r w:rsidRPr="005375A8">
        <w:rPr>
          <w:b w:val="0"/>
        </w:rPr>
        <w:t>.</w:t>
      </w:r>
      <w:r w:rsidR="00832BB4">
        <w:rPr>
          <w:b w:val="0"/>
        </w:rPr>
        <w:t xml:space="preserve"> Section 381.4 </w:t>
      </w:r>
      <w:r w:rsidR="005F3C3C">
        <w:rPr>
          <w:b w:val="0"/>
        </w:rPr>
        <w:t xml:space="preserve">allows </w:t>
      </w:r>
      <w:r w:rsidR="00832BB4">
        <w:rPr>
          <w:b w:val="0"/>
        </w:rPr>
        <w:t>the FDIC and the Board</w:t>
      </w:r>
      <w:r w:rsidR="003342A8">
        <w:rPr>
          <w:b w:val="0"/>
        </w:rPr>
        <w:t xml:space="preserve"> </w:t>
      </w:r>
      <w:r w:rsidR="00832BB4">
        <w:rPr>
          <w:b w:val="0"/>
        </w:rPr>
        <w:t xml:space="preserve">to </w:t>
      </w:r>
      <w:r w:rsidR="006B3D2B">
        <w:rPr>
          <w:b w:val="0"/>
        </w:rPr>
        <w:t xml:space="preserve">jointly </w:t>
      </w:r>
      <w:r w:rsidR="00832BB4">
        <w:rPr>
          <w:b w:val="0"/>
        </w:rPr>
        <w:t xml:space="preserve">modify a covered company’s resolution plan submission deadline, and </w:t>
      </w:r>
      <w:r w:rsidR="003342A8">
        <w:rPr>
          <w:b w:val="0"/>
        </w:rPr>
        <w:t xml:space="preserve">to </w:t>
      </w:r>
      <w:r w:rsidR="006B3D2B">
        <w:rPr>
          <w:b w:val="0"/>
        </w:rPr>
        <w:t xml:space="preserve">jointly </w:t>
      </w:r>
      <w:r w:rsidR="00832BB4">
        <w:rPr>
          <w:b w:val="0"/>
        </w:rPr>
        <w:t>require a covered company to submit an interim update</w:t>
      </w:r>
      <w:r w:rsidR="00E3409B">
        <w:rPr>
          <w:b w:val="0"/>
        </w:rPr>
        <w:t xml:space="preserve"> to its resolution plan</w:t>
      </w:r>
      <w:r w:rsidR="00832BB4">
        <w:rPr>
          <w:b w:val="0"/>
        </w:rPr>
        <w:t>.  Additionally, a covered company that submit</w:t>
      </w:r>
      <w:r w:rsidR="003342A8">
        <w:rPr>
          <w:b w:val="0"/>
        </w:rPr>
        <w:t>s</w:t>
      </w:r>
      <w:r w:rsidR="00832BB4">
        <w:rPr>
          <w:b w:val="0"/>
        </w:rPr>
        <w:t xml:space="preserve"> a request to waive certain informational </w:t>
      </w:r>
      <w:r w:rsidR="00AB3B4B">
        <w:rPr>
          <w:b w:val="0"/>
        </w:rPr>
        <w:t xml:space="preserve">content </w:t>
      </w:r>
      <w:r w:rsidR="00832BB4">
        <w:rPr>
          <w:b w:val="0"/>
        </w:rPr>
        <w:t xml:space="preserve">requirements </w:t>
      </w:r>
      <w:r w:rsidR="003342A8">
        <w:rPr>
          <w:b w:val="0"/>
        </w:rPr>
        <w:t xml:space="preserve">from </w:t>
      </w:r>
      <w:r w:rsidR="00832BB4">
        <w:rPr>
          <w:b w:val="0"/>
        </w:rPr>
        <w:t xml:space="preserve">its full resolution plan, </w:t>
      </w:r>
      <w:r w:rsidR="003342A8">
        <w:rPr>
          <w:b w:val="0"/>
        </w:rPr>
        <w:t xml:space="preserve">as permitted </w:t>
      </w:r>
      <w:r w:rsidR="007D38FD">
        <w:rPr>
          <w:b w:val="0"/>
        </w:rPr>
        <w:t>under</w:t>
      </w:r>
      <w:r w:rsidR="003342A8">
        <w:rPr>
          <w:b w:val="0"/>
        </w:rPr>
        <w:t xml:space="preserve"> </w:t>
      </w:r>
      <w:r w:rsidR="00832BB4">
        <w:rPr>
          <w:b w:val="0"/>
        </w:rPr>
        <w:t>section 381.4</w:t>
      </w:r>
      <w:r w:rsidR="003342A8">
        <w:rPr>
          <w:b w:val="0"/>
        </w:rPr>
        <w:t>,</w:t>
      </w:r>
      <w:r w:rsidR="00832BB4">
        <w:rPr>
          <w:b w:val="0"/>
        </w:rPr>
        <w:t xml:space="preserve"> </w:t>
      </w:r>
      <w:r w:rsidR="005F3C3C">
        <w:rPr>
          <w:b w:val="0"/>
        </w:rPr>
        <w:t>is</w:t>
      </w:r>
      <w:r w:rsidR="003342A8">
        <w:rPr>
          <w:b w:val="0"/>
        </w:rPr>
        <w:t xml:space="preserve"> </w:t>
      </w:r>
      <w:r w:rsidR="00832BB4">
        <w:rPr>
          <w:b w:val="0"/>
        </w:rPr>
        <w:t>require</w:t>
      </w:r>
      <w:r w:rsidR="003342A8">
        <w:rPr>
          <w:b w:val="0"/>
        </w:rPr>
        <w:t>d</w:t>
      </w:r>
      <w:r w:rsidR="00832BB4">
        <w:rPr>
          <w:b w:val="0"/>
        </w:rPr>
        <w:t xml:space="preserve"> to submit certain information supporting its request for a waiver. </w:t>
      </w:r>
    </w:p>
    <w:p w14:paraId="1CC02DC1" w14:textId="77777777" w:rsidR="00E305AF" w:rsidRPr="005375A8" w:rsidRDefault="00E305AF" w:rsidP="00274C31">
      <w:pPr>
        <w:pStyle w:val="BodyText"/>
        <w:spacing w:after="0"/>
        <w:ind w:left="1195" w:right="361"/>
        <w:rPr>
          <w:rFonts w:ascii="Times New Roman" w:hAnsi="Times New Roman"/>
          <w:szCs w:val="24"/>
        </w:rPr>
      </w:pPr>
    </w:p>
    <w:p w14:paraId="13A80BB3" w14:textId="77777777" w:rsidR="00E305AF" w:rsidRDefault="00E305AF" w:rsidP="00274C31">
      <w:pPr>
        <w:pStyle w:val="BodyText"/>
        <w:spacing w:after="0"/>
        <w:ind w:left="1080" w:right="361"/>
        <w:rPr>
          <w:rFonts w:ascii="Times New Roman" w:hAnsi="Times New Roman"/>
          <w:szCs w:val="24"/>
        </w:rPr>
      </w:pPr>
      <w:r w:rsidRPr="005375A8">
        <w:rPr>
          <w:rFonts w:ascii="Times New Roman" w:hAnsi="Times New Roman"/>
          <w:szCs w:val="24"/>
        </w:rPr>
        <w:t xml:space="preserve">Section </w:t>
      </w:r>
      <w:r w:rsidR="005375A8">
        <w:rPr>
          <w:rFonts w:ascii="Times New Roman" w:hAnsi="Times New Roman"/>
          <w:szCs w:val="24"/>
        </w:rPr>
        <w:t>381</w:t>
      </w:r>
      <w:r w:rsidRPr="005375A8">
        <w:rPr>
          <w:rFonts w:ascii="Times New Roman" w:hAnsi="Times New Roman"/>
          <w:szCs w:val="24"/>
        </w:rPr>
        <w:t xml:space="preserve">.5 </w:t>
      </w:r>
      <w:r w:rsidR="00463EB6">
        <w:rPr>
          <w:rFonts w:ascii="Times New Roman" w:hAnsi="Times New Roman"/>
          <w:szCs w:val="24"/>
        </w:rPr>
        <w:t>–</w:t>
      </w:r>
      <w:r w:rsidRPr="005375A8">
        <w:rPr>
          <w:rFonts w:ascii="Times New Roman" w:hAnsi="Times New Roman"/>
          <w:szCs w:val="24"/>
        </w:rPr>
        <w:t xml:space="preserve"> </w:t>
      </w:r>
      <w:r w:rsidR="00463EB6">
        <w:rPr>
          <w:rFonts w:ascii="Times New Roman" w:hAnsi="Times New Roman"/>
          <w:szCs w:val="24"/>
        </w:rPr>
        <w:t>This section describes the i</w:t>
      </w:r>
      <w:r w:rsidRPr="005375A8">
        <w:rPr>
          <w:rFonts w:ascii="Times New Roman" w:hAnsi="Times New Roman"/>
          <w:szCs w:val="24"/>
        </w:rPr>
        <w:t xml:space="preserve">nformational content of a </w:t>
      </w:r>
      <w:r w:rsidR="00463EB6">
        <w:rPr>
          <w:rFonts w:ascii="Times New Roman" w:hAnsi="Times New Roman"/>
          <w:szCs w:val="24"/>
        </w:rPr>
        <w:t xml:space="preserve">full </w:t>
      </w:r>
      <w:r w:rsidRPr="005375A8">
        <w:rPr>
          <w:rFonts w:ascii="Times New Roman" w:hAnsi="Times New Roman"/>
          <w:szCs w:val="24"/>
        </w:rPr>
        <w:t>resolution plan.</w:t>
      </w:r>
    </w:p>
    <w:p w14:paraId="30D5898D" w14:textId="77777777" w:rsidR="00463EB6" w:rsidRDefault="00463EB6" w:rsidP="00274C31">
      <w:pPr>
        <w:pStyle w:val="BodyText"/>
        <w:spacing w:after="0"/>
        <w:ind w:left="1080" w:right="361"/>
        <w:rPr>
          <w:rFonts w:ascii="Times New Roman" w:hAnsi="Times New Roman"/>
          <w:szCs w:val="24"/>
        </w:rPr>
      </w:pPr>
    </w:p>
    <w:p w14:paraId="0B0AB08E" w14:textId="77777777" w:rsidR="00463EB6" w:rsidRPr="005375A8" w:rsidRDefault="00463EB6" w:rsidP="00274C31">
      <w:pPr>
        <w:pStyle w:val="BodyText"/>
        <w:spacing w:after="0"/>
        <w:ind w:left="1080" w:right="361"/>
        <w:rPr>
          <w:rFonts w:ascii="Times New Roman" w:hAnsi="Times New Roman"/>
          <w:szCs w:val="24"/>
        </w:rPr>
      </w:pPr>
      <w:r w:rsidRPr="005375A8">
        <w:rPr>
          <w:rFonts w:ascii="Times New Roman" w:hAnsi="Times New Roman"/>
          <w:szCs w:val="24"/>
        </w:rPr>
        <w:t xml:space="preserve">Section </w:t>
      </w:r>
      <w:r>
        <w:rPr>
          <w:rFonts w:ascii="Times New Roman" w:hAnsi="Times New Roman"/>
          <w:szCs w:val="24"/>
        </w:rPr>
        <w:t>381</w:t>
      </w:r>
      <w:r w:rsidRPr="005375A8">
        <w:rPr>
          <w:rFonts w:ascii="Times New Roman" w:hAnsi="Times New Roman"/>
          <w:szCs w:val="24"/>
        </w:rPr>
        <w:t>.</w:t>
      </w:r>
      <w:r>
        <w:rPr>
          <w:rFonts w:ascii="Times New Roman" w:hAnsi="Times New Roman"/>
          <w:szCs w:val="24"/>
        </w:rPr>
        <w:t>6</w:t>
      </w:r>
      <w:r w:rsidRPr="005375A8">
        <w:rPr>
          <w:rFonts w:ascii="Times New Roman" w:hAnsi="Times New Roman"/>
          <w:szCs w:val="24"/>
        </w:rPr>
        <w:t xml:space="preserve"> </w:t>
      </w:r>
      <w:r>
        <w:rPr>
          <w:rFonts w:ascii="Times New Roman" w:hAnsi="Times New Roman"/>
          <w:szCs w:val="24"/>
        </w:rPr>
        <w:t>–</w:t>
      </w:r>
      <w:r w:rsidRPr="005375A8">
        <w:rPr>
          <w:rFonts w:ascii="Times New Roman" w:hAnsi="Times New Roman"/>
          <w:szCs w:val="24"/>
        </w:rPr>
        <w:t xml:space="preserve"> </w:t>
      </w:r>
      <w:r>
        <w:rPr>
          <w:rFonts w:ascii="Times New Roman" w:hAnsi="Times New Roman"/>
          <w:szCs w:val="24"/>
        </w:rPr>
        <w:t>This section describes the i</w:t>
      </w:r>
      <w:r w:rsidRPr="005375A8">
        <w:rPr>
          <w:rFonts w:ascii="Times New Roman" w:hAnsi="Times New Roman"/>
          <w:szCs w:val="24"/>
        </w:rPr>
        <w:t xml:space="preserve">nformational content of a </w:t>
      </w:r>
      <w:r>
        <w:rPr>
          <w:rFonts w:ascii="Times New Roman" w:hAnsi="Times New Roman"/>
          <w:szCs w:val="24"/>
        </w:rPr>
        <w:t xml:space="preserve">targeted </w:t>
      </w:r>
      <w:r w:rsidRPr="005375A8">
        <w:rPr>
          <w:rFonts w:ascii="Times New Roman" w:hAnsi="Times New Roman"/>
          <w:szCs w:val="24"/>
        </w:rPr>
        <w:t>resolution plan.</w:t>
      </w:r>
    </w:p>
    <w:p w14:paraId="3423F241" w14:textId="77777777" w:rsidR="00463EB6" w:rsidRDefault="00463EB6" w:rsidP="00274C31">
      <w:pPr>
        <w:pStyle w:val="BodyText"/>
        <w:spacing w:after="0"/>
        <w:ind w:left="1080" w:right="361"/>
        <w:rPr>
          <w:rFonts w:ascii="Times New Roman" w:hAnsi="Times New Roman"/>
          <w:szCs w:val="24"/>
        </w:rPr>
      </w:pPr>
    </w:p>
    <w:p w14:paraId="62118A11" w14:textId="77777777" w:rsidR="00463EB6" w:rsidRPr="005375A8" w:rsidRDefault="00463EB6" w:rsidP="00274C31">
      <w:pPr>
        <w:pStyle w:val="BodyText"/>
        <w:spacing w:after="0"/>
        <w:ind w:left="1080" w:right="361"/>
        <w:rPr>
          <w:rFonts w:ascii="Times New Roman" w:hAnsi="Times New Roman"/>
          <w:szCs w:val="24"/>
        </w:rPr>
      </w:pPr>
      <w:r w:rsidRPr="005375A8">
        <w:rPr>
          <w:rFonts w:ascii="Times New Roman" w:hAnsi="Times New Roman"/>
          <w:szCs w:val="24"/>
        </w:rPr>
        <w:t xml:space="preserve">Section </w:t>
      </w:r>
      <w:r>
        <w:rPr>
          <w:rFonts w:ascii="Times New Roman" w:hAnsi="Times New Roman"/>
          <w:szCs w:val="24"/>
        </w:rPr>
        <w:t>381</w:t>
      </w:r>
      <w:r w:rsidRPr="005375A8">
        <w:rPr>
          <w:rFonts w:ascii="Times New Roman" w:hAnsi="Times New Roman"/>
          <w:szCs w:val="24"/>
        </w:rPr>
        <w:t>.</w:t>
      </w:r>
      <w:r>
        <w:rPr>
          <w:rFonts w:ascii="Times New Roman" w:hAnsi="Times New Roman"/>
          <w:szCs w:val="24"/>
        </w:rPr>
        <w:t>7</w:t>
      </w:r>
      <w:r w:rsidRPr="005375A8">
        <w:rPr>
          <w:rFonts w:ascii="Times New Roman" w:hAnsi="Times New Roman"/>
          <w:szCs w:val="24"/>
        </w:rPr>
        <w:t xml:space="preserve"> </w:t>
      </w:r>
      <w:r>
        <w:rPr>
          <w:rFonts w:ascii="Times New Roman" w:hAnsi="Times New Roman"/>
          <w:szCs w:val="24"/>
        </w:rPr>
        <w:t>–</w:t>
      </w:r>
      <w:r w:rsidRPr="005375A8">
        <w:rPr>
          <w:rFonts w:ascii="Times New Roman" w:hAnsi="Times New Roman"/>
          <w:szCs w:val="24"/>
        </w:rPr>
        <w:t xml:space="preserve"> </w:t>
      </w:r>
      <w:r>
        <w:rPr>
          <w:rFonts w:ascii="Times New Roman" w:hAnsi="Times New Roman"/>
          <w:szCs w:val="24"/>
        </w:rPr>
        <w:t>This section describes the i</w:t>
      </w:r>
      <w:r w:rsidRPr="005375A8">
        <w:rPr>
          <w:rFonts w:ascii="Times New Roman" w:hAnsi="Times New Roman"/>
          <w:szCs w:val="24"/>
        </w:rPr>
        <w:t xml:space="preserve">nformational content of a </w:t>
      </w:r>
      <w:r>
        <w:rPr>
          <w:rFonts w:ascii="Times New Roman" w:hAnsi="Times New Roman"/>
          <w:szCs w:val="24"/>
        </w:rPr>
        <w:t xml:space="preserve">reduced </w:t>
      </w:r>
      <w:r w:rsidRPr="005375A8">
        <w:rPr>
          <w:rFonts w:ascii="Times New Roman" w:hAnsi="Times New Roman"/>
          <w:szCs w:val="24"/>
        </w:rPr>
        <w:t>resolution plan.</w:t>
      </w:r>
    </w:p>
    <w:p w14:paraId="55EAA1F0" w14:textId="77777777" w:rsidR="00463EB6" w:rsidRPr="005375A8" w:rsidRDefault="00463EB6" w:rsidP="00274C31">
      <w:pPr>
        <w:pStyle w:val="BodyText"/>
        <w:spacing w:after="0"/>
        <w:ind w:left="1080" w:right="361"/>
        <w:rPr>
          <w:rFonts w:ascii="Times New Roman" w:hAnsi="Times New Roman"/>
          <w:szCs w:val="24"/>
        </w:rPr>
      </w:pPr>
    </w:p>
    <w:p w14:paraId="7E7569D5" w14:textId="0023FFAA" w:rsidR="00E305AF" w:rsidRDefault="00E305AF" w:rsidP="00274C31">
      <w:pPr>
        <w:pStyle w:val="BodyText"/>
        <w:spacing w:after="0"/>
        <w:ind w:left="1080" w:right="361"/>
        <w:rPr>
          <w:rFonts w:ascii="Times New Roman" w:hAnsi="Times New Roman"/>
          <w:szCs w:val="24"/>
        </w:rPr>
      </w:pPr>
      <w:r w:rsidRPr="005375A8">
        <w:rPr>
          <w:rFonts w:ascii="Times New Roman" w:hAnsi="Times New Roman"/>
          <w:szCs w:val="24"/>
        </w:rPr>
        <w:t xml:space="preserve">Section </w:t>
      </w:r>
      <w:r w:rsidR="00463EB6">
        <w:rPr>
          <w:rFonts w:ascii="Times New Roman" w:hAnsi="Times New Roman"/>
          <w:szCs w:val="24"/>
        </w:rPr>
        <w:t>381.8</w:t>
      </w:r>
      <w:r w:rsidRPr="005375A8">
        <w:rPr>
          <w:rFonts w:ascii="Times New Roman" w:hAnsi="Times New Roman"/>
          <w:szCs w:val="24"/>
        </w:rPr>
        <w:t xml:space="preserve"> </w:t>
      </w:r>
      <w:r w:rsidR="00C37DF8">
        <w:rPr>
          <w:rFonts w:ascii="Times New Roman" w:hAnsi="Times New Roman"/>
          <w:szCs w:val="24"/>
        </w:rPr>
        <w:t>–</w:t>
      </w:r>
      <w:r w:rsidRPr="005375A8">
        <w:rPr>
          <w:rFonts w:ascii="Times New Roman" w:hAnsi="Times New Roman"/>
          <w:szCs w:val="24"/>
        </w:rPr>
        <w:t xml:space="preserve"> </w:t>
      </w:r>
      <w:r w:rsidR="00A0043E">
        <w:rPr>
          <w:rFonts w:ascii="Times New Roman" w:hAnsi="Times New Roman"/>
          <w:szCs w:val="24"/>
        </w:rPr>
        <w:t xml:space="preserve">This </w:t>
      </w:r>
      <w:r w:rsidRPr="005375A8">
        <w:rPr>
          <w:rFonts w:ascii="Times New Roman" w:hAnsi="Times New Roman"/>
          <w:szCs w:val="24"/>
        </w:rPr>
        <w:t xml:space="preserve"> section require</w:t>
      </w:r>
      <w:r w:rsidR="005F3C3C">
        <w:rPr>
          <w:rFonts w:ascii="Times New Roman" w:hAnsi="Times New Roman"/>
          <w:szCs w:val="24"/>
        </w:rPr>
        <w:t>s</w:t>
      </w:r>
      <w:r w:rsidRPr="005375A8">
        <w:rPr>
          <w:rFonts w:ascii="Times New Roman" w:hAnsi="Times New Roman"/>
          <w:szCs w:val="24"/>
        </w:rPr>
        <w:t xml:space="preserve"> that, if the Board and FDIC jointly determine that a resolution plan of a covered company is not credible or would not facilitate an orderly resolution of the covere</w:t>
      </w:r>
      <w:hyperlink r:id="rId9">
        <w:r w:rsidRPr="005375A8">
          <w:rPr>
            <w:rFonts w:ascii="Times New Roman" w:hAnsi="Times New Roman"/>
            <w:szCs w:val="24"/>
          </w:rPr>
          <w:t xml:space="preserve">d company </w:t>
        </w:r>
      </w:hyperlink>
      <w:r w:rsidRPr="005375A8">
        <w:rPr>
          <w:rFonts w:ascii="Times New Roman" w:hAnsi="Times New Roman"/>
          <w:szCs w:val="24"/>
        </w:rPr>
        <w:t xml:space="preserve">under the </w:t>
      </w:r>
      <w:hyperlink r:id="rId10">
        <w:r w:rsidRPr="005375A8">
          <w:rPr>
            <w:rFonts w:ascii="Times New Roman" w:hAnsi="Times New Roman"/>
            <w:szCs w:val="24"/>
          </w:rPr>
          <w:t>Bankruptcy Code</w:t>
        </w:r>
      </w:hyperlink>
      <w:r w:rsidRPr="005375A8">
        <w:rPr>
          <w:rFonts w:ascii="Times New Roman" w:hAnsi="Times New Roman"/>
          <w:szCs w:val="24"/>
        </w:rPr>
        <w:t xml:space="preserve">, a covered company </w:t>
      </w:r>
      <w:r w:rsidR="005F3C3C">
        <w:rPr>
          <w:rFonts w:ascii="Times New Roman" w:hAnsi="Times New Roman"/>
          <w:szCs w:val="24"/>
        </w:rPr>
        <w:t xml:space="preserve">is </w:t>
      </w:r>
      <w:r w:rsidR="008B4C5A">
        <w:rPr>
          <w:rFonts w:ascii="Times New Roman" w:hAnsi="Times New Roman"/>
          <w:szCs w:val="24"/>
        </w:rPr>
        <w:t xml:space="preserve">required to </w:t>
      </w:r>
      <w:r w:rsidRPr="005375A8">
        <w:rPr>
          <w:rFonts w:ascii="Times New Roman" w:hAnsi="Times New Roman"/>
          <w:szCs w:val="24"/>
        </w:rPr>
        <w:t xml:space="preserve">resubmit a revised plan within 90 days of receiving notice </w:t>
      </w:r>
      <w:r w:rsidR="00A0043E">
        <w:rPr>
          <w:rFonts w:ascii="Times New Roman" w:hAnsi="Times New Roman"/>
          <w:szCs w:val="24"/>
        </w:rPr>
        <w:t>of deficiencies</w:t>
      </w:r>
      <w:r w:rsidR="00271E0E">
        <w:rPr>
          <w:rFonts w:ascii="Times New Roman" w:hAnsi="Times New Roman"/>
          <w:szCs w:val="24"/>
        </w:rPr>
        <w:t xml:space="preserve"> the agencies jointly identified in the resolution </w:t>
      </w:r>
      <w:r w:rsidR="00CA604B">
        <w:rPr>
          <w:rFonts w:ascii="Times New Roman" w:hAnsi="Times New Roman"/>
          <w:szCs w:val="24"/>
        </w:rPr>
        <w:t>p</w:t>
      </w:r>
      <w:r w:rsidR="00271E0E">
        <w:rPr>
          <w:rFonts w:ascii="Times New Roman" w:hAnsi="Times New Roman"/>
          <w:szCs w:val="24"/>
        </w:rPr>
        <w:t>lan</w:t>
      </w:r>
      <w:r w:rsidR="003A4188">
        <w:rPr>
          <w:rFonts w:ascii="Times New Roman" w:hAnsi="Times New Roman"/>
          <w:szCs w:val="24"/>
        </w:rPr>
        <w:t xml:space="preserve"> (or such other period as the agencies jointly determine)</w:t>
      </w:r>
      <w:r w:rsidRPr="005375A8">
        <w:rPr>
          <w:rFonts w:ascii="Times New Roman" w:hAnsi="Times New Roman"/>
          <w:szCs w:val="24"/>
        </w:rPr>
        <w:t xml:space="preserve">. A covered company </w:t>
      </w:r>
      <w:r w:rsidR="008B4C5A">
        <w:rPr>
          <w:rFonts w:ascii="Times New Roman" w:hAnsi="Times New Roman"/>
          <w:szCs w:val="24"/>
        </w:rPr>
        <w:t xml:space="preserve">would also be </w:t>
      </w:r>
      <w:r w:rsidR="005F3C3C">
        <w:rPr>
          <w:rFonts w:ascii="Times New Roman" w:hAnsi="Times New Roman"/>
          <w:szCs w:val="24"/>
        </w:rPr>
        <w:t xml:space="preserve">able </w:t>
      </w:r>
      <w:r w:rsidR="008B4C5A">
        <w:rPr>
          <w:rFonts w:ascii="Times New Roman" w:hAnsi="Times New Roman"/>
          <w:szCs w:val="24"/>
        </w:rPr>
        <w:t>to</w:t>
      </w:r>
      <w:r w:rsidRPr="005375A8">
        <w:rPr>
          <w:rFonts w:ascii="Times New Roman" w:hAnsi="Times New Roman"/>
          <w:szCs w:val="24"/>
        </w:rPr>
        <w:t xml:space="preserve"> submit a written request for an extension of time to resubmit a revised resolution plan.</w:t>
      </w:r>
    </w:p>
    <w:p w14:paraId="103498C7" w14:textId="3E48EDEC" w:rsidR="00293EE5" w:rsidRDefault="00293EE5" w:rsidP="00274C31">
      <w:pPr>
        <w:pStyle w:val="BodyText"/>
        <w:spacing w:after="0"/>
        <w:ind w:left="1080" w:right="361"/>
        <w:rPr>
          <w:rFonts w:ascii="Times New Roman" w:hAnsi="Times New Roman"/>
          <w:szCs w:val="24"/>
        </w:rPr>
      </w:pPr>
    </w:p>
    <w:p w14:paraId="0EDC4DE1" w14:textId="7437A1AB" w:rsidR="00293EE5" w:rsidRPr="005375A8" w:rsidRDefault="00293EE5" w:rsidP="00274C31">
      <w:pPr>
        <w:pStyle w:val="BodyText"/>
        <w:spacing w:after="0"/>
        <w:ind w:left="1080" w:right="361"/>
        <w:rPr>
          <w:rFonts w:ascii="Times New Roman" w:hAnsi="Times New Roman"/>
          <w:szCs w:val="24"/>
        </w:rPr>
      </w:pPr>
      <w:r>
        <w:rPr>
          <w:rFonts w:ascii="Times New Roman" w:hAnsi="Times New Roman"/>
          <w:szCs w:val="24"/>
        </w:rPr>
        <w:t xml:space="preserve">Section 381.11 – This section describes the informational content of the public section of a full resolution plan, a targeted resolution plan, and a reduced resolution plan. </w:t>
      </w:r>
    </w:p>
    <w:p w14:paraId="796A0BA2" w14:textId="77777777" w:rsidR="00E305AF" w:rsidRPr="005375A8" w:rsidRDefault="00E305AF" w:rsidP="005375A8">
      <w:pPr>
        <w:pStyle w:val="BodyText"/>
        <w:spacing w:after="0"/>
        <w:ind w:left="835"/>
        <w:rPr>
          <w:rFonts w:ascii="Times New Roman" w:hAnsi="Times New Roman"/>
          <w:szCs w:val="24"/>
        </w:rPr>
      </w:pPr>
    </w:p>
    <w:p w14:paraId="744D3E69" w14:textId="77777777" w:rsidR="00274C31" w:rsidRDefault="00274C31" w:rsidP="00274C31">
      <w:pPr>
        <w:widowControl/>
        <w:numPr>
          <w:ilvl w:val="1"/>
          <w:numId w:val="4"/>
        </w:num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471381">
        <w:rPr>
          <w:rFonts w:ascii="Times New Roman" w:hAnsi="Times New Roman"/>
          <w:u w:val="single"/>
        </w:rPr>
        <w:t>Consideration of the use of improved information technology:</w:t>
      </w:r>
    </w:p>
    <w:p w14:paraId="52602606" w14:textId="77777777" w:rsidR="005B6ADB" w:rsidRPr="005375A8" w:rsidRDefault="005B6ADB" w:rsidP="005375A8">
      <w:pPr>
        <w:rPr>
          <w:rFonts w:ascii="Times New Roman" w:hAnsi="Times New Roman"/>
          <w:szCs w:val="24"/>
        </w:rPr>
      </w:pPr>
    </w:p>
    <w:p w14:paraId="4D9F92F7" w14:textId="6AA1E3E2" w:rsidR="005B6ADB" w:rsidRPr="005375A8" w:rsidRDefault="00A858F0" w:rsidP="00274C31">
      <w:pPr>
        <w:ind w:left="1080"/>
        <w:rPr>
          <w:rFonts w:ascii="Times New Roman" w:hAnsi="Times New Roman"/>
          <w:szCs w:val="24"/>
        </w:rPr>
      </w:pPr>
      <w:r>
        <w:rPr>
          <w:rFonts w:ascii="Times New Roman" w:hAnsi="Times New Roman"/>
          <w:szCs w:val="24"/>
        </w:rPr>
        <w:t>Covered companies</w:t>
      </w:r>
      <w:r w:rsidR="0027282C" w:rsidRPr="005375A8">
        <w:rPr>
          <w:rFonts w:ascii="Times New Roman" w:hAnsi="Times New Roman"/>
          <w:szCs w:val="24"/>
        </w:rPr>
        <w:t xml:space="preserve"> may use technology to the extent feasible and/or desirable or appropria</w:t>
      </w:r>
      <w:r>
        <w:rPr>
          <w:rFonts w:ascii="Times New Roman" w:hAnsi="Times New Roman"/>
          <w:szCs w:val="24"/>
        </w:rPr>
        <w:t>te to make the required reports.</w:t>
      </w:r>
      <w:r w:rsidR="001E0624">
        <w:rPr>
          <w:rFonts w:ascii="Times New Roman" w:hAnsi="Times New Roman"/>
          <w:szCs w:val="24"/>
        </w:rPr>
        <w:t xml:space="preserve">  </w:t>
      </w:r>
      <w:r w:rsidR="00E82616">
        <w:rPr>
          <w:rFonts w:ascii="Times New Roman" w:hAnsi="Times New Roman"/>
          <w:szCs w:val="24"/>
        </w:rPr>
        <w:t xml:space="preserve">Generally, at the direction of the Board and the FDIC, covered companies have used </w:t>
      </w:r>
      <w:r w:rsidR="008F0288">
        <w:rPr>
          <w:rFonts w:ascii="Times New Roman" w:hAnsi="Times New Roman"/>
          <w:szCs w:val="24"/>
        </w:rPr>
        <w:t>a secure electronic portal</w:t>
      </w:r>
      <w:r w:rsidR="00F8208E">
        <w:rPr>
          <w:rFonts w:ascii="Times New Roman" w:hAnsi="Times New Roman"/>
          <w:szCs w:val="24"/>
        </w:rPr>
        <w:t xml:space="preserve"> </w:t>
      </w:r>
      <w:r w:rsidR="00E82616">
        <w:rPr>
          <w:rFonts w:ascii="Times New Roman" w:hAnsi="Times New Roman"/>
          <w:szCs w:val="24"/>
        </w:rPr>
        <w:t>to submit their resolution plans in digital format</w:t>
      </w:r>
      <w:r w:rsidR="008F0288">
        <w:rPr>
          <w:rFonts w:ascii="Times New Roman" w:hAnsi="Times New Roman"/>
          <w:szCs w:val="24"/>
        </w:rPr>
        <w:t xml:space="preserve">.    </w:t>
      </w:r>
      <w:r w:rsidR="001E0624">
        <w:rPr>
          <w:rFonts w:ascii="Times New Roman" w:hAnsi="Times New Roman"/>
          <w:szCs w:val="24"/>
        </w:rPr>
        <w:t xml:space="preserve"> </w:t>
      </w:r>
    </w:p>
    <w:p w14:paraId="7DD5DEF3" w14:textId="77777777" w:rsidR="008D0DCF" w:rsidRPr="005375A8" w:rsidRDefault="008D0DCF" w:rsidP="005375A8">
      <w:pPr>
        <w:ind w:firstLine="720"/>
        <w:rPr>
          <w:rFonts w:ascii="Times New Roman" w:hAnsi="Times New Roman"/>
          <w:szCs w:val="24"/>
        </w:rPr>
      </w:pPr>
    </w:p>
    <w:p w14:paraId="10D70C96" w14:textId="77777777" w:rsidR="005B6ADB" w:rsidRPr="005375A8" w:rsidRDefault="00274C31" w:rsidP="00274C31">
      <w:pPr>
        <w:pStyle w:val="BodyTextIndent"/>
        <w:numPr>
          <w:ilvl w:val="1"/>
          <w:numId w:val="4"/>
        </w:numPr>
        <w:rPr>
          <w:szCs w:val="24"/>
        </w:rPr>
      </w:pPr>
      <w:r>
        <w:rPr>
          <w:u w:val="single"/>
        </w:rPr>
        <w:t>Effort to identify duplication:</w:t>
      </w:r>
    </w:p>
    <w:p w14:paraId="250A9728" w14:textId="77777777" w:rsidR="00274C31" w:rsidRDefault="00274C31" w:rsidP="00A858F0">
      <w:pPr>
        <w:pStyle w:val="BodyTextIndent"/>
        <w:rPr>
          <w:szCs w:val="24"/>
        </w:rPr>
      </w:pPr>
    </w:p>
    <w:p w14:paraId="2255AA02" w14:textId="046D5061" w:rsidR="00FF765D" w:rsidRPr="005375A8" w:rsidRDefault="00A858F0" w:rsidP="00274C31">
      <w:pPr>
        <w:pStyle w:val="BodyTextIndent"/>
        <w:ind w:left="1080"/>
        <w:rPr>
          <w:szCs w:val="24"/>
        </w:rPr>
      </w:pPr>
      <w:r w:rsidRPr="005375A8">
        <w:rPr>
          <w:szCs w:val="24"/>
        </w:rPr>
        <w:t>The reporting requirements are found in sections 381.3, 381.4, 381.5, 381.6, 381.7, 381.8</w:t>
      </w:r>
      <w:r w:rsidR="00293EE5">
        <w:rPr>
          <w:szCs w:val="24"/>
        </w:rPr>
        <w:t>, 381.11</w:t>
      </w:r>
      <w:r w:rsidR="005F3C3C">
        <w:rPr>
          <w:szCs w:val="24"/>
        </w:rPr>
        <w:t xml:space="preserve"> of the </w:t>
      </w:r>
      <w:r w:rsidR="00A17F91">
        <w:rPr>
          <w:szCs w:val="24"/>
        </w:rPr>
        <w:t>Final Rule</w:t>
      </w:r>
      <w:r w:rsidRPr="005375A8">
        <w:rPr>
          <w:szCs w:val="24"/>
        </w:rPr>
        <w:t>. Compliance with the information collection is mandatory.  No other federal law mandates these reporting requirements</w:t>
      </w:r>
      <w:r>
        <w:rPr>
          <w:szCs w:val="24"/>
        </w:rPr>
        <w:t xml:space="preserve"> and therefore the reporting requirements are </w:t>
      </w:r>
      <w:r w:rsidR="00710E54" w:rsidRPr="005375A8">
        <w:rPr>
          <w:szCs w:val="24"/>
        </w:rPr>
        <w:t>not otherwise duplicated.</w:t>
      </w:r>
    </w:p>
    <w:p w14:paraId="4B67C559" w14:textId="77777777" w:rsidR="008D0DCF" w:rsidRPr="005375A8" w:rsidRDefault="008D0DCF" w:rsidP="005375A8">
      <w:pPr>
        <w:widowControl/>
        <w:ind w:firstLine="720"/>
        <w:rPr>
          <w:rFonts w:ascii="Times New Roman" w:hAnsi="Times New Roman"/>
          <w:szCs w:val="24"/>
        </w:rPr>
      </w:pPr>
    </w:p>
    <w:p w14:paraId="670AD121" w14:textId="23849D5C" w:rsidR="00070B92" w:rsidRPr="00274C31" w:rsidRDefault="00274C31" w:rsidP="00274C31">
      <w:pPr>
        <w:pStyle w:val="BodyTextIndent"/>
        <w:numPr>
          <w:ilvl w:val="1"/>
          <w:numId w:val="4"/>
        </w:numPr>
        <w:rPr>
          <w:szCs w:val="24"/>
        </w:rPr>
      </w:pPr>
      <w:r w:rsidRPr="00712682">
        <w:rPr>
          <w:u w:val="single"/>
        </w:rPr>
        <w:t>Methods used to minimize burden if the collection has a significant impact on a substantial number of small entities</w:t>
      </w:r>
      <w:r>
        <w:rPr>
          <w:u w:val="single"/>
        </w:rPr>
        <w:t>:</w:t>
      </w:r>
    </w:p>
    <w:p w14:paraId="2505CB1D" w14:textId="77777777" w:rsidR="00274C31" w:rsidRPr="00702615" w:rsidRDefault="00274C31" w:rsidP="00274C31">
      <w:pPr>
        <w:pStyle w:val="BodyTextIndent"/>
        <w:ind w:left="1080"/>
        <w:rPr>
          <w:szCs w:val="24"/>
        </w:rPr>
      </w:pPr>
    </w:p>
    <w:p w14:paraId="6A4DCF21" w14:textId="3ADFCF45" w:rsidR="00702615" w:rsidRDefault="00702615" w:rsidP="00274C31">
      <w:pPr>
        <w:widowControl/>
        <w:ind w:left="1080"/>
        <w:rPr>
          <w:rFonts w:ascii="Times New Roman" w:hAnsi="Times New Roman"/>
        </w:rPr>
      </w:pPr>
      <w:r w:rsidRPr="00702615">
        <w:rPr>
          <w:rFonts w:ascii="Times New Roman" w:eastAsia="Calibri" w:hAnsi="Times New Roman"/>
          <w:snapToGrid/>
          <w:szCs w:val="22"/>
        </w:rPr>
        <w:t xml:space="preserve">This </w:t>
      </w:r>
      <w:r w:rsidR="00A17F91">
        <w:rPr>
          <w:rFonts w:ascii="Times New Roman" w:eastAsia="Calibri" w:hAnsi="Times New Roman"/>
          <w:snapToGrid/>
          <w:szCs w:val="22"/>
        </w:rPr>
        <w:t>Final Rule</w:t>
      </w:r>
      <w:r w:rsidRPr="00702615">
        <w:rPr>
          <w:rFonts w:ascii="Times New Roman" w:eastAsia="Calibri" w:hAnsi="Times New Roman"/>
          <w:snapToGrid/>
          <w:szCs w:val="22"/>
        </w:rPr>
        <w:t xml:space="preserve"> will not have a significant impact on a substantial number of small entities.  </w:t>
      </w:r>
      <w:r>
        <w:rPr>
          <w:rFonts w:ascii="Times New Roman" w:hAnsi="Times New Roman"/>
          <w:szCs w:val="24"/>
        </w:rPr>
        <w:t xml:space="preserve">In particular, the </w:t>
      </w:r>
      <w:r w:rsidR="00A17F91">
        <w:rPr>
          <w:rFonts w:ascii="Times New Roman" w:hAnsi="Times New Roman"/>
          <w:szCs w:val="24"/>
        </w:rPr>
        <w:t>Final Rule</w:t>
      </w:r>
      <w:r>
        <w:rPr>
          <w:rFonts w:ascii="Times New Roman" w:hAnsi="Times New Roman"/>
          <w:szCs w:val="24"/>
        </w:rPr>
        <w:t xml:space="preserve"> </w:t>
      </w:r>
      <w:r w:rsidR="005F3C3C">
        <w:rPr>
          <w:rFonts w:ascii="Times New Roman" w:hAnsi="Times New Roman"/>
        </w:rPr>
        <w:t>applies</w:t>
      </w:r>
      <w:r w:rsidR="00070B92" w:rsidRPr="00702615">
        <w:rPr>
          <w:rFonts w:ascii="Times New Roman" w:hAnsi="Times New Roman"/>
        </w:rPr>
        <w:t xml:space="preserve"> to covered companies, which </w:t>
      </w:r>
      <w:r w:rsidR="006D3FDA">
        <w:rPr>
          <w:rFonts w:ascii="Times New Roman" w:hAnsi="Times New Roman"/>
        </w:rPr>
        <w:t xml:space="preserve">would </w:t>
      </w:r>
      <w:r w:rsidR="00070B92" w:rsidRPr="00702615">
        <w:rPr>
          <w:rFonts w:ascii="Times New Roman" w:hAnsi="Times New Roman"/>
        </w:rPr>
        <w:t>include only bank holding companies and foreign banks that are or are treated as a bank holding company (foreign banking organization)</w:t>
      </w:r>
      <w:r w:rsidR="003A4188">
        <w:rPr>
          <w:rFonts w:ascii="Times New Roman" w:hAnsi="Times New Roman"/>
        </w:rPr>
        <w:t>, in both cases</w:t>
      </w:r>
      <w:r w:rsidR="00070B92" w:rsidRPr="00702615">
        <w:rPr>
          <w:rFonts w:ascii="Times New Roman" w:hAnsi="Times New Roman"/>
        </w:rPr>
        <w:t xml:space="preserve"> with at least $100 billion in total consolidated assets.  The assets of a covered company substantially exceed the $</w:t>
      </w:r>
      <w:r w:rsidR="005F3C3C">
        <w:rPr>
          <w:rFonts w:ascii="Times New Roman" w:hAnsi="Times New Roman"/>
        </w:rPr>
        <w:t xml:space="preserve">600 </w:t>
      </w:r>
      <w:r w:rsidR="00070B92" w:rsidRPr="00702615">
        <w:rPr>
          <w:rFonts w:ascii="Times New Roman" w:hAnsi="Times New Roman"/>
        </w:rPr>
        <w:t xml:space="preserve">million asset threshold at which a banking organization is </w:t>
      </w:r>
      <w:r w:rsidR="00355C17" w:rsidRPr="00702615">
        <w:rPr>
          <w:rFonts w:ascii="Times New Roman" w:hAnsi="Times New Roman"/>
        </w:rPr>
        <w:t>considered</w:t>
      </w:r>
      <w:r w:rsidR="00355C17">
        <w:rPr>
          <w:rFonts w:ascii="Times New Roman" w:hAnsi="Times New Roman"/>
        </w:rPr>
        <w:t xml:space="preserve"> </w:t>
      </w:r>
      <w:r w:rsidR="00293EE5">
        <w:rPr>
          <w:rFonts w:ascii="Times New Roman" w:hAnsi="Times New Roman"/>
        </w:rPr>
        <w:t xml:space="preserve">a </w:t>
      </w:r>
      <w:r w:rsidR="00355C17" w:rsidRPr="00702615">
        <w:rPr>
          <w:rFonts w:ascii="Times New Roman" w:hAnsi="Times New Roman"/>
        </w:rPr>
        <w:t>“small entity” under the Small Business Administration’s regulations</w:t>
      </w:r>
      <w:r w:rsidR="00070B92" w:rsidRPr="00702615">
        <w:rPr>
          <w:rFonts w:ascii="Times New Roman" w:hAnsi="Times New Roman"/>
        </w:rPr>
        <w:t xml:space="preserve">.  </w:t>
      </w:r>
    </w:p>
    <w:p w14:paraId="46101CA6" w14:textId="77777777" w:rsidR="00702615" w:rsidRDefault="00702615" w:rsidP="00274C31">
      <w:pPr>
        <w:widowControl/>
        <w:ind w:left="1080"/>
        <w:rPr>
          <w:rFonts w:ascii="Times New Roman" w:hAnsi="Times New Roman"/>
        </w:rPr>
      </w:pPr>
    </w:p>
    <w:p w14:paraId="7327E937" w14:textId="7B0CB02F" w:rsidR="00702615" w:rsidRDefault="00702615" w:rsidP="00274C31">
      <w:pPr>
        <w:widowControl/>
        <w:ind w:left="1080"/>
        <w:rPr>
          <w:rFonts w:ascii="Times New Roman" w:hAnsi="Times New Roman"/>
        </w:rPr>
      </w:pPr>
      <w:r>
        <w:rPr>
          <w:rFonts w:ascii="Times New Roman" w:hAnsi="Times New Roman"/>
        </w:rPr>
        <w:t>In addition, t</w:t>
      </w:r>
      <w:r w:rsidR="00070B92" w:rsidRPr="00702615">
        <w:rPr>
          <w:rFonts w:ascii="Times New Roman" w:hAnsi="Times New Roman"/>
        </w:rPr>
        <w:t xml:space="preserve">he </w:t>
      </w:r>
      <w:r w:rsidR="00A17F91">
        <w:rPr>
          <w:rFonts w:ascii="Times New Roman" w:hAnsi="Times New Roman"/>
        </w:rPr>
        <w:t>Final Rule</w:t>
      </w:r>
      <w:r w:rsidR="005F3C3C">
        <w:rPr>
          <w:rFonts w:ascii="Times New Roman" w:hAnsi="Times New Roman"/>
        </w:rPr>
        <w:t xml:space="preserve"> applies</w:t>
      </w:r>
      <w:r w:rsidR="00070B92" w:rsidRPr="00702615">
        <w:rPr>
          <w:rFonts w:ascii="Times New Roman" w:hAnsi="Times New Roman"/>
        </w:rPr>
        <w:t xml:space="preserve"> to a nonbank financial company designated by the </w:t>
      </w:r>
      <w:r w:rsidR="00AD4D59">
        <w:rPr>
          <w:rFonts w:ascii="Times New Roman" w:hAnsi="Times New Roman"/>
        </w:rPr>
        <w:t>FSOC</w:t>
      </w:r>
      <w:r w:rsidR="00AD4D59" w:rsidRPr="00702615">
        <w:rPr>
          <w:rFonts w:ascii="Times New Roman" w:hAnsi="Times New Roman"/>
        </w:rPr>
        <w:t xml:space="preserve"> </w:t>
      </w:r>
      <w:r w:rsidR="00070B92" w:rsidRPr="00702615">
        <w:rPr>
          <w:rFonts w:ascii="Times New Roman" w:hAnsi="Times New Roman"/>
        </w:rPr>
        <w:t xml:space="preserve">under section 113 of the Dodd-Frank Act regardless of such a company’s asset size. </w:t>
      </w:r>
      <w:r w:rsidRPr="00702615">
        <w:rPr>
          <w:rFonts w:ascii="Times New Roman" w:hAnsi="Times New Roman"/>
        </w:rPr>
        <w:t xml:space="preserve"> </w:t>
      </w:r>
      <w:r w:rsidR="00070B92" w:rsidRPr="00702615">
        <w:rPr>
          <w:rFonts w:ascii="Times New Roman" w:hAnsi="Times New Roman"/>
        </w:rPr>
        <w:t xml:space="preserve">Although the asset size of nonbank financial companies may not be the determinative factor of whether such companies may pose systemic risks and would be designated by the </w:t>
      </w:r>
      <w:r w:rsidR="008F5362">
        <w:rPr>
          <w:rFonts w:ascii="Times New Roman" w:hAnsi="Times New Roman"/>
        </w:rPr>
        <w:t>FSOC</w:t>
      </w:r>
      <w:r w:rsidR="008F5362" w:rsidRPr="00702615">
        <w:rPr>
          <w:rFonts w:ascii="Times New Roman" w:hAnsi="Times New Roman"/>
        </w:rPr>
        <w:t xml:space="preserve"> </w:t>
      </w:r>
      <w:r w:rsidR="00070B92" w:rsidRPr="00702615">
        <w:rPr>
          <w:rFonts w:ascii="Times New Roman" w:hAnsi="Times New Roman"/>
        </w:rPr>
        <w:t>for supervision by the Board, it is an important consideration.</w:t>
      </w:r>
      <w:r w:rsidRPr="00702615">
        <w:rPr>
          <w:rFonts w:ascii="Times New Roman" w:hAnsi="Times New Roman"/>
          <w:vertAlign w:val="superscript"/>
        </w:rPr>
        <w:t xml:space="preserve"> </w:t>
      </w:r>
      <w:r w:rsidRPr="00702615">
        <w:rPr>
          <w:rFonts w:ascii="Times New Roman" w:hAnsi="Times New Roman"/>
        </w:rPr>
        <w:t xml:space="preserve"> </w:t>
      </w:r>
      <w:r w:rsidR="00070B92" w:rsidRPr="00702615">
        <w:rPr>
          <w:rFonts w:ascii="Times New Roman" w:hAnsi="Times New Roman"/>
        </w:rPr>
        <w:t>It is therefore unlikely that a financial firm that is at or below the $</w:t>
      </w:r>
      <w:r w:rsidR="005F3C3C">
        <w:rPr>
          <w:rFonts w:ascii="Times New Roman" w:hAnsi="Times New Roman"/>
        </w:rPr>
        <w:t>660</w:t>
      </w:r>
      <w:r w:rsidR="00070B92" w:rsidRPr="00702615">
        <w:rPr>
          <w:rFonts w:ascii="Times New Roman" w:hAnsi="Times New Roman"/>
        </w:rPr>
        <w:t xml:space="preserve"> million asset threshold would be designated by the </w:t>
      </w:r>
      <w:r w:rsidR="00AD4D59">
        <w:rPr>
          <w:rFonts w:ascii="Times New Roman" w:hAnsi="Times New Roman"/>
        </w:rPr>
        <w:t>FSOC</w:t>
      </w:r>
      <w:r w:rsidR="00AD4D59" w:rsidRPr="00702615">
        <w:rPr>
          <w:rFonts w:ascii="Times New Roman" w:hAnsi="Times New Roman"/>
        </w:rPr>
        <w:t xml:space="preserve"> </w:t>
      </w:r>
      <w:r w:rsidR="00070B92" w:rsidRPr="00702615">
        <w:rPr>
          <w:rFonts w:ascii="Times New Roman" w:hAnsi="Times New Roman"/>
        </w:rPr>
        <w:t>under section 113 of the Dodd-Frank Act because material financial distress at such firms, or the nature, scope, size, scale, concentration, interconnectedness, or mix of it activities, are not likely to pose a threat to the financial stability of the United States.</w:t>
      </w:r>
      <w:r w:rsidRPr="00702615">
        <w:rPr>
          <w:rFonts w:ascii="Times New Roman" w:hAnsi="Times New Roman"/>
        </w:rPr>
        <w:t xml:space="preserve">  </w:t>
      </w:r>
    </w:p>
    <w:p w14:paraId="5D2AC5CF" w14:textId="77777777" w:rsidR="00702615" w:rsidRDefault="00702615" w:rsidP="00274C31">
      <w:pPr>
        <w:widowControl/>
        <w:ind w:left="1080"/>
        <w:rPr>
          <w:rFonts w:ascii="Times New Roman" w:hAnsi="Times New Roman"/>
        </w:rPr>
      </w:pPr>
    </w:p>
    <w:p w14:paraId="4CF38684" w14:textId="5326D8DD" w:rsidR="00702615" w:rsidRPr="00702615" w:rsidRDefault="00702615" w:rsidP="00274C31">
      <w:pPr>
        <w:widowControl/>
        <w:ind w:left="1080"/>
        <w:rPr>
          <w:rFonts w:ascii="Times New Roman" w:eastAsia="Calibri" w:hAnsi="Times New Roman"/>
          <w:snapToGrid/>
          <w:color w:val="1F497D"/>
          <w:szCs w:val="22"/>
        </w:rPr>
      </w:pPr>
      <w:r>
        <w:rPr>
          <w:rFonts w:ascii="Times New Roman" w:hAnsi="Times New Roman"/>
        </w:rPr>
        <w:t xml:space="preserve">Therefore, </w:t>
      </w:r>
      <w:r w:rsidRPr="00702615">
        <w:rPr>
          <w:rFonts w:ascii="Times New Roman" w:hAnsi="Times New Roman"/>
        </w:rPr>
        <w:t xml:space="preserve">the </w:t>
      </w:r>
      <w:r w:rsidR="00A17F91">
        <w:rPr>
          <w:rFonts w:ascii="Times New Roman" w:hAnsi="Times New Roman"/>
        </w:rPr>
        <w:t>Final Rule</w:t>
      </w:r>
      <w:r w:rsidRPr="00702615">
        <w:rPr>
          <w:rFonts w:ascii="Times New Roman" w:hAnsi="Times New Roman"/>
        </w:rPr>
        <w:t xml:space="preserve"> is not likely to apply to any company with assets of $</w:t>
      </w:r>
      <w:r w:rsidR="005F3C3C">
        <w:rPr>
          <w:rFonts w:ascii="Times New Roman" w:hAnsi="Times New Roman"/>
        </w:rPr>
        <w:t xml:space="preserve">600 </w:t>
      </w:r>
      <w:r w:rsidRPr="00702615">
        <w:rPr>
          <w:rFonts w:ascii="Times New Roman" w:hAnsi="Times New Roman"/>
        </w:rPr>
        <w:t>million or</w:t>
      </w:r>
      <w:r>
        <w:rPr>
          <w:rFonts w:ascii="Times New Roman" w:hAnsi="Times New Roman"/>
        </w:rPr>
        <w:t xml:space="preserve"> less</w:t>
      </w:r>
      <w:r w:rsidR="005E1E78">
        <w:rPr>
          <w:rFonts w:ascii="Times New Roman" w:hAnsi="Times New Roman"/>
        </w:rPr>
        <w:t>.</w:t>
      </w:r>
    </w:p>
    <w:p w14:paraId="357C5A82" w14:textId="77777777" w:rsidR="00702615" w:rsidRPr="00481197" w:rsidRDefault="00702615" w:rsidP="00070B92">
      <w:pPr>
        <w:pStyle w:val="BodyTextIndent"/>
      </w:pPr>
    </w:p>
    <w:p w14:paraId="7EA8FDEC" w14:textId="77777777" w:rsidR="00274C31" w:rsidRDefault="00274C31" w:rsidP="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471381">
        <w:rPr>
          <w:rFonts w:ascii="Times New Roman" w:hAnsi="Times New Roman"/>
          <w:u w:val="single"/>
        </w:rPr>
        <w:t>Consequences to the Federal program if the collection were conducted less frequently:</w:t>
      </w:r>
    </w:p>
    <w:p w14:paraId="342238A0" w14:textId="77777777" w:rsidR="005B6ADB" w:rsidRPr="005375A8" w:rsidRDefault="005B6ADB" w:rsidP="005375A8">
      <w:pPr>
        <w:rPr>
          <w:rFonts w:ascii="Times New Roman" w:hAnsi="Times New Roman"/>
          <w:szCs w:val="24"/>
        </w:rPr>
      </w:pPr>
    </w:p>
    <w:p w14:paraId="1FE32F90" w14:textId="237AB135" w:rsidR="00FE2F13" w:rsidRPr="005375A8" w:rsidRDefault="007932AB" w:rsidP="00CA694D">
      <w:pPr>
        <w:pStyle w:val="BodyTextIndent"/>
        <w:ind w:left="1080"/>
        <w:rPr>
          <w:szCs w:val="24"/>
        </w:rPr>
      </w:pPr>
      <w:r>
        <w:t xml:space="preserve">Resolution plans filed under section 165(d) and the </w:t>
      </w:r>
      <w:r w:rsidR="00A17F91">
        <w:t>Final Rule</w:t>
      </w:r>
      <w:r>
        <w:t xml:space="preserve"> assist covered companies and regulators in conducting advance resolution planning for a covered company. Through the FDIC’s experience in failed bank resolutions, as well as the Board’s and the FDIC’s experience in the most recent </w:t>
      </w:r>
      <w:r w:rsidR="00293EE5">
        <w:t xml:space="preserve">financial </w:t>
      </w:r>
      <w:r>
        <w:t xml:space="preserve">crisis, it became apparent that advance planning </w:t>
      </w:r>
      <w:r w:rsidR="00293EE5">
        <w:t xml:space="preserve">has the potential to </w:t>
      </w:r>
      <w:r>
        <w:t xml:space="preserve">improve the efficient resolution of a covered company. Advance planning has long been a component of resiliency and recovery planning by financial companies. </w:t>
      </w:r>
      <w:r w:rsidRPr="00067917">
        <w:t xml:space="preserve">The resolution plan required </w:t>
      </w:r>
      <w:r w:rsidR="005F3C3C">
        <w:t xml:space="preserve">of covered companies under the </w:t>
      </w:r>
      <w:r w:rsidR="00A17F91">
        <w:t>Final Rule</w:t>
      </w:r>
      <w:r w:rsidRPr="00067917">
        <w:t xml:space="preserve"> supports the FDIC’s planning for the exercise of its resolution authority under the Dodd-Frank Act by providing the FDIC with an understanding of the covered companies’ structures and complexity as well as their resolution strategies and processes</w:t>
      </w:r>
      <w:r>
        <w:t xml:space="preserve">. The resolution plans also keep the agencies apprised of relevant changes to the covered companies’ structure, complexity, and other factors that may affect resolvability.  </w:t>
      </w:r>
      <w:r w:rsidR="00CA694D">
        <w:t>The resolvability of firms changes as markets change and as firms’ activities, structures, and risk profiles change.</w:t>
      </w:r>
      <w:r w:rsidR="006B3D2B">
        <w:t xml:space="preserve"> </w:t>
      </w:r>
      <w:r w:rsidR="006A012A">
        <w:t>L</w:t>
      </w:r>
      <w:r w:rsidR="00B063E7">
        <w:t xml:space="preserve">ess frequent collection of </w:t>
      </w:r>
      <w:r w:rsidR="006A012A">
        <w:t xml:space="preserve">information </w:t>
      </w:r>
      <w:r w:rsidR="00B063E7">
        <w:t>could i</w:t>
      </w:r>
      <w:r w:rsidR="00CA694D">
        <w:t>mpede</w:t>
      </w:r>
      <w:r w:rsidR="00B063E7">
        <w:t xml:space="preserve"> the FDIC’s advance resolution planning. </w:t>
      </w:r>
      <w:r w:rsidR="00FE2F13" w:rsidRPr="005375A8">
        <w:rPr>
          <w:szCs w:val="24"/>
        </w:rPr>
        <w:t xml:space="preserve"> </w:t>
      </w:r>
    </w:p>
    <w:p w14:paraId="69A46E31" w14:textId="77777777" w:rsidR="005B6ADB" w:rsidRPr="005375A8" w:rsidRDefault="005B6ADB" w:rsidP="005375A8">
      <w:pPr>
        <w:pStyle w:val="BodyTextIndent"/>
        <w:ind w:left="0" w:firstLine="720"/>
        <w:rPr>
          <w:szCs w:val="24"/>
        </w:rPr>
      </w:pPr>
    </w:p>
    <w:p w14:paraId="6424478F" w14:textId="77777777" w:rsidR="00274C31" w:rsidRPr="00712682" w:rsidRDefault="00274C31" w:rsidP="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712682">
        <w:rPr>
          <w:rFonts w:ascii="Times New Roman" w:hAnsi="Times New Roman"/>
          <w:u w:val="single"/>
        </w:rPr>
        <w:t>Special circumstances necessitating collection inconsistent with 5 CFR 1320.5(d)(2):</w:t>
      </w:r>
    </w:p>
    <w:p w14:paraId="5EDA1928" w14:textId="77777777" w:rsidR="005B6ADB" w:rsidRPr="005375A8" w:rsidRDefault="005B6ADB" w:rsidP="005375A8">
      <w:pPr>
        <w:rPr>
          <w:rFonts w:ascii="Times New Roman" w:hAnsi="Times New Roman"/>
          <w:szCs w:val="24"/>
        </w:rPr>
      </w:pPr>
    </w:p>
    <w:p w14:paraId="7003F60F" w14:textId="0696EEF8" w:rsidR="00274C31" w:rsidRPr="0011503E" w:rsidRDefault="00274C31" w:rsidP="00274C31">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rPr>
      </w:pPr>
      <w:r w:rsidRPr="00712682">
        <w:rPr>
          <w:rFonts w:ascii="Times New Roman" w:hAnsi="Times New Roman"/>
        </w:rPr>
        <w:t xml:space="preserve">None. This information collection is conducted in accordance with the guidelines in </w:t>
      </w:r>
      <w:r w:rsidR="005F3C3C">
        <w:rPr>
          <w:rFonts w:ascii="Times New Roman" w:hAnsi="Times New Roman"/>
        </w:rPr>
        <w:br/>
      </w:r>
      <w:r w:rsidRPr="00712682">
        <w:rPr>
          <w:rFonts w:ascii="Times New Roman" w:hAnsi="Times New Roman"/>
        </w:rPr>
        <w:t>5 CFR 1320.5(d)(2).</w:t>
      </w:r>
    </w:p>
    <w:p w14:paraId="6303982E" w14:textId="77777777" w:rsidR="005B6ADB" w:rsidRPr="005375A8" w:rsidRDefault="005B6ADB" w:rsidP="005375A8">
      <w:pPr>
        <w:rPr>
          <w:rFonts w:ascii="Times New Roman" w:hAnsi="Times New Roman"/>
          <w:szCs w:val="24"/>
        </w:rPr>
      </w:pPr>
    </w:p>
    <w:p w14:paraId="1BF20AEF" w14:textId="77777777" w:rsidR="00274C31" w:rsidRPr="00712682" w:rsidRDefault="00274C31" w:rsidP="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712682">
        <w:rPr>
          <w:rFonts w:ascii="Times New Roman" w:hAnsi="Times New Roman"/>
          <w:u w:val="single"/>
        </w:rPr>
        <w:t>Efforts to consult with persons outside the agency:</w:t>
      </w:r>
    </w:p>
    <w:p w14:paraId="2F9A2DB8" w14:textId="77777777" w:rsidR="005B6ADB" w:rsidRPr="005375A8" w:rsidRDefault="005B6ADB" w:rsidP="005375A8">
      <w:pPr>
        <w:rPr>
          <w:rFonts w:ascii="Times New Roman" w:hAnsi="Times New Roman"/>
          <w:szCs w:val="24"/>
        </w:rPr>
      </w:pPr>
    </w:p>
    <w:p w14:paraId="48D8BCD7" w14:textId="1EA659A1" w:rsidR="005B6ADB" w:rsidRPr="005375A8" w:rsidRDefault="00473580" w:rsidP="00274C31">
      <w:pPr>
        <w:pStyle w:val="BodyTextIndent"/>
        <w:ind w:left="1080"/>
        <w:rPr>
          <w:szCs w:val="24"/>
        </w:rPr>
      </w:pPr>
      <w:r>
        <w:rPr>
          <w:szCs w:val="24"/>
        </w:rPr>
        <w:t>On May 14, 2019, t</w:t>
      </w:r>
      <w:r w:rsidR="005B6ADB" w:rsidRPr="005375A8">
        <w:rPr>
          <w:szCs w:val="24"/>
        </w:rPr>
        <w:t xml:space="preserve">he FDIC </w:t>
      </w:r>
      <w:r>
        <w:rPr>
          <w:szCs w:val="24"/>
        </w:rPr>
        <w:t>issued a N</w:t>
      </w:r>
      <w:r w:rsidR="005B6ADB" w:rsidRPr="005375A8">
        <w:rPr>
          <w:szCs w:val="24"/>
        </w:rPr>
        <w:t xml:space="preserve">otice of Proposed Rulemaking in the Federal Register </w:t>
      </w:r>
      <w:r>
        <w:rPr>
          <w:szCs w:val="24"/>
        </w:rPr>
        <w:t xml:space="preserve">(84 FR 21600) </w:t>
      </w:r>
      <w:r w:rsidR="005B6ADB" w:rsidRPr="005375A8">
        <w:rPr>
          <w:szCs w:val="24"/>
        </w:rPr>
        <w:t xml:space="preserve">seeking comment on </w:t>
      </w:r>
      <w:r>
        <w:rPr>
          <w:szCs w:val="24"/>
        </w:rPr>
        <w:t xml:space="preserve">the reporting requirements under the PRA.  </w:t>
      </w:r>
      <w:r w:rsidR="005F3C3C">
        <w:rPr>
          <w:szCs w:val="24"/>
        </w:rPr>
        <w:t>No comments were received with respect to the PRA</w:t>
      </w:r>
      <w:r w:rsidR="00EB2629" w:rsidRPr="005375A8">
        <w:rPr>
          <w:szCs w:val="24"/>
        </w:rPr>
        <w:t>.</w:t>
      </w:r>
    </w:p>
    <w:p w14:paraId="3DD16B82" w14:textId="77777777" w:rsidR="005B6ADB" w:rsidRPr="005375A8" w:rsidRDefault="005B6ADB" w:rsidP="005375A8">
      <w:pPr>
        <w:ind w:left="1440"/>
        <w:rPr>
          <w:rFonts w:ascii="Times New Roman" w:hAnsi="Times New Roman"/>
          <w:szCs w:val="24"/>
        </w:rPr>
      </w:pPr>
    </w:p>
    <w:p w14:paraId="2616272E" w14:textId="77777777" w:rsidR="00274C31" w:rsidRDefault="00274C31" w:rsidP="00274C31">
      <w:pPr>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Payment or gift to respondents:</w:t>
      </w:r>
    </w:p>
    <w:p w14:paraId="3AE9D818" w14:textId="77777777" w:rsidR="005B6ADB" w:rsidRPr="005375A8" w:rsidRDefault="005B6ADB" w:rsidP="005375A8">
      <w:pPr>
        <w:rPr>
          <w:rFonts w:ascii="Times New Roman" w:hAnsi="Times New Roman"/>
          <w:szCs w:val="24"/>
        </w:rPr>
      </w:pPr>
    </w:p>
    <w:p w14:paraId="3813D607" w14:textId="77777777" w:rsidR="005B6ADB" w:rsidRPr="005375A8" w:rsidRDefault="00274C31" w:rsidP="00274C31">
      <w:pPr>
        <w:ind w:left="360" w:firstLine="720"/>
        <w:rPr>
          <w:rFonts w:ascii="Times New Roman" w:hAnsi="Times New Roman"/>
          <w:szCs w:val="24"/>
        </w:rPr>
      </w:pPr>
      <w:r>
        <w:rPr>
          <w:rFonts w:ascii="Times New Roman" w:hAnsi="Times New Roman"/>
          <w:szCs w:val="24"/>
        </w:rPr>
        <w:t>None</w:t>
      </w:r>
      <w:r w:rsidR="005B6ADB" w:rsidRPr="005375A8">
        <w:rPr>
          <w:rFonts w:ascii="Times New Roman" w:hAnsi="Times New Roman"/>
          <w:szCs w:val="24"/>
        </w:rPr>
        <w:t>.</w:t>
      </w:r>
    </w:p>
    <w:p w14:paraId="6C06A50E" w14:textId="77777777" w:rsidR="005B6ADB" w:rsidRPr="005375A8" w:rsidRDefault="005B6ADB" w:rsidP="005375A8">
      <w:pPr>
        <w:rPr>
          <w:rFonts w:ascii="Times New Roman" w:hAnsi="Times New Roman"/>
          <w:szCs w:val="24"/>
        </w:rPr>
      </w:pPr>
    </w:p>
    <w:p w14:paraId="55F6F41C" w14:textId="77777777" w:rsidR="00473580" w:rsidRPr="00473580" w:rsidRDefault="00473580" w:rsidP="00274C31">
      <w:pPr>
        <w:pStyle w:val="ListParagraph"/>
        <w:widowControl/>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473580">
        <w:rPr>
          <w:rFonts w:ascii="Times New Roman" w:hAnsi="Times New Roman"/>
          <w:u w:val="single"/>
        </w:rPr>
        <w:t>Any assurance of confidentiality:</w:t>
      </w:r>
      <w:r w:rsidRPr="00473580">
        <w:rPr>
          <w:rFonts w:ascii="Times New Roman" w:hAnsi="Times New Roman"/>
        </w:rPr>
        <w:tab/>
      </w:r>
    </w:p>
    <w:p w14:paraId="7DFFB0E8" w14:textId="77777777" w:rsidR="00473580" w:rsidRDefault="00473580" w:rsidP="00473580">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5532B335" w14:textId="77777777" w:rsidR="00473580" w:rsidRDefault="00473580" w:rsidP="00274C31">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rPr>
      </w:pPr>
      <w:r>
        <w:rPr>
          <w:rFonts w:ascii="Times New Roman" w:hAnsi="Times New Roman"/>
        </w:rPr>
        <w:t>Information collected is kept private to the extent allowed by law. All required records are subject to the confidentiality requirements of the Privacy Act.  In addition, a</w:t>
      </w:r>
      <w:r w:rsidRPr="00CB7D84">
        <w:rPr>
          <w:rFonts w:ascii="Times New Roman" w:hAnsi="Times New Roman"/>
        </w:rPr>
        <w:t xml:space="preserve">ny information deemed to be of a confidential nature </w:t>
      </w:r>
      <w:r>
        <w:rPr>
          <w:rFonts w:ascii="Times New Roman" w:hAnsi="Times New Roman"/>
        </w:rPr>
        <w:t>is</w:t>
      </w:r>
      <w:r w:rsidRPr="00CB7D84">
        <w:rPr>
          <w:rFonts w:ascii="Times New Roman" w:hAnsi="Times New Roman"/>
        </w:rPr>
        <w:t xml:space="preserve"> exempt from public disclosure in accordance with the provisions of the Freedom of Information Act (5 U.S.C. 552)</w:t>
      </w:r>
      <w:r>
        <w:rPr>
          <w:rFonts w:ascii="Times New Roman" w:hAnsi="Times New Roman"/>
        </w:rPr>
        <w:t>.</w:t>
      </w:r>
    </w:p>
    <w:p w14:paraId="1511ED12" w14:textId="77777777" w:rsidR="00EB2629" w:rsidRPr="005375A8" w:rsidRDefault="00EB2629" w:rsidP="00473580">
      <w:pPr>
        <w:ind w:left="840" w:hanging="120"/>
        <w:rPr>
          <w:rFonts w:ascii="Times New Roman" w:hAnsi="Times New Roman"/>
          <w:szCs w:val="24"/>
        </w:rPr>
      </w:pPr>
    </w:p>
    <w:p w14:paraId="6BC085D5" w14:textId="77777777" w:rsidR="00274C31" w:rsidRPr="00BC72B5" w:rsidRDefault="00274C31" w:rsidP="00274C31">
      <w:pPr>
        <w:widowControl/>
        <w:numPr>
          <w:ilvl w:val="1"/>
          <w:numId w:val="4"/>
        </w:num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BC72B5">
        <w:rPr>
          <w:rFonts w:ascii="Times New Roman" w:hAnsi="Times New Roman"/>
          <w:szCs w:val="24"/>
          <w:u w:val="single"/>
        </w:rPr>
        <w:t>Justification for questions of a sensitive nature:</w:t>
      </w:r>
    </w:p>
    <w:p w14:paraId="53DB225B" w14:textId="77777777" w:rsidR="005B6ADB" w:rsidRPr="005375A8" w:rsidRDefault="005B6ADB" w:rsidP="005375A8">
      <w:pPr>
        <w:rPr>
          <w:rFonts w:ascii="Times New Roman" w:hAnsi="Times New Roman"/>
          <w:szCs w:val="24"/>
        </w:rPr>
      </w:pPr>
    </w:p>
    <w:p w14:paraId="18C1DF24" w14:textId="77777777" w:rsidR="00274C31" w:rsidRPr="00CA707C" w:rsidRDefault="00274C31" w:rsidP="00274C31">
      <w:pPr>
        <w:widowControl/>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080"/>
        <w:jc w:val="both"/>
        <w:rPr>
          <w:rFonts w:ascii="Times New Roman" w:hAnsi="Times New Roman"/>
          <w:szCs w:val="24"/>
        </w:rPr>
      </w:pPr>
      <w:r w:rsidRPr="00CA707C">
        <w:rPr>
          <w:rFonts w:ascii="Times New Roman" w:hAnsi="Times New Roman"/>
          <w:szCs w:val="24"/>
        </w:rPr>
        <w:t>No questions of a sensitive nature are included in the collection.</w:t>
      </w:r>
    </w:p>
    <w:p w14:paraId="609A3900" w14:textId="77777777" w:rsidR="0074532A" w:rsidRDefault="0074532A">
      <w:pPr>
        <w:widowControl/>
        <w:rPr>
          <w:rFonts w:ascii="Times New Roman" w:hAnsi="Times New Roman"/>
          <w:szCs w:val="24"/>
        </w:rPr>
      </w:pPr>
      <w:r>
        <w:rPr>
          <w:rFonts w:ascii="Times New Roman" w:hAnsi="Times New Roman"/>
          <w:szCs w:val="24"/>
        </w:rPr>
        <w:br w:type="page"/>
      </w:r>
    </w:p>
    <w:p w14:paraId="1789956F" w14:textId="77777777" w:rsidR="005B6ADB" w:rsidRPr="00473580" w:rsidRDefault="00274C31" w:rsidP="00274C31">
      <w:pPr>
        <w:pStyle w:val="ListParagraph"/>
        <w:numPr>
          <w:ilvl w:val="1"/>
          <w:numId w:val="4"/>
        </w:numPr>
        <w:rPr>
          <w:rFonts w:ascii="Times New Roman" w:hAnsi="Times New Roman"/>
          <w:szCs w:val="24"/>
        </w:rPr>
      </w:pPr>
      <w:r w:rsidRPr="00BC72B5">
        <w:rPr>
          <w:rFonts w:ascii="Times New Roman" w:hAnsi="Times New Roman"/>
          <w:szCs w:val="24"/>
          <w:u w:val="single"/>
        </w:rPr>
        <w:t>Estimate of Hour Burden:</w:t>
      </w:r>
      <w:r w:rsidR="005B6ADB" w:rsidRPr="00473580">
        <w:rPr>
          <w:rFonts w:ascii="Times New Roman" w:hAnsi="Times New Roman"/>
          <w:szCs w:val="24"/>
        </w:rPr>
        <w:tab/>
      </w:r>
    </w:p>
    <w:p w14:paraId="14369466" w14:textId="29FAC586" w:rsidR="005B6ADB" w:rsidRDefault="005B6ADB" w:rsidP="005375A8">
      <w:pPr>
        <w:rPr>
          <w:rFonts w:ascii="Times New Roman" w:hAnsi="Times New Roman"/>
          <w:szCs w:val="24"/>
        </w:rPr>
      </w:pPr>
      <w:r w:rsidRPr="005375A8">
        <w:rPr>
          <w:rFonts w:ascii="Times New Roman" w:hAnsi="Times New Roman"/>
          <w:szCs w:val="24"/>
        </w:rPr>
        <w:tab/>
      </w:r>
    </w:p>
    <w:p w14:paraId="3F6DB2D4" w14:textId="2CBC5F3F" w:rsidR="0002442E" w:rsidRPr="005375A8" w:rsidRDefault="0002442E" w:rsidP="0002442E">
      <w:pPr>
        <w:ind w:left="1080"/>
        <w:rPr>
          <w:rFonts w:ascii="Times New Roman" w:hAnsi="Times New Roman"/>
          <w:szCs w:val="24"/>
        </w:rPr>
      </w:pPr>
      <w:r w:rsidRPr="005375A8">
        <w:rPr>
          <w:rFonts w:ascii="Times New Roman" w:hAnsi="Times New Roman"/>
          <w:szCs w:val="24"/>
        </w:rPr>
        <w:t xml:space="preserve">The </w:t>
      </w:r>
      <w:r>
        <w:rPr>
          <w:rFonts w:ascii="Times New Roman" w:hAnsi="Times New Roman"/>
          <w:szCs w:val="24"/>
        </w:rPr>
        <w:t xml:space="preserve">FDIC’s </w:t>
      </w:r>
      <w:r w:rsidRPr="005375A8">
        <w:rPr>
          <w:rFonts w:ascii="Times New Roman" w:hAnsi="Times New Roman"/>
          <w:szCs w:val="24"/>
        </w:rPr>
        <w:t>estimated burden</w:t>
      </w:r>
      <w:r w:rsidRPr="008937B3">
        <w:rPr>
          <w:rStyle w:val="FootnoteReference"/>
          <w:szCs w:val="24"/>
          <w:vertAlign w:val="superscript"/>
        </w:rPr>
        <w:footnoteReference w:id="3"/>
      </w:r>
      <w:r w:rsidRPr="005375A8">
        <w:rPr>
          <w:rFonts w:ascii="Times New Roman" w:hAnsi="Times New Roman"/>
          <w:szCs w:val="24"/>
        </w:rPr>
        <w:t xml:space="preserve"> for the respondents </w:t>
      </w:r>
      <w:r>
        <w:rPr>
          <w:rFonts w:ascii="Times New Roman" w:hAnsi="Times New Roman"/>
          <w:szCs w:val="24"/>
        </w:rPr>
        <w:t xml:space="preserve">for complying with the collection of </w:t>
      </w:r>
      <w:r w:rsidRPr="005375A8">
        <w:rPr>
          <w:rFonts w:ascii="Times New Roman" w:hAnsi="Times New Roman"/>
          <w:szCs w:val="24"/>
        </w:rPr>
        <w:t xml:space="preserve">information is </w:t>
      </w:r>
      <w:r w:rsidR="00FE6C2D">
        <w:rPr>
          <w:rFonts w:ascii="Times New Roman" w:hAnsi="Times New Roman"/>
          <w:szCs w:val="24"/>
        </w:rPr>
        <w:t>209,919</w:t>
      </w:r>
      <w:r w:rsidRPr="005375A8">
        <w:rPr>
          <w:rFonts w:ascii="Times New Roman" w:hAnsi="Times New Roman"/>
          <w:szCs w:val="24"/>
        </w:rPr>
        <w:t xml:space="preserve"> hours. </w:t>
      </w:r>
    </w:p>
    <w:p w14:paraId="6E723FF0" w14:textId="77777777" w:rsidR="0002442E" w:rsidRDefault="0002442E" w:rsidP="0002442E">
      <w:pPr>
        <w:rPr>
          <w:rFonts w:ascii="Times New Roman" w:hAnsi="Times New Roman"/>
          <w:szCs w:val="24"/>
        </w:rPr>
      </w:pPr>
    </w:p>
    <w:tbl>
      <w:tblPr>
        <w:tblW w:w="8640" w:type="dxa"/>
        <w:tblInd w:w="468" w:type="dxa"/>
        <w:tblLook w:val="04A0" w:firstRow="1" w:lastRow="0" w:firstColumn="1" w:lastColumn="0" w:noHBand="0" w:noVBand="1"/>
      </w:tblPr>
      <w:tblGrid>
        <w:gridCol w:w="1881"/>
        <w:gridCol w:w="1539"/>
        <w:gridCol w:w="1710"/>
        <w:gridCol w:w="1890"/>
        <w:gridCol w:w="1620"/>
      </w:tblGrid>
      <w:tr w:rsidR="0002442E" w:rsidRPr="00AB3F7D" w14:paraId="7DF09A9E" w14:textId="77777777" w:rsidTr="00820114">
        <w:trPr>
          <w:trHeight w:val="520"/>
        </w:trPr>
        <w:tc>
          <w:tcPr>
            <w:tcW w:w="1881" w:type="dxa"/>
            <w:tcBorders>
              <w:top w:val="single" w:sz="8" w:space="0" w:color="auto"/>
              <w:left w:val="single" w:sz="4" w:space="0" w:color="auto"/>
              <w:bottom w:val="single" w:sz="4" w:space="0" w:color="auto"/>
              <w:right w:val="single" w:sz="4" w:space="0" w:color="auto"/>
            </w:tcBorders>
            <w:shd w:val="clear" w:color="000000" w:fill="BFBFBF"/>
            <w:vAlign w:val="center"/>
            <w:hideMark/>
          </w:tcPr>
          <w:p w14:paraId="300BBA9F" w14:textId="77777777" w:rsidR="0002442E" w:rsidRPr="00AB3F7D" w:rsidRDefault="0002442E" w:rsidP="00820114">
            <w:pPr>
              <w:jc w:val="center"/>
              <w:rPr>
                <w:rFonts w:ascii="Times New Roman" w:hAnsi="Times New Roman"/>
                <w:b/>
                <w:bCs/>
                <w:color w:val="000000" w:themeColor="text1"/>
                <w:sz w:val="20"/>
              </w:rPr>
            </w:pPr>
          </w:p>
        </w:tc>
        <w:tc>
          <w:tcPr>
            <w:tcW w:w="1539" w:type="dxa"/>
            <w:tcBorders>
              <w:top w:val="single" w:sz="8" w:space="0" w:color="auto"/>
              <w:left w:val="nil"/>
              <w:bottom w:val="single" w:sz="4" w:space="0" w:color="auto"/>
              <w:right w:val="single" w:sz="4" w:space="0" w:color="auto"/>
            </w:tcBorders>
            <w:shd w:val="clear" w:color="000000" w:fill="BFBFBF"/>
            <w:vAlign w:val="center"/>
            <w:hideMark/>
          </w:tcPr>
          <w:p w14:paraId="4D0336E9" w14:textId="6E8F44CF" w:rsidR="0002442E" w:rsidRPr="00AB3F7D" w:rsidRDefault="0002442E" w:rsidP="00AF371D">
            <w:pPr>
              <w:jc w:val="center"/>
              <w:rPr>
                <w:rFonts w:ascii="Times New Roman" w:hAnsi="Times New Roman"/>
                <w:b/>
                <w:color w:val="000000" w:themeColor="text1"/>
                <w:sz w:val="20"/>
              </w:rPr>
            </w:pPr>
            <w:r w:rsidRPr="00AB3F7D">
              <w:rPr>
                <w:rFonts w:ascii="Times New Roman" w:hAnsi="Times New Roman"/>
                <w:b/>
                <w:color w:val="000000" w:themeColor="text1"/>
                <w:sz w:val="20"/>
              </w:rPr>
              <w:t>Number of Respondents</w:t>
            </w:r>
            <w:r w:rsidR="00AF371D" w:rsidRPr="00AB3F7D">
              <w:rPr>
                <w:rFonts w:ascii="Times New Roman" w:hAnsi="Times New Roman"/>
                <w:b/>
                <w:color w:val="000000" w:themeColor="text1"/>
                <w:sz w:val="20"/>
              </w:rPr>
              <w:t xml:space="preserve"> </w:t>
            </w:r>
          </w:p>
        </w:tc>
        <w:tc>
          <w:tcPr>
            <w:tcW w:w="1710" w:type="dxa"/>
            <w:tcBorders>
              <w:top w:val="single" w:sz="8" w:space="0" w:color="auto"/>
              <w:left w:val="nil"/>
              <w:bottom w:val="single" w:sz="4" w:space="0" w:color="auto"/>
              <w:right w:val="single" w:sz="4" w:space="0" w:color="auto"/>
            </w:tcBorders>
            <w:shd w:val="clear" w:color="000000" w:fill="BFBFBF"/>
            <w:vAlign w:val="center"/>
            <w:hideMark/>
          </w:tcPr>
          <w:p w14:paraId="0F5E579F" w14:textId="77777777" w:rsidR="0002442E" w:rsidRPr="00AB3F7D" w:rsidRDefault="0002442E" w:rsidP="00820114">
            <w:pPr>
              <w:jc w:val="center"/>
              <w:rPr>
                <w:rFonts w:ascii="Times New Roman" w:hAnsi="Times New Roman"/>
                <w:b/>
                <w:bCs/>
                <w:color w:val="000000" w:themeColor="text1"/>
                <w:sz w:val="20"/>
              </w:rPr>
            </w:pPr>
            <w:r w:rsidRPr="00AB3F7D">
              <w:rPr>
                <w:rFonts w:ascii="Times New Roman" w:hAnsi="Times New Roman"/>
                <w:b/>
                <w:bCs/>
                <w:color w:val="000000" w:themeColor="text1"/>
                <w:sz w:val="20"/>
              </w:rPr>
              <w:t>Annual Frequency</w:t>
            </w:r>
          </w:p>
        </w:tc>
        <w:tc>
          <w:tcPr>
            <w:tcW w:w="1890" w:type="dxa"/>
            <w:tcBorders>
              <w:top w:val="single" w:sz="8" w:space="0" w:color="auto"/>
              <w:left w:val="nil"/>
              <w:bottom w:val="single" w:sz="4" w:space="0" w:color="auto"/>
              <w:right w:val="single" w:sz="4" w:space="0" w:color="auto"/>
            </w:tcBorders>
            <w:shd w:val="clear" w:color="000000" w:fill="BFBFBF"/>
            <w:vAlign w:val="center"/>
            <w:hideMark/>
          </w:tcPr>
          <w:p w14:paraId="31543379" w14:textId="5D386191" w:rsidR="0002442E" w:rsidRPr="00AB3F7D" w:rsidRDefault="0002442E" w:rsidP="00AF371D">
            <w:pPr>
              <w:jc w:val="center"/>
              <w:rPr>
                <w:rFonts w:ascii="Times New Roman" w:hAnsi="Times New Roman"/>
                <w:b/>
                <w:color w:val="000000" w:themeColor="text1"/>
                <w:sz w:val="20"/>
              </w:rPr>
            </w:pPr>
            <w:r w:rsidRPr="00AB3F7D">
              <w:rPr>
                <w:rFonts w:ascii="Times New Roman" w:hAnsi="Times New Roman"/>
                <w:b/>
                <w:color w:val="000000" w:themeColor="text1"/>
                <w:sz w:val="20"/>
              </w:rPr>
              <w:t>Estimated average hours per response</w:t>
            </w:r>
            <w:r w:rsidR="00AF371D" w:rsidRPr="00AB3F7D">
              <w:rPr>
                <w:rFonts w:ascii="Times New Roman" w:hAnsi="Times New Roman"/>
                <w:b/>
                <w:color w:val="000000" w:themeColor="text1"/>
                <w:sz w:val="20"/>
              </w:rPr>
              <w:t xml:space="preserve"> </w:t>
            </w:r>
          </w:p>
        </w:tc>
        <w:tc>
          <w:tcPr>
            <w:tcW w:w="1620" w:type="dxa"/>
            <w:tcBorders>
              <w:top w:val="single" w:sz="8" w:space="0" w:color="auto"/>
              <w:left w:val="nil"/>
              <w:bottom w:val="single" w:sz="4" w:space="0" w:color="auto"/>
              <w:right w:val="single" w:sz="8" w:space="0" w:color="auto"/>
            </w:tcBorders>
            <w:shd w:val="clear" w:color="000000" w:fill="BFBFBF"/>
            <w:vAlign w:val="center"/>
            <w:hideMark/>
          </w:tcPr>
          <w:p w14:paraId="06477217" w14:textId="77777777" w:rsidR="0002442E" w:rsidRPr="00AB3F7D" w:rsidRDefault="0002442E" w:rsidP="00820114">
            <w:pPr>
              <w:jc w:val="center"/>
              <w:rPr>
                <w:rFonts w:ascii="Times New Roman" w:hAnsi="Times New Roman"/>
                <w:b/>
                <w:bCs/>
                <w:color w:val="000000" w:themeColor="text1"/>
                <w:sz w:val="20"/>
              </w:rPr>
            </w:pPr>
            <w:r w:rsidRPr="00AB3F7D">
              <w:rPr>
                <w:rFonts w:ascii="Times New Roman" w:hAnsi="Times New Roman"/>
                <w:b/>
                <w:bCs/>
                <w:color w:val="000000" w:themeColor="text1"/>
                <w:sz w:val="20"/>
              </w:rPr>
              <w:t>Estimated annual burden hours</w:t>
            </w:r>
          </w:p>
        </w:tc>
      </w:tr>
      <w:tr w:rsidR="0002442E" w:rsidRPr="00AB3F7D" w14:paraId="44752BBE" w14:textId="77777777" w:rsidTr="00820114">
        <w:trPr>
          <w:trHeight w:val="288"/>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21498501" w14:textId="0E08CDF8" w:rsidR="0002442E" w:rsidRPr="00AB3F7D" w:rsidRDefault="0002442E" w:rsidP="00FE6C2D">
            <w:pPr>
              <w:rPr>
                <w:rFonts w:ascii="Times New Roman" w:hAnsi="Times New Roman"/>
                <w:color w:val="000000" w:themeColor="text1"/>
                <w:sz w:val="20"/>
              </w:rPr>
            </w:pPr>
            <w:r>
              <w:rPr>
                <w:rFonts w:ascii="Times New Roman" w:hAnsi="Times New Roman"/>
                <w:b/>
                <w:color w:val="000000" w:themeColor="text1"/>
                <w:sz w:val="20"/>
              </w:rPr>
              <w:t>FDIC’s ½ of Burden Hours</w:t>
            </w:r>
            <w:r w:rsidR="00715FF3" w:rsidRPr="00724F01">
              <w:rPr>
                <w:rStyle w:val="FootnoteReference"/>
                <w:b/>
                <w:color w:val="000000" w:themeColor="text1"/>
                <w:sz w:val="20"/>
                <w:vertAlign w:val="superscript"/>
              </w:rPr>
              <w:footnoteReference w:id="4"/>
            </w:r>
          </w:p>
        </w:tc>
        <w:tc>
          <w:tcPr>
            <w:tcW w:w="1539" w:type="dxa"/>
            <w:tcBorders>
              <w:top w:val="nil"/>
              <w:left w:val="nil"/>
              <w:bottom w:val="single" w:sz="4" w:space="0" w:color="auto"/>
              <w:right w:val="single" w:sz="4" w:space="0" w:color="auto"/>
            </w:tcBorders>
            <w:shd w:val="clear" w:color="auto" w:fill="auto"/>
            <w:vAlign w:val="center"/>
            <w:hideMark/>
          </w:tcPr>
          <w:p w14:paraId="1C804A50" w14:textId="77777777" w:rsidR="0002442E" w:rsidRPr="00AB3F7D" w:rsidRDefault="0002442E" w:rsidP="00820114">
            <w:pPr>
              <w:jc w:val="center"/>
              <w:rPr>
                <w:rFonts w:ascii="Times New Roman" w:hAnsi="Times New Roman"/>
                <w:i/>
                <w:iCs/>
                <w:color w:val="000000" w:themeColor="text1"/>
                <w:sz w:val="20"/>
              </w:rPr>
            </w:pPr>
            <w:r w:rsidRPr="00AB3F7D">
              <w:rPr>
                <w:rFonts w:ascii="Times New Roman" w:hAnsi="Times New Roman"/>
                <w:i/>
                <w:iCs/>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00AF9577" w14:textId="77777777" w:rsidR="0002442E" w:rsidRPr="00AB3F7D" w:rsidRDefault="0002442E" w:rsidP="00820114">
            <w:pPr>
              <w:jc w:val="center"/>
              <w:rPr>
                <w:rFonts w:ascii="Times New Roman" w:hAnsi="Times New Roman"/>
                <w:i/>
                <w:iCs/>
                <w:color w:val="000000" w:themeColor="text1"/>
                <w:sz w:val="20"/>
              </w:rPr>
            </w:pPr>
            <w:r w:rsidRPr="00AB3F7D">
              <w:rPr>
                <w:rFonts w:ascii="Times New Roman" w:hAnsi="Times New Roman"/>
                <w:i/>
                <w:iCs/>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6B05A4C2" w14:textId="77777777" w:rsidR="0002442E" w:rsidRPr="00AB3F7D" w:rsidRDefault="0002442E" w:rsidP="00820114">
            <w:pPr>
              <w:jc w:val="center"/>
              <w:rPr>
                <w:rFonts w:ascii="Times New Roman" w:hAnsi="Times New Roman"/>
                <w:i/>
                <w:iCs/>
                <w:color w:val="000000" w:themeColor="text1"/>
                <w:sz w:val="20"/>
              </w:rPr>
            </w:pPr>
            <w:r w:rsidRPr="00AB3F7D">
              <w:rPr>
                <w:rFonts w:ascii="Times New Roman" w:hAnsi="Times New Roman"/>
                <w:i/>
                <w:iCs/>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528E9EF6" w14:textId="77777777" w:rsidR="0002442E" w:rsidRPr="00AB3F7D" w:rsidRDefault="0002442E" w:rsidP="00820114">
            <w:pPr>
              <w:jc w:val="center"/>
              <w:rPr>
                <w:rFonts w:ascii="Times New Roman" w:hAnsi="Times New Roman"/>
                <w:i/>
                <w:iCs/>
                <w:color w:val="000000" w:themeColor="text1"/>
                <w:sz w:val="20"/>
              </w:rPr>
            </w:pPr>
            <w:r w:rsidRPr="00AB3F7D">
              <w:rPr>
                <w:rFonts w:ascii="Times New Roman" w:hAnsi="Times New Roman"/>
                <w:i/>
                <w:iCs/>
                <w:color w:val="000000" w:themeColor="text1"/>
                <w:sz w:val="20"/>
              </w:rPr>
              <w:t> </w:t>
            </w:r>
          </w:p>
        </w:tc>
      </w:tr>
      <w:tr w:rsidR="0002442E" w:rsidRPr="00AB3F7D" w14:paraId="0DCD642C" w14:textId="77777777" w:rsidTr="00820114">
        <w:trPr>
          <w:trHeight w:val="312"/>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5E1BF2D6"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xml:space="preserve">Triennial Reduced </w:t>
            </w:r>
          </w:p>
        </w:tc>
        <w:tc>
          <w:tcPr>
            <w:tcW w:w="1539" w:type="dxa"/>
            <w:tcBorders>
              <w:top w:val="nil"/>
              <w:left w:val="nil"/>
              <w:bottom w:val="single" w:sz="4" w:space="0" w:color="auto"/>
              <w:right w:val="single" w:sz="4" w:space="0" w:color="auto"/>
            </w:tcBorders>
            <w:shd w:val="clear" w:color="auto" w:fill="auto"/>
            <w:vAlign w:val="center"/>
            <w:hideMark/>
          </w:tcPr>
          <w:p w14:paraId="713FDB46" w14:textId="4D7574A5" w:rsidR="0002442E" w:rsidRPr="00AB3F7D" w:rsidRDefault="00284B17" w:rsidP="00820114">
            <w:pPr>
              <w:jc w:val="center"/>
              <w:rPr>
                <w:rFonts w:ascii="Times New Roman" w:hAnsi="Times New Roman"/>
                <w:color w:val="000000" w:themeColor="text1"/>
                <w:sz w:val="20"/>
              </w:rPr>
            </w:pPr>
            <w:r>
              <w:rPr>
                <w:rFonts w:ascii="Times New Roman" w:hAnsi="Times New Roman"/>
                <w:color w:val="000000" w:themeColor="text1"/>
                <w:sz w:val="20"/>
              </w:rPr>
              <w:t>26</w:t>
            </w:r>
          </w:p>
        </w:tc>
        <w:tc>
          <w:tcPr>
            <w:tcW w:w="1710" w:type="dxa"/>
            <w:tcBorders>
              <w:top w:val="nil"/>
              <w:left w:val="nil"/>
              <w:bottom w:val="single" w:sz="4" w:space="0" w:color="auto"/>
              <w:right w:val="single" w:sz="4" w:space="0" w:color="auto"/>
            </w:tcBorders>
            <w:shd w:val="clear" w:color="auto" w:fill="auto"/>
            <w:vAlign w:val="center"/>
            <w:hideMark/>
          </w:tcPr>
          <w:p w14:paraId="39CBFCF9"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nil"/>
              <w:left w:val="nil"/>
              <w:bottom w:val="single" w:sz="4" w:space="0" w:color="auto"/>
              <w:right w:val="single" w:sz="4" w:space="0" w:color="auto"/>
            </w:tcBorders>
            <w:shd w:val="clear" w:color="auto" w:fill="auto"/>
            <w:vAlign w:val="center"/>
            <w:hideMark/>
          </w:tcPr>
          <w:p w14:paraId="61B4AFB3" w14:textId="535C7F24" w:rsidR="0002442E" w:rsidRPr="00AB3F7D" w:rsidRDefault="00284B17" w:rsidP="00820114">
            <w:pPr>
              <w:jc w:val="center"/>
              <w:rPr>
                <w:rFonts w:ascii="Times New Roman" w:hAnsi="Times New Roman"/>
                <w:color w:val="000000" w:themeColor="text1"/>
                <w:sz w:val="20"/>
              </w:rPr>
            </w:pPr>
            <w:r>
              <w:rPr>
                <w:rFonts w:ascii="Times New Roman" w:hAnsi="Times New Roman"/>
                <w:color w:val="000000" w:themeColor="text1"/>
                <w:sz w:val="20"/>
              </w:rPr>
              <w:t>20</w:t>
            </w:r>
          </w:p>
        </w:tc>
        <w:tc>
          <w:tcPr>
            <w:tcW w:w="1620" w:type="dxa"/>
            <w:tcBorders>
              <w:top w:val="nil"/>
              <w:left w:val="nil"/>
              <w:bottom w:val="single" w:sz="4" w:space="0" w:color="auto"/>
              <w:right w:val="single" w:sz="4" w:space="0" w:color="auto"/>
            </w:tcBorders>
            <w:shd w:val="clear" w:color="auto" w:fill="auto"/>
            <w:vAlign w:val="center"/>
            <w:hideMark/>
          </w:tcPr>
          <w:p w14:paraId="6BC55EA9" w14:textId="4C9951F3" w:rsidR="0002442E" w:rsidRPr="00AB3F7D" w:rsidRDefault="00284B17" w:rsidP="00820114">
            <w:pPr>
              <w:jc w:val="center"/>
              <w:rPr>
                <w:rFonts w:ascii="Times New Roman" w:hAnsi="Times New Roman"/>
                <w:color w:val="000000" w:themeColor="text1"/>
                <w:sz w:val="20"/>
              </w:rPr>
            </w:pPr>
            <w:r>
              <w:rPr>
                <w:rFonts w:ascii="Times New Roman" w:hAnsi="Times New Roman"/>
                <w:color w:val="000000" w:themeColor="text1"/>
                <w:sz w:val="20"/>
              </w:rPr>
              <w:t>520</w:t>
            </w:r>
          </w:p>
        </w:tc>
      </w:tr>
      <w:tr w:rsidR="0002442E" w:rsidRPr="00AB3F7D" w14:paraId="5764CEEB" w14:textId="77777777" w:rsidTr="00820114">
        <w:trPr>
          <w:trHeight w:val="143"/>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1B889952"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w:t>
            </w:r>
          </w:p>
        </w:tc>
        <w:tc>
          <w:tcPr>
            <w:tcW w:w="1539" w:type="dxa"/>
            <w:tcBorders>
              <w:top w:val="nil"/>
              <w:left w:val="nil"/>
              <w:bottom w:val="single" w:sz="4" w:space="0" w:color="auto"/>
              <w:right w:val="single" w:sz="4" w:space="0" w:color="auto"/>
            </w:tcBorders>
            <w:shd w:val="clear" w:color="auto" w:fill="auto"/>
            <w:vAlign w:val="center"/>
            <w:hideMark/>
          </w:tcPr>
          <w:p w14:paraId="626E8E24"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464FF37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043CD848"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2D41FBC7"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392BB577" w14:textId="77777777" w:rsidTr="00820114">
        <w:trPr>
          <w:trHeight w:val="288"/>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5162EE1A"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xml:space="preserve">Triennial Full: </w:t>
            </w:r>
          </w:p>
        </w:tc>
        <w:tc>
          <w:tcPr>
            <w:tcW w:w="1539" w:type="dxa"/>
            <w:tcBorders>
              <w:top w:val="nil"/>
              <w:left w:val="nil"/>
              <w:bottom w:val="single" w:sz="4" w:space="0" w:color="auto"/>
              <w:right w:val="single" w:sz="4" w:space="0" w:color="auto"/>
            </w:tcBorders>
            <w:shd w:val="clear" w:color="auto" w:fill="auto"/>
            <w:vAlign w:val="center"/>
            <w:hideMark/>
          </w:tcPr>
          <w:p w14:paraId="5B554864"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71C70236"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7AACC24E"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50A731BB"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0DBCD9A7" w14:textId="77777777" w:rsidTr="00820114">
        <w:trPr>
          <w:trHeight w:val="288"/>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5CDD6A99"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xml:space="preserve">     Complex Foreign</w:t>
            </w:r>
          </w:p>
        </w:tc>
        <w:tc>
          <w:tcPr>
            <w:tcW w:w="1539" w:type="dxa"/>
            <w:tcBorders>
              <w:top w:val="nil"/>
              <w:left w:val="nil"/>
              <w:bottom w:val="single" w:sz="4" w:space="0" w:color="auto"/>
              <w:right w:val="single" w:sz="4" w:space="0" w:color="auto"/>
            </w:tcBorders>
            <w:shd w:val="clear" w:color="auto" w:fill="auto"/>
            <w:vAlign w:val="center"/>
            <w:hideMark/>
          </w:tcPr>
          <w:p w14:paraId="354F5DA7" w14:textId="15DA3854" w:rsidR="0002442E" w:rsidRPr="00AB3F7D" w:rsidRDefault="00284B17" w:rsidP="00820114">
            <w:pPr>
              <w:jc w:val="center"/>
              <w:rPr>
                <w:rFonts w:ascii="Times New Roman" w:hAnsi="Times New Roman"/>
                <w:color w:val="000000" w:themeColor="text1"/>
                <w:sz w:val="20"/>
              </w:rPr>
            </w:pPr>
            <w:r>
              <w:rPr>
                <w:rFonts w:ascii="Times New Roman" w:hAnsi="Times New Roman"/>
                <w:color w:val="000000" w:themeColor="text1"/>
                <w:sz w:val="20"/>
              </w:rPr>
              <w:t>2</w:t>
            </w:r>
          </w:p>
        </w:tc>
        <w:tc>
          <w:tcPr>
            <w:tcW w:w="1710" w:type="dxa"/>
            <w:tcBorders>
              <w:top w:val="nil"/>
              <w:left w:val="nil"/>
              <w:bottom w:val="single" w:sz="4" w:space="0" w:color="auto"/>
              <w:right w:val="single" w:sz="4" w:space="0" w:color="auto"/>
            </w:tcBorders>
            <w:shd w:val="clear" w:color="auto" w:fill="auto"/>
            <w:vAlign w:val="center"/>
            <w:hideMark/>
          </w:tcPr>
          <w:p w14:paraId="40C8A2F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nil"/>
              <w:left w:val="nil"/>
              <w:bottom w:val="single" w:sz="4" w:space="0" w:color="auto"/>
              <w:right w:val="single" w:sz="4" w:space="0" w:color="auto"/>
            </w:tcBorders>
            <w:shd w:val="clear" w:color="auto" w:fill="auto"/>
            <w:vAlign w:val="center"/>
            <w:hideMark/>
          </w:tcPr>
          <w:p w14:paraId="6C219D26" w14:textId="7647DFC6" w:rsidR="0002442E" w:rsidRPr="00AB3F7D" w:rsidRDefault="00284B17" w:rsidP="00820114">
            <w:pPr>
              <w:jc w:val="center"/>
              <w:rPr>
                <w:rFonts w:ascii="Times New Roman" w:hAnsi="Times New Roman"/>
                <w:color w:val="000000" w:themeColor="text1"/>
                <w:sz w:val="20"/>
              </w:rPr>
            </w:pPr>
            <w:r>
              <w:rPr>
                <w:rFonts w:ascii="Times New Roman" w:hAnsi="Times New Roman"/>
                <w:color w:val="000000" w:themeColor="text1"/>
                <w:sz w:val="20"/>
              </w:rPr>
              <w:t>13,135</w:t>
            </w:r>
          </w:p>
        </w:tc>
        <w:tc>
          <w:tcPr>
            <w:tcW w:w="1620" w:type="dxa"/>
            <w:tcBorders>
              <w:top w:val="nil"/>
              <w:left w:val="nil"/>
              <w:bottom w:val="single" w:sz="4" w:space="0" w:color="auto"/>
              <w:right w:val="single" w:sz="4" w:space="0" w:color="auto"/>
            </w:tcBorders>
            <w:shd w:val="clear" w:color="auto" w:fill="auto"/>
            <w:vAlign w:val="center"/>
            <w:hideMark/>
          </w:tcPr>
          <w:p w14:paraId="6096A174" w14:textId="44776D79" w:rsidR="0002442E" w:rsidRPr="00AB3F7D" w:rsidRDefault="0002442E" w:rsidP="00EF1762">
            <w:pPr>
              <w:jc w:val="center"/>
              <w:rPr>
                <w:rFonts w:ascii="Times New Roman" w:hAnsi="Times New Roman"/>
                <w:color w:val="000000" w:themeColor="text1"/>
                <w:sz w:val="20"/>
              </w:rPr>
            </w:pPr>
            <w:r w:rsidRPr="00AB3F7D">
              <w:rPr>
                <w:rFonts w:ascii="Times New Roman" w:hAnsi="Times New Roman"/>
                <w:color w:val="000000" w:themeColor="text1"/>
                <w:sz w:val="20"/>
              </w:rPr>
              <w:t>26,270</w:t>
            </w:r>
          </w:p>
        </w:tc>
      </w:tr>
      <w:tr w:rsidR="0002442E" w:rsidRPr="00AB3F7D" w14:paraId="174B4C1A" w14:textId="77777777" w:rsidTr="00820114">
        <w:trPr>
          <w:trHeight w:val="288"/>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20F68E79" w14:textId="77777777" w:rsidR="0002442E" w:rsidRPr="00AB3F7D" w:rsidRDefault="0002442E" w:rsidP="00820114">
            <w:pPr>
              <w:jc w:val="right"/>
              <w:rPr>
                <w:rFonts w:ascii="Times New Roman" w:hAnsi="Times New Roman"/>
                <w:color w:val="000000" w:themeColor="text1"/>
                <w:sz w:val="20"/>
              </w:rPr>
            </w:pPr>
            <w:r w:rsidRPr="00AB3F7D">
              <w:rPr>
                <w:rFonts w:ascii="Times New Roman" w:hAnsi="Times New Roman"/>
                <w:color w:val="000000" w:themeColor="text1"/>
                <w:sz w:val="20"/>
              </w:rPr>
              <w:t>Foreign and Domestic</w:t>
            </w:r>
          </w:p>
        </w:tc>
        <w:tc>
          <w:tcPr>
            <w:tcW w:w="1539" w:type="dxa"/>
            <w:tcBorders>
              <w:top w:val="nil"/>
              <w:left w:val="nil"/>
              <w:bottom w:val="single" w:sz="4" w:space="0" w:color="auto"/>
              <w:right w:val="single" w:sz="4" w:space="0" w:color="auto"/>
            </w:tcBorders>
            <w:shd w:val="clear" w:color="auto" w:fill="auto"/>
            <w:vAlign w:val="center"/>
            <w:hideMark/>
          </w:tcPr>
          <w:p w14:paraId="2DC47147" w14:textId="7E61ADCD" w:rsidR="0002442E" w:rsidRPr="00AB3F7D" w:rsidRDefault="00284B17" w:rsidP="00820114">
            <w:pPr>
              <w:jc w:val="center"/>
              <w:rPr>
                <w:rFonts w:ascii="Times New Roman" w:hAnsi="Times New Roman"/>
                <w:color w:val="000000" w:themeColor="text1"/>
                <w:sz w:val="20"/>
              </w:rPr>
            </w:pPr>
            <w:r>
              <w:rPr>
                <w:rFonts w:ascii="Times New Roman" w:hAnsi="Times New Roman"/>
                <w:color w:val="000000" w:themeColor="text1"/>
                <w:sz w:val="20"/>
              </w:rPr>
              <w:t>4</w:t>
            </w:r>
          </w:p>
        </w:tc>
        <w:tc>
          <w:tcPr>
            <w:tcW w:w="1710" w:type="dxa"/>
            <w:tcBorders>
              <w:top w:val="nil"/>
              <w:left w:val="nil"/>
              <w:bottom w:val="single" w:sz="4" w:space="0" w:color="auto"/>
              <w:right w:val="single" w:sz="4" w:space="0" w:color="auto"/>
            </w:tcBorders>
            <w:shd w:val="clear" w:color="auto" w:fill="auto"/>
            <w:vAlign w:val="center"/>
            <w:hideMark/>
          </w:tcPr>
          <w:p w14:paraId="643A88E8"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nil"/>
              <w:left w:val="nil"/>
              <w:bottom w:val="single" w:sz="4" w:space="0" w:color="auto"/>
              <w:right w:val="single" w:sz="4" w:space="0" w:color="auto"/>
            </w:tcBorders>
            <w:shd w:val="clear" w:color="auto" w:fill="auto"/>
            <w:vAlign w:val="center"/>
            <w:hideMark/>
          </w:tcPr>
          <w:p w14:paraId="34A31D80" w14:textId="2EFEA4C9" w:rsidR="0002442E" w:rsidRPr="00AB3F7D" w:rsidRDefault="00284B17" w:rsidP="00820114">
            <w:pPr>
              <w:jc w:val="center"/>
              <w:rPr>
                <w:rFonts w:ascii="Times New Roman" w:hAnsi="Times New Roman"/>
                <w:color w:val="000000" w:themeColor="text1"/>
                <w:sz w:val="20"/>
              </w:rPr>
            </w:pPr>
            <w:r>
              <w:rPr>
                <w:rFonts w:ascii="Times New Roman" w:hAnsi="Times New Roman"/>
                <w:color w:val="000000" w:themeColor="text1"/>
                <w:sz w:val="20"/>
              </w:rPr>
              <w:t>5,667</w:t>
            </w:r>
          </w:p>
        </w:tc>
        <w:tc>
          <w:tcPr>
            <w:tcW w:w="1620" w:type="dxa"/>
            <w:tcBorders>
              <w:top w:val="nil"/>
              <w:left w:val="nil"/>
              <w:bottom w:val="single" w:sz="4" w:space="0" w:color="auto"/>
              <w:right w:val="single" w:sz="4" w:space="0" w:color="auto"/>
            </w:tcBorders>
            <w:shd w:val="clear" w:color="auto" w:fill="auto"/>
            <w:vAlign w:val="center"/>
            <w:hideMark/>
          </w:tcPr>
          <w:p w14:paraId="70AF7C95" w14:textId="70B6E577" w:rsidR="0002442E" w:rsidRPr="00AB3F7D" w:rsidRDefault="00284B17" w:rsidP="00EF1762">
            <w:pPr>
              <w:jc w:val="center"/>
              <w:rPr>
                <w:rFonts w:ascii="Times New Roman" w:hAnsi="Times New Roman"/>
                <w:color w:val="000000" w:themeColor="text1"/>
                <w:sz w:val="20"/>
              </w:rPr>
            </w:pPr>
            <w:r>
              <w:rPr>
                <w:rFonts w:ascii="Times New Roman" w:hAnsi="Times New Roman"/>
                <w:color w:val="000000" w:themeColor="text1"/>
                <w:sz w:val="20"/>
              </w:rPr>
              <w:t>22,668</w:t>
            </w:r>
          </w:p>
        </w:tc>
      </w:tr>
      <w:tr w:rsidR="0002442E" w:rsidRPr="00AB3F7D" w14:paraId="734876F0" w14:textId="77777777" w:rsidTr="00820114">
        <w:trPr>
          <w:trHeight w:val="107"/>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3EB3518B"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w:t>
            </w:r>
          </w:p>
        </w:tc>
        <w:tc>
          <w:tcPr>
            <w:tcW w:w="1539" w:type="dxa"/>
            <w:tcBorders>
              <w:top w:val="nil"/>
              <w:left w:val="nil"/>
              <w:bottom w:val="single" w:sz="4" w:space="0" w:color="auto"/>
              <w:right w:val="single" w:sz="4" w:space="0" w:color="auto"/>
            </w:tcBorders>
            <w:shd w:val="clear" w:color="auto" w:fill="auto"/>
            <w:vAlign w:val="center"/>
            <w:hideMark/>
          </w:tcPr>
          <w:p w14:paraId="004C2202"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03C15868"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2B6951AB"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026EE4B4"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7A8812CB" w14:textId="77777777" w:rsidTr="00820114">
        <w:trPr>
          <w:trHeight w:val="288"/>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3E07B775"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Biennial Filers</w:t>
            </w:r>
          </w:p>
        </w:tc>
        <w:tc>
          <w:tcPr>
            <w:tcW w:w="1539" w:type="dxa"/>
            <w:tcBorders>
              <w:top w:val="nil"/>
              <w:left w:val="nil"/>
              <w:bottom w:val="single" w:sz="4" w:space="0" w:color="auto"/>
              <w:right w:val="single" w:sz="4" w:space="0" w:color="auto"/>
            </w:tcBorders>
            <w:shd w:val="clear" w:color="auto" w:fill="auto"/>
            <w:vAlign w:val="center"/>
            <w:hideMark/>
          </w:tcPr>
          <w:p w14:paraId="4915E9C8"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68B6752C"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3AB9F8D1"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0B8B4FFB"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58FA8F0F" w14:textId="77777777" w:rsidTr="00820114">
        <w:trPr>
          <w:trHeight w:val="312"/>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5145E1F1"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xml:space="preserve">     Domestic</w:t>
            </w:r>
          </w:p>
        </w:tc>
        <w:tc>
          <w:tcPr>
            <w:tcW w:w="1539" w:type="dxa"/>
            <w:tcBorders>
              <w:top w:val="nil"/>
              <w:left w:val="nil"/>
              <w:bottom w:val="single" w:sz="4" w:space="0" w:color="auto"/>
              <w:right w:val="single" w:sz="4" w:space="0" w:color="auto"/>
            </w:tcBorders>
            <w:shd w:val="clear" w:color="auto" w:fill="auto"/>
            <w:vAlign w:val="center"/>
            <w:hideMark/>
          </w:tcPr>
          <w:p w14:paraId="00F9BF7C" w14:textId="64436793" w:rsidR="0002442E" w:rsidRPr="00AB3F7D" w:rsidRDefault="00284B17" w:rsidP="00820114">
            <w:pPr>
              <w:jc w:val="center"/>
              <w:rPr>
                <w:rFonts w:ascii="Times New Roman" w:hAnsi="Times New Roman"/>
                <w:color w:val="000000" w:themeColor="text1"/>
                <w:sz w:val="20"/>
              </w:rPr>
            </w:pPr>
            <w:r>
              <w:rPr>
                <w:rFonts w:ascii="Times New Roman" w:hAnsi="Times New Roman"/>
                <w:color w:val="000000" w:themeColor="text1"/>
                <w:sz w:val="20"/>
              </w:rPr>
              <w:t>4</w:t>
            </w:r>
          </w:p>
        </w:tc>
        <w:tc>
          <w:tcPr>
            <w:tcW w:w="1710" w:type="dxa"/>
            <w:tcBorders>
              <w:top w:val="nil"/>
              <w:left w:val="nil"/>
              <w:bottom w:val="single" w:sz="4" w:space="0" w:color="auto"/>
              <w:right w:val="single" w:sz="4" w:space="0" w:color="auto"/>
            </w:tcBorders>
            <w:shd w:val="clear" w:color="auto" w:fill="auto"/>
            <w:vAlign w:val="center"/>
            <w:hideMark/>
          </w:tcPr>
          <w:p w14:paraId="08339ED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nil"/>
              <w:left w:val="nil"/>
              <w:bottom w:val="single" w:sz="4" w:space="0" w:color="auto"/>
              <w:right w:val="single" w:sz="4" w:space="0" w:color="auto"/>
            </w:tcBorders>
            <w:shd w:val="clear" w:color="auto" w:fill="auto"/>
            <w:vAlign w:val="center"/>
            <w:hideMark/>
          </w:tcPr>
          <w:p w14:paraId="3F623B36" w14:textId="1A9C512B" w:rsidR="0002442E" w:rsidRPr="00AB3F7D" w:rsidRDefault="00284B17" w:rsidP="00820114">
            <w:pPr>
              <w:jc w:val="center"/>
              <w:rPr>
                <w:rFonts w:ascii="Times New Roman" w:hAnsi="Times New Roman"/>
                <w:color w:val="000000" w:themeColor="text1"/>
                <w:sz w:val="20"/>
              </w:rPr>
            </w:pPr>
            <w:r>
              <w:rPr>
                <w:rFonts w:ascii="Times New Roman" w:hAnsi="Times New Roman"/>
                <w:color w:val="000000" w:themeColor="text1"/>
                <w:sz w:val="20"/>
              </w:rPr>
              <w:t>40,115</w:t>
            </w:r>
          </w:p>
        </w:tc>
        <w:tc>
          <w:tcPr>
            <w:tcW w:w="1620" w:type="dxa"/>
            <w:tcBorders>
              <w:top w:val="nil"/>
              <w:left w:val="nil"/>
              <w:bottom w:val="single" w:sz="4" w:space="0" w:color="auto"/>
              <w:right w:val="single" w:sz="4" w:space="0" w:color="auto"/>
            </w:tcBorders>
            <w:shd w:val="clear" w:color="auto" w:fill="auto"/>
            <w:vAlign w:val="center"/>
            <w:hideMark/>
          </w:tcPr>
          <w:p w14:paraId="36864B11" w14:textId="1D89B616" w:rsidR="0002442E" w:rsidRPr="00AB3F7D" w:rsidRDefault="0002442E" w:rsidP="00EF1762">
            <w:pPr>
              <w:jc w:val="center"/>
              <w:rPr>
                <w:rFonts w:ascii="Times New Roman" w:hAnsi="Times New Roman"/>
                <w:color w:val="000000" w:themeColor="text1"/>
                <w:sz w:val="20"/>
              </w:rPr>
            </w:pPr>
            <w:r w:rsidRPr="00AB3F7D">
              <w:rPr>
                <w:rFonts w:ascii="Times New Roman" w:hAnsi="Times New Roman"/>
                <w:color w:val="000000" w:themeColor="text1"/>
                <w:sz w:val="20"/>
              </w:rPr>
              <w:t>160,460</w:t>
            </w:r>
          </w:p>
        </w:tc>
      </w:tr>
      <w:tr w:rsidR="0002442E" w:rsidRPr="00AB3F7D" w14:paraId="0EB47862" w14:textId="77777777" w:rsidTr="00820114">
        <w:trPr>
          <w:trHeight w:val="143"/>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1F4F2205"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w:t>
            </w:r>
          </w:p>
        </w:tc>
        <w:tc>
          <w:tcPr>
            <w:tcW w:w="1539" w:type="dxa"/>
            <w:tcBorders>
              <w:top w:val="nil"/>
              <w:left w:val="nil"/>
              <w:bottom w:val="single" w:sz="4" w:space="0" w:color="auto"/>
              <w:right w:val="single" w:sz="4" w:space="0" w:color="auto"/>
            </w:tcBorders>
            <w:shd w:val="clear" w:color="auto" w:fill="auto"/>
            <w:vAlign w:val="center"/>
            <w:hideMark/>
          </w:tcPr>
          <w:p w14:paraId="39D8DF0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4FF1C944"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09C323DA"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1E43161F"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2D7F160E" w14:textId="77777777" w:rsidTr="00820114">
        <w:trPr>
          <w:trHeight w:val="312"/>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3C7B0844" w14:textId="50F3966D" w:rsidR="0002442E" w:rsidRPr="00AB3F7D" w:rsidRDefault="0002442E" w:rsidP="00AF371D">
            <w:pPr>
              <w:rPr>
                <w:rFonts w:ascii="Times New Roman" w:hAnsi="Times New Roman"/>
                <w:color w:val="000000" w:themeColor="text1"/>
                <w:sz w:val="20"/>
              </w:rPr>
            </w:pPr>
            <w:r w:rsidRPr="00AB3F7D">
              <w:rPr>
                <w:rFonts w:ascii="Times New Roman" w:hAnsi="Times New Roman"/>
                <w:color w:val="000000" w:themeColor="text1"/>
                <w:sz w:val="20"/>
              </w:rPr>
              <w:t>Waivers</w:t>
            </w:r>
            <w:r w:rsidR="00AF371D" w:rsidRPr="00AB3F7D">
              <w:rPr>
                <w:rFonts w:ascii="Times New Roman" w:hAnsi="Times New Roman"/>
                <w:color w:val="000000" w:themeColor="text1"/>
                <w:sz w:val="20"/>
              </w:rPr>
              <w:t xml:space="preserve"> </w:t>
            </w:r>
          </w:p>
        </w:tc>
        <w:tc>
          <w:tcPr>
            <w:tcW w:w="1539" w:type="dxa"/>
            <w:tcBorders>
              <w:top w:val="nil"/>
              <w:left w:val="nil"/>
              <w:bottom w:val="single" w:sz="4" w:space="0" w:color="auto"/>
              <w:right w:val="single" w:sz="4" w:space="0" w:color="auto"/>
            </w:tcBorders>
            <w:shd w:val="clear" w:color="auto" w:fill="auto"/>
            <w:vAlign w:val="center"/>
            <w:hideMark/>
          </w:tcPr>
          <w:p w14:paraId="56F8E92D"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710" w:type="dxa"/>
            <w:tcBorders>
              <w:top w:val="nil"/>
              <w:left w:val="nil"/>
              <w:bottom w:val="single" w:sz="4" w:space="0" w:color="auto"/>
              <w:right w:val="single" w:sz="4" w:space="0" w:color="auto"/>
            </w:tcBorders>
            <w:shd w:val="clear" w:color="auto" w:fill="auto"/>
            <w:vAlign w:val="center"/>
            <w:hideMark/>
          </w:tcPr>
          <w:p w14:paraId="26164056"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c>
          <w:tcPr>
            <w:tcW w:w="1890" w:type="dxa"/>
            <w:tcBorders>
              <w:top w:val="nil"/>
              <w:left w:val="nil"/>
              <w:bottom w:val="single" w:sz="4" w:space="0" w:color="auto"/>
              <w:right w:val="single" w:sz="4" w:space="0" w:color="auto"/>
            </w:tcBorders>
            <w:shd w:val="clear" w:color="auto" w:fill="auto"/>
            <w:vAlign w:val="center"/>
            <w:hideMark/>
          </w:tcPr>
          <w:p w14:paraId="3EAEE6AE" w14:textId="3650FFCF" w:rsidR="0002442E" w:rsidRPr="00AB3F7D" w:rsidRDefault="00284B17" w:rsidP="00820114">
            <w:pPr>
              <w:jc w:val="center"/>
              <w:rPr>
                <w:rFonts w:ascii="Times New Roman" w:hAnsi="Times New Roman"/>
                <w:color w:val="000000" w:themeColor="text1"/>
                <w:sz w:val="20"/>
              </w:rPr>
            </w:pPr>
            <w:r>
              <w:rPr>
                <w:rFonts w:ascii="Times New Roman" w:hAnsi="Times New Roman"/>
                <w:color w:val="000000" w:themeColor="text1"/>
                <w:sz w:val="20"/>
              </w:rPr>
              <w:t>1</w:t>
            </w:r>
          </w:p>
        </w:tc>
        <w:tc>
          <w:tcPr>
            <w:tcW w:w="1620" w:type="dxa"/>
            <w:tcBorders>
              <w:top w:val="nil"/>
              <w:left w:val="nil"/>
              <w:bottom w:val="single" w:sz="4" w:space="0" w:color="auto"/>
              <w:right w:val="single" w:sz="4" w:space="0" w:color="auto"/>
            </w:tcBorders>
            <w:shd w:val="clear" w:color="auto" w:fill="auto"/>
            <w:vAlign w:val="center"/>
            <w:hideMark/>
          </w:tcPr>
          <w:p w14:paraId="56D466F8"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1</w:t>
            </w:r>
          </w:p>
        </w:tc>
      </w:tr>
      <w:tr w:rsidR="0002442E" w:rsidRPr="00AB3F7D" w14:paraId="126E4129" w14:textId="77777777" w:rsidTr="00820114">
        <w:trPr>
          <w:trHeight w:val="288"/>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7F7DE861" w14:textId="77777777" w:rsidR="0002442E" w:rsidRPr="00AB3F7D" w:rsidRDefault="0002442E" w:rsidP="00820114">
            <w:pPr>
              <w:rPr>
                <w:rFonts w:ascii="Times New Roman" w:hAnsi="Times New Roman"/>
                <w:color w:val="000000" w:themeColor="text1"/>
                <w:sz w:val="20"/>
              </w:rPr>
            </w:pPr>
            <w:r w:rsidRPr="00AB3F7D">
              <w:rPr>
                <w:rFonts w:ascii="Times New Roman" w:hAnsi="Times New Roman"/>
                <w:color w:val="000000" w:themeColor="text1"/>
                <w:sz w:val="20"/>
              </w:rPr>
              <w:t> </w:t>
            </w:r>
          </w:p>
        </w:tc>
        <w:tc>
          <w:tcPr>
            <w:tcW w:w="1539" w:type="dxa"/>
            <w:tcBorders>
              <w:top w:val="nil"/>
              <w:left w:val="nil"/>
              <w:bottom w:val="single" w:sz="4" w:space="0" w:color="auto"/>
              <w:right w:val="single" w:sz="4" w:space="0" w:color="auto"/>
            </w:tcBorders>
            <w:shd w:val="clear" w:color="auto" w:fill="auto"/>
            <w:vAlign w:val="center"/>
            <w:hideMark/>
          </w:tcPr>
          <w:p w14:paraId="1C48D484"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310D886C"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6F37611C"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3A95731F" w14:textId="77777777" w:rsidR="0002442E" w:rsidRPr="00AB3F7D" w:rsidRDefault="0002442E" w:rsidP="00820114">
            <w:pPr>
              <w:jc w:val="center"/>
              <w:rPr>
                <w:rFonts w:ascii="Times New Roman" w:hAnsi="Times New Roman"/>
                <w:color w:val="000000" w:themeColor="text1"/>
                <w:sz w:val="20"/>
              </w:rPr>
            </w:pPr>
            <w:r w:rsidRPr="00AB3F7D">
              <w:rPr>
                <w:rFonts w:ascii="Times New Roman" w:hAnsi="Times New Roman"/>
                <w:color w:val="000000" w:themeColor="text1"/>
                <w:sz w:val="20"/>
              </w:rPr>
              <w:t> </w:t>
            </w:r>
          </w:p>
        </w:tc>
      </w:tr>
      <w:tr w:rsidR="0002442E" w:rsidRPr="00AB3F7D" w14:paraId="79B85675" w14:textId="77777777" w:rsidTr="00820114">
        <w:trPr>
          <w:trHeight w:val="288"/>
        </w:trPr>
        <w:tc>
          <w:tcPr>
            <w:tcW w:w="1881" w:type="dxa"/>
            <w:tcBorders>
              <w:top w:val="nil"/>
              <w:left w:val="single" w:sz="4" w:space="0" w:color="auto"/>
              <w:bottom w:val="single" w:sz="4" w:space="0" w:color="auto"/>
              <w:right w:val="single" w:sz="4" w:space="0" w:color="auto"/>
            </w:tcBorders>
            <w:shd w:val="clear" w:color="auto" w:fill="auto"/>
            <w:vAlign w:val="center"/>
            <w:hideMark/>
          </w:tcPr>
          <w:p w14:paraId="2AC66DA7" w14:textId="67D14049" w:rsidR="0002442E" w:rsidRPr="00DE65D0" w:rsidRDefault="0002442E" w:rsidP="00284B17">
            <w:pPr>
              <w:jc w:val="right"/>
              <w:rPr>
                <w:rFonts w:ascii="Times New Roman" w:hAnsi="Times New Roman"/>
                <w:b/>
                <w:i/>
                <w:iCs/>
                <w:color w:val="000000" w:themeColor="text1"/>
                <w:sz w:val="20"/>
              </w:rPr>
            </w:pPr>
            <w:r w:rsidRPr="00DE65D0">
              <w:rPr>
                <w:rFonts w:ascii="Times New Roman" w:hAnsi="Times New Roman"/>
                <w:b/>
                <w:i/>
                <w:iCs/>
                <w:color w:val="000000" w:themeColor="text1"/>
                <w:sz w:val="20"/>
              </w:rPr>
              <w:t>FDIC’s Total</w:t>
            </w:r>
          </w:p>
        </w:tc>
        <w:tc>
          <w:tcPr>
            <w:tcW w:w="1539" w:type="dxa"/>
            <w:tcBorders>
              <w:top w:val="nil"/>
              <w:left w:val="nil"/>
              <w:bottom w:val="single" w:sz="4" w:space="0" w:color="auto"/>
              <w:right w:val="single" w:sz="4" w:space="0" w:color="auto"/>
            </w:tcBorders>
            <w:shd w:val="clear" w:color="auto" w:fill="auto"/>
            <w:vAlign w:val="center"/>
            <w:hideMark/>
          </w:tcPr>
          <w:p w14:paraId="19697C82" w14:textId="77777777" w:rsidR="0002442E" w:rsidRPr="00DE65D0" w:rsidRDefault="0002442E" w:rsidP="00820114">
            <w:pPr>
              <w:jc w:val="center"/>
              <w:rPr>
                <w:rFonts w:ascii="Times New Roman" w:hAnsi="Times New Roman"/>
                <w:b/>
                <w:color w:val="000000" w:themeColor="text1"/>
                <w:sz w:val="20"/>
              </w:rPr>
            </w:pPr>
            <w:r w:rsidRPr="00DE65D0">
              <w:rPr>
                <w:rFonts w:ascii="Times New Roman" w:hAnsi="Times New Roman"/>
                <w:b/>
                <w:color w:val="000000" w:themeColor="text1"/>
                <w:sz w:val="20"/>
              </w:rPr>
              <w:t> </w:t>
            </w:r>
          </w:p>
        </w:tc>
        <w:tc>
          <w:tcPr>
            <w:tcW w:w="1710" w:type="dxa"/>
            <w:tcBorders>
              <w:top w:val="nil"/>
              <w:left w:val="nil"/>
              <w:bottom w:val="single" w:sz="4" w:space="0" w:color="auto"/>
              <w:right w:val="single" w:sz="4" w:space="0" w:color="auto"/>
            </w:tcBorders>
            <w:shd w:val="clear" w:color="auto" w:fill="auto"/>
            <w:vAlign w:val="center"/>
            <w:hideMark/>
          </w:tcPr>
          <w:p w14:paraId="7EDA3CB9" w14:textId="77777777" w:rsidR="0002442E" w:rsidRPr="00DE65D0" w:rsidRDefault="0002442E" w:rsidP="00820114">
            <w:pPr>
              <w:jc w:val="center"/>
              <w:rPr>
                <w:rFonts w:ascii="Times New Roman" w:hAnsi="Times New Roman"/>
                <w:b/>
                <w:color w:val="000000" w:themeColor="text1"/>
                <w:sz w:val="20"/>
              </w:rPr>
            </w:pPr>
            <w:r w:rsidRPr="00DE65D0">
              <w:rPr>
                <w:rFonts w:ascii="Times New Roman" w:hAnsi="Times New Roman"/>
                <w:b/>
                <w:color w:val="000000" w:themeColor="text1"/>
                <w:sz w:val="20"/>
              </w:rPr>
              <w:t> </w:t>
            </w:r>
          </w:p>
        </w:tc>
        <w:tc>
          <w:tcPr>
            <w:tcW w:w="1890" w:type="dxa"/>
            <w:tcBorders>
              <w:top w:val="nil"/>
              <w:left w:val="nil"/>
              <w:bottom w:val="single" w:sz="4" w:space="0" w:color="auto"/>
              <w:right w:val="single" w:sz="4" w:space="0" w:color="auto"/>
            </w:tcBorders>
            <w:shd w:val="clear" w:color="auto" w:fill="auto"/>
            <w:vAlign w:val="center"/>
            <w:hideMark/>
          </w:tcPr>
          <w:p w14:paraId="15587993" w14:textId="77777777" w:rsidR="0002442E" w:rsidRPr="00DE65D0" w:rsidRDefault="0002442E" w:rsidP="00820114">
            <w:pPr>
              <w:jc w:val="center"/>
              <w:rPr>
                <w:rFonts w:ascii="Times New Roman" w:hAnsi="Times New Roman"/>
                <w:b/>
                <w:color w:val="000000" w:themeColor="text1"/>
                <w:sz w:val="20"/>
              </w:rPr>
            </w:pPr>
            <w:r w:rsidRPr="00DE65D0">
              <w:rPr>
                <w:rFonts w:ascii="Times New Roman" w:hAnsi="Times New Roman"/>
                <w:b/>
                <w:color w:val="000000" w:themeColor="text1"/>
                <w:sz w:val="20"/>
              </w:rPr>
              <w:t> </w:t>
            </w:r>
          </w:p>
        </w:tc>
        <w:tc>
          <w:tcPr>
            <w:tcW w:w="1620" w:type="dxa"/>
            <w:tcBorders>
              <w:top w:val="nil"/>
              <w:left w:val="nil"/>
              <w:bottom w:val="single" w:sz="4" w:space="0" w:color="auto"/>
              <w:right w:val="single" w:sz="4" w:space="0" w:color="auto"/>
            </w:tcBorders>
            <w:shd w:val="clear" w:color="auto" w:fill="auto"/>
            <w:vAlign w:val="center"/>
            <w:hideMark/>
          </w:tcPr>
          <w:p w14:paraId="7E3CB352" w14:textId="20CC0D09" w:rsidR="0002442E" w:rsidRPr="00DE65D0" w:rsidRDefault="00284B17" w:rsidP="00284B17">
            <w:pPr>
              <w:jc w:val="center"/>
              <w:rPr>
                <w:rFonts w:ascii="Times New Roman" w:hAnsi="Times New Roman"/>
                <w:b/>
                <w:color w:val="000000" w:themeColor="text1"/>
                <w:sz w:val="20"/>
              </w:rPr>
            </w:pPr>
            <w:r>
              <w:rPr>
                <w:rFonts w:ascii="Times New Roman" w:hAnsi="Times New Roman"/>
                <w:b/>
                <w:color w:val="000000" w:themeColor="text1"/>
                <w:sz w:val="20"/>
              </w:rPr>
              <w:t>209,919</w:t>
            </w:r>
            <w:r w:rsidR="0002442E" w:rsidRPr="00DE65D0">
              <w:rPr>
                <w:rFonts w:ascii="Times New Roman" w:hAnsi="Times New Roman"/>
                <w:b/>
                <w:color w:val="000000" w:themeColor="text1"/>
                <w:sz w:val="20"/>
              </w:rPr>
              <w:t xml:space="preserve"> hours</w:t>
            </w:r>
          </w:p>
        </w:tc>
      </w:tr>
    </w:tbl>
    <w:p w14:paraId="14787C60" w14:textId="77777777" w:rsidR="0002442E" w:rsidRPr="005375A8" w:rsidRDefault="0002442E" w:rsidP="005375A8">
      <w:pPr>
        <w:rPr>
          <w:rFonts w:ascii="Times New Roman" w:hAnsi="Times New Roman"/>
          <w:szCs w:val="24"/>
        </w:rPr>
      </w:pPr>
    </w:p>
    <w:p w14:paraId="5492829E" w14:textId="77777777" w:rsidR="0074532A" w:rsidRPr="005375A8" w:rsidRDefault="0074532A" w:rsidP="0074532A">
      <w:pPr>
        <w:rPr>
          <w:rFonts w:ascii="Times New Roman" w:hAnsi="Times New Roman"/>
          <w:szCs w:val="24"/>
        </w:rPr>
      </w:pPr>
    </w:p>
    <w:p w14:paraId="13A9D9D1" w14:textId="77777777" w:rsidR="00274C31" w:rsidRPr="00653A29" w:rsidRDefault="00274C31" w:rsidP="00274C31">
      <w:pPr>
        <w:numPr>
          <w:ilvl w:val="1"/>
          <w:numId w:val="4"/>
        </w:num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653A29">
        <w:rPr>
          <w:rFonts w:ascii="Times New Roman" w:hAnsi="Times New Roman"/>
          <w:u w:val="single"/>
        </w:rPr>
        <w:t>Estimate of Start-up Costs to Respondents:</w:t>
      </w:r>
    </w:p>
    <w:p w14:paraId="7615E869" w14:textId="77777777" w:rsidR="00274C31" w:rsidRDefault="00274C31" w:rsidP="00274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4181FAE8" w14:textId="77777777" w:rsidR="00274C31" w:rsidRDefault="00274C31" w:rsidP="00274C3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rPr>
      </w:pPr>
      <w:r>
        <w:rPr>
          <w:rFonts w:ascii="Times New Roman" w:hAnsi="Times New Roman"/>
        </w:rPr>
        <w:t>None.</w:t>
      </w:r>
    </w:p>
    <w:p w14:paraId="32836C60" w14:textId="77777777" w:rsidR="00274C31" w:rsidRDefault="00274C31" w:rsidP="00274C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76E16D66" w14:textId="77777777" w:rsidR="00274C31" w:rsidRDefault="00274C31" w:rsidP="00274C31">
      <w:pPr>
        <w:numPr>
          <w:ilvl w:val="1"/>
          <w:numId w:val="4"/>
        </w:numPr>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EF69B6">
        <w:rPr>
          <w:rFonts w:ascii="Times New Roman" w:hAnsi="Times New Roman"/>
          <w:snapToGrid/>
          <w:szCs w:val="24"/>
          <w:u w:val="single"/>
        </w:rPr>
        <w:t>Estimate of annualized costs to the government:</w:t>
      </w:r>
    </w:p>
    <w:p w14:paraId="412EC9AE" w14:textId="77777777" w:rsidR="00274C31" w:rsidRDefault="00274C31" w:rsidP="00274C3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14:paraId="3AFBFA25" w14:textId="77777777" w:rsidR="00274C31" w:rsidRDefault="00274C31" w:rsidP="00274C3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rPr>
      </w:pPr>
      <w:r>
        <w:rPr>
          <w:rFonts w:ascii="Times New Roman" w:hAnsi="Times New Roman"/>
        </w:rPr>
        <w:t>None.</w:t>
      </w:r>
    </w:p>
    <w:p w14:paraId="6FB8206D" w14:textId="77777777" w:rsidR="00430992" w:rsidRPr="005375A8" w:rsidRDefault="005B6ADB" w:rsidP="0074532A">
      <w:pPr>
        <w:outlineLvl w:val="0"/>
        <w:rPr>
          <w:rFonts w:ascii="Times New Roman" w:hAnsi="Times New Roman"/>
          <w:szCs w:val="24"/>
        </w:rPr>
      </w:pPr>
      <w:r w:rsidRPr="005375A8">
        <w:rPr>
          <w:rFonts w:ascii="Times New Roman" w:hAnsi="Times New Roman"/>
          <w:szCs w:val="24"/>
        </w:rPr>
        <w:tab/>
      </w:r>
    </w:p>
    <w:p w14:paraId="05C0DE47" w14:textId="77777777" w:rsidR="00B26E0C" w:rsidRPr="00653A29" w:rsidRDefault="00B26E0C" w:rsidP="00B26E0C">
      <w:pPr>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653A29">
        <w:rPr>
          <w:rFonts w:ascii="Times New Roman" w:hAnsi="Times New Roman"/>
          <w:snapToGrid/>
          <w:szCs w:val="24"/>
          <w:u w:val="single"/>
        </w:rPr>
        <w:t>Analysis of change in burden:</w:t>
      </w:r>
      <w:r w:rsidRPr="00653A29">
        <w:rPr>
          <w:rFonts w:ascii="Times New Roman" w:hAnsi="Times New Roman"/>
        </w:rPr>
        <w:tab/>
      </w:r>
    </w:p>
    <w:p w14:paraId="531BF3D4" w14:textId="77777777" w:rsidR="0074532A" w:rsidRDefault="0074532A" w:rsidP="0074532A">
      <w:pPr>
        <w:ind w:left="360" w:firstLine="720"/>
        <w:rPr>
          <w:rFonts w:ascii="Times New Roman" w:hAnsi="Times New Roman"/>
          <w:szCs w:val="24"/>
        </w:rPr>
      </w:pPr>
    </w:p>
    <w:p w14:paraId="7265E208" w14:textId="1D4915C8" w:rsidR="005B6ADB" w:rsidRPr="005375A8" w:rsidRDefault="0002442E" w:rsidP="0074532A">
      <w:pPr>
        <w:ind w:left="1080"/>
        <w:rPr>
          <w:rFonts w:ascii="Times New Roman" w:hAnsi="Times New Roman"/>
          <w:szCs w:val="24"/>
        </w:rPr>
      </w:pPr>
      <w:r>
        <w:rPr>
          <w:rFonts w:ascii="Times New Roman" w:hAnsi="Times New Roman"/>
          <w:szCs w:val="24"/>
        </w:rPr>
        <w:t xml:space="preserve">The change in burden from the Board’s previous collection versus this </w:t>
      </w:r>
      <w:r w:rsidR="00A17F91">
        <w:rPr>
          <w:rFonts w:ascii="Times New Roman" w:hAnsi="Times New Roman"/>
          <w:szCs w:val="24"/>
        </w:rPr>
        <w:t>Final Rule</w:t>
      </w:r>
      <w:r>
        <w:rPr>
          <w:rFonts w:ascii="Times New Roman" w:hAnsi="Times New Roman"/>
          <w:szCs w:val="24"/>
        </w:rPr>
        <w:t xml:space="preserve"> is a reduction of </w:t>
      </w:r>
      <w:r w:rsidR="00284B17">
        <w:rPr>
          <w:rFonts w:ascii="Times New Roman" w:hAnsi="Times New Roman"/>
          <w:szCs w:val="24"/>
        </w:rPr>
        <w:t>640,561</w:t>
      </w:r>
      <w:r>
        <w:rPr>
          <w:rFonts w:ascii="Times New Roman" w:hAnsi="Times New Roman"/>
          <w:szCs w:val="24"/>
        </w:rPr>
        <w:t xml:space="preserve"> burden hours.  Since this is the first time the FDIC will be submitting an information col</w:t>
      </w:r>
      <w:r w:rsidR="00284B17">
        <w:rPr>
          <w:rFonts w:ascii="Times New Roman" w:hAnsi="Times New Roman"/>
          <w:szCs w:val="24"/>
        </w:rPr>
        <w:t>lection in connection with the R</w:t>
      </w:r>
      <w:r>
        <w:rPr>
          <w:rFonts w:ascii="Times New Roman" w:hAnsi="Times New Roman"/>
          <w:szCs w:val="24"/>
        </w:rPr>
        <w:t>ule, half of the burden reduction would be attributed to the FDIC.</w:t>
      </w:r>
      <w:r w:rsidR="0074532A">
        <w:rPr>
          <w:rFonts w:ascii="Times New Roman" w:hAnsi="Times New Roman"/>
          <w:szCs w:val="24"/>
        </w:rPr>
        <w:t xml:space="preserve">  </w:t>
      </w:r>
    </w:p>
    <w:p w14:paraId="499D3AD3" w14:textId="19BF93B1" w:rsidR="005B6ADB" w:rsidRDefault="005B6ADB" w:rsidP="005375A8">
      <w:pPr>
        <w:ind w:left="1440"/>
        <w:rPr>
          <w:rFonts w:ascii="Times New Roman" w:hAnsi="Times New Roman"/>
          <w:szCs w:val="24"/>
        </w:rPr>
      </w:pPr>
    </w:p>
    <w:p w14:paraId="6591A2B9" w14:textId="0E7E3652" w:rsidR="00284B17" w:rsidRDefault="00284B17" w:rsidP="005375A8">
      <w:pPr>
        <w:ind w:left="1440"/>
        <w:rPr>
          <w:rFonts w:ascii="Times New Roman" w:hAnsi="Times New Roman"/>
          <w:szCs w:val="24"/>
        </w:rPr>
      </w:pPr>
    </w:p>
    <w:p w14:paraId="1AF6B066" w14:textId="7B0B903E" w:rsidR="00284B17" w:rsidRDefault="00284B17" w:rsidP="005375A8">
      <w:pPr>
        <w:ind w:left="1440"/>
        <w:rPr>
          <w:rFonts w:ascii="Times New Roman" w:hAnsi="Times New Roman"/>
          <w:szCs w:val="24"/>
        </w:rPr>
      </w:pPr>
    </w:p>
    <w:p w14:paraId="05A984A0" w14:textId="77777777" w:rsidR="00284B17" w:rsidRPr="005375A8" w:rsidRDefault="00284B17" w:rsidP="005375A8">
      <w:pPr>
        <w:ind w:left="1440"/>
        <w:rPr>
          <w:rFonts w:ascii="Times New Roman" w:hAnsi="Times New Roman"/>
          <w:szCs w:val="24"/>
        </w:rPr>
      </w:pPr>
    </w:p>
    <w:p w14:paraId="2FE69C7A" w14:textId="77777777" w:rsidR="0074532A" w:rsidRPr="0074532A" w:rsidRDefault="0074532A" w:rsidP="0074532A">
      <w:pPr>
        <w:numPr>
          <w:ilvl w:val="1"/>
          <w:numId w:val="4"/>
        </w:numPr>
        <w:tabs>
          <w:tab w:val="left" w:pos="1170"/>
        </w:tabs>
        <w:autoSpaceDE w:val="0"/>
        <w:autoSpaceDN w:val="0"/>
        <w:adjustRightInd w:val="0"/>
        <w:rPr>
          <w:rFonts w:ascii="Times New Roman" w:hAnsi="Times New Roman"/>
          <w:snapToGrid/>
          <w:szCs w:val="24"/>
        </w:rPr>
      </w:pPr>
      <w:r w:rsidRPr="0074532A">
        <w:rPr>
          <w:rFonts w:ascii="Times New Roman" w:hAnsi="Times New Roman"/>
          <w:u w:val="single"/>
        </w:rPr>
        <w:t>Information regarding collections whose results are planned to be published for statistical use:</w:t>
      </w:r>
    </w:p>
    <w:p w14:paraId="3D0DB668"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521B9590"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rPr>
      </w:pPr>
      <w:r w:rsidRPr="00471381">
        <w:rPr>
          <w:rFonts w:ascii="Times New Roman" w:hAnsi="Times New Roman"/>
        </w:rPr>
        <w:t xml:space="preserve">The </w:t>
      </w:r>
      <w:r>
        <w:rPr>
          <w:rFonts w:ascii="Times New Roman" w:hAnsi="Times New Roman"/>
        </w:rPr>
        <w:t>results of this collection will not be</w:t>
      </w:r>
      <w:r w:rsidRPr="00471381">
        <w:rPr>
          <w:rFonts w:ascii="Times New Roman" w:hAnsi="Times New Roman"/>
        </w:rPr>
        <w:t xml:space="preserve"> publish</w:t>
      </w:r>
      <w:r>
        <w:rPr>
          <w:rFonts w:ascii="Times New Roman" w:hAnsi="Times New Roman"/>
        </w:rPr>
        <w:t>ed</w:t>
      </w:r>
      <w:r w:rsidRPr="00471381">
        <w:rPr>
          <w:rFonts w:ascii="Times New Roman" w:hAnsi="Times New Roman"/>
        </w:rPr>
        <w:t xml:space="preserve"> for statistical use.</w:t>
      </w:r>
    </w:p>
    <w:p w14:paraId="074590BB"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12CDFA21" w14:textId="77777777" w:rsidR="0074532A" w:rsidRDefault="0074532A" w:rsidP="0074532A">
      <w:pPr>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Display of Expiration Date</w:t>
      </w:r>
    </w:p>
    <w:p w14:paraId="03016D34"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68C7139E" w14:textId="77777777" w:rsidR="0074532A" w:rsidRDefault="0074532A" w:rsidP="0074532A">
      <w:pPr>
        <w:widowControl/>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306"/>
        <w:jc w:val="both"/>
        <w:rPr>
          <w:rFonts w:ascii="Times New Roman" w:hAnsi="Times New Roman"/>
        </w:rPr>
      </w:pPr>
      <w:r>
        <w:rPr>
          <w:rFonts w:ascii="Times New Roman" w:hAnsi="Times New Roman"/>
        </w:rPr>
        <w:t>This information collection is contained in a regulation.</w:t>
      </w:r>
    </w:p>
    <w:p w14:paraId="3848894A"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51C7B426" w14:textId="77777777" w:rsidR="0074532A" w:rsidRDefault="0074532A" w:rsidP="0074532A">
      <w:pPr>
        <w:numPr>
          <w:ilvl w:val="1"/>
          <w:numId w:val="4"/>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Exceptions to Certification Statement</w:t>
      </w:r>
    </w:p>
    <w:p w14:paraId="7556EE97"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230C206D"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rPr>
      </w:pPr>
      <w:r>
        <w:rPr>
          <w:rFonts w:ascii="Times New Roman" w:hAnsi="Times New Roman"/>
        </w:rPr>
        <w:t>None.</w:t>
      </w:r>
    </w:p>
    <w:p w14:paraId="2344BBF5" w14:textId="77777777" w:rsidR="0074532A" w:rsidRDefault="0074532A" w:rsidP="0074532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14:paraId="1EEB6EFD" w14:textId="77777777" w:rsidR="0074532A" w:rsidRDefault="0074532A" w:rsidP="0074532A">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STATISTICAL METHODS</w:t>
      </w:r>
    </w:p>
    <w:p w14:paraId="490D903D" w14:textId="77777777" w:rsidR="0074532A" w:rsidRDefault="0074532A" w:rsidP="0074532A">
      <w:pPr>
        <w:widowControl/>
        <w:tabs>
          <w:tab w:val="left" w:pos="-1440"/>
          <w:tab w:val="left" w:pos="-720"/>
          <w:tab w:val="left" w:pos="0"/>
          <w:tab w:val="left" w:pos="432"/>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Times New Roman" w:hAnsi="Times New Roman"/>
        </w:rPr>
      </w:pPr>
    </w:p>
    <w:p w14:paraId="28635412" w14:textId="77777777" w:rsidR="0074532A" w:rsidRDefault="0074532A" w:rsidP="0074532A">
      <w:pPr>
        <w:widowControl/>
        <w:tabs>
          <w:tab w:val="left" w:pos="-1440"/>
          <w:tab w:val="left" w:pos="-720"/>
          <w:tab w:val="left" w:pos="0"/>
          <w:tab w:val="left" w:pos="432"/>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720"/>
        <w:jc w:val="both"/>
        <w:rPr>
          <w:rFonts w:ascii="Times New Roman" w:hAnsi="Times New Roman"/>
        </w:rPr>
      </w:pPr>
      <w:r>
        <w:rPr>
          <w:rFonts w:ascii="Times New Roman" w:hAnsi="Times New Roman"/>
        </w:rPr>
        <w:t>Statistical methods are not employed in these collections.</w:t>
      </w:r>
    </w:p>
    <w:p w14:paraId="059CFD33" w14:textId="77777777" w:rsidR="00C06831" w:rsidRPr="005375A8" w:rsidRDefault="0030757F" w:rsidP="005375A8">
      <w:pPr>
        <w:rPr>
          <w:rFonts w:ascii="Times New Roman" w:hAnsi="Times New Roman"/>
          <w:szCs w:val="24"/>
        </w:rPr>
      </w:pPr>
    </w:p>
    <w:sectPr w:rsidR="00C06831" w:rsidRPr="005375A8" w:rsidSect="00DF0477">
      <w:headerReference w:type="default" r:id="rId11"/>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4E806" w14:textId="77777777" w:rsidR="00821614" w:rsidRDefault="00821614" w:rsidP="0043292B">
      <w:r>
        <w:separator/>
      </w:r>
    </w:p>
  </w:endnote>
  <w:endnote w:type="continuationSeparator" w:id="0">
    <w:p w14:paraId="0163E41D" w14:textId="77777777" w:rsidR="00821614" w:rsidRDefault="00821614" w:rsidP="0043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5688"/>
      <w:docPartObj>
        <w:docPartGallery w:val="Page Numbers (Bottom of Page)"/>
        <w:docPartUnique/>
      </w:docPartObj>
    </w:sdtPr>
    <w:sdtEndPr>
      <w:rPr>
        <w:rFonts w:ascii="Times New Roman" w:hAnsi="Times New Roman"/>
        <w:noProof/>
      </w:rPr>
    </w:sdtEndPr>
    <w:sdtContent>
      <w:p w14:paraId="738F8B6F" w14:textId="23A470F7" w:rsidR="0043292B" w:rsidRPr="0043292B" w:rsidRDefault="0043292B">
        <w:pPr>
          <w:pStyle w:val="Footer"/>
          <w:jc w:val="center"/>
          <w:rPr>
            <w:rFonts w:ascii="Times New Roman" w:hAnsi="Times New Roman"/>
          </w:rPr>
        </w:pPr>
        <w:r w:rsidRPr="0043292B">
          <w:rPr>
            <w:rFonts w:ascii="Times New Roman" w:hAnsi="Times New Roman"/>
          </w:rPr>
          <w:fldChar w:fldCharType="begin"/>
        </w:r>
        <w:r w:rsidRPr="0043292B">
          <w:rPr>
            <w:rFonts w:ascii="Times New Roman" w:hAnsi="Times New Roman"/>
          </w:rPr>
          <w:instrText xml:space="preserve"> PAGE   \* MERGEFORMAT </w:instrText>
        </w:r>
        <w:r w:rsidRPr="0043292B">
          <w:rPr>
            <w:rFonts w:ascii="Times New Roman" w:hAnsi="Times New Roman"/>
          </w:rPr>
          <w:fldChar w:fldCharType="separate"/>
        </w:r>
        <w:r w:rsidR="0030757F">
          <w:rPr>
            <w:rFonts w:ascii="Times New Roman" w:hAnsi="Times New Roman"/>
            <w:noProof/>
          </w:rPr>
          <w:t>1</w:t>
        </w:r>
        <w:r w:rsidRPr="0043292B">
          <w:rPr>
            <w:rFonts w:ascii="Times New Roman" w:hAnsi="Times New Roman"/>
            <w:noProof/>
          </w:rPr>
          <w:fldChar w:fldCharType="end"/>
        </w:r>
      </w:p>
    </w:sdtContent>
  </w:sdt>
  <w:p w14:paraId="64E50640" w14:textId="77777777" w:rsidR="0043292B" w:rsidRDefault="00432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311B9" w14:textId="77777777" w:rsidR="00821614" w:rsidRDefault="00821614" w:rsidP="0043292B">
      <w:r>
        <w:separator/>
      </w:r>
    </w:p>
  </w:footnote>
  <w:footnote w:type="continuationSeparator" w:id="0">
    <w:p w14:paraId="38D2EC0E" w14:textId="77777777" w:rsidR="00821614" w:rsidRDefault="00821614" w:rsidP="0043292B">
      <w:r>
        <w:continuationSeparator/>
      </w:r>
    </w:p>
  </w:footnote>
  <w:footnote w:id="1">
    <w:p w14:paraId="7F9B9B46" w14:textId="2083D1E1" w:rsidR="0087615C" w:rsidRPr="0087615C" w:rsidRDefault="0087615C" w:rsidP="0087615C">
      <w:pPr>
        <w:pStyle w:val="FootnoteText"/>
        <w:rPr>
          <w:rFonts w:ascii="Times New Roman" w:hAnsi="Times New Roman"/>
          <w:sz w:val="24"/>
          <w:szCs w:val="24"/>
        </w:rPr>
      </w:pPr>
      <w:r w:rsidRPr="0087615C">
        <w:rPr>
          <w:rStyle w:val="FootnoteReference"/>
          <w:vertAlign w:val="superscript"/>
        </w:rPr>
        <w:footnoteRef/>
      </w:r>
      <w:r w:rsidRPr="0087615C">
        <w:rPr>
          <w:rFonts w:ascii="Times New Roman" w:hAnsi="Times New Roman"/>
          <w:vertAlign w:val="superscript"/>
        </w:rPr>
        <w:t xml:space="preserve"> </w:t>
      </w:r>
      <w:r w:rsidRPr="0087615C">
        <w:rPr>
          <w:rFonts w:ascii="Times New Roman" w:hAnsi="Times New Roman"/>
          <w:u w:val="single"/>
        </w:rPr>
        <w:t>Resolution Plans Required; Final Rule</w:t>
      </w:r>
      <w:r w:rsidRPr="0087615C">
        <w:rPr>
          <w:rFonts w:ascii="Times New Roman" w:hAnsi="Times New Roman"/>
        </w:rPr>
        <w:t>, 8</w:t>
      </w:r>
      <w:r w:rsidR="00A17F91">
        <w:rPr>
          <w:rFonts w:ascii="Times New Roman" w:hAnsi="Times New Roman"/>
        </w:rPr>
        <w:t>4 FR 59194 (Nov. 1, 2019). The Final R</w:t>
      </w:r>
      <w:r w:rsidRPr="0087615C">
        <w:rPr>
          <w:rFonts w:ascii="Times New Roman" w:hAnsi="Times New Roman"/>
        </w:rPr>
        <w:t>ule was issued by the FDIC</w:t>
      </w:r>
      <w:r w:rsidRPr="0087615C">
        <w:rPr>
          <w:rFonts w:ascii="Times New Roman" w:hAnsi="Times New Roman"/>
          <w:color w:val="000000" w:themeColor="text1"/>
        </w:rPr>
        <w:t xml:space="preserve"> and the Board of Governors of the Federal Reserve System.</w:t>
      </w:r>
      <w:r w:rsidRPr="0087615C">
        <w:rPr>
          <w:rFonts w:ascii="Times New Roman" w:hAnsi="Times New Roman"/>
          <w:sz w:val="24"/>
          <w:szCs w:val="24"/>
        </w:rPr>
        <w:t xml:space="preserve">  </w:t>
      </w:r>
    </w:p>
    <w:p w14:paraId="0FA0C66B" w14:textId="77777777" w:rsidR="0087615C" w:rsidRPr="00675B5D" w:rsidRDefault="0087615C" w:rsidP="0087615C">
      <w:pPr>
        <w:pStyle w:val="FootnoteText"/>
      </w:pPr>
    </w:p>
  </w:footnote>
  <w:footnote w:id="2">
    <w:p w14:paraId="04E1BB53" w14:textId="7F918199" w:rsidR="00D00566" w:rsidRPr="00D00566" w:rsidRDefault="00D00566">
      <w:pPr>
        <w:pStyle w:val="FootnoteText"/>
        <w:rPr>
          <w:rFonts w:ascii="Times New Roman" w:hAnsi="Times New Roman"/>
        </w:rPr>
      </w:pPr>
      <w:r w:rsidRPr="00D00566">
        <w:rPr>
          <w:rStyle w:val="FootnoteReference"/>
          <w:vertAlign w:val="superscript"/>
        </w:rPr>
        <w:footnoteRef/>
      </w:r>
      <w:r w:rsidRPr="00D00566">
        <w:rPr>
          <w:rFonts w:ascii="Times New Roman" w:hAnsi="Times New Roman"/>
        </w:rPr>
        <w:t xml:space="preserve"> </w:t>
      </w:r>
      <w:r w:rsidR="00322032">
        <w:rPr>
          <w:rFonts w:ascii="Times New Roman" w:hAnsi="Times New Roman"/>
        </w:rPr>
        <w:t>The</w:t>
      </w:r>
      <w:r w:rsidR="00D0471A">
        <w:rPr>
          <w:rFonts w:ascii="Times New Roman" w:hAnsi="Times New Roman"/>
        </w:rPr>
        <w:t xml:space="preserve"> term “c</w:t>
      </w:r>
      <w:r w:rsidRPr="00D00566">
        <w:rPr>
          <w:rFonts w:ascii="Times New Roman" w:hAnsi="Times New Roman"/>
        </w:rPr>
        <w:t xml:space="preserve">overed </w:t>
      </w:r>
      <w:r>
        <w:rPr>
          <w:rFonts w:ascii="Times New Roman" w:hAnsi="Times New Roman"/>
        </w:rPr>
        <w:t>companies</w:t>
      </w:r>
      <w:r w:rsidR="00D0471A">
        <w:rPr>
          <w:rFonts w:ascii="Times New Roman" w:hAnsi="Times New Roman"/>
        </w:rPr>
        <w:t xml:space="preserve">” </w:t>
      </w:r>
      <w:r w:rsidR="00322032">
        <w:rPr>
          <w:rFonts w:ascii="Times New Roman" w:hAnsi="Times New Roman"/>
        </w:rPr>
        <w:t>includes</w:t>
      </w:r>
      <w:r>
        <w:rPr>
          <w:rFonts w:ascii="Times New Roman" w:hAnsi="Times New Roman"/>
        </w:rPr>
        <w:t xml:space="preserve"> bank holding companies (including any foreign bank or company that is, or is treated as, a bank holding company under section 8(a) of the International Banking Act of 1978, and meets the relevant total consolidated assets threshold) with total consolidated assets of $250 billion or more, bank holding </w:t>
      </w:r>
      <w:r w:rsidRPr="00D00566">
        <w:rPr>
          <w:rFonts w:ascii="Times New Roman" w:hAnsi="Times New Roman"/>
        </w:rPr>
        <w:t>companies with $100 billion or more in total consolidated assets with certain characteristics, and nonbank financial firms designated by the Financial Stability Oversight Council (FSOC) for supervision by the Board</w:t>
      </w:r>
      <w:r>
        <w:rPr>
          <w:rFonts w:ascii="Times New Roman" w:hAnsi="Times New Roman"/>
        </w:rPr>
        <w:t>.</w:t>
      </w:r>
    </w:p>
  </w:footnote>
  <w:footnote w:id="3">
    <w:p w14:paraId="2FD9C881" w14:textId="67757CFF" w:rsidR="0002442E" w:rsidRPr="00724F01" w:rsidRDefault="0002442E" w:rsidP="0002442E">
      <w:pPr>
        <w:pStyle w:val="FootnoteText"/>
        <w:rPr>
          <w:rFonts w:ascii="Times New Roman" w:hAnsi="Times New Roman"/>
        </w:rPr>
      </w:pPr>
      <w:r w:rsidRPr="008937B3">
        <w:rPr>
          <w:rStyle w:val="FootnoteReference"/>
          <w:vertAlign w:val="superscript"/>
        </w:rPr>
        <w:footnoteRef/>
      </w:r>
      <w:r>
        <w:t xml:space="preserve"> </w:t>
      </w:r>
      <w:r w:rsidRPr="005375A8">
        <w:rPr>
          <w:rFonts w:ascii="Times New Roman" w:hAnsi="Times New Roman"/>
          <w:szCs w:val="24"/>
        </w:rPr>
        <w:t xml:space="preserve">When the Rule was adopted in 2011, the Board took the entire </w:t>
      </w:r>
      <w:r>
        <w:rPr>
          <w:rFonts w:ascii="Times New Roman" w:hAnsi="Times New Roman"/>
          <w:szCs w:val="24"/>
        </w:rPr>
        <w:t xml:space="preserve">PRA </w:t>
      </w:r>
      <w:r w:rsidRPr="005375A8">
        <w:rPr>
          <w:rFonts w:ascii="Times New Roman" w:hAnsi="Times New Roman"/>
          <w:szCs w:val="24"/>
        </w:rPr>
        <w:t xml:space="preserve">burden associated with the Rule even though the Board and the FDIC are both legally authorized to receive and review resolution plans.  The agencies have decided to now share equally in the burden associated with the </w:t>
      </w:r>
      <w:r w:rsidR="00A17F91">
        <w:rPr>
          <w:rFonts w:ascii="Times New Roman" w:hAnsi="Times New Roman"/>
          <w:szCs w:val="24"/>
        </w:rPr>
        <w:t>Final R</w:t>
      </w:r>
      <w:r w:rsidR="00A330C8">
        <w:rPr>
          <w:rFonts w:ascii="Times New Roman" w:hAnsi="Times New Roman"/>
          <w:szCs w:val="24"/>
        </w:rPr>
        <w:t>ule</w:t>
      </w:r>
      <w:r w:rsidRPr="005375A8">
        <w:rPr>
          <w:rFonts w:ascii="Times New Roman" w:hAnsi="Times New Roman"/>
          <w:szCs w:val="24"/>
        </w:rPr>
        <w:t xml:space="preserve">.  As a result, the FDIC is requesting </w:t>
      </w:r>
      <w:r w:rsidRPr="00724F01">
        <w:rPr>
          <w:rFonts w:ascii="Times New Roman" w:hAnsi="Times New Roman"/>
          <w:szCs w:val="24"/>
        </w:rPr>
        <w:t xml:space="preserve">approval from the OMB for one half of the </w:t>
      </w:r>
      <w:r w:rsidR="00222E10">
        <w:rPr>
          <w:rFonts w:ascii="Times New Roman" w:hAnsi="Times New Roman"/>
          <w:szCs w:val="24"/>
        </w:rPr>
        <w:t>total</w:t>
      </w:r>
      <w:r w:rsidRPr="00724F01">
        <w:rPr>
          <w:rFonts w:ascii="Times New Roman" w:hAnsi="Times New Roman"/>
          <w:szCs w:val="24"/>
        </w:rPr>
        <w:t xml:space="preserve"> PRA burden</w:t>
      </w:r>
      <w:r w:rsidR="00222E10">
        <w:rPr>
          <w:rFonts w:ascii="Times New Roman" w:hAnsi="Times New Roman"/>
          <w:szCs w:val="24"/>
        </w:rPr>
        <w:t xml:space="preserve"> associated with the </w:t>
      </w:r>
      <w:r w:rsidR="00A17F91">
        <w:rPr>
          <w:rFonts w:ascii="Times New Roman" w:hAnsi="Times New Roman"/>
          <w:szCs w:val="24"/>
        </w:rPr>
        <w:t>Final R</w:t>
      </w:r>
      <w:r w:rsidR="00A330C8">
        <w:rPr>
          <w:rFonts w:ascii="Times New Roman" w:hAnsi="Times New Roman"/>
          <w:szCs w:val="24"/>
        </w:rPr>
        <w:t>ule</w:t>
      </w:r>
      <w:r w:rsidRPr="00724F01">
        <w:rPr>
          <w:rFonts w:ascii="Times New Roman" w:hAnsi="Times New Roman"/>
          <w:szCs w:val="24"/>
        </w:rPr>
        <w:t>.</w:t>
      </w:r>
    </w:p>
  </w:footnote>
  <w:footnote w:id="4">
    <w:p w14:paraId="519E2B67" w14:textId="4CEA220C" w:rsidR="00715FF3" w:rsidRDefault="00715FF3">
      <w:pPr>
        <w:pStyle w:val="FootnoteText"/>
      </w:pPr>
      <w:r w:rsidRPr="00724F01">
        <w:rPr>
          <w:rStyle w:val="FootnoteReference"/>
          <w:vertAlign w:val="superscript"/>
        </w:rPr>
        <w:footnoteRef/>
      </w:r>
      <w:r w:rsidRPr="00724F01">
        <w:rPr>
          <w:rFonts w:ascii="Times New Roman" w:hAnsi="Times New Roman"/>
        </w:rPr>
        <w:t xml:space="preserve"> The Estimated aver</w:t>
      </w:r>
      <w:r w:rsidR="00724F01">
        <w:rPr>
          <w:rFonts w:ascii="Times New Roman" w:hAnsi="Times New Roman"/>
        </w:rPr>
        <w:t>age</w:t>
      </w:r>
      <w:r w:rsidRPr="00724F01">
        <w:rPr>
          <w:rFonts w:ascii="Times New Roman" w:hAnsi="Times New Roman"/>
        </w:rPr>
        <w:t xml:space="preserve"> hours per response</w:t>
      </w:r>
      <w:r w:rsidR="00724F01">
        <w:rPr>
          <w:rFonts w:ascii="Times New Roman" w:hAnsi="Times New Roman"/>
        </w:rPr>
        <w:t>,</w:t>
      </w:r>
      <w:r w:rsidRPr="00724F01">
        <w:rPr>
          <w:rFonts w:ascii="Times New Roman" w:hAnsi="Times New Roman"/>
        </w:rPr>
        <w:t xml:space="preserve"> Estimated annual burden hours</w:t>
      </w:r>
      <w:r w:rsidR="00724F01">
        <w:rPr>
          <w:rFonts w:ascii="Times New Roman" w:hAnsi="Times New Roman"/>
        </w:rPr>
        <w:t xml:space="preserve">, and Total </w:t>
      </w:r>
      <w:r w:rsidRPr="00724F01">
        <w:rPr>
          <w:rFonts w:ascii="Times New Roman" w:hAnsi="Times New Roman"/>
        </w:rPr>
        <w:t xml:space="preserve">are based on one-half of the </w:t>
      </w:r>
      <w:r w:rsidR="00724F01">
        <w:rPr>
          <w:rFonts w:ascii="Times New Roman" w:hAnsi="Times New Roman"/>
        </w:rPr>
        <w:t xml:space="preserve">amounts provided in </w:t>
      </w:r>
      <w:r w:rsidRPr="00724F01">
        <w:rPr>
          <w:rFonts w:ascii="Times New Roman" w:hAnsi="Times New Roman"/>
        </w:rPr>
        <w:t xml:space="preserve">the preamble of the </w:t>
      </w:r>
      <w:r w:rsidR="00A17F91">
        <w:rPr>
          <w:rFonts w:ascii="Times New Roman" w:hAnsi="Times New Roman"/>
        </w:rPr>
        <w:t>Final R</w:t>
      </w:r>
      <w:r w:rsidR="00A330C8">
        <w:rPr>
          <w:rFonts w:ascii="Times New Roman" w:hAnsi="Times New Roman"/>
        </w:rPr>
        <w:t>ule</w:t>
      </w:r>
      <w:r w:rsidR="00A17F91">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799C" w14:textId="77777777" w:rsidR="000C08D1" w:rsidRPr="000C08D1" w:rsidRDefault="000C08D1" w:rsidP="000C08D1">
    <w:pPr>
      <w:pStyle w:val="Header"/>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A0830"/>
    <w:multiLevelType w:val="hybridMultilevel"/>
    <w:tmpl w:val="894E0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23510F"/>
    <w:multiLevelType w:val="hybridMultilevel"/>
    <w:tmpl w:val="F61E83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E601B9"/>
    <w:multiLevelType w:val="hybridMultilevel"/>
    <w:tmpl w:val="9E140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74D21"/>
    <w:multiLevelType w:val="hybridMultilevel"/>
    <w:tmpl w:val="3670C79C"/>
    <w:lvl w:ilvl="0" w:tplc="CFAC71A6">
      <w:start w:val="1"/>
      <w:numFmt w:val="upperLetter"/>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A341C8"/>
    <w:multiLevelType w:val="hybridMultilevel"/>
    <w:tmpl w:val="C6729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19530C"/>
    <w:multiLevelType w:val="hybridMultilevel"/>
    <w:tmpl w:val="6D64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2D1888"/>
    <w:multiLevelType w:val="hybridMultilevel"/>
    <w:tmpl w:val="C9AC73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936611"/>
    <w:multiLevelType w:val="hybridMultilevel"/>
    <w:tmpl w:val="ED9E4966"/>
    <w:lvl w:ilvl="0" w:tplc="7D744A88">
      <w:start w:val="1"/>
      <w:numFmt w:val="upperLetter"/>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7"/>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DB"/>
    <w:rsid w:val="00014D30"/>
    <w:rsid w:val="00016ADD"/>
    <w:rsid w:val="0002442E"/>
    <w:rsid w:val="000273F6"/>
    <w:rsid w:val="00067917"/>
    <w:rsid w:val="00070B92"/>
    <w:rsid w:val="00072165"/>
    <w:rsid w:val="000A2A0B"/>
    <w:rsid w:val="000A4157"/>
    <w:rsid w:val="000B1917"/>
    <w:rsid w:val="000C08D1"/>
    <w:rsid w:val="000E3D3B"/>
    <w:rsid w:val="0010713F"/>
    <w:rsid w:val="001349D5"/>
    <w:rsid w:val="00140BE0"/>
    <w:rsid w:val="0014151D"/>
    <w:rsid w:val="0016381D"/>
    <w:rsid w:val="00175B53"/>
    <w:rsid w:val="00190B20"/>
    <w:rsid w:val="001C5341"/>
    <w:rsid w:val="001C7B61"/>
    <w:rsid w:val="001E0624"/>
    <w:rsid w:val="001E5D60"/>
    <w:rsid w:val="00222E10"/>
    <w:rsid w:val="00243FB8"/>
    <w:rsid w:val="00264A3B"/>
    <w:rsid w:val="00271E0E"/>
    <w:rsid w:val="0027282C"/>
    <w:rsid w:val="0027402E"/>
    <w:rsid w:val="00274C31"/>
    <w:rsid w:val="00284B17"/>
    <w:rsid w:val="00293D70"/>
    <w:rsid w:val="00293EE5"/>
    <w:rsid w:val="002A1691"/>
    <w:rsid w:val="002A7639"/>
    <w:rsid w:val="002D28D0"/>
    <w:rsid w:val="002D6C74"/>
    <w:rsid w:val="002E6D2E"/>
    <w:rsid w:val="00304726"/>
    <w:rsid w:val="0030757F"/>
    <w:rsid w:val="00316291"/>
    <w:rsid w:val="00322032"/>
    <w:rsid w:val="003342A8"/>
    <w:rsid w:val="00351584"/>
    <w:rsid w:val="00355C17"/>
    <w:rsid w:val="0036189C"/>
    <w:rsid w:val="00370284"/>
    <w:rsid w:val="00391A99"/>
    <w:rsid w:val="003A325A"/>
    <w:rsid w:val="003A4188"/>
    <w:rsid w:val="003B002F"/>
    <w:rsid w:val="003E0A17"/>
    <w:rsid w:val="003F456B"/>
    <w:rsid w:val="004061A7"/>
    <w:rsid w:val="00430992"/>
    <w:rsid w:val="0043292B"/>
    <w:rsid w:val="00453D9F"/>
    <w:rsid w:val="00454E22"/>
    <w:rsid w:val="0046039D"/>
    <w:rsid w:val="00463EB6"/>
    <w:rsid w:val="0047098B"/>
    <w:rsid w:val="00473580"/>
    <w:rsid w:val="00485697"/>
    <w:rsid w:val="004904AA"/>
    <w:rsid w:val="004F270F"/>
    <w:rsid w:val="004F2F10"/>
    <w:rsid w:val="005375A8"/>
    <w:rsid w:val="005605C5"/>
    <w:rsid w:val="00566B44"/>
    <w:rsid w:val="00580133"/>
    <w:rsid w:val="00584571"/>
    <w:rsid w:val="005A74B3"/>
    <w:rsid w:val="005B6ADB"/>
    <w:rsid w:val="005C2F8B"/>
    <w:rsid w:val="005E1E78"/>
    <w:rsid w:val="005E6DF2"/>
    <w:rsid w:val="005F3C3C"/>
    <w:rsid w:val="006662C6"/>
    <w:rsid w:val="00681902"/>
    <w:rsid w:val="006A012A"/>
    <w:rsid w:val="006B3D2B"/>
    <w:rsid w:val="006D167D"/>
    <w:rsid w:val="006D33C0"/>
    <w:rsid w:val="006D3FDA"/>
    <w:rsid w:val="00702615"/>
    <w:rsid w:val="00706771"/>
    <w:rsid w:val="00710E54"/>
    <w:rsid w:val="00715FF3"/>
    <w:rsid w:val="00721457"/>
    <w:rsid w:val="00724F01"/>
    <w:rsid w:val="00741321"/>
    <w:rsid w:val="0074532A"/>
    <w:rsid w:val="007471FF"/>
    <w:rsid w:val="00756B6C"/>
    <w:rsid w:val="00786267"/>
    <w:rsid w:val="00793253"/>
    <w:rsid w:val="007932AB"/>
    <w:rsid w:val="007A7214"/>
    <w:rsid w:val="007C5321"/>
    <w:rsid w:val="007D38FD"/>
    <w:rsid w:val="0081291F"/>
    <w:rsid w:val="00821614"/>
    <w:rsid w:val="00832BB4"/>
    <w:rsid w:val="00845394"/>
    <w:rsid w:val="00846FAE"/>
    <w:rsid w:val="008603A0"/>
    <w:rsid w:val="00862321"/>
    <w:rsid w:val="0087615C"/>
    <w:rsid w:val="00890D39"/>
    <w:rsid w:val="008937B3"/>
    <w:rsid w:val="008B4C5A"/>
    <w:rsid w:val="008C13C0"/>
    <w:rsid w:val="008C29DB"/>
    <w:rsid w:val="008D0DCF"/>
    <w:rsid w:val="008D51BB"/>
    <w:rsid w:val="008F0288"/>
    <w:rsid w:val="008F5362"/>
    <w:rsid w:val="00905EF6"/>
    <w:rsid w:val="0090732E"/>
    <w:rsid w:val="00917CAF"/>
    <w:rsid w:val="0096141E"/>
    <w:rsid w:val="00973889"/>
    <w:rsid w:val="0099214F"/>
    <w:rsid w:val="009A779D"/>
    <w:rsid w:val="009B2760"/>
    <w:rsid w:val="009B54A7"/>
    <w:rsid w:val="009D0809"/>
    <w:rsid w:val="009D44C6"/>
    <w:rsid w:val="009E25D3"/>
    <w:rsid w:val="009E4A2B"/>
    <w:rsid w:val="009E652C"/>
    <w:rsid w:val="009F14EB"/>
    <w:rsid w:val="00A0043E"/>
    <w:rsid w:val="00A07788"/>
    <w:rsid w:val="00A13878"/>
    <w:rsid w:val="00A17F91"/>
    <w:rsid w:val="00A23009"/>
    <w:rsid w:val="00A24724"/>
    <w:rsid w:val="00A3239E"/>
    <w:rsid w:val="00A330C8"/>
    <w:rsid w:val="00A457EB"/>
    <w:rsid w:val="00A51807"/>
    <w:rsid w:val="00A54A9C"/>
    <w:rsid w:val="00A5713E"/>
    <w:rsid w:val="00A67722"/>
    <w:rsid w:val="00A77C9E"/>
    <w:rsid w:val="00A834A9"/>
    <w:rsid w:val="00A858F0"/>
    <w:rsid w:val="00AB2E0A"/>
    <w:rsid w:val="00AB3B4B"/>
    <w:rsid w:val="00AD4D59"/>
    <w:rsid w:val="00AF3394"/>
    <w:rsid w:val="00AF371D"/>
    <w:rsid w:val="00B063E7"/>
    <w:rsid w:val="00B2174D"/>
    <w:rsid w:val="00B26E0C"/>
    <w:rsid w:val="00B27085"/>
    <w:rsid w:val="00B36B8D"/>
    <w:rsid w:val="00B36F25"/>
    <w:rsid w:val="00B37E46"/>
    <w:rsid w:val="00B41388"/>
    <w:rsid w:val="00B72F3F"/>
    <w:rsid w:val="00B926ED"/>
    <w:rsid w:val="00BA7051"/>
    <w:rsid w:val="00BB13F6"/>
    <w:rsid w:val="00BB14E4"/>
    <w:rsid w:val="00BB2BDF"/>
    <w:rsid w:val="00BC32FB"/>
    <w:rsid w:val="00BC5474"/>
    <w:rsid w:val="00BC6B68"/>
    <w:rsid w:val="00BD42F9"/>
    <w:rsid w:val="00C00193"/>
    <w:rsid w:val="00C00B77"/>
    <w:rsid w:val="00C063F6"/>
    <w:rsid w:val="00C077D6"/>
    <w:rsid w:val="00C26713"/>
    <w:rsid w:val="00C37DF8"/>
    <w:rsid w:val="00CA604B"/>
    <w:rsid w:val="00CA694D"/>
    <w:rsid w:val="00CB02E4"/>
    <w:rsid w:val="00CB7B9A"/>
    <w:rsid w:val="00CC0662"/>
    <w:rsid w:val="00CC1D04"/>
    <w:rsid w:val="00CC6356"/>
    <w:rsid w:val="00CE6B2B"/>
    <w:rsid w:val="00D00566"/>
    <w:rsid w:val="00D0471A"/>
    <w:rsid w:val="00D20986"/>
    <w:rsid w:val="00D42CA2"/>
    <w:rsid w:val="00D61093"/>
    <w:rsid w:val="00D74C13"/>
    <w:rsid w:val="00D826FD"/>
    <w:rsid w:val="00DD65B6"/>
    <w:rsid w:val="00DE2EA9"/>
    <w:rsid w:val="00DF0477"/>
    <w:rsid w:val="00E125A8"/>
    <w:rsid w:val="00E12C93"/>
    <w:rsid w:val="00E305AF"/>
    <w:rsid w:val="00E3409B"/>
    <w:rsid w:val="00E36F60"/>
    <w:rsid w:val="00E47A76"/>
    <w:rsid w:val="00E8121F"/>
    <w:rsid w:val="00E82616"/>
    <w:rsid w:val="00E96FB5"/>
    <w:rsid w:val="00EB2629"/>
    <w:rsid w:val="00EB35A7"/>
    <w:rsid w:val="00EC4E34"/>
    <w:rsid w:val="00EF1762"/>
    <w:rsid w:val="00EF4BAD"/>
    <w:rsid w:val="00F161A3"/>
    <w:rsid w:val="00F3442C"/>
    <w:rsid w:val="00F44423"/>
    <w:rsid w:val="00F622AC"/>
    <w:rsid w:val="00F64E83"/>
    <w:rsid w:val="00F7046C"/>
    <w:rsid w:val="00F8208E"/>
    <w:rsid w:val="00FA5933"/>
    <w:rsid w:val="00FB45D5"/>
    <w:rsid w:val="00FE2F13"/>
    <w:rsid w:val="00FE6C2D"/>
    <w:rsid w:val="00FF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5F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DB"/>
    <w:pPr>
      <w:widowControl w:val="0"/>
    </w:pPr>
    <w:rPr>
      <w:rFonts w:ascii="Courier" w:eastAsia="Times New Roman" w:hAnsi="Courier"/>
      <w:snapToGrid w:val="0"/>
      <w:szCs w:val="20"/>
    </w:rPr>
  </w:style>
  <w:style w:type="paragraph" w:styleId="Heading1">
    <w:name w:val="heading 1"/>
    <w:basedOn w:val="Normal"/>
    <w:link w:val="Heading1Char"/>
    <w:uiPriority w:val="1"/>
    <w:qFormat/>
    <w:rsid w:val="00454E22"/>
    <w:pPr>
      <w:autoSpaceDE w:val="0"/>
      <w:autoSpaceDN w:val="0"/>
      <w:ind w:left="120"/>
      <w:outlineLvl w:val="0"/>
    </w:pPr>
    <w:rPr>
      <w:rFonts w:ascii="Times New Roman" w:hAnsi="Times New Roman"/>
      <w:b/>
      <w:bCs/>
      <w:snapToGrid/>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6ADB"/>
    <w:pPr>
      <w:ind w:left="720"/>
    </w:pPr>
    <w:rPr>
      <w:rFonts w:ascii="Times New Roman" w:hAnsi="Times New Roman"/>
    </w:rPr>
  </w:style>
  <w:style w:type="character" w:customStyle="1" w:styleId="BodyTextIndentChar">
    <w:name w:val="Body Text Indent Char"/>
    <w:basedOn w:val="DefaultParagraphFont"/>
    <w:link w:val="BodyTextIndent"/>
    <w:rsid w:val="005B6ADB"/>
    <w:rPr>
      <w:rFonts w:eastAsia="Times New Roman"/>
      <w:snapToGrid w:val="0"/>
      <w:szCs w:val="20"/>
    </w:rPr>
  </w:style>
  <w:style w:type="paragraph" w:styleId="Header">
    <w:name w:val="header"/>
    <w:basedOn w:val="Normal"/>
    <w:link w:val="HeaderChar"/>
    <w:uiPriority w:val="99"/>
    <w:unhideWhenUsed/>
    <w:rsid w:val="0043292B"/>
    <w:pPr>
      <w:tabs>
        <w:tab w:val="center" w:pos="4680"/>
        <w:tab w:val="right" w:pos="9360"/>
      </w:tabs>
    </w:pPr>
  </w:style>
  <w:style w:type="character" w:customStyle="1" w:styleId="HeaderChar">
    <w:name w:val="Header Char"/>
    <w:basedOn w:val="DefaultParagraphFont"/>
    <w:link w:val="Header"/>
    <w:uiPriority w:val="99"/>
    <w:rsid w:val="0043292B"/>
    <w:rPr>
      <w:rFonts w:ascii="Courier" w:eastAsia="Times New Roman" w:hAnsi="Courier"/>
      <w:snapToGrid w:val="0"/>
      <w:szCs w:val="20"/>
    </w:rPr>
  </w:style>
  <w:style w:type="paragraph" w:styleId="Footer">
    <w:name w:val="footer"/>
    <w:basedOn w:val="Normal"/>
    <w:link w:val="FooterChar"/>
    <w:uiPriority w:val="99"/>
    <w:unhideWhenUsed/>
    <w:rsid w:val="0043292B"/>
    <w:pPr>
      <w:tabs>
        <w:tab w:val="center" w:pos="4680"/>
        <w:tab w:val="right" w:pos="9360"/>
      </w:tabs>
    </w:pPr>
  </w:style>
  <w:style w:type="character" w:customStyle="1" w:styleId="FooterChar">
    <w:name w:val="Footer Char"/>
    <w:basedOn w:val="DefaultParagraphFont"/>
    <w:link w:val="Footer"/>
    <w:uiPriority w:val="99"/>
    <w:rsid w:val="0043292B"/>
    <w:rPr>
      <w:rFonts w:ascii="Courier" w:eastAsia="Times New Roman" w:hAnsi="Courier"/>
      <w:snapToGrid w:val="0"/>
      <w:szCs w:val="20"/>
    </w:rPr>
  </w:style>
  <w:style w:type="character" w:styleId="CommentReference">
    <w:name w:val="annotation reference"/>
    <w:basedOn w:val="DefaultParagraphFont"/>
    <w:uiPriority w:val="99"/>
    <w:semiHidden/>
    <w:unhideWhenUsed/>
    <w:rsid w:val="00430992"/>
    <w:rPr>
      <w:sz w:val="16"/>
      <w:szCs w:val="16"/>
    </w:rPr>
  </w:style>
  <w:style w:type="paragraph" w:styleId="CommentText">
    <w:name w:val="annotation text"/>
    <w:basedOn w:val="Normal"/>
    <w:link w:val="CommentTextChar"/>
    <w:uiPriority w:val="99"/>
    <w:unhideWhenUsed/>
    <w:rsid w:val="00430992"/>
    <w:rPr>
      <w:sz w:val="20"/>
    </w:rPr>
  </w:style>
  <w:style w:type="character" w:customStyle="1" w:styleId="CommentTextChar">
    <w:name w:val="Comment Text Char"/>
    <w:basedOn w:val="DefaultParagraphFont"/>
    <w:link w:val="CommentText"/>
    <w:uiPriority w:val="99"/>
    <w:rsid w:val="00430992"/>
    <w:rPr>
      <w:rFonts w:ascii="Courier" w:eastAsia="Times New Roman" w:hAnsi="Courier"/>
      <w:snapToGrid w:val="0"/>
      <w:sz w:val="20"/>
      <w:szCs w:val="20"/>
    </w:rPr>
  </w:style>
  <w:style w:type="paragraph" w:styleId="CommentSubject">
    <w:name w:val="annotation subject"/>
    <w:basedOn w:val="CommentText"/>
    <w:next w:val="CommentText"/>
    <w:link w:val="CommentSubjectChar"/>
    <w:uiPriority w:val="99"/>
    <w:semiHidden/>
    <w:unhideWhenUsed/>
    <w:rsid w:val="00430992"/>
    <w:rPr>
      <w:b/>
      <w:bCs/>
    </w:rPr>
  </w:style>
  <w:style w:type="character" w:customStyle="1" w:styleId="CommentSubjectChar">
    <w:name w:val="Comment Subject Char"/>
    <w:basedOn w:val="CommentTextChar"/>
    <w:link w:val="CommentSubject"/>
    <w:uiPriority w:val="99"/>
    <w:semiHidden/>
    <w:rsid w:val="00430992"/>
    <w:rPr>
      <w:rFonts w:ascii="Courier" w:eastAsia="Times New Roman" w:hAnsi="Courier"/>
      <w:b/>
      <w:bCs/>
      <w:snapToGrid w:val="0"/>
      <w:sz w:val="20"/>
      <w:szCs w:val="20"/>
    </w:rPr>
  </w:style>
  <w:style w:type="paragraph" w:styleId="BalloonText">
    <w:name w:val="Balloon Text"/>
    <w:basedOn w:val="Normal"/>
    <w:link w:val="BalloonTextChar"/>
    <w:uiPriority w:val="99"/>
    <w:semiHidden/>
    <w:unhideWhenUsed/>
    <w:rsid w:val="00430992"/>
    <w:rPr>
      <w:rFonts w:ascii="Tahoma" w:hAnsi="Tahoma" w:cs="Tahoma"/>
      <w:sz w:val="16"/>
      <w:szCs w:val="16"/>
    </w:rPr>
  </w:style>
  <w:style w:type="character" w:customStyle="1" w:styleId="BalloonTextChar">
    <w:name w:val="Balloon Text Char"/>
    <w:basedOn w:val="DefaultParagraphFont"/>
    <w:link w:val="BalloonText"/>
    <w:uiPriority w:val="99"/>
    <w:semiHidden/>
    <w:rsid w:val="00430992"/>
    <w:rPr>
      <w:rFonts w:ascii="Tahoma" w:eastAsia="Times New Roman" w:hAnsi="Tahoma" w:cs="Tahoma"/>
      <w:snapToGrid w:val="0"/>
      <w:sz w:val="16"/>
      <w:szCs w:val="16"/>
    </w:rPr>
  </w:style>
  <w:style w:type="paragraph" w:styleId="Revision">
    <w:name w:val="Revision"/>
    <w:hidden/>
    <w:uiPriority w:val="99"/>
    <w:semiHidden/>
    <w:rsid w:val="00072165"/>
    <w:rPr>
      <w:rFonts w:ascii="Courier" w:eastAsia="Times New Roman" w:hAnsi="Courier"/>
      <w:snapToGrid w:val="0"/>
      <w:szCs w:val="20"/>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qFormat/>
    <w:rsid w:val="00B41388"/>
    <w:rPr>
      <w:rFonts w:ascii="Times New Roman" w:hAnsi="Times New Roman"/>
    </w:r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Car,Char,Fußnote, Char"/>
    <w:basedOn w:val="Normal"/>
    <w:link w:val="FootnoteTextChar"/>
    <w:qFormat/>
    <w:rsid w:val="00B41388"/>
    <w:rPr>
      <w:sz w:val="20"/>
    </w:rPr>
  </w:style>
  <w:style w:type="character" w:customStyle="1" w:styleId="FootnoteTextChar">
    <w:name w:val="Footnote Text Char"/>
    <w:aliases w:val="ft Char,fn Char,ALTS FOOTNOTE Char,Style 15 Char,Style 40 Char Char Char,Style 40 Char Char1,Footnote Text Char Char Char1,Footnote Text Char Char Char Char,Car Char,Char Char,Fußnote Char, Char Char"/>
    <w:basedOn w:val="DefaultParagraphFont"/>
    <w:link w:val="FootnoteText"/>
    <w:rsid w:val="00B41388"/>
    <w:rPr>
      <w:rFonts w:ascii="Courier" w:eastAsia="Times New Roman" w:hAnsi="Courier"/>
      <w:snapToGrid w:val="0"/>
      <w:sz w:val="20"/>
      <w:szCs w:val="20"/>
    </w:rPr>
  </w:style>
  <w:style w:type="table" w:styleId="TableGrid">
    <w:name w:val="Table Grid"/>
    <w:basedOn w:val="TableNormal"/>
    <w:rsid w:val="00B41388"/>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54E22"/>
    <w:pPr>
      <w:spacing w:after="120"/>
    </w:pPr>
  </w:style>
  <w:style w:type="character" w:customStyle="1" w:styleId="BodyTextChar">
    <w:name w:val="Body Text Char"/>
    <w:basedOn w:val="DefaultParagraphFont"/>
    <w:link w:val="BodyText"/>
    <w:uiPriority w:val="99"/>
    <w:rsid w:val="00454E22"/>
    <w:rPr>
      <w:rFonts w:ascii="Courier" w:eastAsia="Times New Roman" w:hAnsi="Courier"/>
      <w:snapToGrid w:val="0"/>
      <w:szCs w:val="20"/>
    </w:rPr>
  </w:style>
  <w:style w:type="character" w:customStyle="1" w:styleId="Heading1Char">
    <w:name w:val="Heading 1 Char"/>
    <w:basedOn w:val="DefaultParagraphFont"/>
    <w:link w:val="Heading1"/>
    <w:uiPriority w:val="1"/>
    <w:rsid w:val="00454E22"/>
    <w:rPr>
      <w:rFonts w:eastAsia="Times New Roman"/>
      <w:b/>
      <w:bCs/>
      <w:szCs w:val="24"/>
      <w:lang w:bidi="en-US"/>
    </w:rPr>
  </w:style>
  <w:style w:type="paragraph" w:styleId="ListParagraph">
    <w:name w:val="List Paragraph"/>
    <w:basedOn w:val="Normal"/>
    <w:uiPriority w:val="34"/>
    <w:qFormat/>
    <w:rsid w:val="00454E22"/>
    <w:pPr>
      <w:ind w:left="720"/>
      <w:contextualSpacing/>
    </w:pPr>
  </w:style>
  <w:style w:type="paragraph" w:customStyle="1" w:styleId="Default">
    <w:name w:val="Default"/>
    <w:rsid w:val="00070B92"/>
    <w:pPr>
      <w:autoSpaceDE w:val="0"/>
      <w:autoSpaceDN w:val="0"/>
      <w:adjustRightInd w:val="0"/>
    </w:pPr>
    <w:rPr>
      <w:color w:val="000000"/>
      <w:szCs w:val="24"/>
    </w:rPr>
  </w:style>
  <w:style w:type="character" w:styleId="Hyperlink">
    <w:name w:val="Hyperlink"/>
    <w:basedOn w:val="DefaultParagraphFont"/>
    <w:uiPriority w:val="99"/>
    <w:unhideWhenUsed/>
    <w:rsid w:val="006D33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DB"/>
    <w:pPr>
      <w:widowControl w:val="0"/>
    </w:pPr>
    <w:rPr>
      <w:rFonts w:ascii="Courier" w:eastAsia="Times New Roman" w:hAnsi="Courier"/>
      <w:snapToGrid w:val="0"/>
      <w:szCs w:val="20"/>
    </w:rPr>
  </w:style>
  <w:style w:type="paragraph" w:styleId="Heading1">
    <w:name w:val="heading 1"/>
    <w:basedOn w:val="Normal"/>
    <w:link w:val="Heading1Char"/>
    <w:uiPriority w:val="1"/>
    <w:qFormat/>
    <w:rsid w:val="00454E22"/>
    <w:pPr>
      <w:autoSpaceDE w:val="0"/>
      <w:autoSpaceDN w:val="0"/>
      <w:ind w:left="120"/>
      <w:outlineLvl w:val="0"/>
    </w:pPr>
    <w:rPr>
      <w:rFonts w:ascii="Times New Roman" w:hAnsi="Times New Roman"/>
      <w:b/>
      <w:bCs/>
      <w:snapToGrid/>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6ADB"/>
    <w:pPr>
      <w:ind w:left="720"/>
    </w:pPr>
    <w:rPr>
      <w:rFonts w:ascii="Times New Roman" w:hAnsi="Times New Roman"/>
    </w:rPr>
  </w:style>
  <w:style w:type="character" w:customStyle="1" w:styleId="BodyTextIndentChar">
    <w:name w:val="Body Text Indent Char"/>
    <w:basedOn w:val="DefaultParagraphFont"/>
    <w:link w:val="BodyTextIndent"/>
    <w:rsid w:val="005B6ADB"/>
    <w:rPr>
      <w:rFonts w:eastAsia="Times New Roman"/>
      <w:snapToGrid w:val="0"/>
      <w:szCs w:val="20"/>
    </w:rPr>
  </w:style>
  <w:style w:type="paragraph" w:styleId="Header">
    <w:name w:val="header"/>
    <w:basedOn w:val="Normal"/>
    <w:link w:val="HeaderChar"/>
    <w:uiPriority w:val="99"/>
    <w:unhideWhenUsed/>
    <w:rsid w:val="0043292B"/>
    <w:pPr>
      <w:tabs>
        <w:tab w:val="center" w:pos="4680"/>
        <w:tab w:val="right" w:pos="9360"/>
      </w:tabs>
    </w:pPr>
  </w:style>
  <w:style w:type="character" w:customStyle="1" w:styleId="HeaderChar">
    <w:name w:val="Header Char"/>
    <w:basedOn w:val="DefaultParagraphFont"/>
    <w:link w:val="Header"/>
    <w:uiPriority w:val="99"/>
    <w:rsid w:val="0043292B"/>
    <w:rPr>
      <w:rFonts w:ascii="Courier" w:eastAsia="Times New Roman" w:hAnsi="Courier"/>
      <w:snapToGrid w:val="0"/>
      <w:szCs w:val="20"/>
    </w:rPr>
  </w:style>
  <w:style w:type="paragraph" w:styleId="Footer">
    <w:name w:val="footer"/>
    <w:basedOn w:val="Normal"/>
    <w:link w:val="FooterChar"/>
    <w:uiPriority w:val="99"/>
    <w:unhideWhenUsed/>
    <w:rsid w:val="0043292B"/>
    <w:pPr>
      <w:tabs>
        <w:tab w:val="center" w:pos="4680"/>
        <w:tab w:val="right" w:pos="9360"/>
      </w:tabs>
    </w:pPr>
  </w:style>
  <w:style w:type="character" w:customStyle="1" w:styleId="FooterChar">
    <w:name w:val="Footer Char"/>
    <w:basedOn w:val="DefaultParagraphFont"/>
    <w:link w:val="Footer"/>
    <w:uiPriority w:val="99"/>
    <w:rsid w:val="0043292B"/>
    <w:rPr>
      <w:rFonts w:ascii="Courier" w:eastAsia="Times New Roman" w:hAnsi="Courier"/>
      <w:snapToGrid w:val="0"/>
      <w:szCs w:val="20"/>
    </w:rPr>
  </w:style>
  <w:style w:type="character" w:styleId="CommentReference">
    <w:name w:val="annotation reference"/>
    <w:basedOn w:val="DefaultParagraphFont"/>
    <w:uiPriority w:val="99"/>
    <w:semiHidden/>
    <w:unhideWhenUsed/>
    <w:rsid w:val="00430992"/>
    <w:rPr>
      <w:sz w:val="16"/>
      <w:szCs w:val="16"/>
    </w:rPr>
  </w:style>
  <w:style w:type="paragraph" w:styleId="CommentText">
    <w:name w:val="annotation text"/>
    <w:basedOn w:val="Normal"/>
    <w:link w:val="CommentTextChar"/>
    <w:uiPriority w:val="99"/>
    <w:unhideWhenUsed/>
    <w:rsid w:val="00430992"/>
    <w:rPr>
      <w:sz w:val="20"/>
    </w:rPr>
  </w:style>
  <w:style w:type="character" w:customStyle="1" w:styleId="CommentTextChar">
    <w:name w:val="Comment Text Char"/>
    <w:basedOn w:val="DefaultParagraphFont"/>
    <w:link w:val="CommentText"/>
    <w:uiPriority w:val="99"/>
    <w:rsid w:val="00430992"/>
    <w:rPr>
      <w:rFonts w:ascii="Courier" w:eastAsia="Times New Roman" w:hAnsi="Courier"/>
      <w:snapToGrid w:val="0"/>
      <w:sz w:val="20"/>
      <w:szCs w:val="20"/>
    </w:rPr>
  </w:style>
  <w:style w:type="paragraph" w:styleId="CommentSubject">
    <w:name w:val="annotation subject"/>
    <w:basedOn w:val="CommentText"/>
    <w:next w:val="CommentText"/>
    <w:link w:val="CommentSubjectChar"/>
    <w:uiPriority w:val="99"/>
    <w:semiHidden/>
    <w:unhideWhenUsed/>
    <w:rsid w:val="00430992"/>
    <w:rPr>
      <w:b/>
      <w:bCs/>
    </w:rPr>
  </w:style>
  <w:style w:type="character" w:customStyle="1" w:styleId="CommentSubjectChar">
    <w:name w:val="Comment Subject Char"/>
    <w:basedOn w:val="CommentTextChar"/>
    <w:link w:val="CommentSubject"/>
    <w:uiPriority w:val="99"/>
    <w:semiHidden/>
    <w:rsid w:val="00430992"/>
    <w:rPr>
      <w:rFonts w:ascii="Courier" w:eastAsia="Times New Roman" w:hAnsi="Courier"/>
      <w:b/>
      <w:bCs/>
      <w:snapToGrid w:val="0"/>
      <w:sz w:val="20"/>
      <w:szCs w:val="20"/>
    </w:rPr>
  </w:style>
  <w:style w:type="paragraph" w:styleId="BalloonText">
    <w:name w:val="Balloon Text"/>
    <w:basedOn w:val="Normal"/>
    <w:link w:val="BalloonTextChar"/>
    <w:uiPriority w:val="99"/>
    <w:semiHidden/>
    <w:unhideWhenUsed/>
    <w:rsid w:val="00430992"/>
    <w:rPr>
      <w:rFonts w:ascii="Tahoma" w:hAnsi="Tahoma" w:cs="Tahoma"/>
      <w:sz w:val="16"/>
      <w:szCs w:val="16"/>
    </w:rPr>
  </w:style>
  <w:style w:type="character" w:customStyle="1" w:styleId="BalloonTextChar">
    <w:name w:val="Balloon Text Char"/>
    <w:basedOn w:val="DefaultParagraphFont"/>
    <w:link w:val="BalloonText"/>
    <w:uiPriority w:val="99"/>
    <w:semiHidden/>
    <w:rsid w:val="00430992"/>
    <w:rPr>
      <w:rFonts w:ascii="Tahoma" w:eastAsia="Times New Roman" w:hAnsi="Tahoma" w:cs="Tahoma"/>
      <w:snapToGrid w:val="0"/>
      <w:sz w:val="16"/>
      <w:szCs w:val="16"/>
    </w:rPr>
  </w:style>
  <w:style w:type="paragraph" w:styleId="Revision">
    <w:name w:val="Revision"/>
    <w:hidden/>
    <w:uiPriority w:val="99"/>
    <w:semiHidden/>
    <w:rsid w:val="00072165"/>
    <w:rPr>
      <w:rFonts w:ascii="Courier" w:eastAsia="Times New Roman" w:hAnsi="Courier"/>
      <w:snapToGrid w:val="0"/>
      <w:szCs w:val="20"/>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 BVI fnr"/>
    <w:qFormat/>
    <w:rsid w:val="00B41388"/>
    <w:rPr>
      <w:rFonts w:ascii="Times New Roman" w:hAnsi="Times New Roman"/>
    </w:r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Car,Char,Fußnote, Char"/>
    <w:basedOn w:val="Normal"/>
    <w:link w:val="FootnoteTextChar"/>
    <w:qFormat/>
    <w:rsid w:val="00B41388"/>
    <w:rPr>
      <w:sz w:val="20"/>
    </w:rPr>
  </w:style>
  <w:style w:type="character" w:customStyle="1" w:styleId="FootnoteTextChar">
    <w:name w:val="Footnote Text Char"/>
    <w:aliases w:val="ft Char,fn Char,ALTS FOOTNOTE Char,Style 15 Char,Style 40 Char Char Char,Style 40 Char Char1,Footnote Text Char Char Char1,Footnote Text Char Char Char Char,Car Char,Char Char,Fußnote Char, Char Char"/>
    <w:basedOn w:val="DefaultParagraphFont"/>
    <w:link w:val="FootnoteText"/>
    <w:rsid w:val="00B41388"/>
    <w:rPr>
      <w:rFonts w:ascii="Courier" w:eastAsia="Times New Roman" w:hAnsi="Courier"/>
      <w:snapToGrid w:val="0"/>
      <w:sz w:val="20"/>
      <w:szCs w:val="20"/>
    </w:rPr>
  </w:style>
  <w:style w:type="table" w:styleId="TableGrid">
    <w:name w:val="Table Grid"/>
    <w:basedOn w:val="TableNormal"/>
    <w:rsid w:val="00B41388"/>
    <w:pPr>
      <w:widowControl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54E22"/>
    <w:pPr>
      <w:spacing w:after="120"/>
    </w:pPr>
  </w:style>
  <w:style w:type="character" w:customStyle="1" w:styleId="BodyTextChar">
    <w:name w:val="Body Text Char"/>
    <w:basedOn w:val="DefaultParagraphFont"/>
    <w:link w:val="BodyText"/>
    <w:uiPriority w:val="99"/>
    <w:rsid w:val="00454E22"/>
    <w:rPr>
      <w:rFonts w:ascii="Courier" w:eastAsia="Times New Roman" w:hAnsi="Courier"/>
      <w:snapToGrid w:val="0"/>
      <w:szCs w:val="20"/>
    </w:rPr>
  </w:style>
  <w:style w:type="character" w:customStyle="1" w:styleId="Heading1Char">
    <w:name w:val="Heading 1 Char"/>
    <w:basedOn w:val="DefaultParagraphFont"/>
    <w:link w:val="Heading1"/>
    <w:uiPriority w:val="1"/>
    <w:rsid w:val="00454E22"/>
    <w:rPr>
      <w:rFonts w:eastAsia="Times New Roman"/>
      <w:b/>
      <w:bCs/>
      <w:szCs w:val="24"/>
      <w:lang w:bidi="en-US"/>
    </w:rPr>
  </w:style>
  <w:style w:type="paragraph" w:styleId="ListParagraph">
    <w:name w:val="List Paragraph"/>
    <w:basedOn w:val="Normal"/>
    <w:uiPriority w:val="34"/>
    <w:qFormat/>
    <w:rsid w:val="00454E22"/>
    <w:pPr>
      <w:ind w:left="720"/>
      <w:contextualSpacing/>
    </w:pPr>
  </w:style>
  <w:style w:type="paragraph" w:customStyle="1" w:styleId="Default">
    <w:name w:val="Default"/>
    <w:rsid w:val="00070B92"/>
    <w:pPr>
      <w:autoSpaceDE w:val="0"/>
      <w:autoSpaceDN w:val="0"/>
      <w:adjustRightInd w:val="0"/>
    </w:pPr>
    <w:rPr>
      <w:color w:val="000000"/>
      <w:szCs w:val="24"/>
    </w:rPr>
  </w:style>
  <w:style w:type="character" w:styleId="Hyperlink">
    <w:name w:val="Hyperlink"/>
    <w:basedOn w:val="DefaultParagraphFont"/>
    <w:uiPriority w:val="99"/>
    <w:unhideWhenUsed/>
    <w:rsid w:val="006D33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aw.cornell.edu/definitions/index.php?width=840&amp;amp;height=800&amp;amp;iframe=true&amp;amp;def_id=3b2ddcdf5ae9014dcbea8a00f1062aec&amp;amp;term_occur=1&amp;amp;term_src=lii%3Acfr%3A2014%3A12%3A0%3A-%3AII%3AA%3A243%3A-%3A243.5" TargetMode="External"/><Relationship Id="rId4" Type="http://schemas.microsoft.com/office/2007/relationships/stylesWithEffects" Target="stylesWithEffects.xml"/><Relationship Id="rId9" Type="http://schemas.openxmlformats.org/officeDocument/2006/relationships/hyperlink" Target="https://www.law.cornell.edu/definitions/index.php?width=840&amp;amp;height=800&amp;amp;iframe=true&amp;amp;def_id=89006313e9bc3781cef1c0a158b14770&amp;amp;term_occur=4&amp;amp;term_src=lii%3Acfr%3A2014%3A12%3A0%3A-%3AII%3AA%3A243%3A-%3A243.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A7FB-7F80-4093-BD1C-661B9550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2019-11-13T22:46:00Z</dcterms:created>
  <dcterms:modified xsi:type="dcterms:W3CDTF">2019-11-13T22:46:00Z</dcterms:modified>
</cp:coreProperties>
</file>