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807AF" w:rsidR="00731A90" w:rsidRDefault="00731A90">
      <w:pPr>
        <w:pStyle w:val="Footer"/>
        <w:tabs>
          <w:tab w:val="clear" w:pos="4320"/>
          <w:tab w:val="clear" w:pos="8640"/>
          <w:tab w:val="center" w:pos="4680"/>
        </w:tabs>
        <w:jc w:val="center"/>
        <w:rPr>
          <w:rFonts w:ascii="Times New Roman" w:hAnsi="Times New Roman"/>
          <w:b/>
        </w:rPr>
      </w:pPr>
      <w:r w:rsidRPr="00D807AF">
        <w:rPr>
          <w:rFonts w:ascii="Times New Roman" w:hAnsi="Times New Roman"/>
          <w:b/>
        </w:rPr>
        <w:t>SUPPORTING STATEMENT</w:t>
      </w:r>
    </w:p>
    <w:p w:rsidR="00AD6A6E" w:rsidRDefault="00AD6A6E">
      <w:pPr>
        <w:tabs>
          <w:tab w:val="center" w:pos="4680"/>
        </w:tabs>
        <w:jc w:val="center"/>
        <w:rPr>
          <w:rFonts w:ascii="Times New Roman" w:hAnsi="Times New Roman"/>
          <w:b/>
        </w:rPr>
      </w:pPr>
      <w:r>
        <w:rPr>
          <w:rFonts w:ascii="Times New Roman" w:hAnsi="Times New Roman"/>
          <w:b/>
        </w:rPr>
        <w:t xml:space="preserve">Forms Relating to FDIC Outside Counsel, </w:t>
      </w:r>
    </w:p>
    <w:p w:rsidRPr="00D807AF" w:rsidR="00731A90" w:rsidRDefault="00AD6A6E">
      <w:pPr>
        <w:tabs>
          <w:tab w:val="center" w:pos="4680"/>
        </w:tabs>
        <w:jc w:val="center"/>
        <w:rPr>
          <w:rFonts w:ascii="Times New Roman" w:hAnsi="Times New Roman"/>
          <w:b/>
        </w:rPr>
      </w:pPr>
      <w:r>
        <w:rPr>
          <w:rFonts w:ascii="Times New Roman" w:hAnsi="Times New Roman"/>
          <w:b/>
        </w:rPr>
        <w:t>Legal Support, and Expert Services Programs</w:t>
      </w:r>
    </w:p>
    <w:p w:rsidRPr="00D807AF" w:rsidR="00731A90" w:rsidRDefault="00731A90">
      <w:pPr>
        <w:tabs>
          <w:tab w:val="center" w:pos="4680"/>
        </w:tabs>
        <w:jc w:val="center"/>
        <w:rPr>
          <w:rFonts w:ascii="Times New Roman" w:hAnsi="Times New Roman"/>
          <w:b/>
        </w:rPr>
      </w:pPr>
      <w:r w:rsidRPr="00D807AF">
        <w:rPr>
          <w:rFonts w:ascii="Times New Roman" w:hAnsi="Times New Roman"/>
          <w:b/>
        </w:rPr>
        <w:t>(</w:t>
      </w:r>
      <w:r w:rsidR="00D807AF">
        <w:rPr>
          <w:rFonts w:ascii="Times New Roman" w:hAnsi="Times New Roman"/>
          <w:b/>
        </w:rPr>
        <w:t xml:space="preserve">OMB Control No. </w:t>
      </w:r>
      <w:r w:rsidRPr="00D807AF">
        <w:rPr>
          <w:rFonts w:ascii="Times New Roman" w:hAnsi="Times New Roman"/>
          <w:b/>
        </w:rPr>
        <w:t>3064-</w:t>
      </w:r>
      <w:r w:rsidR="009431C3">
        <w:rPr>
          <w:rFonts w:ascii="Times New Roman" w:hAnsi="Times New Roman"/>
          <w:b/>
        </w:rPr>
        <w:t>0</w:t>
      </w:r>
      <w:r w:rsidR="00AD6A6E">
        <w:rPr>
          <w:rFonts w:ascii="Times New Roman" w:hAnsi="Times New Roman"/>
          <w:b/>
        </w:rPr>
        <w:t>122</w:t>
      </w:r>
      <w:r w:rsidRPr="00D807AF">
        <w:rPr>
          <w:rFonts w:ascii="Times New Roman" w:hAnsi="Times New Roman"/>
          <w:b/>
        </w:rPr>
        <w:t>)</w:t>
      </w:r>
    </w:p>
    <w:p w:rsidR="00731A90" w:rsidRDefault="00731A90">
      <w:pPr>
        <w:rPr>
          <w:rFonts w:ascii="Times New Roman" w:hAnsi="Times New Roman"/>
        </w:rPr>
      </w:pPr>
    </w:p>
    <w:p w:rsidR="00731A90" w:rsidRDefault="00731A90">
      <w:pPr>
        <w:rPr>
          <w:rFonts w:ascii="Times New Roman" w:hAnsi="Times New Roman"/>
          <w:u w:val="single"/>
        </w:rPr>
      </w:pPr>
      <w:r>
        <w:rPr>
          <w:rFonts w:ascii="Times New Roman" w:hAnsi="Times New Roman"/>
          <w:u w:val="single"/>
        </w:rPr>
        <w:t>INTRODUCTION</w:t>
      </w:r>
    </w:p>
    <w:p w:rsidR="00731A90" w:rsidRDefault="00731A90">
      <w:pPr>
        <w:rPr>
          <w:rFonts w:ascii="Times New Roman" w:hAnsi="Times New Roman"/>
          <w:u w:val="single"/>
        </w:rPr>
      </w:pPr>
    </w:p>
    <w:p w:rsidRPr="00AD6A6E" w:rsidR="00AD6A6E" w:rsidP="00AD6A6E" w:rsidRDefault="00DB04B6">
      <w:pPr>
        <w:widowControl/>
        <w:rPr>
          <w:rFonts w:ascii="Times New Roman" w:hAnsi="Times New Roman"/>
          <w:szCs w:val="24"/>
        </w:rPr>
      </w:pPr>
      <w:r w:rsidRPr="00DB04B6">
        <w:rPr>
          <w:rFonts w:ascii="Times New Roman" w:hAnsi="Times New Roman"/>
        </w:rPr>
        <w:t xml:space="preserve">The Federal Deposit Insurance Corporation (FDIC) is requesting a three-year </w:t>
      </w:r>
      <w:r w:rsidR="007F7BC9">
        <w:rPr>
          <w:rFonts w:ascii="Times New Roman" w:hAnsi="Times New Roman"/>
        </w:rPr>
        <w:t>extension without revision</w:t>
      </w:r>
      <w:r w:rsidRPr="00DB04B6" w:rsidR="007F7BC9">
        <w:rPr>
          <w:rFonts w:ascii="Times New Roman" w:hAnsi="Times New Roman"/>
        </w:rPr>
        <w:t xml:space="preserve"> </w:t>
      </w:r>
      <w:r w:rsidRPr="00DB04B6">
        <w:rPr>
          <w:rFonts w:ascii="Times New Roman" w:hAnsi="Times New Roman"/>
        </w:rPr>
        <w:t xml:space="preserve">of the information collection </w:t>
      </w:r>
      <w:r>
        <w:rPr>
          <w:rFonts w:ascii="Times New Roman" w:hAnsi="Times New Roman"/>
        </w:rPr>
        <w:t>entitled “</w:t>
      </w:r>
      <w:r w:rsidR="00AD6A6E">
        <w:rPr>
          <w:rFonts w:ascii="Times New Roman" w:hAnsi="Times New Roman"/>
        </w:rPr>
        <w:t>Forms Relating to FDIC Outside Counsel, Legal Support, and Expert Services Programs</w:t>
      </w:r>
      <w:r>
        <w:rPr>
          <w:rFonts w:ascii="Times New Roman" w:hAnsi="Times New Roman"/>
        </w:rPr>
        <w:t>”</w:t>
      </w:r>
      <w:r w:rsidR="009431C3">
        <w:rPr>
          <w:rFonts w:ascii="Times New Roman" w:hAnsi="Times New Roman"/>
        </w:rPr>
        <w:t xml:space="preserve"> (OMB Control Number 3064-00</w:t>
      </w:r>
      <w:r w:rsidR="00AD6A6E">
        <w:rPr>
          <w:rFonts w:ascii="Times New Roman" w:hAnsi="Times New Roman"/>
        </w:rPr>
        <w:t>122</w:t>
      </w:r>
      <w:r w:rsidR="009431C3">
        <w:rPr>
          <w:rFonts w:ascii="Times New Roman" w:hAnsi="Times New Roman"/>
        </w:rPr>
        <w:t>).</w:t>
      </w:r>
      <w:r>
        <w:rPr>
          <w:rFonts w:ascii="Times New Roman" w:hAnsi="Times New Roman"/>
        </w:rPr>
        <w:t xml:space="preserve"> </w:t>
      </w:r>
      <w:r w:rsidRPr="00AD6A6E" w:rsidR="00AD6A6E">
        <w:rPr>
          <w:rFonts w:ascii="Times New Roman" w:hAnsi="Times New Roman"/>
          <w:szCs w:val="24"/>
        </w:rPr>
        <w:t xml:space="preserve">The information collected enables the FDIC to ensure that all individuals, businesses and firms seeking to provide legal support services to the FDIC </w:t>
      </w:r>
      <w:smartTag w:uri="urn:schemas-microsoft-com:office:smarttags" w:element="PersonName">
        <w:r w:rsidR="00AD6A6E" w:rsidRPr="00AD6A6E">
          <w:rPr>
            <w:rFonts w:ascii="Times New Roman" w:hAnsi="Times New Roman"/>
            <w:szCs w:val="24"/>
          </w:rPr>
          <w:t>me</w:t>
        </w:r>
      </w:smartTag>
      <w:r w:rsidRPr="00AD6A6E" w:rsidR="00AD6A6E">
        <w:rPr>
          <w:rFonts w:ascii="Times New Roman" w:hAnsi="Times New Roman"/>
          <w:szCs w:val="24"/>
        </w:rPr>
        <w:t>et the eligibility require</w:t>
      </w:r>
      <w:smartTag w:uri="urn:schemas-microsoft-com:office:smarttags" w:element="PersonName">
        <w:r w:rsidR="00AD6A6E" w:rsidRPr="00AD6A6E">
          <w:rPr>
            <w:rFonts w:ascii="Times New Roman" w:hAnsi="Times New Roman"/>
            <w:szCs w:val="24"/>
          </w:rPr>
          <w:t>me</w:t>
        </w:r>
      </w:smartTag>
      <w:r w:rsidRPr="00AD6A6E" w:rsidR="00AD6A6E">
        <w:rPr>
          <w:rFonts w:ascii="Times New Roman" w:hAnsi="Times New Roman"/>
          <w:szCs w:val="24"/>
        </w:rPr>
        <w:t>nts established by Congress.  The information is also used to manage and monitor pay</w:t>
      </w:r>
      <w:smartTag w:uri="urn:schemas-microsoft-com:office:smarttags" w:element="PersonName">
        <w:r w:rsidR="00AD6A6E" w:rsidRPr="00AD6A6E">
          <w:rPr>
            <w:rFonts w:ascii="Times New Roman" w:hAnsi="Times New Roman"/>
            <w:szCs w:val="24"/>
          </w:rPr>
          <w:t>me</w:t>
        </w:r>
      </w:smartTag>
      <w:r w:rsidRPr="00AD6A6E" w:rsidR="00AD6A6E">
        <w:rPr>
          <w:rFonts w:ascii="Times New Roman" w:hAnsi="Times New Roman"/>
          <w:szCs w:val="24"/>
        </w:rPr>
        <w:t>nts to contractors, docu</w:t>
      </w:r>
      <w:smartTag w:uri="urn:schemas-microsoft-com:office:smarttags" w:element="PersonName">
        <w:r w:rsidR="00AD6A6E" w:rsidRPr="00AD6A6E">
          <w:rPr>
            <w:rFonts w:ascii="Times New Roman" w:hAnsi="Times New Roman"/>
            <w:szCs w:val="24"/>
          </w:rPr>
          <w:t>me</w:t>
        </w:r>
      </w:smartTag>
      <w:r w:rsidRPr="00AD6A6E" w:rsidR="00AD6A6E">
        <w:rPr>
          <w:rFonts w:ascii="Times New Roman" w:hAnsi="Times New Roman"/>
          <w:szCs w:val="24"/>
        </w:rPr>
        <w:t>nt contract a</w:t>
      </w:r>
      <w:smartTag w:uri="urn:schemas-microsoft-com:office:smarttags" w:element="PersonName">
        <w:r w:rsidR="00AD6A6E" w:rsidRPr="00AD6A6E">
          <w:rPr>
            <w:rFonts w:ascii="Times New Roman" w:hAnsi="Times New Roman"/>
            <w:szCs w:val="24"/>
          </w:rPr>
          <w:t>me</w:t>
        </w:r>
      </w:smartTag>
      <w:r w:rsidRPr="00AD6A6E" w:rsidR="00AD6A6E">
        <w:rPr>
          <w:rFonts w:ascii="Times New Roman" w:hAnsi="Times New Roman"/>
          <w:szCs w:val="24"/>
        </w:rPr>
        <w:t>nd</w:t>
      </w:r>
      <w:smartTag w:uri="urn:schemas-microsoft-com:office:smarttags" w:element="PersonName">
        <w:r w:rsidR="00AD6A6E" w:rsidRPr="00AD6A6E">
          <w:rPr>
            <w:rFonts w:ascii="Times New Roman" w:hAnsi="Times New Roman"/>
            <w:szCs w:val="24"/>
          </w:rPr>
          <w:t>me</w:t>
        </w:r>
      </w:smartTag>
      <w:r w:rsidRPr="00AD6A6E" w:rsidR="00AD6A6E">
        <w:rPr>
          <w:rFonts w:ascii="Times New Roman" w:hAnsi="Times New Roman"/>
          <w:szCs w:val="24"/>
        </w:rPr>
        <w:t>nts, expiration dates, billable individuals, minority law firms, and to ensure that law firms, experts, and other legal support services providers are in compliance with statutory and regulatory require</w:t>
      </w:r>
      <w:smartTag w:uri="urn:schemas-microsoft-com:office:smarttags" w:element="PersonName">
        <w:r w:rsidR="00AD6A6E" w:rsidRPr="00AD6A6E">
          <w:rPr>
            <w:rFonts w:ascii="Times New Roman" w:hAnsi="Times New Roman"/>
            <w:szCs w:val="24"/>
          </w:rPr>
          <w:t>me</w:t>
        </w:r>
      </w:smartTag>
      <w:r w:rsidRPr="00AD6A6E" w:rsidR="00AD6A6E">
        <w:rPr>
          <w:rFonts w:ascii="Times New Roman" w:hAnsi="Times New Roman"/>
          <w:szCs w:val="24"/>
        </w:rPr>
        <w:t xml:space="preserve">nts.  As currently approved, this collection consists of </w:t>
      </w:r>
      <w:r w:rsidR="00AD6A6E">
        <w:rPr>
          <w:rFonts w:ascii="Times New Roman" w:hAnsi="Times New Roman"/>
          <w:szCs w:val="24"/>
        </w:rPr>
        <w:t>18</w:t>
      </w:r>
      <w:r w:rsidRPr="00AD6A6E" w:rsidR="00AD6A6E">
        <w:rPr>
          <w:rFonts w:ascii="Times New Roman" w:hAnsi="Times New Roman"/>
          <w:szCs w:val="24"/>
        </w:rPr>
        <w:t xml:space="preserve"> forms.</w:t>
      </w:r>
    </w:p>
    <w:p w:rsidRPr="00DB04B6" w:rsidR="00DB04B6" w:rsidP="00DB04B6" w:rsidRDefault="004A4C59">
      <w:pPr>
        <w:rPr>
          <w:rFonts w:ascii="Times New Roman" w:hAnsi="Times New Roman"/>
        </w:rPr>
      </w:pPr>
      <w:r w:rsidRPr="004A4C59">
        <w:rPr>
          <w:rFonts w:ascii="Times New Roman" w:hAnsi="Times New Roman"/>
        </w:rPr>
        <w:t xml:space="preserve"> The current clearance expires on </w:t>
      </w:r>
      <w:r>
        <w:rPr>
          <w:rFonts w:ascii="Times New Roman" w:hAnsi="Times New Roman"/>
        </w:rPr>
        <w:t>December 31, 2019</w:t>
      </w:r>
      <w:r w:rsidRPr="004A4C59">
        <w:rPr>
          <w:rFonts w:ascii="Times New Roman" w:hAnsi="Times New Roman"/>
        </w:rPr>
        <w:t>.</w:t>
      </w:r>
    </w:p>
    <w:p w:rsidR="00DB04B6" w:rsidP="004D1876" w:rsidRDefault="00DB04B6">
      <w:pPr>
        <w:rPr>
          <w:rFonts w:ascii="Times New Roman" w:hAnsi="Times New Roman"/>
        </w:rPr>
      </w:pPr>
    </w:p>
    <w:p w:rsidR="00731A90" w:rsidRDefault="00731A90">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rsidRDefault="00731A90">
      <w:pPr>
        <w:rPr>
          <w:rFonts w:ascii="Times New Roman" w:hAnsi="Times New Roman"/>
        </w:rPr>
      </w:pPr>
    </w:p>
    <w:p w:rsidR="00731A90" w:rsidP="00EA72EA" w:rsidRDefault="008F53AC">
      <w:pPr>
        <w:numPr>
          <w:ilvl w:val="0"/>
          <w:numId w:val="11"/>
        </w:numPr>
        <w:rPr>
          <w:rFonts w:ascii="Times New Roman" w:hAnsi="Times New Roman"/>
        </w:rPr>
      </w:pPr>
      <w:r w:rsidRPr="00B662BE">
        <w:rPr>
          <w:rFonts w:ascii="Times New Roman" w:hAnsi="Times New Roman"/>
          <w:bCs/>
          <w:szCs w:val="24"/>
          <w:u w:val="single"/>
        </w:rPr>
        <w:t>Circumstances that make the collection necessary:</w:t>
      </w:r>
    </w:p>
    <w:p w:rsidR="00731A90" w:rsidRDefault="00731A90">
      <w:pPr>
        <w:ind w:firstLine="1440"/>
        <w:rPr>
          <w:rFonts w:ascii="Times New Roman" w:hAnsi="Times New Roman"/>
        </w:rPr>
      </w:pPr>
    </w:p>
    <w:p w:rsidRPr="00AD6A6E" w:rsidR="00AD6A6E" w:rsidP="00AD6A6E" w:rsidRDefault="00AD6A6E">
      <w:pPr>
        <w:ind w:left="1440"/>
        <w:rPr>
          <w:rFonts w:ascii="Times New Roman" w:hAnsi="Times New Roman"/>
          <w:snapToGrid/>
        </w:rPr>
      </w:pPr>
      <w:r w:rsidRPr="00AD6A6E">
        <w:rPr>
          <w:rFonts w:ascii="Times New Roman" w:hAnsi="Times New Roman"/>
          <w:snapToGrid/>
        </w:rPr>
        <w:t>The Federal Deposit Insurance Act (the “Act”) authorizes the FDIC to enter into contracts using private sector contractors to provide goods or services (12 USC 1819).  The Act and its imple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 xml:space="preserve">nting </w:t>
      </w:r>
      <w:r w:rsidRPr="00AD6A6E" w:rsidR="0013412F">
        <w:rPr>
          <w:rFonts w:ascii="Times New Roman" w:hAnsi="Times New Roman"/>
          <w:snapToGrid/>
        </w:rPr>
        <w:t>regulation also</w:t>
      </w:r>
      <w:r w:rsidRPr="00AD6A6E">
        <w:rPr>
          <w:rFonts w:ascii="Times New Roman" w:hAnsi="Times New Roman"/>
          <w:snapToGrid/>
        </w:rPr>
        <w:t xml:space="preserve"> set forth certain minimum standards of contractor competence, experience, fitness, and integrity (12 USC 1822(f)(4), 12 CFR Part 366), and mandate inclusion, to the extent possible, of wo</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 and minorities and wo</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 and minority-owned entities in all contracts (12 U.S.C. 1833e, 12 CFR Part 361.</w:t>
      </w:r>
    </w:p>
    <w:p w:rsidRPr="00AD6A6E" w:rsidR="00AD6A6E" w:rsidP="00AD6A6E" w:rsidRDefault="00AD6A6E">
      <w:pPr>
        <w:ind w:left="1440"/>
        <w:rPr>
          <w:rFonts w:ascii="Times New Roman" w:hAnsi="Times New Roman"/>
          <w:snapToGrid/>
        </w:rPr>
      </w:pPr>
    </w:p>
    <w:p w:rsidRPr="00AD6A6E" w:rsidR="00AD6A6E" w:rsidP="00AD6A6E" w:rsidRDefault="00AD6A6E">
      <w:pPr>
        <w:ind w:left="1440"/>
        <w:rPr>
          <w:rFonts w:ascii="Times New Roman" w:hAnsi="Times New Roman"/>
          <w:snapToGrid/>
        </w:rPr>
      </w:pPr>
      <w:r w:rsidRPr="00AD6A6E">
        <w:rPr>
          <w:rFonts w:ascii="Times New Roman" w:hAnsi="Times New Roman"/>
          <w:snapToGrid/>
        </w:rPr>
        <w:t>The FDIC Legal Division has developed the forms in this collection to facilitate its procure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 of and pay</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 for outside counsel, expert, and legal support services and to ensure compliance with the afore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ntioned statutory and regulatory require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nts.</w:t>
      </w:r>
    </w:p>
    <w:p w:rsidRPr="00373ED8" w:rsidR="00075303" w:rsidP="001509ED" w:rsidRDefault="00075303">
      <w:pPr>
        <w:ind w:left="1440"/>
        <w:rPr>
          <w:rFonts w:ascii="Times New Roman" w:hAnsi="Times New Roman"/>
        </w:rPr>
      </w:pPr>
    </w:p>
    <w:p w:rsidRPr="00373ED8" w:rsidR="004D1876" w:rsidP="00EA72EA" w:rsidRDefault="004D1876">
      <w:pPr>
        <w:numPr>
          <w:ilvl w:val="0"/>
          <w:numId w:val="11"/>
        </w:numPr>
        <w:tabs>
          <w:tab w:val="left" w:pos="-1440"/>
        </w:tabs>
        <w:rPr>
          <w:rFonts w:ascii="Times New Roman" w:hAnsi="Times New Roman"/>
        </w:rPr>
      </w:pPr>
      <w:r w:rsidRPr="00373ED8">
        <w:rPr>
          <w:rFonts w:ascii="Times New Roman" w:hAnsi="Times New Roman"/>
          <w:u w:val="single"/>
        </w:rPr>
        <w:t>Use of the information:</w:t>
      </w:r>
    </w:p>
    <w:p w:rsidRPr="00373ED8" w:rsidR="004D1876" w:rsidP="004D1876" w:rsidRDefault="004D1876">
      <w:pPr>
        <w:ind w:left="1440"/>
        <w:rPr>
          <w:rFonts w:ascii="Times New Roman" w:hAnsi="Times New Roman"/>
        </w:rPr>
      </w:pPr>
    </w:p>
    <w:p w:rsidR="00F034F1" w:rsidP="00AD6A6E" w:rsidRDefault="00AD6A6E">
      <w:pPr>
        <w:ind w:left="1440"/>
        <w:rPr>
          <w:rFonts w:ascii="Times New Roman" w:hAnsi="Times New Roman"/>
        </w:rPr>
      </w:pPr>
      <w:r w:rsidRPr="00AD6A6E">
        <w:rPr>
          <w:rFonts w:ascii="Times New Roman" w:hAnsi="Times New Roman"/>
        </w:rPr>
        <w:t xml:space="preserve">The information collected is used to permit the FDIC to make determinations with respect to disqualifying conditions or conflicts of interest, to budget and reimburse for services, to assess cost-effectiveness, to </w:t>
      </w:r>
      <w:smartTag w:uri="urn:schemas-microsoft-com:office:smarttags" w:element="PersonName">
        <w:r w:rsidRPr="00AD6A6E">
          <w:rPr>
            <w:rFonts w:ascii="Times New Roman" w:hAnsi="Times New Roman"/>
          </w:rPr>
          <w:t>me</w:t>
        </w:r>
      </w:smartTag>
      <w:r w:rsidRPr="00AD6A6E">
        <w:rPr>
          <w:rFonts w:ascii="Times New Roman" w:hAnsi="Times New Roman"/>
        </w:rPr>
        <w:t>asure progress, and to monitor the participation of wo</w:t>
      </w:r>
      <w:smartTag w:uri="urn:schemas-microsoft-com:office:smarttags" w:element="PersonName">
        <w:r w:rsidRPr="00AD6A6E">
          <w:rPr>
            <w:rFonts w:ascii="Times New Roman" w:hAnsi="Times New Roman"/>
          </w:rPr>
          <w:t>me</w:t>
        </w:r>
      </w:smartTag>
      <w:r w:rsidRPr="00AD6A6E">
        <w:rPr>
          <w:rFonts w:ascii="Times New Roman" w:hAnsi="Times New Roman"/>
        </w:rPr>
        <w:t>n and minorities in legal services contracts.</w:t>
      </w:r>
    </w:p>
    <w:p w:rsidR="00AD6A6E" w:rsidP="004D1876" w:rsidRDefault="00AD6A6E">
      <w:pPr>
        <w:ind w:left="2880"/>
        <w:rPr>
          <w:rFonts w:ascii="Times New Roman" w:hAnsi="Times New Roman"/>
        </w:rPr>
      </w:pPr>
    </w:p>
    <w:p w:rsidR="00731A90" w:rsidP="00EA72EA" w:rsidRDefault="00D807AF">
      <w:pPr>
        <w:numPr>
          <w:ilvl w:val="0"/>
          <w:numId w:val="11"/>
        </w:numPr>
        <w:rPr>
          <w:rFonts w:ascii="Times New Roman" w:hAnsi="Times New Roman"/>
        </w:rPr>
      </w:pPr>
      <w:r w:rsidRPr="00B662BE">
        <w:rPr>
          <w:rFonts w:ascii="Times New Roman" w:hAnsi="Times New Roman"/>
          <w:bCs/>
          <w:szCs w:val="24"/>
          <w:u w:val="single"/>
        </w:rPr>
        <w:t>Consideration of the use of improved information technology:</w:t>
      </w:r>
    </w:p>
    <w:p w:rsidR="00731A90" w:rsidRDefault="00731A90">
      <w:pPr>
        <w:rPr>
          <w:rFonts w:ascii="Times New Roman" w:hAnsi="Times New Roman"/>
        </w:rPr>
      </w:pPr>
    </w:p>
    <w:p w:rsidR="00F034F1" w:rsidP="00736FF6" w:rsidRDefault="00AD6A6E">
      <w:pPr>
        <w:ind w:left="1440"/>
        <w:rPr>
          <w:rFonts w:ascii="Times New Roman" w:hAnsi="Times New Roman"/>
        </w:rPr>
      </w:pPr>
      <w:r w:rsidRPr="00AD6A6E">
        <w:rPr>
          <w:rFonts w:ascii="Times New Roman" w:hAnsi="Times New Roman"/>
        </w:rPr>
        <w:t>The forms in this collection are on the FDIC’s external web site, available for on-line completion and electronic submission, as well as view-and-print capability.</w:t>
      </w:r>
    </w:p>
    <w:p w:rsidR="006F2769" w:rsidP="00736FF6" w:rsidRDefault="006F2769">
      <w:pPr>
        <w:ind w:left="1440"/>
        <w:rPr>
          <w:rFonts w:ascii="Times New Roman" w:hAnsi="Times New Roman"/>
        </w:rPr>
      </w:pPr>
    </w:p>
    <w:p w:rsidR="00731A90" w:rsidP="00EA72EA" w:rsidRDefault="00D807AF">
      <w:pPr>
        <w:numPr>
          <w:ilvl w:val="0"/>
          <w:numId w:val="11"/>
        </w:numPr>
        <w:rPr>
          <w:rFonts w:ascii="Times New Roman" w:hAnsi="Times New Roman"/>
        </w:rPr>
      </w:pPr>
      <w:r>
        <w:rPr>
          <w:rFonts w:ascii="Times New Roman" w:hAnsi="Times New Roman"/>
          <w:u w:val="single"/>
        </w:rPr>
        <w:lastRenderedPageBreak/>
        <w:t>Efforts to identify d</w:t>
      </w:r>
      <w:r w:rsidR="00731A90">
        <w:rPr>
          <w:rFonts w:ascii="Times New Roman" w:hAnsi="Times New Roman"/>
          <w:u w:val="single"/>
        </w:rPr>
        <w:t>uplication</w:t>
      </w:r>
      <w:r w:rsidR="008F53AC">
        <w:rPr>
          <w:rFonts w:ascii="Times New Roman" w:hAnsi="Times New Roman"/>
          <w:u w:val="single"/>
        </w:rPr>
        <w:t>:</w:t>
      </w:r>
    </w:p>
    <w:p w:rsidR="00731A90" w:rsidRDefault="00731A90">
      <w:pPr>
        <w:rPr>
          <w:rFonts w:ascii="Times New Roman" w:hAnsi="Times New Roman"/>
        </w:rPr>
      </w:pPr>
    </w:p>
    <w:p w:rsidR="00731A90" w:rsidP="00F034F1" w:rsidRDefault="00F034F1">
      <w:pPr>
        <w:ind w:left="1440"/>
        <w:rPr>
          <w:rFonts w:ascii="Times New Roman" w:hAnsi="Times New Roman"/>
        </w:rPr>
      </w:pPr>
      <w:r w:rsidRPr="00F034F1">
        <w:rPr>
          <w:rFonts w:ascii="Times New Roman" w:hAnsi="Times New Roman"/>
        </w:rPr>
        <w:t>This collection does not duplicate information provided elsewhere.  The information is unique to the occasion to which the application relates.</w:t>
      </w:r>
    </w:p>
    <w:p w:rsidR="00F034F1" w:rsidRDefault="00F034F1">
      <w:pPr>
        <w:ind w:left="720"/>
        <w:rPr>
          <w:rFonts w:ascii="Times New Roman" w:hAnsi="Times New Roman"/>
        </w:rPr>
      </w:pPr>
    </w:p>
    <w:p w:rsidRPr="00EA72EA" w:rsidR="00EA72EA" w:rsidP="00EA72EA" w:rsidRDefault="00D807AF">
      <w:pPr>
        <w:numPr>
          <w:ilvl w:val="0"/>
          <w:numId w:val="11"/>
        </w:numPr>
        <w:rPr>
          <w:rFonts w:ascii="Times New Roman" w:hAnsi="Times New Roman"/>
          <w:u w:val="single"/>
        </w:rPr>
      </w:pPr>
      <w:r w:rsidRPr="008873E8">
        <w:rPr>
          <w:rFonts w:ascii="Times New Roman" w:hAnsi="Times New Roman"/>
          <w:bCs/>
          <w:szCs w:val="24"/>
          <w:u w:val="single"/>
        </w:rPr>
        <w:t>Methods used to minimize burden if the collectio</w:t>
      </w:r>
      <w:r w:rsidR="00EA72EA">
        <w:rPr>
          <w:rFonts w:ascii="Times New Roman" w:hAnsi="Times New Roman"/>
          <w:bCs/>
          <w:szCs w:val="24"/>
          <w:u w:val="single"/>
        </w:rPr>
        <w:t xml:space="preserve">n has a significant impact on </w:t>
      </w:r>
    </w:p>
    <w:p w:rsidR="00731A90" w:rsidP="00EA72EA" w:rsidRDefault="00D807AF">
      <w:pPr>
        <w:ind w:left="1080" w:firstLine="360"/>
        <w:rPr>
          <w:rFonts w:ascii="Times New Roman" w:hAnsi="Times New Roman"/>
          <w:u w:val="single"/>
        </w:rPr>
      </w:pPr>
      <w:r w:rsidRPr="008873E8">
        <w:rPr>
          <w:rFonts w:ascii="Times New Roman" w:hAnsi="Times New Roman"/>
          <w:bCs/>
          <w:szCs w:val="24"/>
          <w:u w:val="single"/>
        </w:rPr>
        <w:t>substantial number of small entities:</w:t>
      </w:r>
    </w:p>
    <w:p w:rsidR="00731A90" w:rsidRDefault="00731A90">
      <w:pPr>
        <w:ind w:left="1440"/>
        <w:rPr>
          <w:rFonts w:ascii="Times New Roman" w:hAnsi="Times New Roman"/>
        </w:rPr>
      </w:pPr>
    </w:p>
    <w:p w:rsidRPr="00AD6A6E" w:rsidR="00AD6A6E" w:rsidP="00AD6A6E" w:rsidRDefault="00AD6A6E">
      <w:pPr>
        <w:widowControl/>
        <w:ind w:left="1440"/>
        <w:rPr>
          <w:rFonts w:ascii="Times New Roman" w:hAnsi="Times New Roman"/>
          <w:szCs w:val="24"/>
        </w:rPr>
      </w:pPr>
      <w:r w:rsidRPr="00AD6A6E">
        <w:rPr>
          <w:rFonts w:ascii="Times New Roman" w:hAnsi="Times New Roman"/>
          <w:szCs w:val="24"/>
        </w:rPr>
        <w:t xml:space="preserve">The forms have been designed to minimize burden on small entities, limiting the questions to those minimally necessary to obtain sufficient information to establish program eligibility and to reimburse legal contractors for services and expenses.   </w:t>
      </w:r>
    </w:p>
    <w:p w:rsidR="00731A90" w:rsidRDefault="00731A90">
      <w:pPr>
        <w:rPr>
          <w:rFonts w:ascii="Times New Roman" w:hAnsi="Times New Roman"/>
        </w:rPr>
      </w:pPr>
    </w:p>
    <w:p w:rsidR="00731A90" w:rsidP="00EA72EA" w:rsidRDefault="00D807AF">
      <w:pPr>
        <w:numPr>
          <w:ilvl w:val="0"/>
          <w:numId w:val="11"/>
        </w:numPr>
        <w:tabs>
          <w:tab w:val="left" w:pos="-1620"/>
        </w:tabs>
        <w:ind w:left="1440" w:hanging="720"/>
        <w:rPr>
          <w:rFonts w:ascii="Times New Roman" w:hAnsi="Times New Roman"/>
        </w:rPr>
      </w:pPr>
      <w:r w:rsidRPr="008873E8">
        <w:rPr>
          <w:rFonts w:ascii="Times New Roman" w:hAnsi="Times New Roman"/>
          <w:bCs/>
          <w:szCs w:val="24"/>
          <w:u w:val="single"/>
        </w:rPr>
        <w:t>Consequences to the Federal program if the collection were conducted less frequently:</w:t>
      </w:r>
    </w:p>
    <w:p w:rsidR="00731A90" w:rsidRDefault="00731A90">
      <w:pPr>
        <w:rPr>
          <w:rFonts w:ascii="Times New Roman" w:hAnsi="Times New Roman"/>
        </w:rPr>
      </w:pPr>
    </w:p>
    <w:p w:rsidR="001509ED" w:rsidP="001509ED" w:rsidRDefault="00AD6A6E">
      <w:pPr>
        <w:ind w:left="1440"/>
        <w:rPr>
          <w:rFonts w:ascii="Times New Roman" w:hAnsi="Times New Roman"/>
          <w:snapToGrid/>
        </w:rPr>
      </w:pPr>
      <w:r w:rsidRPr="00AD6A6E">
        <w:rPr>
          <w:rFonts w:ascii="Times New Roman" w:hAnsi="Times New Roman"/>
          <w:snapToGrid/>
        </w:rPr>
        <w:t>The forms are required when a law firm, expert or other legal support services provider enters into a contractual agree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 with the FDIC, when changes occur that affect the contractor’s initial representations, and when the contractor seeks pay</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 for services and/or expenses.  Less frequent collection would compromise the FDIC’s ability to ensure compliance with statutory and regulatory require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nts, and to effectively monitor contract compliance and expenditures.  The information is collected only on an as-needed basis.</w:t>
      </w:r>
    </w:p>
    <w:p w:rsidR="00AD6A6E" w:rsidP="001509ED" w:rsidRDefault="00AD6A6E">
      <w:pPr>
        <w:ind w:left="1440"/>
        <w:rPr>
          <w:rFonts w:ascii="Times New Roman" w:hAnsi="Times New Roman"/>
        </w:rPr>
      </w:pPr>
    </w:p>
    <w:p w:rsidRPr="001F2A5D" w:rsidR="00D807AF" w:rsidP="00EA72EA" w:rsidRDefault="00D807AF">
      <w:pPr>
        <w:numPr>
          <w:ilvl w:val="0"/>
          <w:numId w:val="11"/>
        </w:numPr>
        <w:ind w:left="1440" w:hanging="720"/>
        <w:rPr>
          <w:rFonts w:ascii="Times New Roman" w:hAnsi="Times New Roman"/>
          <w:szCs w:val="24"/>
        </w:rPr>
      </w:pPr>
      <w:r w:rsidRPr="008873E8">
        <w:rPr>
          <w:rFonts w:ascii="Times New Roman" w:hAnsi="Times New Roman"/>
          <w:bCs/>
          <w:szCs w:val="24"/>
          <w:u w:val="single"/>
        </w:rPr>
        <w:t>Special circumstances necessitating collection inconsistent with 5 CFR Part 1320.5(d)(2):</w:t>
      </w:r>
      <w:r>
        <w:rPr>
          <w:rFonts w:ascii="Times New Roman" w:hAnsi="Times New Roman"/>
          <w:bCs/>
          <w:szCs w:val="24"/>
          <w:u w:val="single"/>
        </w:rPr>
        <w:t xml:space="preserve"> </w:t>
      </w:r>
    </w:p>
    <w:p w:rsidR="00731A90" w:rsidRDefault="00731A90">
      <w:pPr>
        <w:rPr>
          <w:rFonts w:ascii="Times New Roman" w:hAnsi="Times New Roman"/>
        </w:rPr>
      </w:pPr>
    </w:p>
    <w:p w:rsidRPr="0011503E" w:rsidR="00D40E93" w:rsidP="002F0A91" w:rsidRDefault="00D40E93">
      <w:pPr>
        <w:ind w:left="1440"/>
        <w:rPr>
          <w:rFonts w:ascii="Times New Roman" w:hAnsi="Times New Roman"/>
        </w:rPr>
      </w:pPr>
      <w:r w:rsidRPr="00712682">
        <w:rPr>
          <w:rFonts w:ascii="Times New Roman" w:hAnsi="Times New Roman"/>
        </w:rPr>
        <w:t>None. This information collection is conducted in accordance with the guidelines in 5 CFR 1320.5(d)(2).</w:t>
      </w:r>
    </w:p>
    <w:p w:rsidR="00731A90" w:rsidP="00F034F1" w:rsidRDefault="00D807AF">
      <w:pPr>
        <w:pStyle w:val="BodyTextIndent"/>
        <w:ind w:left="1440"/>
      </w:pPr>
      <w:r w:rsidRPr="008873E8">
        <w:rPr>
          <w:szCs w:val="24"/>
        </w:rPr>
        <w:t xml:space="preserve"> </w:t>
      </w:r>
    </w:p>
    <w:p w:rsidRPr="001F2A5D" w:rsidR="00D807AF" w:rsidP="00EA72EA" w:rsidRDefault="00D807AF">
      <w:pPr>
        <w:numPr>
          <w:ilvl w:val="0"/>
          <w:numId w:val="11"/>
        </w:numPr>
        <w:rPr>
          <w:rFonts w:ascii="Times New Roman" w:hAnsi="Times New Roman"/>
          <w:szCs w:val="24"/>
        </w:rPr>
      </w:pPr>
      <w:r w:rsidRPr="008873E8">
        <w:rPr>
          <w:rFonts w:ascii="Times New Roman" w:hAnsi="Times New Roman"/>
          <w:bCs/>
          <w:szCs w:val="24"/>
          <w:u w:val="single"/>
        </w:rPr>
        <w:t>Efforts to consult with persons outside the agency:</w:t>
      </w:r>
    </w:p>
    <w:p w:rsidR="00731A90" w:rsidP="00D807AF" w:rsidRDefault="00731A90">
      <w:pPr>
        <w:ind w:firstLine="720"/>
        <w:rPr>
          <w:rFonts w:ascii="Times New Roman" w:hAnsi="Times New Roman"/>
        </w:rPr>
      </w:pPr>
    </w:p>
    <w:p w:rsidR="001E004B" w:rsidP="00DB04B6" w:rsidRDefault="001509ED">
      <w:pPr>
        <w:widowControl/>
        <w:autoSpaceDE w:val="0"/>
        <w:autoSpaceDN w:val="0"/>
        <w:adjustRightInd w:val="0"/>
        <w:ind w:left="1440"/>
        <w:rPr>
          <w:rFonts w:ascii="Times New Roman" w:hAnsi="Times New Roman"/>
          <w:iCs/>
          <w:szCs w:val="24"/>
        </w:rPr>
      </w:pPr>
      <w:r>
        <w:rPr>
          <w:rFonts w:ascii="Times New Roman" w:hAnsi="Times New Roman"/>
        </w:rPr>
        <w:t xml:space="preserve">On </w:t>
      </w:r>
      <w:r w:rsidR="00F034F1">
        <w:rPr>
          <w:rFonts w:ascii="Times New Roman" w:hAnsi="Times New Roman"/>
          <w:szCs w:val="24"/>
        </w:rPr>
        <w:t>September 30</w:t>
      </w:r>
      <w:r w:rsidR="00CA0749">
        <w:rPr>
          <w:rFonts w:ascii="Times New Roman" w:hAnsi="Times New Roman"/>
          <w:szCs w:val="24"/>
        </w:rPr>
        <w:t>, 2019</w:t>
      </w:r>
      <w:r>
        <w:rPr>
          <w:rFonts w:ascii="Times New Roman" w:hAnsi="Times New Roman"/>
          <w:szCs w:val="24"/>
        </w:rPr>
        <w:t xml:space="preserve">, the FDIC published a </w:t>
      </w:r>
      <w:r>
        <w:rPr>
          <w:rFonts w:ascii="Times New Roman" w:hAnsi="Times New Roman"/>
          <w:szCs w:val="24"/>
          <w:u w:val="single"/>
        </w:rPr>
        <w:t>Federal Register</w:t>
      </w:r>
      <w:r>
        <w:rPr>
          <w:rFonts w:ascii="Times New Roman" w:hAnsi="Times New Roman"/>
          <w:szCs w:val="24"/>
        </w:rPr>
        <w:t xml:space="preserve"> notice proposing to extend the </w:t>
      </w:r>
      <w:r w:rsidR="00AD6A6E">
        <w:rPr>
          <w:rFonts w:ascii="Times New Roman" w:hAnsi="Times New Roman"/>
          <w:szCs w:val="24"/>
        </w:rPr>
        <w:t>Forms Relating to FDIC</w:t>
      </w:r>
      <w:r>
        <w:rPr>
          <w:rFonts w:ascii="Times New Roman" w:hAnsi="Times New Roman"/>
          <w:szCs w:val="24"/>
        </w:rPr>
        <w:t xml:space="preserve"> </w:t>
      </w:r>
      <w:r w:rsidR="00AD6A6E">
        <w:rPr>
          <w:rFonts w:ascii="Times New Roman" w:hAnsi="Times New Roman"/>
          <w:szCs w:val="24"/>
        </w:rPr>
        <w:t xml:space="preserve">Outside Counsel, Legal Support, and Expert Services Programs </w:t>
      </w:r>
      <w:r>
        <w:rPr>
          <w:rFonts w:ascii="Times New Roman" w:hAnsi="Times New Roman"/>
          <w:szCs w:val="24"/>
        </w:rPr>
        <w:t>existing information collection (84</w:t>
      </w:r>
      <w:r w:rsidRPr="006A0452">
        <w:rPr>
          <w:rFonts w:ascii="Times New Roman" w:hAnsi="Times New Roman"/>
          <w:szCs w:val="24"/>
        </w:rPr>
        <w:t xml:space="preserve"> FR </w:t>
      </w:r>
      <w:r w:rsidR="00F034F1">
        <w:rPr>
          <w:rFonts w:ascii="Times New Roman" w:hAnsi="Times New Roman"/>
          <w:szCs w:val="24"/>
        </w:rPr>
        <w:t>51566</w:t>
      </w:r>
      <w:r>
        <w:rPr>
          <w:rFonts w:ascii="Times New Roman" w:hAnsi="Times New Roman"/>
          <w:szCs w:val="24"/>
        </w:rPr>
        <w:t xml:space="preserve">).  </w:t>
      </w:r>
      <w:r>
        <w:rPr>
          <w:rFonts w:ascii="Times New Roman" w:hAnsi="Times New Roman"/>
          <w:iCs/>
          <w:szCs w:val="24"/>
        </w:rPr>
        <w:t>The FDIC</w:t>
      </w:r>
      <w:r w:rsidRPr="007E5FB2">
        <w:rPr>
          <w:rFonts w:ascii="Times New Roman" w:hAnsi="Times New Roman"/>
          <w:iCs/>
          <w:szCs w:val="24"/>
        </w:rPr>
        <w:t xml:space="preserve"> </w:t>
      </w:r>
      <w:r>
        <w:rPr>
          <w:rFonts w:ascii="Times New Roman" w:hAnsi="Times New Roman"/>
          <w:iCs/>
          <w:szCs w:val="24"/>
        </w:rPr>
        <w:t>did not</w:t>
      </w:r>
      <w:r w:rsidRPr="007E5FB2">
        <w:rPr>
          <w:rFonts w:ascii="Times New Roman" w:hAnsi="Times New Roman"/>
          <w:iCs/>
          <w:szCs w:val="24"/>
        </w:rPr>
        <w:t xml:space="preserve"> receive </w:t>
      </w:r>
      <w:r>
        <w:rPr>
          <w:rFonts w:ascii="Times New Roman" w:hAnsi="Times New Roman"/>
          <w:iCs/>
          <w:szCs w:val="24"/>
        </w:rPr>
        <w:t>any</w:t>
      </w:r>
      <w:r w:rsidRPr="007E5FB2">
        <w:rPr>
          <w:rFonts w:ascii="Times New Roman" w:hAnsi="Times New Roman"/>
          <w:iCs/>
          <w:szCs w:val="24"/>
        </w:rPr>
        <w:t xml:space="preserve"> comment</w:t>
      </w:r>
      <w:r>
        <w:rPr>
          <w:rFonts w:ascii="Times New Roman" w:hAnsi="Times New Roman"/>
          <w:iCs/>
          <w:szCs w:val="24"/>
        </w:rPr>
        <w:t>s addressing this collection of information</w:t>
      </w:r>
      <w:r w:rsidRPr="007E5FB2">
        <w:rPr>
          <w:rFonts w:ascii="Times New Roman" w:hAnsi="Times New Roman"/>
          <w:iCs/>
          <w:szCs w:val="24"/>
        </w:rPr>
        <w:t>.</w:t>
      </w:r>
    </w:p>
    <w:p w:rsidR="001509ED" w:rsidP="00DB04B6" w:rsidRDefault="001509ED">
      <w:pPr>
        <w:widowControl/>
        <w:autoSpaceDE w:val="0"/>
        <w:autoSpaceDN w:val="0"/>
        <w:adjustRightInd w:val="0"/>
        <w:ind w:left="1440"/>
        <w:rPr>
          <w:rFonts w:ascii="Times New Roman" w:hAnsi="Times New Roman"/>
        </w:rPr>
      </w:pPr>
    </w:p>
    <w:p w:rsidRPr="001F2A5D" w:rsidR="00D807AF" w:rsidP="00EA72EA" w:rsidRDefault="00D807AF">
      <w:pPr>
        <w:numPr>
          <w:ilvl w:val="0"/>
          <w:numId w:val="11"/>
        </w:numPr>
        <w:rPr>
          <w:rFonts w:ascii="Times New Roman" w:hAnsi="Times New Roman"/>
          <w:szCs w:val="24"/>
        </w:rPr>
      </w:pPr>
      <w:r w:rsidRPr="001F2A5D">
        <w:rPr>
          <w:rFonts w:ascii="Times New Roman" w:hAnsi="Times New Roman"/>
          <w:szCs w:val="24"/>
          <w:u w:val="single"/>
        </w:rPr>
        <w:t>Payment</w:t>
      </w:r>
      <w:r>
        <w:rPr>
          <w:rFonts w:ascii="Times New Roman" w:hAnsi="Times New Roman"/>
          <w:szCs w:val="24"/>
          <w:u w:val="single"/>
        </w:rPr>
        <w:t>s</w:t>
      </w:r>
      <w:r w:rsidRPr="001F2A5D">
        <w:rPr>
          <w:rFonts w:ascii="Times New Roman" w:hAnsi="Times New Roman"/>
          <w:szCs w:val="24"/>
          <w:u w:val="single"/>
        </w:rPr>
        <w:t xml:space="preserve"> or </w:t>
      </w:r>
      <w:r>
        <w:rPr>
          <w:rFonts w:ascii="Times New Roman" w:hAnsi="Times New Roman"/>
          <w:szCs w:val="24"/>
          <w:u w:val="single"/>
        </w:rPr>
        <w:t>g</w:t>
      </w:r>
      <w:r w:rsidRPr="001F2A5D">
        <w:rPr>
          <w:rFonts w:ascii="Times New Roman" w:hAnsi="Times New Roman"/>
          <w:szCs w:val="24"/>
          <w:u w:val="single"/>
        </w:rPr>
        <w:t>ift</w:t>
      </w:r>
      <w:r>
        <w:rPr>
          <w:rFonts w:ascii="Times New Roman" w:hAnsi="Times New Roman"/>
          <w:szCs w:val="24"/>
          <w:u w:val="single"/>
        </w:rPr>
        <w:t>s</w:t>
      </w:r>
      <w:r w:rsidRPr="001F2A5D">
        <w:rPr>
          <w:rFonts w:ascii="Times New Roman" w:hAnsi="Times New Roman"/>
          <w:szCs w:val="24"/>
          <w:u w:val="single"/>
        </w:rPr>
        <w:t xml:space="preserve"> to </w:t>
      </w:r>
      <w:r>
        <w:rPr>
          <w:rFonts w:ascii="Times New Roman" w:hAnsi="Times New Roman"/>
          <w:szCs w:val="24"/>
          <w:u w:val="single"/>
        </w:rPr>
        <w:t>r</w:t>
      </w:r>
      <w:r w:rsidRPr="001F2A5D">
        <w:rPr>
          <w:rFonts w:ascii="Times New Roman" w:hAnsi="Times New Roman"/>
          <w:szCs w:val="24"/>
          <w:u w:val="single"/>
        </w:rPr>
        <w:t>espondents</w:t>
      </w:r>
      <w:r>
        <w:rPr>
          <w:rFonts w:ascii="Times New Roman" w:hAnsi="Times New Roman"/>
          <w:szCs w:val="24"/>
          <w:u w:val="single"/>
        </w:rPr>
        <w:t>:</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 xml:space="preserve">None. </w:t>
      </w:r>
    </w:p>
    <w:p w:rsidR="00731A90" w:rsidRDefault="00731A90">
      <w:pPr>
        <w:rPr>
          <w:rFonts w:ascii="Times New Roman" w:hAnsi="Times New Roman"/>
        </w:rPr>
      </w:pPr>
    </w:p>
    <w:p w:rsidR="00731A90" w:rsidP="00EA72EA" w:rsidRDefault="00D807AF">
      <w:pPr>
        <w:numPr>
          <w:ilvl w:val="0"/>
          <w:numId w:val="11"/>
        </w:numPr>
        <w:rPr>
          <w:rFonts w:ascii="Times New Roman" w:hAnsi="Times New Roman"/>
        </w:rPr>
      </w:pPr>
      <w:r w:rsidRPr="00647F97">
        <w:rPr>
          <w:rFonts w:ascii="Times New Roman TUR" w:hAnsi="Times New Roman TUR" w:cs="Times New Roman TUR"/>
          <w:bCs/>
          <w:u w:val="single"/>
        </w:rPr>
        <w:t>Any assurance of confidentiality:</w:t>
      </w:r>
    </w:p>
    <w:p w:rsidR="00731A90" w:rsidRDefault="00731A90">
      <w:pPr>
        <w:rPr>
          <w:rFonts w:ascii="Times New Roman" w:hAnsi="Times New Roman"/>
        </w:rPr>
      </w:pPr>
    </w:p>
    <w:p w:rsidR="00E5596D" w:rsidP="00F034F1" w:rsidRDefault="00F034F1">
      <w:pPr>
        <w:ind w:left="1440"/>
        <w:rPr>
          <w:rFonts w:ascii="Times New Roman" w:hAnsi="Times New Roman"/>
        </w:rPr>
      </w:pPr>
      <w:r w:rsidRPr="00F034F1">
        <w:rPr>
          <w:rFonts w:ascii="Times New Roman" w:hAnsi="Times New Roman"/>
        </w:rPr>
        <w:t>Information will be kept private to the extent allowed by law.</w:t>
      </w:r>
    </w:p>
    <w:p w:rsidR="00F034F1" w:rsidRDefault="00F034F1">
      <w:pPr>
        <w:rPr>
          <w:rFonts w:ascii="Times New Roman" w:hAnsi="Times New Roman"/>
        </w:rPr>
      </w:pPr>
    </w:p>
    <w:p w:rsidRPr="00E5596D" w:rsidR="00736FF6" w:rsidRDefault="00736FF6">
      <w:pPr>
        <w:rPr>
          <w:rFonts w:ascii="Times New Roman" w:hAnsi="Times New Roman"/>
        </w:rPr>
      </w:pPr>
    </w:p>
    <w:p w:rsidR="00731A90" w:rsidP="00EA72EA" w:rsidRDefault="00D807AF">
      <w:pPr>
        <w:numPr>
          <w:ilvl w:val="0"/>
          <w:numId w:val="11"/>
        </w:numPr>
        <w:rPr>
          <w:rFonts w:ascii="Times New Roman" w:hAnsi="Times New Roman"/>
        </w:rPr>
      </w:pPr>
      <w:r w:rsidRPr="00647F97">
        <w:rPr>
          <w:rFonts w:ascii="Times New Roman TUR" w:hAnsi="Times New Roman TUR" w:cs="Times New Roman TUR"/>
          <w:bCs/>
          <w:u w:val="single"/>
        </w:rPr>
        <w:t>Justification for questions of a sensitive nature:</w:t>
      </w:r>
    </w:p>
    <w:p w:rsidR="00731A90" w:rsidRDefault="00731A90">
      <w:pPr>
        <w:rPr>
          <w:rFonts w:ascii="Times New Roman" w:hAnsi="Times New Roman"/>
        </w:rPr>
      </w:pPr>
    </w:p>
    <w:p w:rsidR="001509ED" w:rsidP="001509ED" w:rsidRDefault="00736FF6">
      <w:pPr>
        <w:ind w:left="1440"/>
        <w:rPr>
          <w:rFonts w:ascii="Times New Roman" w:hAnsi="Times New Roman"/>
        </w:rPr>
      </w:pPr>
      <w:r w:rsidRPr="00736FF6">
        <w:rPr>
          <w:rFonts w:ascii="Times New Roman" w:hAnsi="Times New Roman"/>
        </w:rPr>
        <w:t>Questions about prior convictions, patterns or practices of defalcation, and prohibitions from participating in banking activities are required by statute.</w:t>
      </w:r>
    </w:p>
    <w:p w:rsidR="00736FF6" w:rsidP="001509ED" w:rsidRDefault="00736FF6">
      <w:pPr>
        <w:ind w:left="1440"/>
        <w:rPr>
          <w:rFonts w:ascii="Times New Roman" w:hAnsi="Times New Roman"/>
        </w:rPr>
      </w:pPr>
    </w:p>
    <w:p w:rsidRPr="000D67E2" w:rsidR="00731A90" w:rsidP="00EA72EA" w:rsidRDefault="009F4532">
      <w:pPr>
        <w:numPr>
          <w:ilvl w:val="0"/>
          <w:numId w:val="11"/>
        </w:numPr>
        <w:rPr>
          <w:rFonts w:ascii="Times New Roman" w:hAnsi="Times New Roman"/>
          <w:szCs w:val="24"/>
          <w:u w:val="single"/>
        </w:rPr>
      </w:pPr>
      <w:r w:rsidRPr="000D67E2">
        <w:rPr>
          <w:rFonts w:ascii="Times New Roman" w:hAnsi="Times New Roman"/>
          <w:szCs w:val="24"/>
          <w:u w:val="single"/>
        </w:rPr>
        <w:t>Estimate of hour burden including annualized hourly costs:</w:t>
      </w:r>
    </w:p>
    <w:p w:rsidR="00AF79FB" w:rsidP="00AF79FB" w:rsidRDefault="00AF79FB">
      <w:pPr>
        <w:ind w:left="1080"/>
        <w:rPr>
          <w:rFonts w:ascii="Times New Roman" w:hAnsi="Times New Roman"/>
          <w:szCs w:val="24"/>
          <w:u w:val="single"/>
        </w:rPr>
      </w:pPr>
    </w:p>
    <w:tbl>
      <w:tblPr>
        <w:tblpPr w:leftFromText="180" w:rightFromText="180" w:vertAnchor="text" w:horzAnchor="margin" w:tblpXSpec="center" w:tblpY="331"/>
        <w:tblW w:w="10867" w:type="dxa"/>
        <w:tblLook w:val="04A0" w:firstRow="1" w:lastRow="0" w:firstColumn="1" w:lastColumn="0" w:noHBand="0" w:noVBand="1"/>
      </w:tblPr>
      <w:tblGrid>
        <w:gridCol w:w="2744"/>
        <w:gridCol w:w="1072"/>
        <w:gridCol w:w="1029"/>
        <w:gridCol w:w="1103"/>
        <w:gridCol w:w="1121"/>
        <w:gridCol w:w="970"/>
        <w:gridCol w:w="929"/>
        <w:gridCol w:w="960"/>
        <w:gridCol w:w="939"/>
      </w:tblGrid>
      <w:tr w:rsidRPr="00736FF6" w:rsidR="00736FF6" w:rsidTr="00736FF6">
        <w:trPr>
          <w:trHeight w:val="239"/>
        </w:trPr>
        <w:tc>
          <w:tcPr>
            <w:tcW w:w="10867" w:type="dxa"/>
            <w:gridSpan w:val="9"/>
            <w:tcBorders>
              <w:top w:val="single" w:color="auto" w:sz="4" w:space="0"/>
              <w:left w:val="single" w:color="auto" w:sz="4" w:space="0"/>
              <w:bottom w:val="single" w:color="auto" w:sz="4" w:space="0"/>
              <w:right w:val="single" w:color="auto" w:sz="4" w:space="0"/>
            </w:tcBorders>
            <w:shd w:val="clear" w:color="auto" w:fill="auto"/>
            <w:vAlign w:val="center"/>
            <w:hideMark/>
          </w:tcPr>
          <w:p w:rsidR="00736FF6" w:rsidP="00736FF6" w:rsidRDefault="00736FF6">
            <w:pPr>
              <w:widowControl/>
              <w:jc w:val="center"/>
              <w:rPr>
                <w:rFonts w:ascii="Times New Roman" w:hAnsi="Times New Roman"/>
                <w:b/>
                <w:bCs/>
                <w:snapToGrid/>
                <w:color w:val="000000"/>
                <w:sz w:val="16"/>
                <w:szCs w:val="16"/>
              </w:rPr>
            </w:pPr>
          </w:p>
          <w:p w:rsidRPr="00736FF6" w:rsidR="00736FF6" w:rsidP="00736FF6" w:rsidRDefault="00736FF6">
            <w:pPr>
              <w:widowControl/>
              <w:jc w:val="center"/>
              <w:rPr>
                <w:rFonts w:ascii="Times New Roman" w:hAnsi="Times New Roman"/>
                <w:b/>
                <w:bCs/>
                <w:snapToGrid/>
                <w:color w:val="000000"/>
                <w:sz w:val="16"/>
                <w:szCs w:val="16"/>
              </w:rPr>
            </w:pPr>
            <w:r w:rsidRPr="00736FF6">
              <w:rPr>
                <w:rFonts w:ascii="Times New Roman" w:hAnsi="Times New Roman"/>
                <w:b/>
                <w:bCs/>
                <w:snapToGrid/>
                <w:color w:val="000000"/>
                <w:sz w:val="16"/>
                <w:szCs w:val="16"/>
              </w:rPr>
              <w:t>Summary of Annual Burd</w:t>
            </w:r>
            <w:r>
              <w:rPr>
                <w:rFonts w:ascii="Times New Roman" w:hAnsi="Times New Roman"/>
                <w:b/>
                <w:bCs/>
                <w:snapToGrid/>
                <w:color w:val="000000"/>
                <w:sz w:val="16"/>
                <w:szCs w:val="16"/>
              </w:rPr>
              <w:t xml:space="preserve">en and Internal Cost </w:t>
            </w:r>
            <w:r w:rsidRPr="00736FF6">
              <w:rPr>
                <w:rFonts w:ascii="Times New Roman" w:hAnsi="Times New Roman"/>
                <w:b/>
                <w:bCs/>
                <w:snapToGrid/>
                <w:color w:val="000000"/>
                <w:sz w:val="16"/>
                <w:szCs w:val="16"/>
              </w:rPr>
              <w:br/>
            </w:r>
          </w:p>
        </w:tc>
      </w:tr>
      <w:tr w:rsidRPr="00736FF6" w:rsidR="00736FF6" w:rsidTr="00736FF6">
        <w:trPr>
          <w:trHeight w:val="472"/>
        </w:trPr>
        <w:tc>
          <w:tcPr>
            <w:tcW w:w="2744" w:type="dxa"/>
            <w:tcBorders>
              <w:top w:val="nil"/>
              <w:left w:val="single" w:color="auto" w:sz="4" w:space="0"/>
              <w:bottom w:val="single" w:color="auto" w:sz="4" w:space="0"/>
              <w:right w:val="single" w:color="auto" w:sz="4" w:space="0"/>
            </w:tcBorders>
            <w:shd w:val="clear" w:color="000000" w:fill="D9D9D9"/>
            <w:noWrap/>
            <w:vAlign w:val="center"/>
            <w:hideMark/>
          </w:tcPr>
          <w:p w:rsidRPr="00736FF6" w:rsidR="00736FF6" w:rsidP="00736FF6" w:rsidRDefault="00736FF6">
            <w:pPr>
              <w:widowControl/>
              <w:jc w:val="center"/>
              <w:rPr>
                <w:rFonts w:ascii="Times New Roman" w:hAnsi="Times New Roman"/>
                <w:b/>
                <w:bCs/>
                <w:snapToGrid/>
                <w:color w:val="000000"/>
                <w:sz w:val="16"/>
                <w:szCs w:val="16"/>
              </w:rPr>
            </w:pPr>
            <w:r w:rsidRPr="00736FF6">
              <w:rPr>
                <w:rFonts w:ascii="Times New Roman" w:hAnsi="Times New Roman"/>
                <w:b/>
                <w:bCs/>
                <w:snapToGrid/>
                <w:color w:val="000000"/>
                <w:sz w:val="16"/>
                <w:szCs w:val="16"/>
              </w:rPr>
              <w:t>Information Collection (IC) Description</w:t>
            </w:r>
          </w:p>
        </w:tc>
        <w:tc>
          <w:tcPr>
            <w:tcW w:w="1072" w:type="dxa"/>
            <w:tcBorders>
              <w:top w:val="nil"/>
              <w:left w:val="nil"/>
              <w:bottom w:val="single" w:color="auto" w:sz="4" w:space="0"/>
              <w:right w:val="single" w:color="auto" w:sz="4" w:space="0"/>
            </w:tcBorders>
            <w:shd w:val="clear" w:color="000000" w:fill="D9D9D9"/>
            <w:noWrap/>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Form Number</w:t>
            </w:r>
          </w:p>
        </w:tc>
        <w:tc>
          <w:tcPr>
            <w:tcW w:w="1029" w:type="dxa"/>
            <w:tcBorders>
              <w:top w:val="nil"/>
              <w:left w:val="nil"/>
              <w:bottom w:val="single" w:color="auto" w:sz="4" w:space="0"/>
              <w:right w:val="single" w:color="auto" w:sz="4" w:space="0"/>
            </w:tcBorders>
            <w:shd w:val="clear" w:color="000000" w:fill="D9D9D9"/>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Type of Burden</w:t>
            </w:r>
          </w:p>
        </w:tc>
        <w:tc>
          <w:tcPr>
            <w:tcW w:w="1103" w:type="dxa"/>
            <w:tcBorders>
              <w:top w:val="nil"/>
              <w:left w:val="nil"/>
              <w:bottom w:val="single" w:color="auto" w:sz="4" w:space="0"/>
              <w:right w:val="single" w:color="auto" w:sz="4" w:space="0"/>
            </w:tcBorders>
            <w:shd w:val="clear" w:color="000000" w:fill="D9D9D9"/>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Obligation to Respond</w:t>
            </w:r>
          </w:p>
        </w:tc>
        <w:tc>
          <w:tcPr>
            <w:tcW w:w="1121" w:type="dxa"/>
            <w:tcBorders>
              <w:top w:val="nil"/>
              <w:left w:val="nil"/>
              <w:bottom w:val="single" w:color="auto" w:sz="4" w:space="0"/>
              <w:right w:val="single" w:color="auto" w:sz="4" w:space="0"/>
            </w:tcBorders>
            <w:shd w:val="clear" w:color="000000" w:fill="D9D9D9"/>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Estimated Number of Respondents</w:t>
            </w:r>
          </w:p>
        </w:tc>
        <w:tc>
          <w:tcPr>
            <w:tcW w:w="970" w:type="dxa"/>
            <w:tcBorders>
              <w:top w:val="nil"/>
              <w:left w:val="nil"/>
              <w:bottom w:val="single" w:color="auto" w:sz="4" w:space="0"/>
              <w:right w:val="single" w:color="auto" w:sz="4" w:space="0"/>
            </w:tcBorders>
            <w:shd w:val="clear" w:color="000000" w:fill="D9D9D9"/>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Estimated Frequency of Responses</w:t>
            </w:r>
          </w:p>
        </w:tc>
        <w:tc>
          <w:tcPr>
            <w:tcW w:w="929" w:type="dxa"/>
            <w:tcBorders>
              <w:top w:val="nil"/>
              <w:left w:val="nil"/>
              <w:bottom w:val="single" w:color="auto" w:sz="4" w:space="0"/>
              <w:right w:val="single" w:color="auto" w:sz="4" w:space="0"/>
            </w:tcBorders>
            <w:shd w:val="clear" w:color="000000" w:fill="D9D9D9"/>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Estimated Time per Response</w:t>
            </w:r>
          </w:p>
        </w:tc>
        <w:tc>
          <w:tcPr>
            <w:tcW w:w="960" w:type="dxa"/>
            <w:tcBorders>
              <w:top w:val="nil"/>
              <w:left w:val="nil"/>
              <w:bottom w:val="single" w:color="auto" w:sz="4" w:space="0"/>
              <w:right w:val="single" w:color="auto" w:sz="4" w:space="0"/>
            </w:tcBorders>
            <w:shd w:val="clear" w:color="000000" w:fill="D9D9D9"/>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Frequency of Response</w:t>
            </w:r>
          </w:p>
        </w:tc>
        <w:tc>
          <w:tcPr>
            <w:tcW w:w="939" w:type="dxa"/>
            <w:tcBorders>
              <w:top w:val="nil"/>
              <w:left w:val="nil"/>
              <w:bottom w:val="single" w:color="auto" w:sz="4" w:space="0"/>
              <w:right w:val="single" w:color="auto" w:sz="4" w:space="0"/>
            </w:tcBorders>
            <w:shd w:val="clear" w:color="000000" w:fill="D9D9D9"/>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Total Annual Estimated Burden</w:t>
            </w:r>
          </w:p>
        </w:tc>
      </w:tr>
      <w:tr w:rsidRPr="00736FF6" w:rsidR="00736FF6" w:rsidTr="00736FF6">
        <w:trPr>
          <w:trHeight w:val="314"/>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Non-Litigation Budget Form</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5000/26</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185</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0.50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93</w:t>
            </w:r>
          </w:p>
        </w:tc>
      </w:tr>
      <w:tr w:rsidRPr="00736FF6" w:rsidR="00736FF6" w:rsidTr="00736FF6">
        <w:trPr>
          <w:trHeight w:val="314"/>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Amended Litigation Budget</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5000/31</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100</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0.50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50</w:t>
            </w:r>
          </w:p>
        </w:tc>
      </w:tr>
      <w:tr w:rsidRPr="00736FF6" w:rsidR="00736FF6" w:rsidTr="00736FF6">
        <w:trPr>
          <w:trHeight w:val="314"/>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Amended Non-Litigation Budget</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5000/33</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50</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0.50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25</w:t>
            </w:r>
          </w:p>
        </w:tc>
      </w:tr>
      <w:tr w:rsidRPr="00736FF6" w:rsidR="00736FF6" w:rsidTr="00736FF6">
        <w:trPr>
          <w:trHeight w:val="314"/>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 xml:space="preserve">Litigation Budget </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5000/35</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100</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0.50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50</w:t>
            </w:r>
          </w:p>
        </w:tc>
      </w:tr>
      <w:tr w:rsidRPr="00736FF6" w:rsidR="00736FF6" w:rsidTr="00736FF6">
        <w:trPr>
          <w:trHeight w:val="344"/>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 xml:space="preserve">Representations and Certifications for Legal Contractors </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5200/01</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60</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0.75</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45</w:t>
            </w:r>
          </w:p>
        </w:tc>
      </w:tr>
      <w:tr w:rsidRPr="00736FF6" w:rsidR="00736FF6" w:rsidTr="00736FF6">
        <w:trPr>
          <w:trHeight w:val="344"/>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Expert Invoice for Fees and Expenses (EIF&amp;E)</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5210/01</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50</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0.50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25</w:t>
            </w:r>
          </w:p>
        </w:tc>
      </w:tr>
      <w:tr w:rsidRPr="00736FF6" w:rsidR="00736FF6" w:rsidTr="00736FF6">
        <w:trPr>
          <w:trHeight w:val="344"/>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Legal Support Services (LSS) Provider Invoice for Fees and Expenses (IF&amp;E)</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5210/02</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30</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0.50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15</w:t>
            </w:r>
          </w:p>
        </w:tc>
      </w:tr>
      <w:tr w:rsidRPr="00736FF6" w:rsidR="00736FF6" w:rsidTr="00736FF6">
        <w:trPr>
          <w:trHeight w:val="518"/>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Agreement for Services (Expert/Legal Support Services (LSS) Provider) Amendment</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5210/03</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30</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1.00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30</w:t>
            </w:r>
          </w:p>
        </w:tc>
      </w:tr>
      <w:tr w:rsidRPr="00736FF6" w:rsidR="00736FF6" w:rsidTr="00736FF6">
        <w:trPr>
          <w:trHeight w:val="518"/>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Agreement for Services (Expert/Legal Support Services (LSS) Provider) Rate Schedule </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5210/04</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100</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1.00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100</w:t>
            </w:r>
          </w:p>
        </w:tc>
      </w:tr>
      <w:tr w:rsidRPr="00736FF6" w:rsidR="00736FF6" w:rsidTr="00736FF6">
        <w:trPr>
          <w:trHeight w:val="344"/>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Legal Services Agreement (LSA) Amendment</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5210/06</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50</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1.00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50</w:t>
            </w:r>
          </w:p>
        </w:tc>
      </w:tr>
      <w:tr w:rsidRPr="00736FF6" w:rsidR="00736FF6" w:rsidTr="00736FF6">
        <w:trPr>
          <w:trHeight w:val="314"/>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 xml:space="preserve">Expert budget </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5210/08</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80</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0.50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40</w:t>
            </w:r>
          </w:p>
        </w:tc>
      </w:tr>
      <w:tr w:rsidRPr="00736FF6" w:rsidR="00736FF6" w:rsidTr="00736FF6">
        <w:trPr>
          <w:trHeight w:val="518"/>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Representations and Certifications for Experts and Legal Support Services Providers</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5210/09</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65</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1.00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65</w:t>
            </w:r>
          </w:p>
        </w:tc>
      </w:tr>
      <w:tr w:rsidRPr="00736FF6" w:rsidR="00736FF6" w:rsidTr="00736FF6">
        <w:trPr>
          <w:trHeight w:val="344"/>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Outside Counsel Legal Services Agreement Rate Schedule </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5210/10</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65</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1.00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65</w:t>
            </w:r>
          </w:p>
        </w:tc>
      </w:tr>
      <w:tr w:rsidRPr="00736FF6" w:rsidR="00736FF6" w:rsidTr="00736FF6">
        <w:trPr>
          <w:trHeight w:val="314"/>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Legal Invoice for Fees and Expenses</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5210/11</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100</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1.00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100</w:t>
            </w:r>
          </w:p>
        </w:tc>
      </w:tr>
      <w:tr w:rsidRPr="00736FF6" w:rsidR="00736FF6" w:rsidTr="00736FF6">
        <w:trPr>
          <w:trHeight w:val="314"/>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Firm Travel Voucher </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5210/12</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100</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1.00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100</w:t>
            </w:r>
          </w:p>
        </w:tc>
      </w:tr>
      <w:tr w:rsidRPr="00736FF6" w:rsidR="00736FF6" w:rsidTr="00736FF6">
        <w:trPr>
          <w:trHeight w:val="690"/>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Oral Representations and Certifications for Expert Legal Support Services Telephone Authorization For Expenditures Under $5,000</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5210/14</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50</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0.50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25</w:t>
            </w:r>
          </w:p>
        </w:tc>
      </w:tr>
      <w:tr w:rsidRPr="00736FF6" w:rsidR="00736FF6" w:rsidTr="00736FF6">
        <w:trPr>
          <w:trHeight w:val="344"/>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Legal Support Services (LSS) Provider Budget Form </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5210/15</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25</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0.50</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13</w:t>
            </w:r>
          </w:p>
        </w:tc>
      </w:tr>
      <w:tr w:rsidRPr="00736FF6" w:rsidR="00736FF6" w:rsidTr="00736FF6">
        <w:trPr>
          <w:trHeight w:val="172"/>
        </w:trPr>
        <w:tc>
          <w:tcPr>
            <w:tcW w:w="2744" w:type="dxa"/>
            <w:tcBorders>
              <w:top w:val="nil"/>
              <w:left w:val="single" w:color="auto" w:sz="4" w:space="0"/>
              <w:bottom w:val="single" w:color="auto" w:sz="4" w:space="0"/>
              <w:right w:val="single" w:color="auto" w:sz="4" w:space="0"/>
            </w:tcBorders>
            <w:shd w:val="clear" w:color="auto" w:fill="auto"/>
            <w:vAlign w:val="center"/>
            <w:hideMark/>
          </w:tcPr>
          <w:p w:rsidRPr="00736FF6" w:rsidR="00736FF6" w:rsidP="00736FF6" w:rsidRDefault="00736FF6">
            <w:pPr>
              <w:widowControl/>
              <w:rPr>
                <w:rFonts w:ascii="Times New Roman" w:hAnsi="Times New Roman"/>
                <w:b/>
                <w:bCs/>
                <w:snapToGrid/>
                <w:color w:val="000000"/>
                <w:sz w:val="18"/>
                <w:szCs w:val="18"/>
              </w:rPr>
            </w:pPr>
            <w:r w:rsidRPr="00736FF6">
              <w:rPr>
                <w:rFonts w:ascii="Times New Roman" w:hAnsi="Times New Roman"/>
                <w:b/>
                <w:bCs/>
                <w:snapToGrid/>
                <w:color w:val="000000"/>
                <w:sz w:val="18"/>
                <w:szCs w:val="18"/>
              </w:rPr>
              <w:t>Legal Services Agreement (LSA)</w:t>
            </w:r>
          </w:p>
        </w:tc>
        <w:tc>
          <w:tcPr>
            <w:tcW w:w="1072"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5210/13</w:t>
            </w:r>
          </w:p>
        </w:tc>
        <w:tc>
          <w:tcPr>
            <w:tcW w:w="10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Reporting</w:t>
            </w:r>
          </w:p>
        </w:tc>
        <w:tc>
          <w:tcPr>
            <w:tcW w:w="1103"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8"/>
                <w:szCs w:val="18"/>
              </w:rPr>
            </w:pPr>
            <w:r w:rsidRPr="00736FF6">
              <w:rPr>
                <w:rFonts w:ascii="Times New Roman" w:hAnsi="Times New Roman"/>
                <w:snapToGrid/>
                <w:color w:val="000000"/>
                <w:sz w:val="18"/>
                <w:szCs w:val="18"/>
              </w:rPr>
              <w:t>Mandatory</w:t>
            </w:r>
          </w:p>
        </w:tc>
        <w:tc>
          <w:tcPr>
            <w:tcW w:w="1121"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65</w:t>
            </w:r>
          </w:p>
        </w:tc>
        <w:tc>
          <w:tcPr>
            <w:tcW w:w="97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1</w:t>
            </w:r>
          </w:p>
        </w:tc>
        <w:tc>
          <w:tcPr>
            <w:tcW w:w="92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0.25</w:t>
            </w:r>
          </w:p>
        </w:tc>
        <w:tc>
          <w:tcPr>
            <w:tcW w:w="960"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On Occasion</w:t>
            </w:r>
          </w:p>
        </w:tc>
        <w:tc>
          <w:tcPr>
            <w:tcW w:w="939" w:type="dxa"/>
            <w:tcBorders>
              <w:top w:val="nil"/>
              <w:left w:val="nil"/>
              <w:bottom w:val="single" w:color="auto" w:sz="4" w:space="0"/>
              <w:right w:val="single" w:color="auto" w:sz="4" w:space="0"/>
            </w:tcBorders>
            <w:shd w:val="clear" w:color="auto" w:fill="auto"/>
            <w:vAlign w:val="center"/>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16</w:t>
            </w:r>
          </w:p>
        </w:tc>
      </w:tr>
      <w:tr w:rsidRPr="00736FF6" w:rsidR="00736FF6" w:rsidTr="00736FF6">
        <w:trPr>
          <w:trHeight w:val="156"/>
        </w:trPr>
        <w:tc>
          <w:tcPr>
            <w:tcW w:w="2744" w:type="dxa"/>
            <w:tcBorders>
              <w:top w:val="nil"/>
              <w:left w:val="single" w:color="auto" w:sz="4" w:space="0"/>
              <w:bottom w:val="single" w:color="auto" w:sz="4" w:space="0"/>
              <w:right w:val="single" w:color="auto" w:sz="4" w:space="0"/>
            </w:tcBorders>
            <w:shd w:val="clear" w:color="auto" w:fill="auto"/>
            <w:vAlign w:val="bottom"/>
            <w:hideMark/>
          </w:tcPr>
          <w:p w:rsidRPr="00736FF6" w:rsidR="00736FF6" w:rsidP="00736FF6" w:rsidRDefault="00736FF6">
            <w:pPr>
              <w:widowControl/>
              <w:jc w:val="right"/>
              <w:rPr>
                <w:rFonts w:ascii="Times New Roman" w:hAnsi="Times New Roman"/>
                <w:b/>
                <w:bCs/>
                <w:snapToGrid/>
                <w:color w:val="000000"/>
                <w:sz w:val="16"/>
                <w:szCs w:val="16"/>
              </w:rPr>
            </w:pPr>
            <w:r w:rsidRPr="00736FF6">
              <w:rPr>
                <w:rFonts w:ascii="Times New Roman" w:hAnsi="Times New Roman"/>
                <w:b/>
                <w:bCs/>
                <w:snapToGrid/>
                <w:color w:val="000000"/>
                <w:sz w:val="16"/>
                <w:szCs w:val="16"/>
              </w:rPr>
              <w:t>TOTAL HOURLY BURDEN</w:t>
            </w:r>
          </w:p>
        </w:tc>
        <w:tc>
          <w:tcPr>
            <w:tcW w:w="1072" w:type="dxa"/>
            <w:tcBorders>
              <w:top w:val="nil"/>
              <w:left w:val="nil"/>
              <w:bottom w:val="single" w:color="auto" w:sz="4" w:space="0"/>
              <w:right w:val="single" w:color="auto" w:sz="4" w:space="0"/>
            </w:tcBorders>
            <w:shd w:val="clear" w:color="auto" w:fill="auto"/>
            <w:vAlign w:val="bottom"/>
            <w:hideMark/>
          </w:tcPr>
          <w:p w:rsidRPr="00736FF6" w:rsidR="00736FF6" w:rsidP="00736FF6" w:rsidRDefault="00736FF6">
            <w:pPr>
              <w:widowControl/>
              <w:jc w:val="right"/>
              <w:rPr>
                <w:rFonts w:ascii="Times New Roman" w:hAnsi="Times New Roman"/>
                <w:b/>
                <w:bCs/>
                <w:snapToGrid/>
                <w:color w:val="000000"/>
                <w:sz w:val="16"/>
                <w:szCs w:val="16"/>
              </w:rPr>
            </w:pPr>
            <w:r w:rsidRPr="00736FF6">
              <w:rPr>
                <w:rFonts w:ascii="Times New Roman" w:hAnsi="Times New Roman"/>
                <w:b/>
                <w:bCs/>
                <w:snapToGrid/>
                <w:color w:val="000000"/>
                <w:sz w:val="16"/>
                <w:szCs w:val="16"/>
              </w:rPr>
              <w:t> </w:t>
            </w:r>
          </w:p>
        </w:tc>
        <w:tc>
          <w:tcPr>
            <w:tcW w:w="1029" w:type="dxa"/>
            <w:tcBorders>
              <w:top w:val="nil"/>
              <w:left w:val="nil"/>
              <w:bottom w:val="single" w:color="auto" w:sz="4" w:space="0"/>
              <w:right w:val="single" w:color="auto" w:sz="4" w:space="0"/>
            </w:tcBorders>
            <w:shd w:val="clear" w:color="auto" w:fill="auto"/>
            <w:vAlign w:val="bottom"/>
            <w:hideMark/>
          </w:tcPr>
          <w:p w:rsidRPr="00736FF6" w:rsidR="00736FF6" w:rsidP="00736FF6" w:rsidRDefault="00736FF6">
            <w:pPr>
              <w:widowControl/>
              <w:rPr>
                <w:rFonts w:ascii="Times New Roman" w:hAnsi="Times New Roman"/>
                <w:snapToGrid/>
                <w:color w:val="000000"/>
                <w:sz w:val="16"/>
                <w:szCs w:val="16"/>
              </w:rPr>
            </w:pPr>
            <w:r w:rsidRPr="00736FF6">
              <w:rPr>
                <w:rFonts w:ascii="Times New Roman" w:hAnsi="Times New Roman"/>
                <w:snapToGrid/>
                <w:color w:val="000000"/>
                <w:sz w:val="16"/>
                <w:szCs w:val="16"/>
              </w:rPr>
              <w:t> </w:t>
            </w:r>
          </w:p>
        </w:tc>
        <w:tc>
          <w:tcPr>
            <w:tcW w:w="1103" w:type="dxa"/>
            <w:tcBorders>
              <w:top w:val="nil"/>
              <w:left w:val="nil"/>
              <w:bottom w:val="single" w:color="auto" w:sz="4" w:space="0"/>
              <w:right w:val="single" w:color="auto" w:sz="4" w:space="0"/>
            </w:tcBorders>
            <w:shd w:val="clear" w:color="auto" w:fill="auto"/>
            <w:noWrap/>
            <w:vAlign w:val="bottom"/>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 </w:t>
            </w:r>
          </w:p>
        </w:tc>
        <w:tc>
          <w:tcPr>
            <w:tcW w:w="1121" w:type="dxa"/>
            <w:tcBorders>
              <w:top w:val="nil"/>
              <w:left w:val="nil"/>
              <w:bottom w:val="single" w:color="auto" w:sz="4" w:space="0"/>
              <w:right w:val="single" w:color="auto" w:sz="4" w:space="0"/>
            </w:tcBorders>
            <w:shd w:val="clear" w:color="auto" w:fill="auto"/>
            <w:noWrap/>
            <w:vAlign w:val="bottom"/>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 </w:t>
            </w:r>
          </w:p>
        </w:tc>
        <w:tc>
          <w:tcPr>
            <w:tcW w:w="970" w:type="dxa"/>
            <w:tcBorders>
              <w:top w:val="nil"/>
              <w:left w:val="nil"/>
              <w:bottom w:val="single" w:color="auto" w:sz="4" w:space="0"/>
              <w:right w:val="single" w:color="auto" w:sz="4" w:space="0"/>
            </w:tcBorders>
            <w:shd w:val="clear" w:color="auto" w:fill="auto"/>
            <w:noWrap/>
            <w:vAlign w:val="bottom"/>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 </w:t>
            </w:r>
          </w:p>
        </w:tc>
        <w:tc>
          <w:tcPr>
            <w:tcW w:w="929" w:type="dxa"/>
            <w:tcBorders>
              <w:top w:val="nil"/>
              <w:left w:val="nil"/>
              <w:bottom w:val="single" w:color="auto" w:sz="4" w:space="0"/>
              <w:right w:val="single" w:color="auto" w:sz="4" w:space="0"/>
            </w:tcBorders>
            <w:shd w:val="clear" w:color="auto" w:fill="auto"/>
            <w:noWrap/>
            <w:vAlign w:val="bottom"/>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 </w:t>
            </w:r>
          </w:p>
        </w:tc>
        <w:tc>
          <w:tcPr>
            <w:tcW w:w="960" w:type="dxa"/>
            <w:tcBorders>
              <w:top w:val="nil"/>
              <w:left w:val="nil"/>
              <w:bottom w:val="single" w:color="auto" w:sz="4" w:space="0"/>
              <w:right w:val="single" w:color="auto" w:sz="4" w:space="0"/>
            </w:tcBorders>
            <w:shd w:val="clear" w:color="auto" w:fill="auto"/>
            <w:noWrap/>
            <w:vAlign w:val="bottom"/>
            <w:hideMark/>
          </w:tcPr>
          <w:p w:rsidRPr="00736FF6" w:rsidR="00736FF6" w:rsidP="00736FF6" w:rsidRDefault="00736FF6">
            <w:pPr>
              <w:widowControl/>
              <w:jc w:val="center"/>
              <w:rPr>
                <w:rFonts w:ascii="Times New Roman" w:hAnsi="Times New Roman"/>
                <w:snapToGrid/>
                <w:color w:val="000000"/>
                <w:sz w:val="16"/>
                <w:szCs w:val="16"/>
              </w:rPr>
            </w:pPr>
            <w:r w:rsidRPr="00736FF6">
              <w:rPr>
                <w:rFonts w:ascii="Times New Roman" w:hAnsi="Times New Roman"/>
                <w:snapToGrid/>
                <w:color w:val="000000"/>
                <w:sz w:val="16"/>
                <w:szCs w:val="16"/>
              </w:rPr>
              <w:t> </w:t>
            </w:r>
          </w:p>
        </w:tc>
        <w:tc>
          <w:tcPr>
            <w:tcW w:w="939" w:type="dxa"/>
            <w:tcBorders>
              <w:top w:val="nil"/>
              <w:left w:val="nil"/>
              <w:bottom w:val="single" w:color="auto" w:sz="4" w:space="0"/>
              <w:right w:val="single" w:color="auto" w:sz="4" w:space="0"/>
            </w:tcBorders>
            <w:shd w:val="clear" w:color="auto" w:fill="auto"/>
            <w:noWrap/>
            <w:vAlign w:val="bottom"/>
            <w:hideMark/>
          </w:tcPr>
          <w:p w:rsidRPr="00736FF6" w:rsidR="00736FF6" w:rsidP="00736FF6" w:rsidRDefault="00BD2DF7">
            <w:pPr>
              <w:widowControl/>
              <w:jc w:val="center"/>
              <w:rPr>
                <w:rFonts w:ascii="Times New Roman" w:hAnsi="Times New Roman"/>
                <w:snapToGrid/>
                <w:color w:val="000000"/>
                <w:sz w:val="16"/>
                <w:szCs w:val="16"/>
              </w:rPr>
            </w:pPr>
            <w:r>
              <w:rPr>
                <w:rFonts w:ascii="Times New Roman" w:hAnsi="Times New Roman"/>
                <w:snapToGrid/>
                <w:color w:val="000000"/>
                <w:sz w:val="16"/>
                <w:szCs w:val="16"/>
              </w:rPr>
              <w:t>907</w:t>
            </w:r>
          </w:p>
        </w:tc>
      </w:tr>
    </w:tbl>
    <w:p w:rsidR="00AF79FB" w:rsidP="00AF79FB" w:rsidRDefault="00AF79FB">
      <w:pPr>
        <w:ind w:left="1080"/>
        <w:rPr>
          <w:rFonts w:ascii="Times New Roman" w:hAnsi="Times New Roman"/>
          <w:i/>
          <w:szCs w:val="24"/>
        </w:rPr>
      </w:pPr>
      <w:r w:rsidRPr="00AF79FB">
        <w:rPr>
          <w:rFonts w:ascii="Times New Roman" w:hAnsi="Times New Roman"/>
          <w:i/>
          <w:szCs w:val="24"/>
        </w:rPr>
        <w:t>Estimated Annual Burden</w:t>
      </w:r>
    </w:p>
    <w:p w:rsidRPr="006B5B26" w:rsidR="00C96990" w:rsidP="006B5B26" w:rsidRDefault="007E3BBD">
      <w:pPr>
        <w:rPr>
          <w:rFonts w:ascii="Times New Roman" w:hAnsi="Times New Roman"/>
          <w:i/>
        </w:rPr>
      </w:pPr>
      <w:r>
        <w:rPr>
          <w:rFonts w:ascii="Times New Roman" w:hAnsi="Times New Roman"/>
          <w:i/>
        </w:rPr>
        <w:t xml:space="preserve">The estimated </w:t>
      </w:r>
      <w:r w:rsidRPr="00905E1E">
        <w:rPr>
          <w:rFonts w:ascii="Times New Roman" w:hAnsi="Times New Roman"/>
          <w:i/>
        </w:rPr>
        <w:t xml:space="preserve">labor </w:t>
      </w:r>
      <w:r w:rsidRPr="00905E1E" w:rsidR="00905E1E">
        <w:rPr>
          <w:rFonts w:ascii="Times New Roman" w:hAnsi="Times New Roman"/>
          <w:i/>
        </w:rPr>
        <w:t>cost</w:t>
      </w:r>
      <w:r>
        <w:rPr>
          <w:rFonts w:ascii="Times New Roman" w:hAnsi="Times New Roman"/>
          <w:i/>
        </w:rPr>
        <w:t xml:space="preserve"> is calculated as follow:</w:t>
      </w:r>
    </w:p>
    <w:p w:rsidR="007E3BBD" w:rsidP="006B23FE" w:rsidRDefault="007E3BBD">
      <w:pPr>
        <w:rPr>
          <w:rFonts w:ascii="Times New Roman" w:hAnsi="Times New Roman"/>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26"/>
        <w:gridCol w:w="2202"/>
        <w:gridCol w:w="1176"/>
        <w:gridCol w:w="2004"/>
      </w:tblGrid>
      <w:tr w:rsidRPr="00F444C8" w:rsidR="00B35942" w:rsidTr="00FD5E35">
        <w:trPr>
          <w:trHeight w:val="1080"/>
        </w:trPr>
        <w:tc>
          <w:tcPr>
            <w:tcW w:w="4626" w:type="dxa"/>
            <w:shd w:val="clear" w:color="auto" w:fill="D9D9D9"/>
            <w:vAlign w:val="center"/>
          </w:tcPr>
          <w:p w:rsidRPr="00FD5E35" w:rsidR="00B35942" w:rsidP="00CA613E" w:rsidRDefault="00B35942">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FD5E35">
              <w:rPr>
                <w:rFonts w:ascii="Times New Roman" w:hAnsi="Times New Roman"/>
                <w:szCs w:val="24"/>
              </w:rPr>
              <w:t>Estimated Category of Personnel Responsible for Complying with the PRA Burden</w:t>
            </w:r>
          </w:p>
        </w:tc>
        <w:tc>
          <w:tcPr>
            <w:tcW w:w="2202" w:type="dxa"/>
            <w:shd w:val="clear" w:color="auto" w:fill="D9D9D9"/>
            <w:vAlign w:val="center"/>
          </w:tcPr>
          <w:p w:rsidRPr="00FD5E35" w:rsidR="00B35942" w:rsidP="00CA613E" w:rsidRDefault="00B35942">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FD5E35">
              <w:rPr>
                <w:rFonts w:ascii="Times New Roman" w:hAnsi="Times New Roman"/>
                <w:szCs w:val="24"/>
              </w:rPr>
              <w:t>Total Estimated Hourly Compensation</w:t>
            </w:r>
          </w:p>
        </w:tc>
        <w:tc>
          <w:tcPr>
            <w:tcW w:w="1176" w:type="dxa"/>
            <w:shd w:val="clear" w:color="auto" w:fill="D9D9D9"/>
            <w:vAlign w:val="center"/>
          </w:tcPr>
          <w:p w:rsidRPr="00FD5E35" w:rsidR="00B35942" w:rsidP="00CA613E" w:rsidRDefault="00B35942">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FD5E35">
              <w:rPr>
                <w:rFonts w:ascii="Times New Roman" w:hAnsi="Times New Roman"/>
                <w:szCs w:val="24"/>
              </w:rPr>
              <w:t>Estimated Weights</w:t>
            </w:r>
          </w:p>
        </w:tc>
        <w:tc>
          <w:tcPr>
            <w:tcW w:w="2004" w:type="dxa"/>
            <w:shd w:val="clear" w:color="auto" w:fill="D9D9D9"/>
            <w:vAlign w:val="center"/>
          </w:tcPr>
          <w:p w:rsidRPr="00FD5E35" w:rsidR="00B35942" w:rsidP="00CA613E" w:rsidRDefault="00FD5E35">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FD5E35">
              <w:rPr>
                <w:rFonts w:ascii="Times New Roman" w:hAnsi="Times New Roman"/>
                <w:sz w:val="20"/>
              </w:rPr>
              <w:t>Estimated Total Weighted Labor Cost Component</w:t>
            </w:r>
          </w:p>
        </w:tc>
      </w:tr>
      <w:tr w:rsidRPr="00F444C8" w:rsidR="00B35942" w:rsidTr="00FD5E35">
        <w:trPr>
          <w:trHeight w:val="353"/>
        </w:trPr>
        <w:tc>
          <w:tcPr>
            <w:tcW w:w="4626" w:type="dxa"/>
            <w:shd w:val="clear" w:color="auto" w:fill="auto"/>
          </w:tcPr>
          <w:p w:rsidRPr="00FD5E35" w:rsidR="00B35942" w:rsidP="00CA613E" w:rsidRDefault="00B35942">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FD5E35">
              <w:rPr>
                <w:rFonts w:ascii="Times New Roman" w:hAnsi="Times New Roman"/>
                <w:szCs w:val="24"/>
              </w:rPr>
              <w:t>Lawyers **</w:t>
            </w:r>
          </w:p>
        </w:tc>
        <w:tc>
          <w:tcPr>
            <w:tcW w:w="2202" w:type="dxa"/>
            <w:shd w:val="clear" w:color="auto" w:fill="auto"/>
            <w:vAlign w:val="center"/>
          </w:tcPr>
          <w:p w:rsidRPr="00FD5E35" w:rsidR="00B35942" w:rsidP="000D67E2" w:rsidRDefault="00B35942">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Cs w:val="24"/>
              </w:rPr>
            </w:pPr>
            <w:r w:rsidRPr="00FD5E35">
              <w:rPr>
                <w:rFonts w:ascii="Times New Roman" w:hAnsi="Times New Roman"/>
                <w:szCs w:val="24"/>
              </w:rPr>
              <w:t>$</w:t>
            </w:r>
            <w:r w:rsidR="006B5B26">
              <w:rPr>
                <w:rFonts w:ascii="Times New Roman" w:hAnsi="Times New Roman"/>
                <w:szCs w:val="24"/>
              </w:rPr>
              <w:t>1</w:t>
            </w:r>
            <w:r w:rsidR="000D67E2">
              <w:rPr>
                <w:rFonts w:ascii="Times New Roman" w:hAnsi="Times New Roman"/>
                <w:szCs w:val="24"/>
              </w:rPr>
              <w:t>52.94</w:t>
            </w:r>
          </w:p>
        </w:tc>
        <w:tc>
          <w:tcPr>
            <w:tcW w:w="1176" w:type="dxa"/>
            <w:shd w:val="clear" w:color="auto" w:fill="auto"/>
            <w:vAlign w:val="center"/>
          </w:tcPr>
          <w:p w:rsidRPr="00FD5E35" w:rsidR="00B35942" w:rsidP="00CA613E" w:rsidRDefault="00736FF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Cs w:val="24"/>
              </w:rPr>
            </w:pPr>
            <w:r>
              <w:rPr>
                <w:rFonts w:ascii="Times New Roman" w:hAnsi="Times New Roman"/>
                <w:szCs w:val="24"/>
              </w:rPr>
              <w:t>5</w:t>
            </w:r>
            <w:r w:rsidR="006B5B26">
              <w:rPr>
                <w:rFonts w:ascii="Times New Roman" w:hAnsi="Times New Roman"/>
                <w:szCs w:val="24"/>
              </w:rPr>
              <w:t>0</w:t>
            </w:r>
            <w:r w:rsidRPr="00FD5E35" w:rsidR="00B35942">
              <w:rPr>
                <w:rFonts w:ascii="Times New Roman" w:hAnsi="Times New Roman"/>
                <w:szCs w:val="24"/>
              </w:rPr>
              <w:t>%</w:t>
            </w:r>
          </w:p>
        </w:tc>
        <w:tc>
          <w:tcPr>
            <w:tcW w:w="2004" w:type="dxa"/>
            <w:shd w:val="clear" w:color="auto" w:fill="auto"/>
            <w:vAlign w:val="center"/>
          </w:tcPr>
          <w:p w:rsidRPr="00F444C8" w:rsidR="00B35942" w:rsidP="00736FF6" w:rsidRDefault="00B35942">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0"/>
              </w:rPr>
            </w:pPr>
            <w:r w:rsidRPr="00F444C8">
              <w:rPr>
                <w:rFonts w:ascii="Times New Roman" w:hAnsi="Times New Roman"/>
                <w:sz w:val="20"/>
              </w:rPr>
              <w:t>$</w:t>
            </w:r>
            <w:r w:rsidR="00736FF6">
              <w:rPr>
                <w:rFonts w:ascii="Times New Roman" w:hAnsi="Times New Roman"/>
                <w:sz w:val="20"/>
              </w:rPr>
              <w:t>76.47</w:t>
            </w:r>
          </w:p>
        </w:tc>
      </w:tr>
      <w:tr w:rsidRPr="00F444C8" w:rsidR="00B35942" w:rsidTr="00FD5E35">
        <w:trPr>
          <w:trHeight w:val="353"/>
        </w:trPr>
        <w:tc>
          <w:tcPr>
            <w:tcW w:w="4626" w:type="dxa"/>
            <w:tcBorders>
              <w:bottom w:val="single" w:color="auto" w:sz="4" w:space="0"/>
            </w:tcBorders>
            <w:shd w:val="clear" w:color="auto" w:fill="auto"/>
          </w:tcPr>
          <w:p w:rsidRPr="00FD5E35" w:rsidR="00B35942" w:rsidP="00CA613E" w:rsidRDefault="00B35942">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FD5E35">
              <w:rPr>
                <w:rFonts w:ascii="Times New Roman" w:hAnsi="Times New Roman"/>
                <w:szCs w:val="24"/>
              </w:rPr>
              <w:t>Clerical ‡</w:t>
            </w:r>
          </w:p>
        </w:tc>
        <w:tc>
          <w:tcPr>
            <w:tcW w:w="2202" w:type="dxa"/>
            <w:tcBorders>
              <w:bottom w:val="single" w:color="auto" w:sz="4" w:space="0"/>
            </w:tcBorders>
            <w:shd w:val="clear" w:color="auto" w:fill="auto"/>
            <w:vAlign w:val="center"/>
          </w:tcPr>
          <w:p w:rsidRPr="00FD5E35" w:rsidR="00B35942" w:rsidP="00736FF6" w:rsidRDefault="00FD5E35">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Cs w:val="24"/>
              </w:rPr>
            </w:pPr>
            <w:r w:rsidRPr="00FD5E35">
              <w:rPr>
                <w:rFonts w:ascii="Times New Roman" w:hAnsi="Times New Roman"/>
                <w:szCs w:val="24"/>
              </w:rPr>
              <w:t>$</w:t>
            </w:r>
            <w:r w:rsidR="00736FF6">
              <w:rPr>
                <w:rFonts w:ascii="Times New Roman" w:hAnsi="Times New Roman"/>
                <w:szCs w:val="24"/>
              </w:rPr>
              <w:t>32.19</w:t>
            </w:r>
          </w:p>
        </w:tc>
        <w:tc>
          <w:tcPr>
            <w:tcW w:w="1176" w:type="dxa"/>
            <w:tcBorders>
              <w:bottom w:val="single" w:color="auto" w:sz="4" w:space="0"/>
            </w:tcBorders>
            <w:shd w:val="clear" w:color="auto" w:fill="auto"/>
            <w:vAlign w:val="center"/>
          </w:tcPr>
          <w:p w:rsidRPr="00FD5E35" w:rsidR="00B35942" w:rsidP="00CA613E" w:rsidRDefault="00736FF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Cs w:val="24"/>
              </w:rPr>
            </w:pPr>
            <w:r>
              <w:rPr>
                <w:rFonts w:ascii="Times New Roman" w:hAnsi="Times New Roman"/>
                <w:szCs w:val="24"/>
              </w:rPr>
              <w:t>5</w:t>
            </w:r>
            <w:r w:rsidR="006B5B26">
              <w:rPr>
                <w:rFonts w:ascii="Times New Roman" w:hAnsi="Times New Roman"/>
                <w:szCs w:val="24"/>
              </w:rPr>
              <w:t>0</w:t>
            </w:r>
            <w:r w:rsidRPr="00FD5E35" w:rsidR="00FD5E35">
              <w:rPr>
                <w:rFonts w:ascii="Times New Roman" w:hAnsi="Times New Roman"/>
                <w:szCs w:val="24"/>
              </w:rPr>
              <w:t>%</w:t>
            </w:r>
          </w:p>
        </w:tc>
        <w:tc>
          <w:tcPr>
            <w:tcW w:w="2004" w:type="dxa"/>
            <w:tcBorders>
              <w:bottom w:val="single" w:color="auto" w:sz="4" w:space="0"/>
            </w:tcBorders>
            <w:shd w:val="clear" w:color="auto" w:fill="auto"/>
            <w:vAlign w:val="center"/>
          </w:tcPr>
          <w:p w:rsidRPr="00F444C8" w:rsidR="00B35942" w:rsidP="00736FF6" w:rsidRDefault="00FD5E35">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0"/>
              </w:rPr>
            </w:pPr>
            <w:r>
              <w:rPr>
                <w:rFonts w:ascii="Times New Roman" w:hAnsi="Times New Roman"/>
                <w:sz w:val="20"/>
              </w:rPr>
              <w:t>$</w:t>
            </w:r>
            <w:r w:rsidR="00736FF6">
              <w:rPr>
                <w:rFonts w:ascii="Times New Roman" w:hAnsi="Times New Roman"/>
                <w:sz w:val="20"/>
              </w:rPr>
              <w:t>16.10</w:t>
            </w:r>
          </w:p>
        </w:tc>
      </w:tr>
      <w:tr w:rsidRPr="00F444C8" w:rsidR="00B35942" w:rsidTr="00281F97">
        <w:trPr>
          <w:trHeight w:val="377"/>
        </w:trPr>
        <w:tc>
          <w:tcPr>
            <w:tcW w:w="4626" w:type="dxa"/>
            <w:shd w:val="clear" w:color="auto" w:fill="D9D9D9"/>
          </w:tcPr>
          <w:p w:rsidRPr="00FD5E35" w:rsidR="00B35942" w:rsidP="00CA613E" w:rsidRDefault="00B35942">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FD5E35">
              <w:rPr>
                <w:rFonts w:ascii="Times New Roman" w:hAnsi="Times New Roman"/>
                <w:szCs w:val="24"/>
              </w:rPr>
              <w:t>T</w:t>
            </w:r>
            <w:r w:rsidRPr="00FD5E35" w:rsidR="00FD5E35">
              <w:rPr>
                <w:rFonts w:ascii="Times New Roman" w:hAnsi="Times New Roman"/>
                <w:szCs w:val="24"/>
              </w:rPr>
              <w:t xml:space="preserve">otal </w:t>
            </w:r>
            <w:r w:rsidRPr="00FD5E35">
              <w:rPr>
                <w:rFonts w:ascii="Times New Roman" w:hAnsi="Times New Roman"/>
                <w:szCs w:val="24"/>
              </w:rPr>
              <w:t>Estimated Weighted Average Hourly Compensation Rate</w:t>
            </w:r>
          </w:p>
        </w:tc>
        <w:tc>
          <w:tcPr>
            <w:tcW w:w="2202" w:type="dxa"/>
            <w:shd w:val="clear" w:color="auto" w:fill="D9D9D9"/>
            <w:vAlign w:val="center"/>
          </w:tcPr>
          <w:p w:rsidRPr="00FD5E35" w:rsidR="00B35942" w:rsidP="00CA613E" w:rsidRDefault="00B35942">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Cs w:val="24"/>
              </w:rPr>
            </w:pPr>
          </w:p>
        </w:tc>
        <w:tc>
          <w:tcPr>
            <w:tcW w:w="1176" w:type="dxa"/>
            <w:shd w:val="clear" w:color="auto" w:fill="D9D9D9"/>
            <w:vAlign w:val="center"/>
          </w:tcPr>
          <w:p w:rsidRPr="00FD5E35" w:rsidR="00B35942" w:rsidP="00CA613E" w:rsidRDefault="00B35942">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Cs w:val="24"/>
              </w:rPr>
            </w:pPr>
            <w:r w:rsidRPr="00FD5E35">
              <w:rPr>
                <w:rFonts w:ascii="Times New Roman" w:hAnsi="Times New Roman"/>
                <w:szCs w:val="24"/>
              </w:rPr>
              <w:t>100%</w:t>
            </w:r>
          </w:p>
        </w:tc>
        <w:tc>
          <w:tcPr>
            <w:tcW w:w="2004" w:type="dxa"/>
            <w:shd w:val="clear" w:color="auto" w:fill="D9D9D9"/>
            <w:vAlign w:val="center"/>
          </w:tcPr>
          <w:p w:rsidRPr="00F444C8" w:rsidR="00B35942" w:rsidP="00736FF6" w:rsidRDefault="00B35942">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F444C8">
              <w:rPr>
                <w:rFonts w:ascii="Times New Roman" w:hAnsi="Times New Roman"/>
                <w:sz w:val="22"/>
                <w:szCs w:val="22"/>
              </w:rPr>
              <w:t>$</w:t>
            </w:r>
            <w:r w:rsidR="00736FF6">
              <w:rPr>
                <w:rFonts w:ascii="Times New Roman" w:hAnsi="Times New Roman"/>
                <w:sz w:val="22"/>
                <w:szCs w:val="22"/>
              </w:rPr>
              <w:t>92.57</w:t>
            </w:r>
          </w:p>
        </w:tc>
      </w:tr>
    </w:tbl>
    <w:p w:rsidRPr="00736FF6" w:rsidR="00736FF6" w:rsidP="00736FF6" w:rsidRDefault="00736FF6">
      <w:pPr>
        <w:widowControl/>
        <w:tabs>
          <w:tab w:val="left" w:pos="1440"/>
          <w:tab w:val="left" w:pos="5040"/>
        </w:tabs>
        <w:rPr>
          <w:rFonts w:ascii="Times New Roman" w:hAnsi="Times New Roman"/>
          <w:snapToGrid/>
          <w:sz w:val="20"/>
        </w:rPr>
      </w:pPr>
      <w:r w:rsidRPr="00736FF6">
        <w:rPr>
          <w:rFonts w:ascii="Times New Roman" w:hAnsi="Times New Roman"/>
          <w:snapToGrid/>
          <w:sz w:val="20"/>
        </w:rPr>
        <w:t>Source: Bureau of Labor Statistics: "National Industry-Specific Occupational Employment and Wage Estimates: Depository Credit Intermediation Sector" (May 2018), Employer Cost of Employee Compensation (June 2019), Consumer Price Index (June 2019).</w:t>
      </w:r>
    </w:p>
    <w:p w:rsidRPr="00790D1D" w:rsidR="00F115F5" w:rsidP="00FD5E35" w:rsidRDefault="00F115F5">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990"/>
        <w:jc w:val="both"/>
        <w:rPr>
          <w:rFonts w:ascii="Times New Roman" w:hAnsi="Times New Roman"/>
          <w:sz w:val="18"/>
          <w:szCs w:val="18"/>
        </w:rPr>
      </w:pPr>
    </w:p>
    <w:p w:rsidR="00FD5E35" w:rsidP="00FD5E35" w:rsidRDefault="00FD5E35">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096835">
        <w:rPr>
          <w:rFonts w:ascii="Times New Roman" w:hAnsi="Times New Roman"/>
          <w:sz w:val="20"/>
        </w:rPr>
        <w:t>** Occupation (SOC Code): Lawyers, Judges, and Related Workers</w:t>
      </w:r>
      <w:r>
        <w:rPr>
          <w:rFonts w:ascii="Times New Roman" w:hAnsi="Times New Roman"/>
          <w:sz w:val="20"/>
        </w:rPr>
        <w:t xml:space="preserve"> </w:t>
      </w:r>
      <w:r w:rsidRPr="00096835">
        <w:rPr>
          <w:rFonts w:ascii="Times New Roman" w:hAnsi="Times New Roman"/>
          <w:sz w:val="20"/>
        </w:rPr>
        <w:t>(231000)</w:t>
      </w:r>
    </w:p>
    <w:p w:rsidRPr="00096835" w:rsidR="00FD5E35" w:rsidP="00FD5E35" w:rsidRDefault="00FD5E35">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096835">
        <w:rPr>
          <w:rFonts w:ascii="Times New Roman" w:hAnsi="Times New Roman"/>
          <w:sz w:val="20"/>
        </w:rPr>
        <w:t>‡   Occupation (SOC Code): Office and Administrative Support Occupations</w:t>
      </w:r>
      <w:r>
        <w:rPr>
          <w:rFonts w:ascii="Times New Roman" w:hAnsi="Times New Roman"/>
          <w:sz w:val="20"/>
        </w:rPr>
        <w:t xml:space="preserve"> </w:t>
      </w:r>
      <w:r w:rsidRPr="00096835">
        <w:rPr>
          <w:rFonts w:ascii="Times New Roman" w:hAnsi="Times New Roman"/>
          <w:sz w:val="20"/>
        </w:rPr>
        <w:t>(430000)</w:t>
      </w:r>
    </w:p>
    <w:p w:rsidR="002847B4" w:rsidP="006B23FE" w:rsidRDefault="002847B4">
      <w:pPr>
        <w:pStyle w:val="CommentText"/>
        <w:rPr>
          <w:rStyle w:val="documentbody1"/>
          <w:color w:val="000000"/>
          <w:sz w:val="24"/>
          <w:szCs w:val="24"/>
          <w:u w:val="single"/>
        </w:rPr>
      </w:pPr>
    </w:p>
    <w:p w:rsidR="00C96990" w:rsidP="006B23FE" w:rsidRDefault="006B23FE">
      <w:pPr>
        <w:rPr>
          <w:rFonts w:ascii="Times New Roman" w:hAnsi="Times New Roman"/>
        </w:rPr>
      </w:pPr>
      <w:r>
        <w:rPr>
          <w:rFonts w:ascii="Times New Roman" w:hAnsi="Times New Roman"/>
        </w:rPr>
        <w:t xml:space="preserve">The dollar value of the </w:t>
      </w:r>
      <w:r w:rsidR="00BD2DF7">
        <w:rPr>
          <w:rFonts w:ascii="Times New Roman" w:hAnsi="Times New Roman"/>
        </w:rPr>
        <w:t>907</w:t>
      </w:r>
      <w:r w:rsidR="000D67E2">
        <w:rPr>
          <w:rFonts w:ascii="Times New Roman" w:hAnsi="Times New Roman"/>
        </w:rPr>
        <w:t xml:space="preserve"> </w:t>
      </w:r>
      <w:r>
        <w:rPr>
          <w:rFonts w:ascii="Times New Roman" w:hAnsi="Times New Roman"/>
        </w:rPr>
        <w:t>hours of total estimated annual burden is $</w:t>
      </w:r>
      <w:r w:rsidR="00736FF6">
        <w:rPr>
          <w:rFonts w:ascii="Times New Roman" w:hAnsi="Times New Roman"/>
        </w:rPr>
        <w:t>83,</w:t>
      </w:r>
      <w:r w:rsidR="00BD2DF7">
        <w:rPr>
          <w:rFonts w:ascii="Times New Roman" w:hAnsi="Times New Roman"/>
        </w:rPr>
        <w:t>960.99</w:t>
      </w:r>
      <w:r>
        <w:rPr>
          <w:rFonts w:ascii="Times New Roman" w:hAnsi="Times New Roman"/>
        </w:rPr>
        <w:t xml:space="preserve"> (</w:t>
      </w:r>
      <w:r w:rsidR="00BD2DF7">
        <w:rPr>
          <w:rFonts w:ascii="Times New Roman" w:hAnsi="Times New Roman"/>
        </w:rPr>
        <w:t>907</w:t>
      </w:r>
      <w:r w:rsidR="00736FF6">
        <w:rPr>
          <w:rFonts w:ascii="Times New Roman" w:hAnsi="Times New Roman"/>
        </w:rPr>
        <w:t xml:space="preserve"> </w:t>
      </w:r>
      <w:proofErr w:type="gramStart"/>
      <w:r w:rsidRPr="00635FAE" w:rsidR="00C96990">
        <w:rPr>
          <w:rFonts w:ascii="Times New Roman" w:hAnsi="Times New Roman"/>
        </w:rPr>
        <w:t>hours</w:t>
      </w:r>
      <w:proofErr w:type="gramEnd"/>
      <w:r w:rsidRPr="00635FAE" w:rsidR="00C96990">
        <w:rPr>
          <w:rFonts w:ascii="Times New Roman" w:hAnsi="Times New Roman"/>
        </w:rPr>
        <w:t xml:space="preserve"> x $</w:t>
      </w:r>
      <w:r w:rsidR="00736FF6">
        <w:rPr>
          <w:rFonts w:ascii="Times New Roman" w:hAnsi="Times New Roman"/>
        </w:rPr>
        <w:t>92.57</w:t>
      </w:r>
      <w:r>
        <w:rPr>
          <w:rFonts w:ascii="Times New Roman" w:hAnsi="Times New Roman"/>
        </w:rPr>
        <w:t>).</w:t>
      </w:r>
    </w:p>
    <w:p w:rsidRPr="00BA19E0" w:rsidR="002847B4" w:rsidP="00736FF6" w:rsidRDefault="002847B4">
      <w:pPr>
        <w:pStyle w:val="CommentText"/>
        <w:rPr>
          <w:rStyle w:val="documentbody1"/>
          <w:color w:val="000000"/>
          <w:sz w:val="24"/>
          <w:szCs w:val="24"/>
          <w:u w:val="single"/>
        </w:rPr>
      </w:pPr>
    </w:p>
    <w:p w:rsidRPr="001F2A5D" w:rsidR="009F4532" w:rsidP="00EA72EA" w:rsidRDefault="009F4532">
      <w:pPr>
        <w:numPr>
          <w:ilvl w:val="0"/>
          <w:numId w:val="11"/>
        </w:numPr>
        <w:outlineLvl w:val="0"/>
        <w:rPr>
          <w:rFonts w:ascii="Times New Roman" w:hAnsi="Times New Roman"/>
          <w:szCs w:val="24"/>
          <w:u w:val="single"/>
        </w:rPr>
      </w:pPr>
      <w:r w:rsidRPr="009E60FB">
        <w:rPr>
          <w:rFonts w:ascii="Times New Roman" w:hAnsi="Times New Roman"/>
          <w:bCs/>
          <w:szCs w:val="24"/>
          <w:u w:val="single"/>
        </w:rPr>
        <w:t>Estimate of start-up costs to respondents:</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 xml:space="preserve">None. </w:t>
      </w:r>
    </w:p>
    <w:p w:rsidR="00731A90" w:rsidRDefault="00731A90">
      <w:pPr>
        <w:rPr>
          <w:rFonts w:ascii="Times New Roman" w:hAnsi="Times New Roman"/>
        </w:rPr>
      </w:pPr>
    </w:p>
    <w:p w:rsidR="00731A90" w:rsidP="00EA72EA" w:rsidRDefault="009F4532">
      <w:pPr>
        <w:numPr>
          <w:ilvl w:val="0"/>
          <w:numId w:val="11"/>
        </w:numPr>
        <w:rPr>
          <w:rFonts w:ascii="Times New Roman" w:hAnsi="Times New Roman"/>
          <w:bCs/>
          <w:szCs w:val="24"/>
          <w:u w:val="single"/>
        </w:rPr>
      </w:pPr>
      <w:r w:rsidRPr="009E60FB">
        <w:rPr>
          <w:rFonts w:ascii="Times New Roman" w:hAnsi="Times New Roman"/>
          <w:bCs/>
          <w:szCs w:val="24"/>
          <w:u w:val="single"/>
        </w:rPr>
        <w:t>Estimate of annualized costs to the government:</w:t>
      </w:r>
    </w:p>
    <w:p w:rsidR="009F4532" w:rsidP="009F4532" w:rsidRDefault="009F4532">
      <w:pPr>
        <w:ind w:firstLine="720"/>
        <w:rPr>
          <w:rFonts w:ascii="Times New Roman" w:hAnsi="Times New Roman"/>
        </w:rPr>
      </w:pPr>
    </w:p>
    <w:p w:rsidR="007E3A41" w:rsidP="007E3A41" w:rsidRDefault="007E3A41">
      <w:pPr>
        <w:ind w:left="720" w:firstLine="720"/>
        <w:rPr>
          <w:rFonts w:ascii="Times New Roman" w:hAnsi="Times New Roman"/>
        </w:rPr>
      </w:pPr>
      <w:r>
        <w:rPr>
          <w:rFonts w:ascii="Times New Roman" w:hAnsi="Times New Roman"/>
        </w:rPr>
        <w:t>None</w:t>
      </w:r>
    </w:p>
    <w:p w:rsidR="002616EA" w:rsidP="002616EA" w:rsidRDefault="002616EA">
      <w:pPr>
        <w:rPr>
          <w:rFonts w:ascii="Times New Roman" w:hAnsi="Times New Roman"/>
        </w:rPr>
      </w:pPr>
    </w:p>
    <w:p w:rsidRPr="001F2A5D" w:rsidR="009F4532" w:rsidP="00EA72EA" w:rsidRDefault="009F4532">
      <w:pPr>
        <w:numPr>
          <w:ilvl w:val="0"/>
          <w:numId w:val="11"/>
        </w:numPr>
        <w:outlineLvl w:val="0"/>
        <w:rPr>
          <w:rFonts w:ascii="Times New Roman" w:hAnsi="Times New Roman"/>
          <w:szCs w:val="24"/>
        </w:rPr>
      </w:pPr>
      <w:r w:rsidRPr="009E60FB">
        <w:rPr>
          <w:rFonts w:ascii="Times New Roman" w:hAnsi="Times New Roman"/>
          <w:szCs w:val="24"/>
          <w:u w:val="single"/>
        </w:rPr>
        <w:t>Analysis of change in burden:</w:t>
      </w:r>
    </w:p>
    <w:p w:rsidR="00731A90" w:rsidRDefault="00731A90">
      <w:pPr>
        <w:ind w:firstLine="720"/>
        <w:rPr>
          <w:rFonts w:ascii="Times New Roman" w:hAnsi="Times New Roman"/>
        </w:rPr>
      </w:pPr>
    </w:p>
    <w:p w:rsidR="00603AE5" w:rsidP="00603AE5" w:rsidRDefault="00CA0749">
      <w:pPr>
        <w:ind w:left="1440"/>
        <w:rPr>
          <w:rFonts w:ascii="Times New Roman" w:hAnsi="Times New Roman"/>
          <w:snapToGrid/>
          <w:szCs w:val="24"/>
        </w:rPr>
      </w:pPr>
      <w:r w:rsidRPr="00462D56">
        <w:rPr>
          <w:rFonts w:ascii="Times New Roman" w:hAnsi="Times New Roman"/>
          <w:szCs w:val="24"/>
        </w:rPr>
        <w:t>There</w:t>
      </w:r>
      <w:r w:rsidRPr="00462D56">
        <w:rPr>
          <w:rFonts w:ascii="Times New Roman" w:hAnsi="Times New Roman"/>
          <w:spacing w:val="-6"/>
          <w:szCs w:val="24"/>
        </w:rPr>
        <w:t xml:space="preserve"> </w:t>
      </w:r>
      <w:r w:rsidRPr="00462D56">
        <w:rPr>
          <w:rFonts w:ascii="Times New Roman" w:hAnsi="Times New Roman"/>
          <w:szCs w:val="24"/>
        </w:rPr>
        <w:t>is no change</w:t>
      </w:r>
      <w:r w:rsidRPr="00462D56">
        <w:rPr>
          <w:rFonts w:ascii="Times New Roman" w:hAnsi="Times New Roman"/>
          <w:spacing w:val="-7"/>
          <w:szCs w:val="24"/>
        </w:rPr>
        <w:t xml:space="preserve"> </w:t>
      </w:r>
      <w:r w:rsidRPr="00462D56">
        <w:rPr>
          <w:rFonts w:ascii="Times New Roman" w:hAnsi="Times New Roman"/>
          <w:szCs w:val="24"/>
        </w:rPr>
        <w:t>in</w:t>
      </w:r>
      <w:r w:rsidRPr="00462D56">
        <w:rPr>
          <w:rFonts w:ascii="Times New Roman" w:hAnsi="Times New Roman"/>
          <w:spacing w:val="-2"/>
          <w:szCs w:val="24"/>
        </w:rPr>
        <w:t xml:space="preserve"> </w:t>
      </w:r>
      <w:r w:rsidRPr="00462D56">
        <w:rPr>
          <w:rFonts w:ascii="Times New Roman" w:hAnsi="Times New Roman"/>
          <w:szCs w:val="24"/>
        </w:rPr>
        <w:t>the</w:t>
      </w:r>
      <w:r w:rsidRPr="00462D56">
        <w:rPr>
          <w:rFonts w:ascii="Times New Roman" w:hAnsi="Times New Roman"/>
          <w:spacing w:val="-3"/>
          <w:szCs w:val="24"/>
        </w:rPr>
        <w:t xml:space="preserve"> </w:t>
      </w:r>
      <w:r w:rsidRPr="00462D56">
        <w:rPr>
          <w:rFonts w:ascii="Times New Roman" w:hAnsi="Times New Roman"/>
          <w:spacing w:val="-2"/>
          <w:szCs w:val="24"/>
        </w:rPr>
        <w:t>m</w:t>
      </w:r>
      <w:r w:rsidRPr="00462D56">
        <w:rPr>
          <w:rFonts w:ascii="Times New Roman" w:hAnsi="Times New Roman"/>
          <w:szCs w:val="24"/>
        </w:rPr>
        <w:t>ethod</w:t>
      </w:r>
      <w:r w:rsidRPr="00462D56">
        <w:rPr>
          <w:rFonts w:ascii="Times New Roman" w:hAnsi="Times New Roman"/>
          <w:spacing w:val="-7"/>
          <w:szCs w:val="24"/>
        </w:rPr>
        <w:t xml:space="preserve"> </w:t>
      </w:r>
      <w:r w:rsidRPr="00462D56">
        <w:rPr>
          <w:rFonts w:ascii="Times New Roman" w:hAnsi="Times New Roman"/>
          <w:szCs w:val="24"/>
        </w:rPr>
        <w:t>or substance</w:t>
      </w:r>
      <w:r w:rsidRPr="00462D56">
        <w:rPr>
          <w:rFonts w:ascii="Times New Roman" w:hAnsi="Times New Roman"/>
          <w:spacing w:val="-9"/>
          <w:szCs w:val="24"/>
        </w:rPr>
        <w:t xml:space="preserve"> </w:t>
      </w:r>
      <w:r w:rsidRPr="00462D56">
        <w:rPr>
          <w:rFonts w:ascii="Times New Roman" w:hAnsi="Times New Roman"/>
          <w:szCs w:val="24"/>
        </w:rPr>
        <w:t>of the</w:t>
      </w:r>
      <w:r w:rsidRPr="00462D56">
        <w:rPr>
          <w:rFonts w:ascii="Times New Roman" w:hAnsi="Times New Roman"/>
          <w:spacing w:val="-3"/>
          <w:szCs w:val="24"/>
        </w:rPr>
        <w:t xml:space="preserve"> </w:t>
      </w:r>
      <w:r w:rsidRPr="00462D56">
        <w:rPr>
          <w:rFonts w:ascii="Times New Roman" w:hAnsi="Times New Roman"/>
          <w:szCs w:val="24"/>
        </w:rPr>
        <w:t xml:space="preserve">collection.  </w:t>
      </w:r>
      <w:r w:rsidRPr="00462D56" w:rsidR="00D1076C">
        <w:rPr>
          <w:rFonts w:ascii="Times New Roman" w:hAnsi="Times New Roman"/>
          <w:snapToGrid/>
          <w:szCs w:val="24"/>
        </w:rPr>
        <w:t xml:space="preserve">The hour burden has </w:t>
      </w:r>
      <w:r w:rsidR="00B17C0A">
        <w:rPr>
          <w:rFonts w:ascii="Times New Roman" w:hAnsi="Times New Roman"/>
          <w:snapToGrid/>
          <w:szCs w:val="24"/>
        </w:rPr>
        <w:t>decreased</w:t>
      </w:r>
      <w:r w:rsidRPr="00462D56" w:rsidR="00D1076C">
        <w:rPr>
          <w:rFonts w:ascii="Times New Roman" w:hAnsi="Times New Roman"/>
          <w:snapToGrid/>
          <w:szCs w:val="24"/>
        </w:rPr>
        <w:t xml:space="preserve"> by </w:t>
      </w:r>
      <w:r w:rsidRPr="00462D56" w:rsidR="00462D56">
        <w:rPr>
          <w:rFonts w:ascii="Times New Roman" w:hAnsi="Times New Roman"/>
          <w:snapToGrid/>
          <w:szCs w:val="24"/>
        </w:rPr>
        <w:t>1,</w:t>
      </w:r>
      <w:r w:rsidR="00B17C0A">
        <w:rPr>
          <w:rFonts w:ascii="Times New Roman" w:hAnsi="Times New Roman"/>
          <w:snapToGrid/>
          <w:szCs w:val="24"/>
        </w:rPr>
        <w:t>828</w:t>
      </w:r>
      <w:r w:rsidRPr="00462D56" w:rsidR="00D1076C">
        <w:rPr>
          <w:rFonts w:ascii="Times New Roman" w:hAnsi="Times New Roman"/>
          <w:snapToGrid/>
          <w:szCs w:val="24"/>
        </w:rPr>
        <w:t xml:space="preserve"> </w:t>
      </w:r>
      <w:r w:rsidR="00370F7D">
        <w:rPr>
          <w:rFonts w:ascii="Times New Roman" w:hAnsi="Times New Roman"/>
          <w:snapToGrid/>
          <w:szCs w:val="24"/>
        </w:rPr>
        <w:t>hours from 2,735 hours to 907 hours.  The change is due to a decrease in the estimated number of respondents.</w:t>
      </w:r>
      <w:bookmarkStart w:name="_GoBack" w:id="0"/>
      <w:bookmarkEnd w:id="0"/>
    </w:p>
    <w:p w:rsidR="00370F7D" w:rsidP="00603AE5" w:rsidRDefault="00370F7D">
      <w:pPr>
        <w:ind w:left="1440"/>
        <w:rPr>
          <w:rFonts w:ascii="Times New Roman" w:hAnsi="Times New Roman"/>
          <w:snapToGrid/>
          <w:szCs w:val="24"/>
        </w:rPr>
      </w:pPr>
    </w:p>
    <w:p w:rsidR="00370F7D" w:rsidP="00603AE5" w:rsidRDefault="00370F7D">
      <w:pPr>
        <w:ind w:left="1440"/>
        <w:rPr>
          <w:rFonts w:ascii="Times New Roman" w:hAnsi="Times New Roman"/>
        </w:rPr>
      </w:pPr>
    </w:p>
    <w:p w:rsidRPr="001F2A5D" w:rsidR="009F4532" w:rsidP="00EA72EA" w:rsidRDefault="009F4532">
      <w:pPr>
        <w:numPr>
          <w:ilvl w:val="0"/>
          <w:numId w:val="11"/>
        </w:numPr>
        <w:ind w:left="1440" w:hanging="720"/>
        <w:outlineLvl w:val="0"/>
        <w:rPr>
          <w:rFonts w:ascii="Times New Roman" w:hAnsi="Times New Roman"/>
          <w:szCs w:val="24"/>
        </w:rPr>
      </w:pPr>
      <w:r w:rsidRPr="00E47BDF">
        <w:rPr>
          <w:rFonts w:ascii="Times New Roman" w:hAnsi="Times New Roman"/>
          <w:szCs w:val="24"/>
          <w:u w:val="single"/>
        </w:rPr>
        <w:t>Information regarding collections whose results</w:t>
      </w:r>
      <w:r w:rsidRPr="006A7DD6">
        <w:rPr>
          <w:rFonts w:ascii="Times New Roman" w:hAnsi="Times New Roman"/>
          <w:szCs w:val="24"/>
          <w:u w:val="single"/>
        </w:rPr>
        <w:t xml:space="preserve"> are planned to be published for statistical use:</w:t>
      </w:r>
    </w:p>
    <w:p w:rsidR="00731A90" w:rsidRDefault="00731A90">
      <w:pPr>
        <w:rPr>
          <w:rFonts w:ascii="Times New Roman" w:hAnsi="Times New Roman"/>
        </w:rPr>
      </w:pPr>
    </w:p>
    <w:p w:rsidR="00731A90" w:rsidRDefault="00CA0749">
      <w:pPr>
        <w:ind w:left="1440"/>
        <w:rPr>
          <w:rFonts w:ascii="Times New Roman" w:hAnsi="Times New Roman"/>
        </w:rPr>
      </w:pPr>
      <w:r w:rsidRPr="00471381">
        <w:rPr>
          <w:rFonts w:ascii="Times New Roman" w:hAnsi="Times New Roman"/>
        </w:rPr>
        <w:t xml:space="preserve">The </w:t>
      </w:r>
      <w:r>
        <w:rPr>
          <w:rFonts w:ascii="Times New Roman" w:hAnsi="Times New Roman"/>
        </w:rPr>
        <w:t>results of this collection will not be</w:t>
      </w:r>
      <w:r w:rsidRPr="00471381">
        <w:rPr>
          <w:rFonts w:ascii="Times New Roman" w:hAnsi="Times New Roman"/>
        </w:rPr>
        <w:t xml:space="preserve"> publish</w:t>
      </w:r>
      <w:r>
        <w:rPr>
          <w:rFonts w:ascii="Times New Roman" w:hAnsi="Times New Roman"/>
        </w:rPr>
        <w:t>ed</w:t>
      </w:r>
      <w:r w:rsidRPr="00471381">
        <w:rPr>
          <w:rFonts w:ascii="Times New Roman" w:hAnsi="Times New Roman"/>
        </w:rPr>
        <w:t xml:space="preserve"> for statistical use.</w:t>
      </w:r>
    </w:p>
    <w:p w:rsidR="00731A90" w:rsidRDefault="00731A90">
      <w:pPr>
        <w:rPr>
          <w:rFonts w:ascii="Times New Roman" w:hAnsi="Times New Roman"/>
        </w:rPr>
      </w:pPr>
    </w:p>
    <w:p w:rsidR="00731A90" w:rsidP="00EA72EA" w:rsidRDefault="009F4532">
      <w:pPr>
        <w:numPr>
          <w:ilvl w:val="0"/>
          <w:numId w:val="11"/>
        </w:numPr>
        <w:rPr>
          <w:rFonts w:ascii="Times New Roman" w:hAnsi="Times New Roman"/>
        </w:rPr>
      </w:pPr>
      <w:r w:rsidRPr="009E60FB">
        <w:rPr>
          <w:rFonts w:ascii="Times New Roman" w:hAnsi="Times New Roman"/>
          <w:szCs w:val="24"/>
          <w:u w:val="single"/>
        </w:rPr>
        <w:t>Display of expiration date</w:t>
      </w:r>
      <w:r>
        <w:rPr>
          <w:rFonts w:ascii="Times New Roman" w:hAnsi="Times New Roman"/>
          <w:szCs w:val="24"/>
          <w:u w:val="single"/>
        </w:rPr>
        <w:t>:</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Not applicable.</w:t>
      </w:r>
    </w:p>
    <w:p w:rsidR="00603AE5" w:rsidRDefault="00603AE5">
      <w:pPr>
        <w:ind w:left="1440"/>
        <w:rPr>
          <w:rFonts w:ascii="Times New Roman" w:hAnsi="Times New Roman"/>
        </w:rPr>
      </w:pPr>
    </w:p>
    <w:p w:rsidR="00731A90" w:rsidRDefault="00731A90">
      <w:pPr>
        <w:rPr>
          <w:rFonts w:ascii="Times New Roman" w:hAnsi="Times New Roman"/>
        </w:rPr>
      </w:pPr>
    </w:p>
    <w:p w:rsidR="00731A90" w:rsidP="00EA72EA" w:rsidRDefault="00731A90">
      <w:pPr>
        <w:numPr>
          <w:ilvl w:val="0"/>
          <w:numId w:val="11"/>
        </w:numPr>
        <w:rPr>
          <w:rFonts w:ascii="Times New Roman" w:hAnsi="Times New Roman"/>
        </w:rPr>
      </w:pPr>
      <w:r>
        <w:rPr>
          <w:rFonts w:ascii="Times New Roman" w:hAnsi="Times New Roman"/>
          <w:u w:val="single"/>
        </w:rPr>
        <w:t>Exceptions to Certification</w:t>
      </w:r>
      <w:r>
        <w:rPr>
          <w:rFonts w:ascii="Times New Roman" w:hAnsi="Times New Roman"/>
        </w:rPr>
        <w:t xml:space="preserve">  </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None.</w:t>
      </w:r>
    </w:p>
    <w:p w:rsidR="00731A90" w:rsidRDefault="00731A90">
      <w:pPr>
        <w:rPr>
          <w:rFonts w:ascii="Times New Roman" w:hAnsi="Times New Roman"/>
        </w:rPr>
      </w:pPr>
    </w:p>
    <w:p w:rsidR="00731A90" w:rsidRDefault="009F4532">
      <w:pPr>
        <w:numPr>
          <w:ilvl w:val="0"/>
          <w:numId w:val="3"/>
        </w:numPr>
        <w:rPr>
          <w:rFonts w:ascii="Times New Roman" w:hAnsi="Times New Roman"/>
          <w:u w:val="single"/>
        </w:rPr>
      </w:pPr>
      <w:r w:rsidRPr="001F2A5D">
        <w:rPr>
          <w:rFonts w:ascii="Times New Roman" w:hAnsi="Times New Roman"/>
          <w:szCs w:val="24"/>
          <w:u w:val="single"/>
        </w:rPr>
        <w:t>Collection of Information Employing Statistical Methods</w:t>
      </w:r>
      <w:r>
        <w:rPr>
          <w:rFonts w:ascii="Times New Roman" w:hAnsi="Times New Roman"/>
          <w:u w:val="single"/>
        </w:rPr>
        <w:t xml:space="preserve"> </w:t>
      </w:r>
    </w:p>
    <w:p w:rsidR="00731A90" w:rsidRDefault="00731A90">
      <w:pPr>
        <w:rPr>
          <w:rFonts w:ascii="Times New Roman" w:hAnsi="Times New Roman"/>
          <w:u w:val="single"/>
        </w:rPr>
      </w:pPr>
    </w:p>
    <w:p w:rsidR="00731A90" w:rsidRDefault="00731A90">
      <w:pPr>
        <w:ind w:left="720"/>
        <w:rPr>
          <w:rFonts w:ascii="Times New Roman" w:hAnsi="Times New Roman"/>
        </w:rPr>
      </w:pPr>
      <w:r>
        <w:rPr>
          <w:rFonts w:ascii="Times New Roman" w:hAnsi="Times New Roman"/>
        </w:rPr>
        <w:t>Not Applicable</w:t>
      </w:r>
      <w:r w:rsidR="00DB04B6">
        <w:rPr>
          <w:rFonts w:ascii="Times New Roman" w:hAnsi="Times New Roman"/>
        </w:rPr>
        <w:t>.</w:t>
      </w:r>
    </w:p>
    <w:p w:rsidR="00731A90" w:rsidRDefault="00731A90">
      <w:pPr>
        <w:rPr>
          <w:rFonts w:ascii="Times New Roman" w:hAnsi="Times New Roman"/>
        </w:rPr>
      </w:pPr>
    </w:p>
    <w:p w:rsidR="00731A90" w:rsidRDefault="00731A90">
      <w:pPr>
        <w:rPr>
          <w:rFonts w:ascii="Times New Roman" w:hAnsi="Times New Roman"/>
        </w:rPr>
      </w:pPr>
    </w:p>
    <w:p w:rsidR="00731A90" w:rsidRDefault="00731A90">
      <w:pPr>
        <w:rPr>
          <w:rFonts w:ascii="Times New Roman" w:hAnsi="Times New Roman"/>
        </w:rPr>
      </w:pPr>
    </w:p>
    <w:p w:rsidR="00731A90" w:rsidRDefault="00731A90"/>
    <w:sectPr w:rsidR="00731A90" w:rsidSect="00CC299C">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296" w:right="1440" w:bottom="129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4E5" w:rsidRDefault="009D24E5">
      <w:r>
        <w:separator/>
      </w:r>
    </w:p>
  </w:endnote>
  <w:endnote w:type="continuationSeparator" w:id="0">
    <w:p w:rsidR="009D24E5" w:rsidRDefault="009D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TUR">
    <w:altName w:val="Times New Roman"/>
    <w:charset w:val="00"/>
    <w:family w:val="roman"/>
    <w:pitch w:val="variable"/>
    <w:sig w:usb0="00000000"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23" w:rsidRDefault="000C5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33" w:rsidRDefault="00782F33">
    <w:pPr>
      <w:spacing w:line="240" w:lineRule="exact"/>
    </w:pPr>
  </w:p>
  <w:p w:rsidR="00782F33" w:rsidRDefault="00782F3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370F7D">
      <w:rPr>
        <w:rFonts w:ascii="Times New Roman" w:hAnsi="Times New Roman"/>
        <w:noProof/>
      </w:rPr>
      <w:t>5</w:t>
    </w:r>
    <w:r>
      <w:rPr>
        <w:rFonts w:ascii="Times New Roman" w:hAnsi="Times New Roman"/>
      </w:rPr>
      <w:fldChar w:fldCharType="end"/>
    </w:r>
  </w:p>
  <w:p w:rsidR="00782F33" w:rsidRDefault="00782F3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23" w:rsidRDefault="000C5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4E5" w:rsidRDefault="009D24E5">
      <w:r>
        <w:separator/>
      </w:r>
    </w:p>
  </w:footnote>
  <w:footnote w:type="continuationSeparator" w:id="0">
    <w:p w:rsidR="009D24E5" w:rsidRDefault="009D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23" w:rsidRDefault="000C5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23" w:rsidRDefault="000C5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23" w:rsidRDefault="000C5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2" w15:restartNumberingAfterBreak="0">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3" w15:restartNumberingAfterBreak="0">
    <w:nsid w:val="27C30C12"/>
    <w:multiLevelType w:val="hybridMultilevel"/>
    <w:tmpl w:val="66821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192ABB"/>
    <w:multiLevelType w:val="hybridMultilevel"/>
    <w:tmpl w:val="D55E27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D231EC"/>
    <w:multiLevelType w:val="hybridMultilevel"/>
    <w:tmpl w:val="38080B4A"/>
    <w:lvl w:ilvl="0" w:tplc="65583E4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abstractNum w:abstractNumId="8" w15:restartNumberingAfterBreak="0">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B4B3676"/>
    <w:multiLevelType w:val="hybridMultilevel"/>
    <w:tmpl w:val="0C6CEE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D2C5665"/>
    <w:multiLevelType w:val="hybridMultilevel"/>
    <w:tmpl w:val="823CA48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10"/>
  </w:num>
  <w:num w:numId="6">
    <w:abstractNumId w:val="8"/>
  </w:num>
  <w:num w:numId="7">
    <w:abstractNumId w:val="4"/>
  </w:num>
  <w:num w:numId="8">
    <w:abstractNumId w:val="6"/>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A3"/>
    <w:rsid w:val="00005BCF"/>
    <w:rsid w:val="00013A0F"/>
    <w:rsid w:val="00020CDC"/>
    <w:rsid w:val="0003174D"/>
    <w:rsid w:val="000712DC"/>
    <w:rsid w:val="00075303"/>
    <w:rsid w:val="000A65F3"/>
    <w:rsid w:val="000C5523"/>
    <w:rsid w:val="000D67E2"/>
    <w:rsid w:val="000D7176"/>
    <w:rsid w:val="00121C50"/>
    <w:rsid w:val="0013412F"/>
    <w:rsid w:val="001378FD"/>
    <w:rsid w:val="00142214"/>
    <w:rsid w:val="001509ED"/>
    <w:rsid w:val="00173189"/>
    <w:rsid w:val="0018551F"/>
    <w:rsid w:val="00195400"/>
    <w:rsid w:val="001A10B6"/>
    <w:rsid w:val="001C4726"/>
    <w:rsid w:val="001D433C"/>
    <w:rsid w:val="001E004B"/>
    <w:rsid w:val="0024688B"/>
    <w:rsid w:val="002616EA"/>
    <w:rsid w:val="00281F97"/>
    <w:rsid w:val="002847B4"/>
    <w:rsid w:val="002853B0"/>
    <w:rsid w:val="002864BB"/>
    <w:rsid w:val="0029442A"/>
    <w:rsid w:val="002D2C1C"/>
    <w:rsid w:val="002D58BF"/>
    <w:rsid w:val="002F0A91"/>
    <w:rsid w:val="003036FF"/>
    <w:rsid w:val="00324E6B"/>
    <w:rsid w:val="00361E1E"/>
    <w:rsid w:val="00370F7D"/>
    <w:rsid w:val="003A2A04"/>
    <w:rsid w:val="003C37B8"/>
    <w:rsid w:val="003E3253"/>
    <w:rsid w:val="00401A8A"/>
    <w:rsid w:val="00412D5F"/>
    <w:rsid w:val="00414D83"/>
    <w:rsid w:val="00440038"/>
    <w:rsid w:val="00462D56"/>
    <w:rsid w:val="00462F60"/>
    <w:rsid w:val="00497E0B"/>
    <w:rsid w:val="004A4C59"/>
    <w:rsid w:val="004C4367"/>
    <w:rsid w:val="004D1876"/>
    <w:rsid w:val="004D6D84"/>
    <w:rsid w:val="004E7B81"/>
    <w:rsid w:val="004F2F9B"/>
    <w:rsid w:val="00503AAC"/>
    <w:rsid w:val="00565D70"/>
    <w:rsid w:val="00574D7A"/>
    <w:rsid w:val="005D2FE1"/>
    <w:rsid w:val="005E2771"/>
    <w:rsid w:val="005E4AC4"/>
    <w:rsid w:val="005F15BB"/>
    <w:rsid w:val="00603AE5"/>
    <w:rsid w:val="00606638"/>
    <w:rsid w:val="0061500B"/>
    <w:rsid w:val="00652F4C"/>
    <w:rsid w:val="00692309"/>
    <w:rsid w:val="00697A37"/>
    <w:rsid w:val="006A13B2"/>
    <w:rsid w:val="006B23FE"/>
    <w:rsid w:val="006B4247"/>
    <w:rsid w:val="006B5B26"/>
    <w:rsid w:val="006C65B7"/>
    <w:rsid w:val="006E11B2"/>
    <w:rsid w:val="006E670D"/>
    <w:rsid w:val="006F2769"/>
    <w:rsid w:val="00703ECB"/>
    <w:rsid w:val="00723A34"/>
    <w:rsid w:val="00727480"/>
    <w:rsid w:val="00731A90"/>
    <w:rsid w:val="00736FF6"/>
    <w:rsid w:val="00782F33"/>
    <w:rsid w:val="007844D0"/>
    <w:rsid w:val="00784EE8"/>
    <w:rsid w:val="007B274F"/>
    <w:rsid w:val="007C6837"/>
    <w:rsid w:val="007C6F0C"/>
    <w:rsid w:val="007D1404"/>
    <w:rsid w:val="007E3A41"/>
    <w:rsid w:val="007E3BBD"/>
    <w:rsid w:val="007F7BC9"/>
    <w:rsid w:val="00805511"/>
    <w:rsid w:val="00807C1A"/>
    <w:rsid w:val="00817925"/>
    <w:rsid w:val="0086426A"/>
    <w:rsid w:val="00876F23"/>
    <w:rsid w:val="00877FB0"/>
    <w:rsid w:val="008F53AC"/>
    <w:rsid w:val="00905E1E"/>
    <w:rsid w:val="00937193"/>
    <w:rsid w:val="009431C3"/>
    <w:rsid w:val="00967A7E"/>
    <w:rsid w:val="0099128A"/>
    <w:rsid w:val="00994D3E"/>
    <w:rsid w:val="009A329F"/>
    <w:rsid w:val="009A6AB2"/>
    <w:rsid w:val="009B6429"/>
    <w:rsid w:val="009D2490"/>
    <w:rsid w:val="009D24E5"/>
    <w:rsid w:val="009F4532"/>
    <w:rsid w:val="00A61329"/>
    <w:rsid w:val="00A61517"/>
    <w:rsid w:val="00A63E49"/>
    <w:rsid w:val="00A700DA"/>
    <w:rsid w:val="00A92D47"/>
    <w:rsid w:val="00AA35E1"/>
    <w:rsid w:val="00AD251A"/>
    <w:rsid w:val="00AD2B69"/>
    <w:rsid w:val="00AD6A6E"/>
    <w:rsid w:val="00AF79FB"/>
    <w:rsid w:val="00B0375D"/>
    <w:rsid w:val="00B17C0A"/>
    <w:rsid w:val="00B26610"/>
    <w:rsid w:val="00B35942"/>
    <w:rsid w:val="00B434D6"/>
    <w:rsid w:val="00B46EDD"/>
    <w:rsid w:val="00B723D8"/>
    <w:rsid w:val="00B830E4"/>
    <w:rsid w:val="00B92CD6"/>
    <w:rsid w:val="00BA29C4"/>
    <w:rsid w:val="00BD18FD"/>
    <w:rsid w:val="00BD2DF7"/>
    <w:rsid w:val="00BF402A"/>
    <w:rsid w:val="00C2633A"/>
    <w:rsid w:val="00C46EA0"/>
    <w:rsid w:val="00C51500"/>
    <w:rsid w:val="00C5691D"/>
    <w:rsid w:val="00C56B13"/>
    <w:rsid w:val="00C806D4"/>
    <w:rsid w:val="00C96990"/>
    <w:rsid w:val="00CA0749"/>
    <w:rsid w:val="00CA613E"/>
    <w:rsid w:val="00CC299C"/>
    <w:rsid w:val="00D10113"/>
    <w:rsid w:val="00D1076C"/>
    <w:rsid w:val="00D40E93"/>
    <w:rsid w:val="00D664A3"/>
    <w:rsid w:val="00D807AF"/>
    <w:rsid w:val="00DB04B6"/>
    <w:rsid w:val="00DC002F"/>
    <w:rsid w:val="00E26D96"/>
    <w:rsid w:val="00E5596D"/>
    <w:rsid w:val="00E72F1F"/>
    <w:rsid w:val="00E92265"/>
    <w:rsid w:val="00EA72EA"/>
    <w:rsid w:val="00EB2791"/>
    <w:rsid w:val="00ED73FC"/>
    <w:rsid w:val="00F034F1"/>
    <w:rsid w:val="00F115F5"/>
    <w:rsid w:val="00F30B4A"/>
    <w:rsid w:val="00F80067"/>
    <w:rsid w:val="00FD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55EF4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Style 39,12"/>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Footnote Text Char Char Char,fn Char,Footnote Text Char Char Char Char Char Char Char Char Char Char Char Char Char Char Char Char Char Char,Footnote Text Char1 Char Char Char,Footnote Text Char Char Char Char Char"/>
    <w:basedOn w:val="Normal"/>
    <w:link w:val="FootnoteTextChar1"/>
    <w:uiPriority w:val="99"/>
    <w:rsid w:val="004D1876"/>
    <w:pPr>
      <w:widowControl/>
    </w:pPr>
    <w:rPr>
      <w:rFonts w:ascii="Times New Roman" w:hAnsi="Times New Roman"/>
      <w:snapToGrid/>
      <w:sz w:val="20"/>
    </w:rPr>
  </w:style>
  <w:style w:type="character" w:customStyle="1" w:styleId="FootnoteTextChar1">
    <w:name w:val="Footnote Text Char1"/>
    <w:aliases w:val="Footnote Text Char Char,Footnote Text Char Char Char Char,fn Char Char,Footnote Text Char Char Char Char Char Char Char Char Char Char Char Char Char Char Char Char Char Char Char,Footnote Text Char1 Char Char Char Char"/>
    <w:link w:val="FootnoteText"/>
    <w:semiHidden/>
    <w:locked/>
    <w:rsid w:val="004D1876"/>
    <w:rPr>
      <w:lang w:val="en-US" w:eastAsia="en-US" w:bidi="ar-SA"/>
    </w:rPr>
  </w:style>
  <w:style w:type="paragraph" w:styleId="NormalWeb">
    <w:name w:val="Normal (Web)"/>
    <w:basedOn w:val="Normal"/>
    <w:rsid w:val="004D1876"/>
    <w:pPr>
      <w:widowControl/>
      <w:spacing w:before="100" w:beforeAutospacing="1" w:after="100" w:afterAutospacing="1"/>
    </w:pPr>
    <w:rPr>
      <w:rFonts w:ascii="Times New Roman" w:hAnsi="Times New Roman"/>
      <w:snapToGrid/>
      <w:szCs w:val="24"/>
    </w:rPr>
  </w:style>
  <w:style w:type="paragraph" w:styleId="NoSpacing">
    <w:name w:val="No Spacing"/>
    <w:qFormat/>
    <w:rsid w:val="004D1876"/>
    <w:rPr>
      <w:rFonts w:ascii="Calibri" w:hAnsi="Calibri"/>
      <w:sz w:val="22"/>
      <w:szCs w:val="22"/>
    </w:rPr>
  </w:style>
  <w:style w:type="paragraph" w:styleId="ListParagraph">
    <w:name w:val="List Paragraph"/>
    <w:basedOn w:val="Normal"/>
    <w:qFormat/>
    <w:rsid w:val="004D1876"/>
    <w:pPr>
      <w:widowControl/>
      <w:ind w:left="720"/>
      <w:contextualSpacing/>
    </w:pPr>
    <w:rPr>
      <w:rFonts w:ascii="Times New Roman" w:hAnsi="Times New Roman"/>
      <w:snapToGrid/>
      <w:szCs w:val="22"/>
    </w:rPr>
  </w:style>
  <w:style w:type="paragraph" w:styleId="CommentText">
    <w:name w:val="annotation text"/>
    <w:basedOn w:val="Normal"/>
    <w:link w:val="CommentTextChar"/>
    <w:rsid w:val="005D2FE1"/>
    <w:pPr>
      <w:widowControl/>
    </w:pPr>
    <w:rPr>
      <w:rFonts w:ascii="Times New Roman" w:hAnsi="Times New Roman"/>
      <w:snapToGrid/>
      <w:sz w:val="20"/>
    </w:rPr>
  </w:style>
  <w:style w:type="character" w:styleId="CommentReference">
    <w:name w:val="annotation reference"/>
    <w:rsid w:val="005D2FE1"/>
    <w:rPr>
      <w:rFonts w:ascii="Times New Roman" w:hAnsi="Times New Roman" w:cs="Times New Roman"/>
      <w:sz w:val="16"/>
    </w:rPr>
  </w:style>
  <w:style w:type="character" w:customStyle="1" w:styleId="CommentTextChar">
    <w:name w:val="Comment Text Char"/>
    <w:link w:val="CommentText"/>
    <w:locked/>
    <w:rsid w:val="005D2FE1"/>
    <w:rPr>
      <w:lang w:val="en-US" w:eastAsia="en-US" w:bidi="ar-SA"/>
    </w:rPr>
  </w:style>
  <w:style w:type="character" w:customStyle="1" w:styleId="documentbody1">
    <w:name w:val="documentbody1"/>
    <w:rsid w:val="005D2FE1"/>
    <w:rPr>
      <w:rFonts w:ascii="Verdana" w:hAnsi="Verdana"/>
      <w:sz w:val="19"/>
    </w:rPr>
  </w:style>
  <w:style w:type="paragraph" w:styleId="CommentSubject">
    <w:name w:val="annotation subject"/>
    <w:basedOn w:val="CommentText"/>
    <w:next w:val="CommentText"/>
    <w:link w:val="CommentSubjectChar"/>
    <w:rsid w:val="00C46EA0"/>
    <w:pPr>
      <w:widowControl w:val="0"/>
    </w:pPr>
    <w:rPr>
      <w:rFonts w:ascii="Courier" w:hAnsi="Courier"/>
      <w:b/>
      <w:bCs/>
      <w:snapToGrid w:val="0"/>
    </w:rPr>
  </w:style>
  <w:style w:type="character" w:customStyle="1" w:styleId="CommentSubjectChar">
    <w:name w:val="Comment Subject Char"/>
    <w:link w:val="CommentSubject"/>
    <w:rsid w:val="00C46EA0"/>
    <w:rPr>
      <w:rFonts w:ascii="Courier" w:hAnsi="Courier"/>
      <w:b/>
      <w:bCs/>
      <w:snapToGrid w:val="0"/>
      <w:lang w:val="en-US" w:eastAsia="en-US" w:bidi="ar-SA"/>
    </w:rPr>
  </w:style>
  <w:style w:type="table" w:customStyle="1" w:styleId="TableGrid1">
    <w:name w:val="Table Grid1"/>
    <w:basedOn w:val="TableNormal"/>
    <w:next w:val="TableGrid"/>
    <w:uiPriority w:val="59"/>
    <w:rsid w:val="002847B4"/>
    <w:pPr>
      <w:jc w:val="both"/>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8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7B4"/>
    <w:rPr>
      <w:rFonts w:ascii="Courier" w:hAnsi="Courier"/>
      <w:snapToGrid w:val="0"/>
      <w:sz w:val="24"/>
    </w:rPr>
  </w:style>
  <w:style w:type="paragraph" w:styleId="BodyTextIndent">
    <w:name w:val="Body Text Indent"/>
    <w:basedOn w:val="Normal"/>
    <w:link w:val="BodyTextIndentChar"/>
    <w:rsid w:val="00D807AF"/>
    <w:pPr>
      <w:ind w:left="720"/>
    </w:pPr>
    <w:rPr>
      <w:rFonts w:ascii="Times New Roman" w:hAnsi="Times New Roman"/>
    </w:rPr>
  </w:style>
  <w:style w:type="character" w:customStyle="1" w:styleId="BodyTextIndentChar">
    <w:name w:val="Body Text Indent Char"/>
    <w:link w:val="BodyTextIndent"/>
    <w:rsid w:val="00D807AF"/>
    <w:rPr>
      <w:snapToGrid w:val="0"/>
      <w:sz w:val="24"/>
    </w:rPr>
  </w:style>
  <w:style w:type="paragraph" w:styleId="BlockText">
    <w:name w:val="Block Text"/>
    <w:basedOn w:val="Normal"/>
    <w:rsid w:val="00DB04B6"/>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 w:type="paragraph" w:styleId="BodyTextIndent2">
    <w:name w:val="Body Text Indent 2"/>
    <w:basedOn w:val="Normal"/>
    <w:link w:val="BodyTextIndent2Char"/>
    <w:rsid w:val="001509ED"/>
    <w:pPr>
      <w:spacing w:after="120" w:line="480" w:lineRule="auto"/>
      <w:ind w:left="360"/>
    </w:pPr>
  </w:style>
  <w:style w:type="character" w:customStyle="1" w:styleId="BodyTextIndent2Char">
    <w:name w:val="Body Text Indent 2 Char"/>
    <w:link w:val="BodyTextIndent2"/>
    <w:rsid w:val="001509ED"/>
    <w:rPr>
      <w:rFonts w:ascii="Courier" w:hAnsi="Courier"/>
      <w:snapToGrid w:val="0"/>
      <w:sz w:val="24"/>
    </w:rPr>
  </w:style>
  <w:style w:type="character" w:customStyle="1" w:styleId="ms-rtethemefontface-1">
    <w:name w:val="ms-rtethemefontface-1"/>
    <w:rsid w:val="0030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84224">
      <w:bodyDiv w:val="1"/>
      <w:marLeft w:val="0"/>
      <w:marRight w:val="0"/>
      <w:marTop w:val="0"/>
      <w:marBottom w:val="0"/>
      <w:divBdr>
        <w:top w:val="none" w:sz="0" w:space="0" w:color="auto"/>
        <w:left w:val="none" w:sz="0" w:space="0" w:color="auto"/>
        <w:bottom w:val="none" w:sz="0" w:space="0" w:color="auto"/>
        <w:right w:val="none" w:sz="0" w:space="0" w:color="auto"/>
      </w:divBdr>
    </w:div>
    <w:div w:id="132743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7B6B-16FE-4446-93CB-B5505A9E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2020-01-22T19:52:00Z</dcterms:created>
  <dcterms:modified xsi:type="dcterms:W3CDTF">2020-01-22T19:56:00Z</dcterms:modified>
</cp:coreProperties>
</file>