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D82" w:rsidP="004F0D82" w:rsidRDefault="004F0D82">
      <w:pPr>
        <w:jc w:val="center"/>
        <w:rPr>
          <w:b/>
          <w:sz w:val="28"/>
          <w:szCs w:val="28"/>
        </w:rPr>
      </w:pPr>
      <w:r>
        <w:rPr>
          <w:b/>
          <w:sz w:val="28"/>
          <w:szCs w:val="28"/>
        </w:rPr>
        <w:t>OMB Supporting Statement</w:t>
      </w:r>
    </w:p>
    <w:p w:rsidR="001A5B81" w:rsidP="001A5B81" w:rsidRDefault="001A5B81"/>
    <w:p w:rsidR="003939CC" w:rsidP="004F0D82" w:rsidRDefault="001A5B81">
      <w:r>
        <w:t>RI 76-10 – Assignment, Federal Employees' Group Life Insurance (FEGLI) Program</w:t>
      </w:r>
    </w:p>
    <w:p w:rsidRPr="003939CC" w:rsidR="003939CC" w:rsidP="004F0D82" w:rsidRDefault="003939CC"/>
    <w:p w:rsidR="004F0D82" w:rsidP="004F0D82" w:rsidRDefault="004F0D82">
      <w:pPr>
        <w:numPr>
          <w:ilvl w:val="0"/>
          <w:numId w:val="4"/>
        </w:numPr>
      </w:pPr>
      <w:r w:rsidRPr="004F0D82">
        <w:rPr>
          <w:u w:val="single"/>
        </w:rPr>
        <w:t>Justification</w:t>
      </w:r>
      <w:r>
        <w:t xml:space="preserve"> </w:t>
      </w:r>
    </w:p>
    <w:p w:rsidR="004F0D82" w:rsidP="004F0D82" w:rsidRDefault="004F0D82"/>
    <w:p w:rsidRPr="00741061" w:rsidR="00471228" w:rsidP="00471228" w:rsidRDefault="00471228">
      <w:pPr>
        <w:pStyle w:val="ListParagraph"/>
        <w:numPr>
          <w:ilvl w:val="0"/>
          <w:numId w:val="12"/>
        </w:numPr>
        <w:shd w:val="pct25" w:color="auto" w:fill="auto"/>
        <w:tabs>
          <w:tab w:val="left" w:pos="-720"/>
        </w:tabs>
        <w:suppressAutoHyphens/>
        <w:contextualSpacing/>
      </w:pP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471228" w:rsidP="00471228" w:rsidRDefault="00471228">
      <w:pPr>
        <w:ind w:left="450"/>
      </w:pPr>
    </w:p>
    <w:p w:rsidR="004F0D82" w:rsidP="00471228" w:rsidRDefault="004F0D82">
      <w:pPr>
        <w:ind w:left="720"/>
      </w:pPr>
      <w:r>
        <w:t xml:space="preserve">Chapter 87 of title 5, United States code, authorizes the Office of Personnel Management (OPM) to administer the Federal Employees’ Group Life Insurance Program, and to issue regulations to carry out the provisions of the FEGLI law.  </w:t>
      </w:r>
    </w:p>
    <w:p w:rsidR="004F0D82" w:rsidP="004F0D82" w:rsidRDefault="004F0D82"/>
    <w:p w:rsidRPr="00741061" w:rsidR="00471228" w:rsidP="00471228" w:rsidRDefault="004F0D82">
      <w:pPr>
        <w:pStyle w:val="ListParagraph"/>
        <w:numPr>
          <w:ilvl w:val="0"/>
          <w:numId w:val="12"/>
        </w:numPr>
        <w:shd w:val="pct25" w:color="auto" w:fill="auto"/>
        <w:tabs>
          <w:tab w:val="left" w:pos="-720"/>
        </w:tabs>
        <w:suppressAutoHyphens/>
        <w:contextualSpacing/>
      </w:pPr>
      <w:r>
        <w:t xml:space="preserve"> </w:t>
      </w:r>
      <w:r w:rsidRPr="00741061" w:rsidR="00471228">
        <w:t xml:space="preserve">Indicate how, by whom, and for what purpose the information is to be used.  Except for a new collection, indicate the actual use the agency has made of the information received from the current collection. </w:t>
      </w:r>
    </w:p>
    <w:p w:rsidR="00471228" w:rsidP="00471228" w:rsidRDefault="00471228">
      <w:pPr>
        <w:ind w:left="810"/>
      </w:pPr>
    </w:p>
    <w:p w:rsidR="00DF1BE5" w:rsidP="00471228" w:rsidRDefault="0036621D">
      <w:pPr>
        <w:ind w:left="810"/>
      </w:pPr>
      <w:r>
        <w:t xml:space="preserve">RI 76-10 allows an insured individual to transfer ownership, or “assign” the FEGLI coverage, to a third party.  An insured may assign for several reasons; for example, for financial planning purposes, or to comply with a court order, or to sell the coverage to a third-party. Unlike a designation of beneficiary, once an assignment is executed, it is irrevocable. </w:t>
      </w:r>
      <w:r w:rsidR="00A7608B">
        <w:t>The Privacy Act Statement has been revised due to a general systematic review by our Chief Privacy Officer</w:t>
      </w:r>
      <w:r w:rsidRPr="006B2823" w:rsidR="00A7608B">
        <w:rPr>
          <w:sz w:val="22"/>
          <w:szCs w:val="22"/>
        </w:rPr>
        <w:t>.</w:t>
      </w:r>
      <w:r w:rsidR="00A7608B">
        <w:t xml:space="preserve"> </w:t>
      </w:r>
      <w:r w:rsidR="006B2823">
        <w:br/>
      </w:r>
    </w:p>
    <w:p w:rsidRPr="00741061" w:rsidR="00471228" w:rsidP="00471228" w:rsidRDefault="00471228">
      <w:pPr>
        <w:pStyle w:val="ListParagraph"/>
        <w:numPr>
          <w:ilvl w:val="0"/>
          <w:numId w:val="12"/>
        </w:numPr>
        <w:shd w:val="pct25" w:color="auto" w:fill="auto"/>
        <w:tabs>
          <w:tab w:val="left" w:pos="-720"/>
        </w:tabs>
        <w:suppressAutoHyphens/>
        <w:contextualSpacing/>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471228" w:rsidP="00471228" w:rsidRDefault="00471228">
      <w:pPr>
        <w:ind w:left="450"/>
      </w:pPr>
    </w:p>
    <w:p w:rsidR="00524790" w:rsidP="00471228" w:rsidRDefault="00524790">
      <w:pPr>
        <w:ind w:left="810"/>
      </w:pPr>
      <w:r w:rsidRPr="00B5402B">
        <w:t>Use of improved information technology to reduce the burden is not practical.</w:t>
      </w:r>
      <w:r>
        <w:t xml:space="preserve"> The information collected can only be obtained from the </w:t>
      </w:r>
      <w:r w:rsidR="00242DA7">
        <w:t>employees, annuitants and compensationers</w:t>
      </w:r>
      <w:r>
        <w:t>.  However, this form will be available in a PDF fillable format on our website and meets our GPEA requirements.</w:t>
      </w:r>
    </w:p>
    <w:p w:rsidR="00952EEF" w:rsidP="00952EEF" w:rsidRDefault="00952EEF"/>
    <w:p w:rsidRPr="00741061" w:rsidR="00471228" w:rsidP="00471228" w:rsidRDefault="00471228">
      <w:pPr>
        <w:pStyle w:val="ListParagraph"/>
        <w:numPr>
          <w:ilvl w:val="0"/>
          <w:numId w:val="12"/>
        </w:numPr>
        <w:shd w:val="pct25" w:color="auto" w:fill="auto"/>
        <w:tabs>
          <w:tab w:val="left" w:pos="-720"/>
        </w:tabs>
        <w:suppressAutoHyphens/>
        <w:contextualSpacing/>
      </w:pPr>
      <w:r w:rsidRPr="00741061">
        <w:t>Describe eff</w:t>
      </w:r>
      <w:r>
        <w:t xml:space="preserve">orts to identify duplication.  </w:t>
      </w:r>
      <w:r w:rsidRPr="00741061">
        <w:t xml:space="preserve">Show specifically why any similar information already available cannot be used or modified for use for the purposes described in Item 2 above. </w:t>
      </w:r>
    </w:p>
    <w:p w:rsidR="00471228" w:rsidP="00471228" w:rsidRDefault="00471228">
      <w:pPr>
        <w:ind w:left="630"/>
      </w:pPr>
    </w:p>
    <w:p w:rsidR="00952EEF" w:rsidP="00471228" w:rsidRDefault="00952EEF">
      <w:pPr>
        <w:ind w:left="630"/>
      </w:pPr>
      <w:r>
        <w:t xml:space="preserve">Every effort is made to identify and avoid duplication, and </w:t>
      </w:r>
      <w:r w:rsidR="00AE70B8">
        <w:t>its</w:t>
      </w:r>
      <w:r>
        <w:t xml:space="preserve"> occurrence is unlikely.  </w:t>
      </w:r>
      <w:r w:rsidR="00A97959">
        <w:t>This form is used specifically to give ownership and control of one’s Basic, Option A, and/or Option B life insurance coverage to someone else. Respondents (i.e., assignees) are not required to complete the form unless they decide to assign their share of the insurance to another person(s), firm(s) or trust(s).</w:t>
      </w:r>
      <w:r w:rsidR="00E8662C">
        <w:t xml:space="preserve"> There is no other way to obtain this information.</w:t>
      </w:r>
    </w:p>
    <w:p w:rsidRPr="00741061" w:rsidR="00471228" w:rsidP="00471228" w:rsidRDefault="00471228">
      <w:pPr>
        <w:pStyle w:val="ListParagraph"/>
        <w:numPr>
          <w:ilvl w:val="0"/>
          <w:numId w:val="12"/>
        </w:numPr>
        <w:shd w:val="pct25" w:color="auto" w:fill="auto"/>
        <w:tabs>
          <w:tab w:val="left" w:pos="-720"/>
        </w:tabs>
        <w:suppressAutoHyphens/>
        <w:contextualSpacing/>
      </w:pPr>
      <w:r w:rsidRPr="00741061">
        <w:lastRenderedPageBreak/>
        <w:t>If the collection of information impacts small businesses or other small entities (Item 5 of OMB Form 83-I), describe any methods used to minimize.</w:t>
      </w:r>
    </w:p>
    <w:p w:rsidR="00471228" w:rsidP="00471228" w:rsidRDefault="00471228">
      <w:pPr>
        <w:ind w:left="630" w:firstLine="90"/>
      </w:pPr>
    </w:p>
    <w:p w:rsidRPr="00C75D73" w:rsidR="00952EEF" w:rsidP="00471228" w:rsidRDefault="00952EEF">
      <w:pPr>
        <w:ind w:left="630" w:firstLine="90"/>
      </w:pPr>
      <w:r>
        <w:t>This information is not collected from small businesses</w:t>
      </w:r>
      <w:r w:rsidR="00E8662C">
        <w:t xml:space="preserve"> and organizations</w:t>
      </w:r>
      <w:r>
        <w:t>.</w:t>
      </w:r>
    </w:p>
    <w:p w:rsidRPr="00C75D73" w:rsidR="00952EEF" w:rsidP="00952EEF" w:rsidRDefault="00952EEF"/>
    <w:p w:rsidRPr="00741061" w:rsidR="00471228" w:rsidP="00471228" w:rsidRDefault="00471228">
      <w:pPr>
        <w:pStyle w:val="ListParagraph"/>
        <w:numPr>
          <w:ilvl w:val="0"/>
          <w:numId w:val="12"/>
        </w:numPr>
        <w:shd w:val="pct25" w:color="auto" w:fill="auto"/>
        <w:tabs>
          <w:tab w:val="left" w:pos="-720"/>
        </w:tabs>
        <w:suppressAutoHyphens/>
        <w:contextualSpacing/>
      </w:pPr>
      <w:r w:rsidRPr="00741061">
        <w:t>Describe the consequence to Federal/DHS program or policy activities if the collection of information is not conducted, or is conducted less frequently, as well as any technical or legal obstacles to reducing burden.</w:t>
      </w:r>
    </w:p>
    <w:p w:rsidRPr="00471228" w:rsidR="004F0D82" w:rsidP="00471228" w:rsidRDefault="00471228">
      <w:pPr>
        <w:ind w:left="720"/>
        <w:rPr>
          <w:b/>
          <w:sz w:val="28"/>
          <w:szCs w:val="28"/>
        </w:rPr>
      </w:pPr>
      <w:r>
        <w:rPr>
          <w:b/>
          <w:sz w:val="28"/>
          <w:szCs w:val="28"/>
        </w:rPr>
        <w:br/>
      </w:r>
      <w:r w:rsidRPr="00C75D73" w:rsidR="00952EEF">
        <w:t xml:space="preserve">If this information is not collected, </w:t>
      </w:r>
      <w:r w:rsidR="00A97959">
        <w:t xml:space="preserve">the employees, annuitants and compensationers cannot assign their coverage to someone else. In addition, the completed form will show that respondents (assignees) are now the owners of the FEGLI and can take other actions as allowed by regulations. </w:t>
      </w:r>
    </w:p>
    <w:p w:rsidR="00E8662C" w:rsidP="00E8662C" w:rsidRDefault="00E8662C">
      <w:pPr>
        <w:pStyle w:val="ListParagraph"/>
        <w:ind w:left="0"/>
      </w:pPr>
    </w:p>
    <w:p w:rsidR="00471228" w:rsidP="00471228" w:rsidRDefault="00471228">
      <w:pPr>
        <w:pStyle w:val="ListParagraph"/>
        <w:numPr>
          <w:ilvl w:val="0"/>
          <w:numId w:val="12"/>
        </w:numPr>
        <w:shd w:val="pct25" w:color="auto" w:fill="auto"/>
        <w:tabs>
          <w:tab w:val="left" w:pos="-720"/>
        </w:tabs>
        <w:suppressAutoHyphens/>
        <w:contextualSpacing/>
      </w:pPr>
      <w:r w:rsidRPr="009B7453">
        <w:t>Explain any special circumstances that would cause an information collection to be conducted in a manner:</w:t>
      </w:r>
      <w:r>
        <w:t xml:space="preserve"> </w:t>
      </w:r>
    </w:p>
    <w:p w:rsidR="00471228" w:rsidP="00471228" w:rsidRDefault="00471228">
      <w:pPr>
        <w:pStyle w:val="ListParagraph"/>
        <w:shd w:val="pct25" w:color="auto" w:fill="auto"/>
        <w:tabs>
          <w:tab w:val="left" w:pos="-720"/>
        </w:tabs>
        <w:suppressAutoHyphens/>
      </w:pPr>
      <w:r>
        <w:t xml:space="preserve">• requiring respondents to report information to the agency more often than quarterly; </w:t>
      </w:r>
    </w:p>
    <w:p w:rsidR="00471228" w:rsidP="00471228" w:rsidRDefault="00471228">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471228" w:rsidP="00471228" w:rsidRDefault="00471228">
      <w:pPr>
        <w:pStyle w:val="ListParagraph"/>
        <w:shd w:val="pct25" w:color="auto" w:fill="auto"/>
        <w:tabs>
          <w:tab w:val="left" w:pos="-720"/>
        </w:tabs>
        <w:suppressAutoHyphens/>
      </w:pPr>
      <w:r>
        <w:t xml:space="preserve">•requiring respondents to submit more than an original and two copies of any document; </w:t>
      </w:r>
    </w:p>
    <w:p w:rsidR="00471228" w:rsidP="00471228" w:rsidRDefault="00471228">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471228" w:rsidP="00471228" w:rsidRDefault="00471228">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471228" w:rsidP="00471228" w:rsidRDefault="00471228">
      <w:pPr>
        <w:pStyle w:val="ListParagraph"/>
        <w:shd w:val="pct25" w:color="auto" w:fill="auto"/>
        <w:tabs>
          <w:tab w:val="left" w:pos="-720"/>
        </w:tabs>
        <w:suppressAutoHyphens/>
      </w:pPr>
      <w:r>
        <w:t xml:space="preserve">• requiring the use of a statistical data classification that has not been reviewed and approved by OMB; </w:t>
      </w:r>
    </w:p>
    <w:p w:rsidR="00471228" w:rsidP="00471228" w:rsidRDefault="00471228">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71228" w:rsidP="00471228" w:rsidRDefault="00471228">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471228" w:rsidP="00471228" w:rsidRDefault="00471228">
      <w:pPr>
        <w:ind w:left="360"/>
      </w:pPr>
    </w:p>
    <w:p w:rsidR="00E8662C" w:rsidP="00471228" w:rsidRDefault="00E8662C">
      <w:pPr>
        <w:ind w:left="360" w:firstLine="360"/>
      </w:pPr>
      <w:r>
        <w:t>There are no special circumstances involved in the collection of this information.</w:t>
      </w:r>
    </w:p>
    <w:p w:rsidR="00E8662C" w:rsidP="00E8662C" w:rsidRDefault="00E8662C">
      <w:pPr>
        <w:pStyle w:val="ListParagraph"/>
      </w:pPr>
    </w:p>
    <w:p w:rsidRPr="00741061" w:rsidR="00471228" w:rsidP="00471228" w:rsidRDefault="00471228">
      <w:pPr>
        <w:pStyle w:val="ListParagraph"/>
        <w:numPr>
          <w:ilvl w:val="0"/>
          <w:numId w:val="12"/>
        </w:numPr>
        <w:shd w:val="pct25" w:color="auto" w:fill="auto"/>
        <w:tabs>
          <w:tab w:val="left" w:pos="-720"/>
        </w:tabs>
        <w:suppressAutoHyphens/>
        <w:contextualSpacing/>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proofErr w:type="gramStart"/>
      <w:r w:rsidRPr="00741061">
        <w:t>publication</w:t>
      </w:r>
      <w:proofErr w:type="gramEnd"/>
      <w:r w:rsidRPr="00741061">
        <w:t xml:space="preserve"> in the Federal Register of the agency’s notice soliciting comments on the information collection prior to submission to OMB</w:t>
      </w:r>
    </w:p>
    <w:p w:rsidR="00E8662C" w:rsidP="00471228" w:rsidRDefault="00471228">
      <w:pPr>
        <w:ind w:left="720"/>
      </w:pPr>
      <w:r>
        <w:br/>
      </w:r>
      <w:r w:rsidR="00E8662C">
        <w:t>On April 17, 2019, a 60 Day Federal Register Notice was published at 84</w:t>
      </w:r>
      <w:r w:rsidRPr="00E47B7C" w:rsidR="00E8662C">
        <w:t xml:space="preserve"> FR </w:t>
      </w:r>
      <w:r w:rsidR="00E8662C">
        <w:t>16050 requesting comment. No comments were received.</w:t>
      </w:r>
    </w:p>
    <w:p w:rsidR="00E8662C" w:rsidP="00E8662C" w:rsidRDefault="00E8662C">
      <w:pPr>
        <w:pStyle w:val="ListParagraph"/>
      </w:pPr>
    </w:p>
    <w:p w:rsidR="00F262F2" w:rsidP="00E8662C" w:rsidRDefault="00F262F2">
      <w:pPr>
        <w:pStyle w:val="ListParagraph"/>
      </w:pPr>
    </w:p>
    <w:p w:rsidR="00F262F2" w:rsidP="00E8662C" w:rsidRDefault="00F262F2">
      <w:pPr>
        <w:pStyle w:val="ListParagraph"/>
      </w:pPr>
    </w:p>
    <w:p w:rsidRPr="00741061" w:rsidR="00471228" w:rsidP="00471228" w:rsidRDefault="00471228">
      <w:pPr>
        <w:pStyle w:val="ListParagraph"/>
        <w:numPr>
          <w:ilvl w:val="0"/>
          <w:numId w:val="12"/>
        </w:numPr>
        <w:shd w:val="pct25" w:color="auto" w:fill="auto"/>
        <w:tabs>
          <w:tab w:val="left" w:pos="-720"/>
        </w:tabs>
        <w:suppressAutoHyphens/>
        <w:ind w:right="-288"/>
        <w:contextualSpacing/>
      </w:pPr>
      <w:r w:rsidRPr="00741061">
        <w:lastRenderedPageBreak/>
        <w:t>Explain any decision to provide any payment or gift to respondents, other than remuneration of contractors or grantees.</w:t>
      </w:r>
    </w:p>
    <w:p w:rsidR="00E8662C" w:rsidP="00F262F2" w:rsidRDefault="00471228">
      <w:pPr>
        <w:ind w:left="630"/>
      </w:pPr>
      <w:r>
        <w:br/>
      </w:r>
      <w:r w:rsidR="00153A8B">
        <w:t xml:space="preserve"> </w:t>
      </w:r>
      <w:r w:rsidR="00E8662C">
        <w:t>No payment or gift is provided to respondents.</w:t>
      </w:r>
    </w:p>
    <w:p w:rsidR="00E8662C" w:rsidP="00471228" w:rsidRDefault="00E8662C">
      <w:pPr>
        <w:pStyle w:val="ListParagraph"/>
        <w:ind w:left="0"/>
      </w:pPr>
    </w:p>
    <w:p w:rsidRPr="00741061" w:rsidR="00471228" w:rsidP="00471228" w:rsidRDefault="00471228">
      <w:pPr>
        <w:pStyle w:val="ListParagraph"/>
        <w:numPr>
          <w:ilvl w:val="0"/>
          <w:numId w:val="12"/>
        </w:numPr>
        <w:shd w:val="pct25" w:color="auto" w:fill="auto"/>
        <w:tabs>
          <w:tab w:val="clear" w:pos="720"/>
          <w:tab w:val="left" w:pos="-720"/>
          <w:tab w:val="num" w:pos="630"/>
        </w:tabs>
        <w:suppressAutoHyphens/>
        <w:ind w:left="630" w:right="-288"/>
        <w:contextualSpacing/>
      </w:pPr>
      <w:r w:rsidRPr="00741061">
        <w:t xml:space="preserve">Describe any assurance of confidentiality provided to respondents and the basis for the assurance in statute, regulation, or agency policy.  </w:t>
      </w:r>
    </w:p>
    <w:p w:rsidR="00471228" w:rsidP="00471228" w:rsidRDefault="00471228">
      <w:pPr>
        <w:pStyle w:val="ListParagraph"/>
        <w:ind w:left="0"/>
      </w:pPr>
    </w:p>
    <w:p w:rsidR="00471228" w:rsidP="00471228" w:rsidRDefault="00E8662C">
      <w:pPr>
        <w:ind w:firstLine="630"/>
      </w:pPr>
      <w:r>
        <w:t xml:space="preserve"> This information collection is protected by the Privacy Act of 1974 and OPM regulations </w:t>
      </w:r>
    </w:p>
    <w:p w:rsidR="00471228" w:rsidP="00471228" w:rsidRDefault="00E8662C">
      <w:pPr>
        <w:ind w:firstLine="630"/>
      </w:pPr>
      <w:r>
        <w:t xml:space="preserve">(5 CFR 831.106). The routine uses of disclosure appear in the </w:t>
      </w:r>
      <w:r w:rsidRPr="00E8662C">
        <w:rPr>
          <w:i/>
        </w:rPr>
        <w:t>Federal Register</w:t>
      </w:r>
      <w:r>
        <w:t xml:space="preserve"> for </w:t>
      </w:r>
    </w:p>
    <w:p w:rsidR="00E8662C" w:rsidP="00471228" w:rsidRDefault="00E8662C">
      <w:pPr>
        <w:ind w:firstLine="630"/>
      </w:pPr>
      <w:r>
        <w:t xml:space="preserve">OPM/Central-1 (73 FR 15013, </w:t>
      </w:r>
      <w:r w:rsidRPr="00E8662C">
        <w:rPr>
          <w:i/>
        </w:rPr>
        <w:t>et seq</w:t>
      </w:r>
      <w:r>
        <w:t>., March 20, 2008, effective April 21, 2008).</w:t>
      </w:r>
      <w:r w:rsidR="003F58AC">
        <w:br/>
      </w:r>
    </w:p>
    <w:p w:rsidRPr="00741061" w:rsidR="003F58AC" w:rsidP="003F58AC" w:rsidRDefault="003F58AC">
      <w:pPr>
        <w:pStyle w:val="ListParagraph"/>
        <w:numPr>
          <w:ilvl w:val="0"/>
          <w:numId w:val="12"/>
        </w:numPr>
        <w:shd w:val="pct25" w:color="auto" w:fill="auto"/>
        <w:tabs>
          <w:tab w:val="clear" w:pos="720"/>
          <w:tab w:val="left" w:pos="-720"/>
          <w:tab w:val="num" w:pos="63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8662C" w:rsidP="003F58AC" w:rsidRDefault="00E8662C">
      <w:pPr>
        <w:spacing w:before="240"/>
        <w:ind w:left="630"/>
      </w:pPr>
      <w:r>
        <w:t>This information collection does not include questions of a sensitive nature, such as sexual behavior and attitudes, religious beliefs, and other matters that are commonly considered private.</w:t>
      </w:r>
    </w:p>
    <w:p w:rsidR="003F58AC" w:rsidP="003F58AC" w:rsidRDefault="003F58AC">
      <w:pPr>
        <w:spacing w:before="240"/>
        <w:ind w:left="630"/>
      </w:pPr>
    </w:p>
    <w:p w:rsidR="00153A8B" w:rsidP="003F58AC" w:rsidRDefault="003F58AC">
      <w:pPr>
        <w:pStyle w:val="ListParagraph"/>
        <w:shd w:val="pct25" w:color="auto" w:fill="FFFFFF"/>
        <w:tabs>
          <w:tab w:val="left" w:pos="-720"/>
        </w:tabs>
        <w:suppressAutoHyphens/>
        <w:ind w:left="360"/>
      </w:pPr>
      <w:r w:rsidRPr="00741061">
        <w:t>12. Provide estimates of the hour burden of the collection of informat</w:t>
      </w:r>
      <w:r w:rsidR="00153A8B">
        <w:t xml:space="preserve">ion. </w:t>
      </w:r>
      <w:r w:rsidRPr="00741061">
        <w:t xml:space="preserve">The statement </w:t>
      </w:r>
      <w:r w:rsidR="00153A8B">
        <w:t xml:space="preserve"> </w:t>
      </w:r>
    </w:p>
    <w:p w:rsidRPr="00741061" w:rsidR="003F58AC" w:rsidP="003F58AC" w:rsidRDefault="00153A8B">
      <w:pPr>
        <w:pStyle w:val="ListParagraph"/>
        <w:shd w:val="pct25" w:color="auto" w:fill="FFFFFF"/>
        <w:tabs>
          <w:tab w:val="left" w:pos="-720"/>
        </w:tabs>
        <w:suppressAutoHyphens/>
        <w:ind w:left="360"/>
      </w:pPr>
      <w:r>
        <w:tab/>
      </w:r>
      <w:r w:rsidRPr="00741061" w:rsidR="003F58AC">
        <w:t>should:</w:t>
      </w:r>
    </w:p>
    <w:p w:rsidRPr="00741061" w:rsidR="003F58AC" w:rsidP="003F58AC" w:rsidRDefault="003F58AC">
      <w:pPr>
        <w:pStyle w:val="ListParagraph"/>
        <w:tabs>
          <w:tab w:val="left" w:pos="-720"/>
        </w:tabs>
        <w:suppressAutoHyphens/>
        <w:ind w:left="360"/>
      </w:pPr>
    </w:p>
    <w:p w:rsidR="003F58AC" w:rsidP="003F58AC" w:rsidRDefault="003F58AC">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w:t>
      </w:r>
      <w:r>
        <w:t xml:space="preserve">the reasons for the variance.  </w:t>
      </w:r>
      <w:r w:rsidRPr="00741061">
        <w:t>Generally, estimates should not include burden hours for customary and usual business practices.</w:t>
      </w:r>
      <w:r w:rsidRPr="00A10BE7">
        <w:t xml:space="preserve"> </w:t>
      </w:r>
    </w:p>
    <w:p w:rsidR="003F58AC" w:rsidP="003F58AC" w:rsidRDefault="003F58AC">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br/>
        <w:t xml:space="preserve">c.  </w:t>
      </w:r>
      <w:r w:rsidRPr="00741061">
        <w:t xml:space="preserve">Provide estimates of annualized cost to respondents for the hour burdens for collections </w:t>
      </w:r>
      <w:r>
        <w:br/>
      </w:r>
      <w:r w:rsidRPr="00741061">
        <w:t>of information, identifying and using appr</w:t>
      </w:r>
      <w:r>
        <w:t xml:space="preserve">opriate wage rate categories. </w:t>
      </w:r>
      <w:r w:rsidRPr="00741061">
        <w:t>The cost of contracting out or paying outside parties for information collection activiti</w:t>
      </w:r>
      <w:r>
        <w:t>es should not be included here.</w:t>
      </w:r>
      <w:r w:rsidRPr="00741061">
        <w:t xml:space="preserve"> Instead, this cost should be included in Item 14.</w:t>
      </w:r>
    </w:p>
    <w:p w:rsidR="00E8662C" w:rsidP="003F58AC" w:rsidRDefault="00E8662C">
      <w:pPr>
        <w:spacing w:before="240"/>
        <w:ind w:left="720"/>
      </w:pPr>
      <w:r>
        <w:t>We estimate 400 RI 76-10 forms are processed annually. The form takes approximately 15 minutes to complete, the annual burden is 100 hours.</w:t>
      </w:r>
      <w:r>
        <w:br/>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3"/>
        <w:gridCol w:w="986"/>
        <w:gridCol w:w="1243"/>
        <w:gridCol w:w="1176"/>
        <w:gridCol w:w="1082"/>
        <w:gridCol w:w="959"/>
        <w:gridCol w:w="1002"/>
        <w:gridCol w:w="1177"/>
      </w:tblGrid>
      <w:tr w:rsidR="00E8662C" w:rsidTr="00533280">
        <w:trPr>
          <w:trHeight w:val="938"/>
        </w:trPr>
        <w:tc>
          <w:tcPr>
            <w:tcW w:w="1086" w:type="dxa"/>
            <w:shd w:val="clear" w:color="auto" w:fill="D9D9D9"/>
          </w:tcPr>
          <w:p w:rsidRPr="005E399C" w:rsidR="00E8662C" w:rsidP="00533280" w:rsidRDefault="00E8662C">
            <w:pPr>
              <w:spacing w:before="240"/>
              <w:rPr>
                <w:rFonts w:ascii="Arial" w:hAnsi="Arial" w:cs="Arial"/>
                <w:b/>
                <w:sz w:val="16"/>
                <w:szCs w:val="16"/>
              </w:rPr>
            </w:pPr>
            <w:r w:rsidRPr="005E399C">
              <w:rPr>
                <w:rFonts w:ascii="Arial" w:hAnsi="Arial" w:cs="Arial"/>
                <w:b/>
                <w:sz w:val="16"/>
                <w:szCs w:val="16"/>
              </w:rPr>
              <w:lastRenderedPageBreak/>
              <w:t>Form Name</w:t>
            </w:r>
          </w:p>
        </w:tc>
        <w:tc>
          <w:tcPr>
            <w:tcW w:w="995" w:type="dxa"/>
            <w:shd w:val="clear" w:color="auto" w:fill="D9D9D9"/>
          </w:tcPr>
          <w:p w:rsidRPr="005E399C" w:rsidR="00E8662C" w:rsidP="00533280" w:rsidRDefault="00E8662C">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Pr="005E399C" w:rsidR="00E8662C" w:rsidP="00533280" w:rsidRDefault="00E8662C">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Pr="005E399C" w:rsidR="00E8662C" w:rsidP="00533280" w:rsidRDefault="00E8662C">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Pr="005E399C" w:rsidR="00E8662C" w:rsidP="00533280" w:rsidRDefault="00E8662C">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Pr="005E399C" w:rsidR="00E8662C" w:rsidP="00533280" w:rsidRDefault="00E8662C">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Pr="005E399C" w:rsidR="00E8662C" w:rsidP="00533280" w:rsidRDefault="00E8662C">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Pr="005E399C" w:rsidR="00E8662C" w:rsidP="00533280" w:rsidRDefault="00E8662C">
            <w:pPr>
              <w:spacing w:before="240"/>
              <w:rPr>
                <w:rFonts w:ascii="Arial" w:hAnsi="Arial" w:cs="Arial"/>
                <w:b/>
                <w:sz w:val="16"/>
                <w:szCs w:val="16"/>
              </w:rPr>
            </w:pPr>
            <w:r w:rsidRPr="005E399C">
              <w:rPr>
                <w:rFonts w:ascii="Arial" w:hAnsi="Arial" w:cs="Arial"/>
                <w:b/>
                <w:sz w:val="16"/>
                <w:szCs w:val="16"/>
              </w:rPr>
              <w:t>Total Annual Respondent Cost</w:t>
            </w:r>
          </w:p>
        </w:tc>
      </w:tr>
      <w:tr w:rsidR="00E8662C" w:rsidTr="00533280">
        <w:trPr>
          <w:trHeight w:val="1024"/>
        </w:trPr>
        <w:tc>
          <w:tcPr>
            <w:tcW w:w="1086" w:type="dxa"/>
            <w:shd w:val="clear" w:color="auto" w:fill="auto"/>
          </w:tcPr>
          <w:p w:rsidRPr="005E399C" w:rsidR="00E8662C" w:rsidP="00533280" w:rsidRDefault="00E8662C">
            <w:pPr>
              <w:spacing w:before="240"/>
              <w:rPr>
                <w:sz w:val="18"/>
                <w:szCs w:val="18"/>
              </w:rPr>
            </w:pPr>
            <w:r w:rsidRPr="00E8662C">
              <w:rPr>
                <w:sz w:val="18"/>
                <w:szCs w:val="18"/>
              </w:rPr>
              <w:t>Assignment, Federal Employees' Group Life Insurance (FEGLI) Program</w:t>
            </w:r>
          </w:p>
        </w:tc>
        <w:tc>
          <w:tcPr>
            <w:tcW w:w="995" w:type="dxa"/>
            <w:shd w:val="clear" w:color="auto" w:fill="auto"/>
          </w:tcPr>
          <w:p w:rsidRPr="005E399C" w:rsidR="00E8662C" w:rsidP="00E8662C" w:rsidRDefault="00E8662C">
            <w:pPr>
              <w:spacing w:before="240"/>
              <w:rPr>
                <w:sz w:val="18"/>
                <w:szCs w:val="18"/>
              </w:rPr>
            </w:pPr>
            <w:r>
              <w:rPr>
                <w:sz w:val="18"/>
                <w:szCs w:val="18"/>
              </w:rPr>
              <w:t>RI 76-10</w:t>
            </w:r>
          </w:p>
        </w:tc>
        <w:tc>
          <w:tcPr>
            <w:tcW w:w="1244" w:type="dxa"/>
            <w:shd w:val="clear" w:color="auto" w:fill="auto"/>
          </w:tcPr>
          <w:p w:rsidRPr="005E399C" w:rsidR="00E8662C" w:rsidP="00533280" w:rsidRDefault="00E8662C">
            <w:pPr>
              <w:spacing w:before="240"/>
              <w:jc w:val="right"/>
              <w:rPr>
                <w:sz w:val="18"/>
                <w:szCs w:val="18"/>
              </w:rPr>
            </w:pPr>
            <w:r>
              <w:rPr>
                <w:sz w:val="18"/>
                <w:szCs w:val="18"/>
              </w:rPr>
              <w:t>400</w:t>
            </w:r>
          </w:p>
          <w:p w:rsidRPr="005E399C" w:rsidR="00E8662C" w:rsidP="00533280" w:rsidRDefault="00E8662C">
            <w:pPr>
              <w:jc w:val="right"/>
              <w:rPr>
                <w:sz w:val="18"/>
                <w:szCs w:val="18"/>
              </w:rPr>
            </w:pPr>
          </w:p>
        </w:tc>
        <w:tc>
          <w:tcPr>
            <w:tcW w:w="1178" w:type="dxa"/>
            <w:shd w:val="clear" w:color="auto" w:fill="auto"/>
          </w:tcPr>
          <w:p w:rsidRPr="005E399C" w:rsidR="00E8662C" w:rsidP="00533280" w:rsidRDefault="00E8662C">
            <w:pPr>
              <w:spacing w:before="240"/>
              <w:jc w:val="right"/>
              <w:rPr>
                <w:sz w:val="18"/>
                <w:szCs w:val="18"/>
              </w:rPr>
            </w:pPr>
            <w:r w:rsidRPr="005E399C">
              <w:rPr>
                <w:sz w:val="18"/>
                <w:szCs w:val="18"/>
              </w:rPr>
              <w:t>1</w:t>
            </w:r>
          </w:p>
          <w:p w:rsidRPr="005E399C" w:rsidR="00E8662C" w:rsidP="00533280" w:rsidRDefault="00E8662C">
            <w:pPr>
              <w:jc w:val="right"/>
              <w:rPr>
                <w:sz w:val="18"/>
                <w:szCs w:val="18"/>
              </w:rPr>
            </w:pPr>
          </w:p>
        </w:tc>
        <w:tc>
          <w:tcPr>
            <w:tcW w:w="1087" w:type="dxa"/>
            <w:shd w:val="clear" w:color="auto" w:fill="auto"/>
          </w:tcPr>
          <w:p w:rsidRPr="005E399C" w:rsidR="00E8662C" w:rsidP="006B2B7C" w:rsidRDefault="00E8662C">
            <w:pPr>
              <w:spacing w:before="240"/>
              <w:jc w:val="right"/>
              <w:rPr>
                <w:sz w:val="18"/>
                <w:szCs w:val="18"/>
              </w:rPr>
            </w:pPr>
            <w:r>
              <w:rPr>
                <w:sz w:val="18"/>
                <w:szCs w:val="18"/>
              </w:rPr>
              <w:t>.</w:t>
            </w:r>
            <w:r w:rsidR="006B2B7C">
              <w:rPr>
                <w:sz w:val="18"/>
                <w:szCs w:val="18"/>
              </w:rPr>
              <w:t>25</w:t>
            </w:r>
            <w:r w:rsidRPr="005E399C">
              <w:rPr>
                <w:sz w:val="18"/>
                <w:szCs w:val="18"/>
              </w:rPr>
              <w:br/>
            </w:r>
          </w:p>
        </w:tc>
        <w:tc>
          <w:tcPr>
            <w:tcW w:w="969" w:type="dxa"/>
            <w:shd w:val="clear" w:color="auto" w:fill="auto"/>
          </w:tcPr>
          <w:p w:rsidRPr="005E399C" w:rsidR="00E8662C" w:rsidP="00533280" w:rsidRDefault="006B2B7C">
            <w:pPr>
              <w:spacing w:before="240"/>
              <w:jc w:val="right"/>
              <w:rPr>
                <w:sz w:val="18"/>
                <w:szCs w:val="18"/>
              </w:rPr>
            </w:pPr>
            <w:r>
              <w:rPr>
                <w:sz w:val="18"/>
                <w:szCs w:val="18"/>
              </w:rPr>
              <w:t>100</w:t>
            </w:r>
          </w:p>
          <w:p w:rsidRPr="005E399C" w:rsidR="00E8662C" w:rsidP="00533280" w:rsidRDefault="00E8662C">
            <w:pPr>
              <w:jc w:val="right"/>
              <w:rPr>
                <w:sz w:val="18"/>
                <w:szCs w:val="18"/>
              </w:rPr>
            </w:pPr>
          </w:p>
        </w:tc>
        <w:tc>
          <w:tcPr>
            <w:tcW w:w="1010" w:type="dxa"/>
            <w:shd w:val="clear" w:color="auto" w:fill="auto"/>
          </w:tcPr>
          <w:p w:rsidRPr="005E399C" w:rsidR="00E8662C" w:rsidP="00533280" w:rsidRDefault="00E8662C">
            <w:pPr>
              <w:spacing w:before="240"/>
              <w:jc w:val="center"/>
              <w:rPr>
                <w:sz w:val="18"/>
                <w:szCs w:val="18"/>
              </w:rPr>
            </w:pPr>
            <w:r>
              <w:rPr>
                <w:sz w:val="18"/>
                <w:szCs w:val="18"/>
              </w:rPr>
              <w:t>$</w:t>
            </w:r>
            <w:r w:rsidR="00865A93">
              <w:rPr>
                <w:sz w:val="18"/>
                <w:szCs w:val="18"/>
              </w:rPr>
              <w:t>5.37</w:t>
            </w:r>
          </w:p>
          <w:p w:rsidRPr="005E399C" w:rsidR="00E8662C" w:rsidP="00533280" w:rsidRDefault="00E8662C">
            <w:pPr>
              <w:jc w:val="center"/>
              <w:rPr>
                <w:sz w:val="18"/>
                <w:szCs w:val="18"/>
              </w:rPr>
            </w:pPr>
          </w:p>
        </w:tc>
        <w:tc>
          <w:tcPr>
            <w:tcW w:w="1179" w:type="dxa"/>
            <w:shd w:val="clear" w:color="auto" w:fill="auto"/>
          </w:tcPr>
          <w:p w:rsidRPr="005E399C" w:rsidR="00E8662C" w:rsidP="00533280" w:rsidRDefault="00E8662C">
            <w:pPr>
              <w:spacing w:before="240"/>
              <w:jc w:val="center"/>
              <w:rPr>
                <w:sz w:val="18"/>
                <w:szCs w:val="18"/>
              </w:rPr>
            </w:pPr>
            <w:r>
              <w:rPr>
                <w:sz w:val="18"/>
                <w:szCs w:val="18"/>
              </w:rPr>
              <w:t>$</w:t>
            </w:r>
            <w:r w:rsidR="00865A93">
              <w:rPr>
                <w:sz w:val="18"/>
                <w:szCs w:val="18"/>
              </w:rPr>
              <w:t>2,685</w:t>
            </w:r>
            <w:r w:rsidR="00F34717">
              <w:rPr>
                <w:sz w:val="18"/>
                <w:szCs w:val="18"/>
              </w:rPr>
              <w:t>.00</w:t>
            </w:r>
          </w:p>
          <w:p w:rsidRPr="005E399C" w:rsidR="00E8662C" w:rsidP="00533280" w:rsidRDefault="00E8662C">
            <w:pPr>
              <w:jc w:val="center"/>
              <w:rPr>
                <w:sz w:val="18"/>
                <w:szCs w:val="18"/>
              </w:rPr>
            </w:pPr>
          </w:p>
          <w:p w:rsidRPr="005E399C" w:rsidR="00E8662C" w:rsidP="00533280" w:rsidRDefault="00E8662C">
            <w:pPr>
              <w:jc w:val="center"/>
              <w:rPr>
                <w:sz w:val="18"/>
                <w:szCs w:val="18"/>
              </w:rPr>
            </w:pPr>
          </w:p>
          <w:p w:rsidRPr="005E399C" w:rsidR="00E8662C" w:rsidP="00533280" w:rsidRDefault="00E8662C">
            <w:pPr>
              <w:rPr>
                <w:sz w:val="18"/>
                <w:szCs w:val="18"/>
              </w:rPr>
            </w:pPr>
          </w:p>
        </w:tc>
      </w:tr>
    </w:tbl>
    <w:p w:rsidR="00E608FB" w:rsidP="00E608FB" w:rsidRDefault="00F34717">
      <w:pPr>
        <w:spacing w:before="240"/>
        <w:ind w:left="630"/>
      </w:pPr>
      <w:r>
        <w:tab/>
        <w:t>The cost to the respondent is $</w:t>
      </w:r>
      <w:r w:rsidR="00865A93">
        <w:t>2,685</w:t>
      </w:r>
      <w:r>
        <w:t>.00</w:t>
      </w:r>
      <w:r w:rsidR="00E608FB">
        <w:br/>
      </w:r>
    </w:p>
    <w:p w:rsidR="00153A8B" w:rsidP="003F58AC" w:rsidRDefault="003F58AC">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 xml:space="preserve">keepers </w:t>
      </w:r>
      <w:r w:rsidR="00153A8B">
        <w:t xml:space="preserve"> </w:t>
      </w:r>
    </w:p>
    <w:p w:rsidR="00153A8B" w:rsidP="003F58AC" w:rsidRDefault="00153A8B">
      <w:pPr>
        <w:pStyle w:val="ListParagraph"/>
        <w:shd w:val="pct25" w:color="auto" w:fill="auto"/>
        <w:tabs>
          <w:tab w:val="left" w:pos="-720"/>
        </w:tabs>
        <w:suppressAutoHyphens/>
        <w:ind w:left="0"/>
      </w:pPr>
      <w:r>
        <w:t xml:space="preserve">        </w:t>
      </w:r>
      <w:r w:rsidRPr="00741061" w:rsidR="003F58AC">
        <w:t xml:space="preserve">resulting from the collection of information.  (Do not include the cost of any hour burden </w:t>
      </w:r>
      <w:r>
        <w:t xml:space="preserve">  </w:t>
      </w:r>
    </w:p>
    <w:p w:rsidRPr="00741061" w:rsidR="003F58AC" w:rsidP="003F58AC" w:rsidRDefault="00153A8B">
      <w:pPr>
        <w:pStyle w:val="ListParagraph"/>
        <w:shd w:val="pct25" w:color="auto" w:fill="auto"/>
        <w:tabs>
          <w:tab w:val="left" w:pos="-720"/>
        </w:tabs>
        <w:suppressAutoHyphens/>
        <w:ind w:left="0"/>
      </w:pPr>
      <w:r>
        <w:t xml:space="preserve">        </w:t>
      </w:r>
      <w:r w:rsidRPr="00741061" w:rsidR="003F58AC">
        <w:t>shown in Items 12 and 14.)</w:t>
      </w:r>
    </w:p>
    <w:p w:rsidRPr="00741061" w:rsidR="003F58AC" w:rsidP="003F58AC" w:rsidRDefault="003F58AC">
      <w:pPr>
        <w:pStyle w:val="ListParagraph"/>
        <w:shd w:val="pct25" w:color="auto" w:fill="auto"/>
        <w:tabs>
          <w:tab w:val="left" w:pos="-720"/>
        </w:tabs>
        <w:suppressAutoHyphens/>
        <w:ind w:left="0"/>
      </w:pPr>
    </w:p>
    <w:p w:rsidRPr="00741061" w:rsidR="003F58AC" w:rsidP="00153A8B" w:rsidRDefault="003F58AC">
      <w:pPr>
        <w:pStyle w:val="ListParagraph"/>
        <w:shd w:val="pct25" w:color="auto" w:fill="auto"/>
        <w:tabs>
          <w:tab w:val="left" w:pos="-720"/>
          <w:tab w:val="left" w:pos="810"/>
        </w:tabs>
        <w:suppressAutoHyphens/>
        <w:ind w:left="0"/>
      </w:pPr>
      <w:r w:rsidRPr="00741061">
        <w:t>The cost estimate should be split into two components</w:t>
      </w:r>
      <w:proofErr w:type="gramStart"/>
      <w:r w:rsidRPr="00741061">
        <w:t>:  (</w:t>
      </w:r>
      <w:proofErr w:type="gramEnd"/>
      <w:r w:rsidRPr="00741061">
        <w:t xml:space="preserve">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3F58AC" w:rsidP="00153A8B" w:rsidRDefault="003F58AC">
      <w:pPr>
        <w:pStyle w:val="ListParagraph"/>
        <w:shd w:val="pct25" w:color="auto" w:fill="FFFFFF"/>
        <w:tabs>
          <w:tab w:val="left" w:pos="-720"/>
        </w:tabs>
        <w:suppressAutoHyphens/>
        <w:ind w:left="0"/>
      </w:pPr>
    </w:p>
    <w:p w:rsidRPr="00741061" w:rsidR="003F58AC" w:rsidP="00153A8B" w:rsidRDefault="003F58AC">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3F58AC" w:rsidP="00153A8B" w:rsidRDefault="003F58AC">
      <w:pPr>
        <w:pStyle w:val="ListParagraph"/>
        <w:shd w:val="pct25" w:color="auto" w:fill="FFFFFF"/>
        <w:tabs>
          <w:tab w:val="left" w:pos="-720"/>
        </w:tabs>
        <w:suppressAutoHyphens/>
        <w:ind w:left="0"/>
      </w:pPr>
    </w:p>
    <w:p w:rsidRPr="00741061" w:rsidR="003F58AC" w:rsidP="00153A8B" w:rsidRDefault="003F58AC">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3F58AC" w:rsidP="003F58AC" w:rsidRDefault="003F58AC">
      <w:pPr>
        <w:ind w:left="720"/>
      </w:pPr>
    </w:p>
    <w:p w:rsidR="003F58AC" w:rsidP="003F58AC" w:rsidRDefault="00E608FB">
      <w:pPr>
        <w:ind w:left="720"/>
      </w:pPr>
      <w:r>
        <w:t>There is no change in the respondent burden</w:t>
      </w:r>
      <w:r w:rsidR="00080142">
        <w:t>.</w:t>
      </w:r>
    </w:p>
    <w:p w:rsidR="00E8662C" w:rsidP="0046619D" w:rsidRDefault="00E8662C"/>
    <w:p w:rsidR="00153A8B" w:rsidP="0046619D" w:rsidRDefault="003F58AC">
      <w:pPr>
        <w:shd w:val="pct25" w:color="auto" w:fill="auto"/>
        <w:tabs>
          <w:tab w:val="left" w:pos="-720"/>
        </w:tabs>
        <w:suppressAutoHyphens/>
      </w:pPr>
      <w:r w:rsidRPr="00741061">
        <w:t xml:space="preserve">14.  Provide estimates of annualized cost to the Federal Government.  Also, provide a description </w:t>
      </w:r>
    </w:p>
    <w:p w:rsidR="00153A8B" w:rsidP="0046619D" w:rsidRDefault="00153A8B">
      <w:pPr>
        <w:shd w:val="pct25" w:color="auto" w:fill="auto"/>
        <w:tabs>
          <w:tab w:val="left" w:pos="-720"/>
        </w:tabs>
        <w:suppressAutoHyphens/>
      </w:pPr>
      <w:r>
        <w:t xml:space="preserve">       </w:t>
      </w:r>
      <w:r w:rsidRPr="00741061" w:rsidR="003F58AC">
        <w:t xml:space="preserve">of the method used to estimate cost, which should include quantification of hours, </w:t>
      </w:r>
      <w:r>
        <w:t xml:space="preserve">        </w:t>
      </w:r>
    </w:p>
    <w:p w:rsidR="00153A8B" w:rsidP="0046619D" w:rsidRDefault="00153A8B">
      <w:pPr>
        <w:shd w:val="pct25" w:color="auto" w:fill="auto"/>
        <w:tabs>
          <w:tab w:val="left" w:pos="-720"/>
        </w:tabs>
        <w:suppressAutoHyphens/>
      </w:pPr>
      <w:r>
        <w:t xml:space="preserve">       </w:t>
      </w:r>
      <w:r w:rsidRPr="00741061" w:rsidR="003F58AC">
        <w:t xml:space="preserve">operational expenses (such as equipment, overhead, printing and support staff), and any </w:t>
      </w:r>
    </w:p>
    <w:p w:rsidR="00153A8B" w:rsidP="0046619D" w:rsidRDefault="00153A8B">
      <w:pPr>
        <w:shd w:val="pct25" w:color="auto" w:fill="auto"/>
        <w:tabs>
          <w:tab w:val="left" w:pos="-720"/>
        </w:tabs>
        <w:suppressAutoHyphens/>
      </w:pPr>
      <w:r>
        <w:t xml:space="preserve">       </w:t>
      </w:r>
      <w:r w:rsidRPr="00741061" w:rsidR="003F58AC">
        <w:t xml:space="preserve">other expense that would have been incurred without this collection of information.   You </w:t>
      </w:r>
    </w:p>
    <w:p w:rsidR="003F58AC" w:rsidP="0046619D" w:rsidRDefault="00153A8B">
      <w:pPr>
        <w:shd w:val="pct25" w:color="auto" w:fill="auto"/>
        <w:tabs>
          <w:tab w:val="left" w:pos="-720"/>
        </w:tabs>
        <w:suppressAutoHyphens/>
      </w:pPr>
      <w:r>
        <w:t xml:space="preserve">       </w:t>
      </w:r>
      <w:r w:rsidRPr="00741061" w:rsidR="003F58AC">
        <w:t>may also aggregate cost estimates for Items 12,</w:t>
      </w:r>
      <w:r w:rsidR="0046619D">
        <w:t xml:space="preserve"> 13, and 14 in a single table.</w:t>
      </w:r>
    </w:p>
    <w:p w:rsidR="00172EC0" w:rsidP="00172EC0" w:rsidRDefault="00172EC0">
      <w:r>
        <w:lastRenderedPageBreak/>
        <w:t xml:space="preserve">     </w:t>
      </w:r>
      <w:r>
        <w:tab/>
        <w:t xml:space="preserve"> </w:t>
      </w:r>
      <w:r>
        <w:t xml:space="preserve">The annualized cost to the Federal government is $30,760.  This cost was determined by </w:t>
      </w:r>
    </w:p>
    <w:p w:rsidR="00E608FB" w:rsidP="00172EC0" w:rsidRDefault="00172EC0">
      <w:r>
        <w:t xml:space="preserve">      </w:t>
      </w:r>
      <w:r>
        <w:tab/>
        <w:t xml:space="preserve"> </w:t>
      </w:r>
      <w:r>
        <w:t>employee salary hours devoted to the program, forms cost, and overhead.</w:t>
      </w:r>
      <w:r w:rsidR="003F58AC">
        <w:br/>
      </w:r>
    </w:p>
    <w:p w:rsidR="00153A8B" w:rsidP="003F58AC" w:rsidRDefault="003F58AC">
      <w:pPr>
        <w:pStyle w:val="ListParagraph"/>
        <w:shd w:val="pct25" w:color="auto" w:fill="auto"/>
        <w:tabs>
          <w:tab w:val="left" w:pos="-720"/>
        </w:tabs>
        <w:suppressAutoHyphens/>
        <w:ind w:left="0"/>
      </w:pPr>
      <w:r w:rsidRPr="00741061">
        <w:t xml:space="preserve">15.  Explain the reasons for any program changes or adjustments reported in Items 13 or 14 of </w:t>
      </w:r>
    </w:p>
    <w:p w:rsidR="00153A8B" w:rsidP="003F58AC" w:rsidRDefault="00153A8B">
      <w:pPr>
        <w:pStyle w:val="ListParagraph"/>
        <w:shd w:val="pct25" w:color="auto" w:fill="auto"/>
        <w:tabs>
          <w:tab w:val="left" w:pos="-720"/>
        </w:tabs>
        <w:suppressAutoHyphens/>
        <w:ind w:left="0"/>
      </w:pPr>
      <w:r>
        <w:t xml:space="preserve">       </w:t>
      </w:r>
      <w:r w:rsidRPr="00741061" w:rsidR="003F58AC">
        <w:t xml:space="preserve">the OMB Form 83-I.  Changes in hour burden, i.e., program changes or adjustments made to </w:t>
      </w:r>
      <w:r>
        <w:t xml:space="preserve"> </w:t>
      </w:r>
    </w:p>
    <w:p w:rsidR="00153A8B" w:rsidP="003F58AC" w:rsidRDefault="00153A8B">
      <w:pPr>
        <w:pStyle w:val="ListParagraph"/>
        <w:shd w:val="pct25" w:color="auto" w:fill="auto"/>
        <w:tabs>
          <w:tab w:val="left" w:pos="-720"/>
        </w:tabs>
        <w:suppressAutoHyphens/>
        <w:ind w:left="0"/>
      </w:pPr>
      <w:r>
        <w:t xml:space="preserve">       </w:t>
      </w:r>
      <w:r w:rsidRPr="00741061" w:rsidR="003F58AC">
        <w:t xml:space="preserve">annual reporting and recordkeeping </w:t>
      </w:r>
      <w:r w:rsidRPr="00A10BE7" w:rsidR="003F58AC">
        <w:rPr>
          <w:b/>
        </w:rPr>
        <w:t>hour</w:t>
      </w:r>
      <w:r w:rsidRPr="00741061" w:rsidR="003F58AC">
        <w:t xml:space="preserve"> and </w:t>
      </w:r>
      <w:r w:rsidRPr="00A10BE7" w:rsidR="003F58AC">
        <w:rPr>
          <w:b/>
        </w:rPr>
        <w:t>cost</w:t>
      </w:r>
      <w:r w:rsidRPr="00741061" w:rsidR="003F58AC">
        <w:t xml:space="preserve"> burden.  A program change is the result </w:t>
      </w:r>
    </w:p>
    <w:p w:rsidR="00153A8B" w:rsidP="003F58AC" w:rsidRDefault="00153A8B">
      <w:pPr>
        <w:pStyle w:val="ListParagraph"/>
        <w:shd w:val="pct25" w:color="auto" w:fill="auto"/>
        <w:tabs>
          <w:tab w:val="left" w:pos="-720"/>
        </w:tabs>
        <w:suppressAutoHyphens/>
        <w:ind w:left="0"/>
      </w:pPr>
      <w:r>
        <w:t xml:space="preserve">       </w:t>
      </w:r>
      <w:r w:rsidRPr="00741061" w:rsidR="003F58AC">
        <w:t xml:space="preserve">of deliberate Federal government action.  All new collections and any subsequent revisions </w:t>
      </w:r>
      <w:r>
        <w:t xml:space="preserve">  </w:t>
      </w:r>
    </w:p>
    <w:p w:rsidR="00153A8B" w:rsidP="003F58AC" w:rsidRDefault="00153A8B">
      <w:pPr>
        <w:pStyle w:val="ListParagraph"/>
        <w:shd w:val="pct25" w:color="auto" w:fill="auto"/>
        <w:tabs>
          <w:tab w:val="left" w:pos="-720"/>
        </w:tabs>
        <w:suppressAutoHyphens/>
        <w:ind w:left="0"/>
      </w:pPr>
      <w:r>
        <w:t xml:space="preserve">       </w:t>
      </w:r>
      <w:r w:rsidRPr="00741061" w:rsidR="003F58AC">
        <w:t xml:space="preserve">of existing collections (e.g., the addition or deletion of questions) are recorded as program </w:t>
      </w:r>
      <w:r>
        <w:t xml:space="preserve">  </w:t>
      </w:r>
    </w:p>
    <w:p w:rsidR="00153A8B" w:rsidP="003F58AC" w:rsidRDefault="00153A8B">
      <w:pPr>
        <w:pStyle w:val="ListParagraph"/>
        <w:shd w:val="pct25" w:color="auto" w:fill="auto"/>
        <w:tabs>
          <w:tab w:val="left" w:pos="-720"/>
        </w:tabs>
        <w:suppressAutoHyphens/>
        <w:ind w:left="0"/>
      </w:pPr>
      <w:r>
        <w:t xml:space="preserve">      </w:t>
      </w:r>
      <w:r w:rsidRPr="00741061" w:rsidR="003F58AC">
        <w:t xml:space="preserve">changes.  An adjustment is a change that is not the result of a deliberate Federal government </w:t>
      </w:r>
    </w:p>
    <w:p w:rsidR="00153A8B" w:rsidP="003F58AC" w:rsidRDefault="00153A8B">
      <w:pPr>
        <w:pStyle w:val="ListParagraph"/>
        <w:shd w:val="pct25" w:color="auto" w:fill="auto"/>
        <w:tabs>
          <w:tab w:val="left" w:pos="-720"/>
        </w:tabs>
        <w:suppressAutoHyphens/>
        <w:ind w:left="0"/>
      </w:pPr>
      <w:r>
        <w:t xml:space="preserve">      </w:t>
      </w:r>
      <w:r w:rsidRPr="00741061" w:rsidR="003F58AC">
        <w:t xml:space="preserve">action.  These changes that result from new estimates or actions not controllable by the </w:t>
      </w:r>
      <w:r>
        <w:t xml:space="preserve"> </w:t>
      </w:r>
    </w:p>
    <w:p w:rsidRPr="00741061" w:rsidR="003F58AC" w:rsidP="003F58AC" w:rsidRDefault="00153A8B">
      <w:pPr>
        <w:pStyle w:val="ListParagraph"/>
        <w:shd w:val="pct25" w:color="auto" w:fill="auto"/>
        <w:tabs>
          <w:tab w:val="left" w:pos="-720"/>
        </w:tabs>
        <w:suppressAutoHyphens/>
        <w:ind w:left="0"/>
      </w:pPr>
      <w:r>
        <w:t xml:space="preserve">      </w:t>
      </w:r>
      <w:r w:rsidRPr="00741061" w:rsidR="003F58AC">
        <w:t xml:space="preserve">Federal government are recorded as adjustments. </w:t>
      </w:r>
    </w:p>
    <w:p w:rsidR="003F58AC" w:rsidP="003F58AC" w:rsidRDefault="003F58AC">
      <w:pPr>
        <w:ind w:left="720"/>
      </w:pPr>
    </w:p>
    <w:p w:rsidR="00E608FB" w:rsidP="00153A8B" w:rsidRDefault="00153A8B">
      <w:r>
        <w:t xml:space="preserve">      </w:t>
      </w:r>
      <w:r w:rsidR="00172EC0">
        <w:tab/>
      </w:r>
      <w:r w:rsidR="003F58AC">
        <w:t>There are no new changes.</w:t>
      </w:r>
      <w:r w:rsidR="00E608FB">
        <w:br/>
      </w:r>
    </w:p>
    <w:p w:rsidR="00153A8B" w:rsidP="003F58AC" w:rsidRDefault="003F58AC">
      <w:pPr>
        <w:pStyle w:val="ListParagraph"/>
        <w:shd w:val="pct25" w:color="auto" w:fill="auto"/>
        <w:tabs>
          <w:tab w:val="left" w:pos="-720"/>
        </w:tabs>
        <w:suppressAutoHyphens/>
        <w:ind w:left="0"/>
      </w:pPr>
      <w:r w:rsidRPr="00741061">
        <w:t xml:space="preserve">16.  For collections of information whose results will be published, outline plans for tabulation </w:t>
      </w:r>
    </w:p>
    <w:p w:rsidR="00153A8B" w:rsidP="003F58AC" w:rsidRDefault="00153A8B">
      <w:pPr>
        <w:pStyle w:val="ListParagraph"/>
        <w:shd w:val="pct25" w:color="auto" w:fill="auto"/>
        <w:tabs>
          <w:tab w:val="left" w:pos="-720"/>
        </w:tabs>
        <w:suppressAutoHyphens/>
        <w:ind w:left="0"/>
      </w:pPr>
      <w:r>
        <w:t xml:space="preserve">       </w:t>
      </w:r>
      <w:r w:rsidRPr="00741061" w:rsidR="003F58AC">
        <w:t xml:space="preserve">and publication.  Address any complex analytical techniques that will be used.  Provide the </w:t>
      </w:r>
      <w:r>
        <w:t xml:space="preserve"> </w:t>
      </w:r>
    </w:p>
    <w:p w:rsidR="00153A8B" w:rsidP="003F58AC" w:rsidRDefault="00153A8B">
      <w:pPr>
        <w:pStyle w:val="ListParagraph"/>
        <w:shd w:val="pct25" w:color="auto" w:fill="auto"/>
        <w:tabs>
          <w:tab w:val="left" w:pos="-720"/>
        </w:tabs>
        <w:suppressAutoHyphens/>
        <w:ind w:left="0"/>
      </w:pPr>
      <w:r>
        <w:t xml:space="preserve">       </w:t>
      </w:r>
      <w:r w:rsidRPr="00741061" w:rsidR="003F58AC">
        <w:t xml:space="preserve">time schedule for the entire project, including beginning and ending dates of the collection </w:t>
      </w:r>
    </w:p>
    <w:p w:rsidRPr="00741061" w:rsidR="003F58AC" w:rsidP="003F58AC" w:rsidRDefault="00153A8B">
      <w:pPr>
        <w:pStyle w:val="ListParagraph"/>
        <w:shd w:val="pct25" w:color="auto" w:fill="auto"/>
        <w:tabs>
          <w:tab w:val="left" w:pos="-720"/>
        </w:tabs>
        <w:suppressAutoHyphens/>
        <w:ind w:left="0"/>
      </w:pPr>
      <w:r>
        <w:t xml:space="preserve">       </w:t>
      </w:r>
      <w:r w:rsidRPr="00741061" w:rsidR="003F58AC">
        <w:t xml:space="preserve">of information, completion of report, publication dates, and other actions. </w:t>
      </w:r>
    </w:p>
    <w:p w:rsidR="003F58AC" w:rsidP="003F58AC" w:rsidRDefault="003F58AC">
      <w:pPr>
        <w:ind w:left="720"/>
      </w:pPr>
    </w:p>
    <w:p w:rsidR="003F58AC" w:rsidP="00153A8B" w:rsidRDefault="00153A8B">
      <w:r>
        <w:t xml:space="preserve">     </w:t>
      </w:r>
      <w:r w:rsidR="00172EC0">
        <w:tab/>
      </w:r>
      <w:r>
        <w:t xml:space="preserve"> </w:t>
      </w:r>
      <w:r w:rsidR="00E608FB">
        <w:t>The results of this collection are not published.</w:t>
      </w:r>
    </w:p>
    <w:p w:rsidR="003F58AC" w:rsidP="003F58AC" w:rsidRDefault="003F58AC"/>
    <w:p w:rsidR="00153A8B" w:rsidP="003F58AC" w:rsidRDefault="003F58AC">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r w:rsidR="00153A8B">
        <w:t xml:space="preserve">  </w:t>
      </w:r>
    </w:p>
    <w:p w:rsidRPr="00741061" w:rsidR="003F58AC" w:rsidP="003F58AC" w:rsidRDefault="00153A8B">
      <w:pPr>
        <w:pStyle w:val="ListParagraph"/>
        <w:shd w:val="pct25" w:color="auto" w:fill="auto"/>
        <w:tabs>
          <w:tab w:val="left" w:pos="-720"/>
        </w:tabs>
        <w:suppressAutoHyphens/>
        <w:ind w:left="0"/>
      </w:pPr>
      <w:r>
        <w:t xml:space="preserve">      </w:t>
      </w:r>
      <w:proofErr w:type="gramStart"/>
      <w:r w:rsidRPr="00741061" w:rsidR="003F58AC">
        <w:t>collection,</w:t>
      </w:r>
      <w:proofErr w:type="gramEnd"/>
      <w:r w:rsidRPr="00741061" w:rsidR="003F58AC">
        <w:t xml:space="preserve"> explain reasons that display would be inappropriate.</w:t>
      </w:r>
    </w:p>
    <w:p w:rsidR="00722E71" w:rsidP="00172EC0" w:rsidRDefault="00E608FB">
      <w:pPr>
        <w:ind w:left="720"/>
      </w:pPr>
      <w:r>
        <w:br/>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 The results of this collection are not published.</w:t>
      </w:r>
    </w:p>
    <w:p w:rsidR="003F58AC" w:rsidP="003F58AC" w:rsidRDefault="003F58AC">
      <w:pPr>
        <w:ind w:left="360"/>
      </w:pPr>
    </w:p>
    <w:p w:rsidRPr="00741061" w:rsidR="003F58AC" w:rsidP="003F58AC" w:rsidRDefault="003F58AC">
      <w:pPr>
        <w:pStyle w:val="ListParagraph"/>
        <w:shd w:val="pct25" w:color="auto" w:fill="auto"/>
        <w:tabs>
          <w:tab w:val="left" w:pos="-720"/>
        </w:tabs>
        <w:suppressAutoHyphens/>
        <w:ind w:left="0"/>
      </w:pPr>
      <w:r w:rsidRPr="00741061">
        <w:lastRenderedPageBreak/>
        <w:t xml:space="preserve">18.  Explain each exception to the certification statement identified in Item 19 “Certification for </w:t>
      </w:r>
      <w:r w:rsidR="00153A8B">
        <w:br/>
        <w:t xml:space="preserve">       </w:t>
      </w:r>
      <w:r w:rsidRPr="00741061">
        <w:t>Paperwork Reduction Act Submissions,” of OMB Form 83-I.</w:t>
      </w:r>
    </w:p>
    <w:p w:rsidR="00E608FB" w:rsidP="00CE7959" w:rsidRDefault="00CE7959">
      <w:pPr>
        <w:spacing w:before="240"/>
      </w:pPr>
      <w:r>
        <w:t xml:space="preserve">       </w:t>
      </w:r>
      <w:r w:rsidR="00172EC0">
        <w:tab/>
      </w:r>
      <w:bookmarkStart w:name="_GoBack" w:id="0"/>
      <w:bookmarkEnd w:id="0"/>
      <w:r>
        <w:t xml:space="preserve"> </w:t>
      </w:r>
      <w:r w:rsidR="00E608FB">
        <w:t>There are no exceptions to the certification statement.</w:t>
      </w:r>
    </w:p>
    <w:p w:rsidRPr="00E608FB" w:rsidR="00E608FB" w:rsidP="00E608FB" w:rsidRDefault="00E608FB">
      <w:pPr>
        <w:ind w:left="810"/>
        <w:rPr>
          <w:b/>
        </w:rPr>
      </w:pPr>
    </w:p>
    <w:p w:rsidR="00B86F4F" w:rsidP="00B86F4F" w:rsidRDefault="00B86F4F"/>
    <w:p w:rsidRPr="00B86F4F" w:rsidR="00E57DD5" w:rsidP="00E57DD5" w:rsidRDefault="00E57DD5"/>
    <w:p w:rsidRPr="00B86F4F" w:rsidR="00722E71" w:rsidP="00E57DD5" w:rsidRDefault="00722E71">
      <w:pPr>
        <w:rPr>
          <w:b/>
        </w:rPr>
      </w:pPr>
      <w:r w:rsidRPr="00B86F4F">
        <w:t xml:space="preserve"> </w:t>
      </w:r>
    </w:p>
    <w:p w:rsidRPr="00B86F4F" w:rsidR="00AE70B8" w:rsidP="00722E71" w:rsidRDefault="00AE70B8">
      <w:pPr>
        <w:ind w:firstLine="360"/>
        <w:rPr>
          <w:b/>
        </w:rPr>
      </w:pPr>
    </w:p>
    <w:sectPr w:rsidRPr="00B86F4F" w:rsidR="00AE70B8" w:rsidSect="00393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602A"/>
    <w:multiLevelType w:val="hybridMultilevel"/>
    <w:tmpl w:val="00EC98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B446983"/>
    <w:multiLevelType w:val="hybridMultilevel"/>
    <w:tmpl w:val="25A0E74A"/>
    <w:lvl w:ilvl="0" w:tplc="F1C80A7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675A3"/>
    <w:multiLevelType w:val="hybridMultilevel"/>
    <w:tmpl w:val="9FD65E7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1E1DA4"/>
    <w:multiLevelType w:val="hybridMultilevel"/>
    <w:tmpl w:val="A3B84D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162545E"/>
    <w:multiLevelType w:val="hybridMultilevel"/>
    <w:tmpl w:val="A5F63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D56740"/>
    <w:multiLevelType w:val="hybridMultilevel"/>
    <w:tmpl w:val="8884C67C"/>
    <w:lvl w:ilvl="0" w:tplc="F1C80A7E">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EC271A1"/>
    <w:multiLevelType w:val="multilevel"/>
    <w:tmpl w:val="D7DA742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822677D"/>
    <w:multiLevelType w:val="hybridMultilevel"/>
    <w:tmpl w:val="EBCC8D8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495E1E"/>
    <w:multiLevelType w:val="hybridMultilevel"/>
    <w:tmpl w:val="D8BA08E8"/>
    <w:lvl w:ilvl="0" w:tplc="F1C80A7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1E19A2"/>
    <w:multiLevelType w:val="hybridMultilevel"/>
    <w:tmpl w:val="091240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286DF4"/>
    <w:multiLevelType w:val="hybridMultilevel"/>
    <w:tmpl w:val="9EC43174"/>
    <w:lvl w:ilvl="0" w:tplc="AA0E762A">
      <w:start w:val="1"/>
      <w:numFmt w:val="decimal"/>
      <w:lvlText w:val="%1."/>
      <w:lvlJc w:val="left"/>
      <w:pPr>
        <w:tabs>
          <w:tab w:val="num" w:pos="810"/>
        </w:tabs>
        <w:ind w:left="810" w:hanging="360"/>
      </w:pPr>
      <w:rPr>
        <w:b w:val="0"/>
        <w:sz w:val="24"/>
        <w:szCs w:val="24"/>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pStyle w:val="Normal"/>
      <w:lvlText w:val="%2."/>
      <w:lvlJc w:val="left"/>
      <w:pPr>
        <w:tabs>
          <w:tab w:val="num" w:pos="1440"/>
        </w:tabs>
        <w:ind w:left="1440" w:hanging="360"/>
      </w:pPr>
      <w:rPr>
        <w:b w:val="0"/>
      </w:r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num w:numId="1">
    <w:abstractNumId w:val="9"/>
  </w:num>
  <w:num w:numId="2">
    <w:abstractNumId w:val="3"/>
  </w:num>
  <w:num w:numId="3">
    <w:abstractNumId w:val="2"/>
  </w:num>
  <w:num w:numId="4">
    <w:abstractNumId w:val="7"/>
  </w:num>
  <w:num w:numId="5">
    <w:abstractNumId w:val="10"/>
  </w:num>
  <w:num w:numId="6">
    <w:abstractNumId w:val="6"/>
  </w:num>
  <w:num w:numId="7">
    <w:abstractNumId w:val="0"/>
  </w:num>
  <w:num w:numId="8">
    <w:abstractNumId w:val="4"/>
  </w:num>
  <w:num w:numId="9">
    <w:abstractNumId w:val="5"/>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0D82"/>
    <w:rsid w:val="00080142"/>
    <w:rsid w:val="000A6AA2"/>
    <w:rsid w:val="000C707B"/>
    <w:rsid w:val="0015325A"/>
    <w:rsid w:val="00153A8B"/>
    <w:rsid w:val="00155BB1"/>
    <w:rsid w:val="00172EC0"/>
    <w:rsid w:val="001A5B81"/>
    <w:rsid w:val="001F3D16"/>
    <w:rsid w:val="00242DA7"/>
    <w:rsid w:val="00330B8E"/>
    <w:rsid w:val="0036621D"/>
    <w:rsid w:val="003939CC"/>
    <w:rsid w:val="003F58AC"/>
    <w:rsid w:val="00403EFE"/>
    <w:rsid w:val="00440C2C"/>
    <w:rsid w:val="0045632D"/>
    <w:rsid w:val="0046619D"/>
    <w:rsid w:val="00471228"/>
    <w:rsid w:val="004872E9"/>
    <w:rsid w:val="004E5197"/>
    <w:rsid w:val="004F0D82"/>
    <w:rsid w:val="00524790"/>
    <w:rsid w:val="00533280"/>
    <w:rsid w:val="006676C5"/>
    <w:rsid w:val="006B2823"/>
    <w:rsid w:val="006B2B7C"/>
    <w:rsid w:val="006D7C23"/>
    <w:rsid w:val="00722E71"/>
    <w:rsid w:val="007318F2"/>
    <w:rsid w:val="00745315"/>
    <w:rsid w:val="00745602"/>
    <w:rsid w:val="0076646D"/>
    <w:rsid w:val="00773964"/>
    <w:rsid w:val="0079366E"/>
    <w:rsid w:val="007E56E4"/>
    <w:rsid w:val="0083237C"/>
    <w:rsid w:val="00865A93"/>
    <w:rsid w:val="008E17E7"/>
    <w:rsid w:val="0093064D"/>
    <w:rsid w:val="00952EEF"/>
    <w:rsid w:val="00A522BD"/>
    <w:rsid w:val="00A7608B"/>
    <w:rsid w:val="00A97959"/>
    <w:rsid w:val="00AA2A88"/>
    <w:rsid w:val="00AE3735"/>
    <w:rsid w:val="00AE70B8"/>
    <w:rsid w:val="00B6222F"/>
    <w:rsid w:val="00B83541"/>
    <w:rsid w:val="00B86F4F"/>
    <w:rsid w:val="00BC3148"/>
    <w:rsid w:val="00BC39DF"/>
    <w:rsid w:val="00C1585D"/>
    <w:rsid w:val="00C15958"/>
    <w:rsid w:val="00C22F03"/>
    <w:rsid w:val="00C75D73"/>
    <w:rsid w:val="00C858CB"/>
    <w:rsid w:val="00CA009B"/>
    <w:rsid w:val="00CE7959"/>
    <w:rsid w:val="00D557DD"/>
    <w:rsid w:val="00D86F06"/>
    <w:rsid w:val="00DA059E"/>
    <w:rsid w:val="00DC421A"/>
    <w:rsid w:val="00DF1BE5"/>
    <w:rsid w:val="00E57DD5"/>
    <w:rsid w:val="00E608FB"/>
    <w:rsid w:val="00E8662C"/>
    <w:rsid w:val="00EB55E0"/>
    <w:rsid w:val="00EF6309"/>
    <w:rsid w:val="00F262F2"/>
    <w:rsid w:val="00F34717"/>
    <w:rsid w:val="00F87B45"/>
    <w:rsid w:val="00FA0BF2"/>
    <w:rsid w:val="00FA7F0F"/>
    <w:rsid w:val="00FC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C867FD"/>
  <w15:chartTrackingRefBased/>
  <w15:docId w15:val="{B5AEF48F-7C09-41AD-8729-8A3480CF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330B8E"/>
    <w:rPr>
      <w:rFonts w:ascii="Tahoma" w:hAnsi="Tahoma"/>
      <w:sz w:val="16"/>
      <w:szCs w:val="16"/>
      <w:lang w:val="x-none" w:eastAsia="x-none"/>
    </w:rPr>
  </w:style>
  <w:style w:type="character" w:customStyle="1" w:styleId="BalloonTextChar">
    <w:name w:val="Balloon Text Char"/>
    <w:link w:val="BalloonText"/>
    <w:uiPriority w:val="99"/>
    <w:semiHidden/>
    <w:rsid w:val="00330B8E"/>
    <w:rPr>
      <w:rFonts w:ascii="Tahoma" w:hAnsi="Tahoma" w:cs="Tahoma"/>
      <w:sz w:val="16"/>
      <w:szCs w:val="16"/>
    </w:rPr>
  </w:style>
  <w:style w:type="paragraph" w:styleId="ListParagraph">
    <w:name w:val="List Paragraph"/>
    <w:basedOn w:val="Normal"/>
    <w:uiPriority w:val="34"/>
    <w:qFormat/>
    <w:rsid w:val="00C75D73"/>
    <w:pPr>
      <w:ind w:left="720"/>
    </w:pPr>
  </w:style>
  <w:style w:type="paragraph" w:styleId="CommentText">
    <w:name w:val="annotation text"/>
    <w:basedOn w:val="Normal"/>
    <w:link w:val="CommentTextChar"/>
    <w:uiPriority w:val="99"/>
    <w:semiHidden/>
    <w:unhideWhenUsed/>
    <w:rsid w:val="00403EFE"/>
    <w:rPr>
      <w:sz w:val="20"/>
      <w:szCs w:val="20"/>
    </w:rPr>
  </w:style>
  <w:style w:type="character" w:customStyle="1" w:styleId="CommentTextChar">
    <w:name w:val="Comment Text Char"/>
    <w:basedOn w:val="DefaultParagraphFont"/>
    <w:link w:val="CommentText"/>
    <w:uiPriority w:val="99"/>
    <w:semiHidden/>
    <w:rsid w:val="0040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55349-4222-47E8-B23A-2B4E4319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OPM</dc:creator>
  <cp:keywords/>
  <cp:lastModifiedBy>Ikpe, Yvonne R.</cp:lastModifiedBy>
  <cp:revision>2</cp:revision>
  <cp:lastPrinted>2014-06-03T15:14:00Z</cp:lastPrinted>
  <dcterms:created xsi:type="dcterms:W3CDTF">2020-02-20T16:12:00Z</dcterms:created>
  <dcterms:modified xsi:type="dcterms:W3CDTF">2020-02-20T16:12:00Z</dcterms:modified>
</cp:coreProperties>
</file>