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01F29" w:rsidR="00F2501B" w:rsidP="00F2501B" w:rsidRDefault="00F2501B" w14:paraId="77D49469" w14:textId="2E252D4C">
      <w:pPr>
        <w:pStyle w:val="DocTitle-IPR"/>
        <w:spacing w:after="480"/>
      </w:pPr>
      <w:bookmarkStart w:name="_Hlk12990664" w:id="0"/>
      <w:r w:rsidRPr="00542621">
        <w:t xml:space="preserve">Appendix </w:t>
      </w:r>
      <w:r>
        <w:t>D</w:t>
      </w:r>
      <w:r w:rsidRPr="00542621">
        <w:t>.</w:t>
      </w:r>
      <w:r>
        <w:t xml:space="preserve"> Use of Incentives</w:t>
      </w:r>
      <w:r>
        <w:br/>
      </w:r>
    </w:p>
    <w:bookmarkEnd w:id="0"/>
    <w:p w:rsidRPr="00267BFC" w:rsidR="00F2501B" w:rsidP="00F2501B" w:rsidRDefault="00F2501B" w14:paraId="314E79E7" w14:textId="4B0C0A9C">
      <w:pPr>
        <w:spacing w:before="1440" w:after="1440"/>
        <w:jc w:val="center"/>
        <w:rPr>
          <w:rFonts w:ascii="Candara" w:hAnsi="Candara"/>
          <w:bCs/>
          <w:sz w:val="36"/>
          <w:szCs w:val="52"/>
        </w:rPr>
      </w:pPr>
      <w:r w:rsidRPr="00267BFC">
        <w:rPr>
          <w:rFonts w:ascii="Candara" w:hAnsi="Candara"/>
          <w:bCs/>
          <w:sz w:val="36"/>
          <w:szCs w:val="52"/>
        </w:rPr>
        <w:t xml:space="preserve">OMB No. </w:t>
      </w:r>
      <w:r w:rsidR="00202D95">
        <w:rPr>
          <w:rFonts w:ascii="Candara" w:hAnsi="Candara"/>
          <w:bCs/>
          <w:sz w:val="36"/>
          <w:szCs w:val="52"/>
        </w:rPr>
        <w:t>0584-</w:t>
      </w:r>
      <w:r w:rsidR="00432A3B">
        <w:rPr>
          <w:rFonts w:ascii="Candara" w:hAnsi="Candara"/>
          <w:bCs/>
          <w:sz w:val="36"/>
          <w:szCs w:val="52"/>
        </w:rPr>
        <w:t>XXX</w:t>
      </w:r>
      <w:r w:rsidR="00C336AD">
        <w:rPr>
          <w:rFonts w:ascii="Candara" w:hAnsi="Candara"/>
          <w:bCs/>
          <w:sz w:val="36"/>
          <w:szCs w:val="52"/>
        </w:rPr>
        <w:t>X</w:t>
      </w:r>
    </w:p>
    <w:p w:rsidR="00F2501B" w:rsidP="00F2501B" w:rsidRDefault="00F2501B" w14:paraId="2AA77334" w14:textId="77777777">
      <w:pPr>
        <w:spacing w:before="1440" w:after="1440"/>
        <w:jc w:val="center"/>
        <w:rPr>
          <w:rFonts w:ascii="Candara" w:hAnsi="Candara" w:cs="Lucida Sans Unicode"/>
          <w:i/>
          <w:sz w:val="36"/>
          <w:szCs w:val="36"/>
        </w:rPr>
      </w:pPr>
      <w:r w:rsidRPr="00482E62">
        <w:rPr>
          <w:rFonts w:ascii="Candara" w:hAnsi="Candara" w:cs="Lucida Sans Unicode"/>
          <w:i/>
          <w:sz w:val="36"/>
          <w:szCs w:val="36"/>
        </w:rPr>
        <w:t xml:space="preserve">Modernizing Channels of Communication </w:t>
      </w:r>
      <w:r>
        <w:rPr>
          <w:rFonts w:ascii="Candara" w:hAnsi="Candara" w:cs="Lucida Sans Unicode"/>
          <w:i/>
          <w:sz w:val="36"/>
          <w:szCs w:val="36"/>
        </w:rPr>
        <w:br/>
      </w:r>
      <w:r w:rsidRPr="00482E62">
        <w:rPr>
          <w:rFonts w:ascii="Candara" w:hAnsi="Candara" w:cs="Lucida Sans Unicode"/>
          <w:i/>
          <w:sz w:val="36"/>
          <w:szCs w:val="36"/>
        </w:rPr>
        <w:t>With SNAP Participants</w:t>
      </w:r>
      <w:r w:rsidRPr="003E79F5">
        <w:rPr>
          <w:rFonts w:ascii="Candara" w:hAnsi="Candara" w:cs="Lucida Sans Unicode"/>
          <w:i/>
          <w:sz w:val="36"/>
          <w:szCs w:val="36"/>
        </w:rPr>
        <w:t xml:space="preserve"> </w:t>
      </w:r>
    </w:p>
    <w:p w:rsidRPr="00E40F84" w:rsidR="00646E12" w:rsidP="00646E12" w:rsidRDefault="00646E12" w14:paraId="349CD61A" w14:textId="77777777">
      <w:pPr>
        <w:spacing w:before="1440" w:after="1440"/>
        <w:jc w:val="center"/>
        <w:rPr>
          <w:rFonts w:ascii="Calibri" w:hAnsi="Calibri" w:cs="Calibri"/>
        </w:rPr>
      </w:pPr>
      <w:r w:rsidRPr="00490AD7">
        <w:rPr>
          <w:rFonts w:ascii="Calibri" w:hAnsi="Calibri" w:cs="Calibri"/>
        </w:rPr>
        <w:t>March 2, 2020</w:t>
      </w:r>
    </w:p>
    <w:p w:rsidRPr="00E40F84" w:rsidR="00432A3B" w:rsidP="00432A3B" w:rsidRDefault="00432A3B" w14:paraId="0850A857" w14:textId="77777777">
      <w:pPr>
        <w:pStyle w:val="TableText-IPR"/>
        <w:spacing w:after="120"/>
        <w:jc w:val="center"/>
        <w:rPr>
          <w:rFonts w:cs="Calibri"/>
          <w:b/>
          <w:sz w:val="24"/>
          <w:szCs w:val="24"/>
        </w:rPr>
      </w:pPr>
      <w:bookmarkStart w:name="_GoBack" w:id="1"/>
      <w:bookmarkEnd w:id="1"/>
      <w:r w:rsidRPr="00E40F84">
        <w:rPr>
          <w:rFonts w:cs="Calibri"/>
          <w:b/>
          <w:sz w:val="24"/>
          <w:szCs w:val="24"/>
        </w:rPr>
        <w:t>Project Officer: Andrew Burns</w:t>
      </w:r>
    </w:p>
    <w:p w:rsidRPr="00E40F84" w:rsidR="00432A3B" w:rsidP="00432A3B" w:rsidRDefault="00432A3B" w14:paraId="1956D08C" w14:textId="77777777">
      <w:pPr>
        <w:pStyle w:val="TableText-IPR"/>
        <w:jc w:val="center"/>
        <w:rPr>
          <w:rFonts w:cs="Calibri"/>
          <w:sz w:val="22"/>
          <w:szCs w:val="24"/>
        </w:rPr>
      </w:pPr>
      <w:r w:rsidRPr="00E40F84">
        <w:rPr>
          <w:rFonts w:cs="Calibri"/>
          <w:sz w:val="22"/>
          <w:szCs w:val="24"/>
        </w:rPr>
        <w:t>Office of Policy Support</w:t>
      </w:r>
    </w:p>
    <w:p w:rsidRPr="00E40F84" w:rsidR="00432A3B" w:rsidP="00432A3B" w:rsidRDefault="00432A3B" w14:paraId="328B5484" w14:textId="77777777">
      <w:pPr>
        <w:pStyle w:val="TableText-IPR"/>
        <w:jc w:val="center"/>
        <w:rPr>
          <w:rFonts w:cs="Calibri"/>
          <w:sz w:val="22"/>
          <w:szCs w:val="24"/>
        </w:rPr>
      </w:pPr>
      <w:r w:rsidRPr="00E40F84">
        <w:rPr>
          <w:rFonts w:cs="Calibri"/>
          <w:sz w:val="22"/>
          <w:szCs w:val="24"/>
        </w:rPr>
        <w:t>Food and Nutrition Service</w:t>
      </w:r>
    </w:p>
    <w:p w:rsidRPr="00E40F84" w:rsidR="00432A3B" w:rsidP="00432A3B" w:rsidRDefault="00432A3B" w14:paraId="263614A3" w14:textId="77777777">
      <w:pPr>
        <w:pStyle w:val="TableText-IPR"/>
        <w:jc w:val="center"/>
        <w:rPr>
          <w:rFonts w:cs="Calibri"/>
          <w:sz w:val="22"/>
          <w:szCs w:val="24"/>
        </w:rPr>
      </w:pPr>
      <w:r w:rsidRPr="00E40F84">
        <w:rPr>
          <w:rFonts w:cs="Calibri"/>
          <w:sz w:val="22"/>
          <w:szCs w:val="24"/>
        </w:rPr>
        <w:t>U.S. Department of Agriculture</w:t>
      </w:r>
    </w:p>
    <w:p w:rsidRPr="00131B22" w:rsidR="00432A3B" w:rsidP="00432A3B" w:rsidRDefault="00432A3B" w14:paraId="03C26C0A" w14:textId="77777777">
      <w:pPr>
        <w:pStyle w:val="TableText-IPR"/>
        <w:jc w:val="center"/>
        <w:rPr>
          <w:rFonts w:cs="Calibri"/>
          <w:sz w:val="22"/>
          <w:szCs w:val="24"/>
        </w:rPr>
      </w:pPr>
      <w:r w:rsidRPr="00131B22">
        <w:rPr>
          <w:rFonts w:cs="Calibri"/>
          <w:sz w:val="22"/>
          <w:szCs w:val="24"/>
        </w:rPr>
        <w:t>1320 Braddock Place</w:t>
      </w:r>
    </w:p>
    <w:p w:rsidRPr="00E40F84" w:rsidR="00432A3B" w:rsidP="00432A3B" w:rsidRDefault="00432A3B" w14:paraId="54B75F4C" w14:textId="77777777">
      <w:pPr>
        <w:pStyle w:val="TableText-IPR"/>
        <w:jc w:val="center"/>
        <w:rPr>
          <w:rFonts w:cs="Calibri"/>
          <w:sz w:val="22"/>
          <w:szCs w:val="24"/>
        </w:rPr>
      </w:pPr>
      <w:r w:rsidRPr="00131B22">
        <w:rPr>
          <w:rFonts w:cs="Calibri"/>
          <w:sz w:val="22"/>
          <w:szCs w:val="24"/>
        </w:rPr>
        <w:t>Alexandria, VA  22314</w:t>
      </w:r>
    </w:p>
    <w:p w:rsidR="00B81332" w:rsidP="00B81332" w:rsidRDefault="00B81332" w14:paraId="41A4AC96" w14:textId="77777777">
      <w:pPr>
        <w:pStyle w:val="TableText-IPR"/>
        <w:jc w:val="center"/>
        <w:rPr>
          <w:rFonts w:cs="Calibri"/>
          <w:sz w:val="22"/>
        </w:rPr>
      </w:pPr>
      <w:bookmarkStart w:name="_Hlk32311459" w:id="2"/>
      <w:r>
        <w:rPr>
          <w:rFonts w:cs="Calibri"/>
          <w:sz w:val="22"/>
        </w:rPr>
        <w:t>703.305.1091</w:t>
      </w:r>
    </w:p>
    <w:p w:rsidR="00B81332" w:rsidP="00B81332" w:rsidRDefault="00B81332" w14:paraId="657DCEFB" w14:textId="77777777">
      <w:pPr>
        <w:pStyle w:val="TableText-IPR"/>
        <w:jc w:val="center"/>
        <w:rPr>
          <w:rFonts w:cs="Calibri"/>
          <w:sz w:val="22"/>
        </w:rPr>
      </w:pPr>
      <w:r>
        <w:rPr>
          <w:rFonts w:cs="Calibri"/>
          <w:sz w:val="22"/>
        </w:rPr>
        <w:t xml:space="preserve">Andrew.Burns@usda.gov </w:t>
      </w:r>
      <w:bookmarkEnd w:id="2"/>
    </w:p>
    <w:p w:rsidR="00C05E57" w:rsidP="00271D63" w:rsidRDefault="00C05E57" w14:paraId="6FFB8181" w14:textId="2825C37B">
      <w:pPr>
        <w:pStyle w:val="Body11ptCalibrDBi-IPR"/>
        <w:rPr>
          <w:rFonts w:eastAsiaTheme="minorEastAsia"/>
        </w:rPr>
        <w:sectPr w:rsidR="00C05E57" w:rsidSect="00C05E57">
          <w:pgSz w:w="12240" w:h="15840"/>
          <w:pgMar w:top="1440" w:right="1440" w:bottom="1440" w:left="1440" w:header="720" w:footer="720" w:gutter="0"/>
          <w:pgNumType w:start="1"/>
          <w:cols w:space="720"/>
          <w:docGrid w:linePitch="360"/>
        </w:sectPr>
      </w:pPr>
    </w:p>
    <w:p w:rsidR="006D38F0" w:rsidP="006D38F0" w:rsidRDefault="006D38F0" w14:paraId="68F5E35C" w14:textId="4FB33890">
      <w:pPr>
        <w:pStyle w:val="Heading1-IPR"/>
      </w:pPr>
      <w:r>
        <w:lastRenderedPageBreak/>
        <w:t xml:space="preserve">Overview of </w:t>
      </w:r>
      <w:r w:rsidR="001468F3">
        <w:t>Incentives</w:t>
      </w:r>
      <w:r>
        <w:t xml:space="preserve"> for the Study</w:t>
      </w:r>
    </w:p>
    <w:p w:rsidR="000171F1" w:rsidP="00C05E57" w:rsidRDefault="000171F1" w14:paraId="74583291" w14:textId="7CBE5F0E">
      <w:pPr>
        <w:pStyle w:val="BodyText-IPR"/>
      </w:pPr>
      <w:r>
        <w:t xml:space="preserve">Individuals currently participating in </w:t>
      </w:r>
      <w:r w:rsidR="00BC3A01">
        <w:t>the Supplemental Nutrition Assistance Program (</w:t>
      </w:r>
      <w:r w:rsidR="008D7BDE">
        <w:t>SNAP</w:t>
      </w:r>
      <w:r w:rsidR="00BC3A01">
        <w:t>)</w:t>
      </w:r>
      <w:r w:rsidR="008D7BDE">
        <w:t xml:space="preserve"> </w:t>
      </w:r>
      <w:r>
        <w:t xml:space="preserve">and </w:t>
      </w:r>
      <w:r w:rsidRPr="006D38F0" w:rsidR="00254F6F">
        <w:t xml:space="preserve">who </w:t>
      </w:r>
      <w:r>
        <w:t xml:space="preserve">participate in </w:t>
      </w:r>
      <w:r w:rsidRPr="006D38F0" w:rsidR="00254F6F">
        <w:t xml:space="preserve">a </w:t>
      </w:r>
      <w:r w:rsidR="008D58F1">
        <w:t>focus group</w:t>
      </w:r>
      <w:r w:rsidRPr="006D38F0" w:rsidR="00254F6F">
        <w:t xml:space="preserve"> for </w:t>
      </w:r>
      <w:r w:rsidR="00345EF5">
        <w:t xml:space="preserve">the </w:t>
      </w:r>
      <w:r w:rsidRPr="00345EF5" w:rsidR="00345EF5">
        <w:t>Modernizing Channels of Communication With SNAP Participants</w:t>
      </w:r>
      <w:r w:rsidRPr="006D38F0" w:rsidR="00254F6F">
        <w:t xml:space="preserve"> study will receive </w:t>
      </w:r>
      <w:r w:rsidR="00A0397C">
        <w:t xml:space="preserve">a </w:t>
      </w:r>
      <w:r w:rsidR="003B5361">
        <w:t xml:space="preserve">token of appreciation or incentives </w:t>
      </w:r>
      <w:r w:rsidR="00326B81">
        <w:t>to offset child care</w:t>
      </w:r>
      <w:r w:rsidR="003B5361">
        <w:t xml:space="preserve"> and travel costs</w:t>
      </w:r>
      <w:r w:rsidRPr="006D38F0" w:rsidR="003B5361">
        <w:t xml:space="preserve"> </w:t>
      </w:r>
      <w:r w:rsidRPr="006D38F0" w:rsidR="00254F6F">
        <w:t>in the form of a $</w:t>
      </w:r>
      <w:r w:rsidR="00752EC6">
        <w:t>4</w:t>
      </w:r>
      <w:r w:rsidR="00B81332">
        <w:t>5</w:t>
      </w:r>
      <w:r w:rsidRPr="006D38F0" w:rsidR="00254F6F">
        <w:t xml:space="preserve"> </w:t>
      </w:r>
      <w:r w:rsidR="006B330C">
        <w:t>Master</w:t>
      </w:r>
      <w:r w:rsidR="00C336AD">
        <w:t>card</w:t>
      </w:r>
      <w:r w:rsidR="006B330C">
        <w:t>, Visa, American Express or Discover</w:t>
      </w:r>
      <w:r w:rsidRPr="006D38F0" w:rsidR="006B330C">
        <w:t xml:space="preserve"> </w:t>
      </w:r>
      <w:r w:rsidRPr="006D38F0" w:rsidR="00254F6F">
        <w:t xml:space="preserve">gift card. </w:t>
      </w:r>
      <w:r w:rsidR="00F06F60">
        <w:t xml:space="preserve">Since focus group participants will be required to use their mobile device during the focus group (see Appendix K. SNAP Participants Focus Group Protocol), the incentive could also offset any data charges incurred. </w:t>
      </w:r>
      <w:r w:rsidR="006E2B71">
        <w:t>T</w:t>
      </w:r>
      <w:r w:rsidR="008D58F1">
        <w:t xml:space="preserve">o ensure each focus group starts on time, participants who arrive to the focus group at least 10 minutes early will be </w:t>
      </w:r>
      <w:r w:rsidR="00780202">
        <w:t xml:space="preserve">eligible to receive an </w:t>
      </w:r>
      <w:r w:rsidR="008D58F1">
        <w:t>additional $</w:t>
      </w:r>
      <w:r w:rsidR="00B81332">
        <w:t>10</w:t>
      </w:r>
      <w:r w:rsidR="008D58F1">
        <w:t xml:space="preserve"> </w:t>
      </w:r>
      <w:r w:rsidR="006B330C">
        <w:t>Master</w:t>
      </w:r>
      <w:r w:rsidR="00C336AD">
        <w:t>card</w:t>
      </w:r>
      <w:r w:rsidR="006B330C">
        <w:t xml:space="preserve">, Visa, American Express or Discover </w:t>
      </w:r>
      <w:r w:rsidR="008D58F1">
        <w:t>gift card</w:t>
      </w:r>
      <w:r w:rsidR="00780202">
        <w:t xml:space="preserve"> given at the end of the focus group</w:t>
      </w:r>
      <w:r w:rsidR="008D58F1">
        <w:t xml:space="preserve">. </w:t>
      </w:r>
      <w:r w:rsidRPr="006D38F0" w:rsidR="001A2752">
        <w:t xml:space="preserve">The </w:t>
      </w:r>
      <w:r w:rsidR="003B5361">
        <w:t>tokens of appreciation</w:t>
      </w:r>
      <w:r w:rsidRPr="006D38F0" w:rsidR="003B5361">
        <w:t xml:space="preserve"> </w:t>
      </w:r>
      <w:r w:rsidRPr="006D38F0" w:rsidR="006D38F0">
        <w:t>for</w:t>
      </w:r>
      <w:r w:rsidRPr="006D38F0" w:rsidR="00BF5BB4">
        <w:t xml:space="preserve"> </w:t>
      </w:r>
      <w:r w:rsidR="004C6396">
        <w:t>focus group</w:t>
      </w:r>
      <w:r w:rsidRPr="006D38F0" w:rsidR="00BF5BB4">
        <w:t xml:space="preserve"> respondents are an essential component of the multiple methods that will be used to </w:t>
      </w:r>
      <w:r w:rsidRPr="006D38F0" w:rsidR="00254F6F">
        <w:t>ensure the necessary sample sizes are met, improve data quality, and reduce nonresponse bias.</w:t>
      </w:r>
      <w:r>
        <w:t xml:space="preserve"> The p</w:t>
      </w:r>
      <w:r w:rsidRPr="006D38F0">
        <w:t>rimary objective</w:t>
      </w:r>
      <w:r>
        <w:t>s</w:t>
      </w:r>
      <w:r w:rsidRPr="006D38F0">
        <w:t xml:space="preserve"> of </w:t>
      </w:r>
      <w:r>
        <w:t>focus groups with SNAP participants</w:t>
      </w:r>
      <w:r w:rsidR="00A93181">
        <w:t>, which will be conducted in English,</w:t>
      </w:r>
      <w:r>
        <w:t xml:space="preserve"> are</w:t>
      </w:r>
      <w:r w:rsidRPr="006D38F0">
        <w:t xml:space="preserve"> </w:t>
      </w:r>
      <w:r w:rsidRPr="0003028D">
        <w:t xml:space="preserve">to </w:t>
      </w:r>
      <w:r w:rsidRPr="00C67A5B">
        <w:t xml:space="preserve">assess the usability of </w:t>
      </w:r>
      <w:r w:rsidRPr="00C67A5B" w:rsidR="00BC3A01">
        <w:t>mobile communication strategies (</w:t>
      </w:r>
      <w:r w:rsidRPr="00C67A5B">
        <w:t>MCS</w:t>
      </w:r>
      <w:r w:rsidRPr="00C67A5B" w:rsidR="00BC3A01">
        <w:t>)</w:t>
      </w:r>
      <w:r w:rsidRPr="00C67A5B">
        <w:t xml:space="preserve"> and to evaluate </w:t>
      </w:r>
      <w:r w:rsidRPr="00C67A5B" w:rsidR="00345EF5">
        <w:t>client</w:t>
      </w:r>
      <w:r w:rsidRPr="00C67A5B">
        <w:t xml:space="preserve"> satisfaction with MCS.</w:t>
      </w:r>
      <w:r w:rsidRPr="00C67A5B" w:rsidR="006D38F0">
        <w:t xml:space="preserve"> </w:t>
      </w:r>
      <w:r w:rsidR="00152DBF">
        <w:t xml:space="preserve">USDA </w:t>
      </w:r>
      <w:r w:rsidR="00780202">
        <w:t xml:space="preserve">FNS along with its contractor </w:t>
      </w:r>
      <w:r w:rsidRPr="00C67A5B">
        <w:t xml:space="preserve">Insight </w:t>
      </w:r>
      <w:r w:rsidRPr="00C67A5B" w:rsidR="0061347D">
        <w:t xml:space="preserve">Policy Research </w:t>
      </w:r>
      <w:r w:rsidR="00B27715">
        <w:t xml:space="preserve">(the Research team) </w:t>
      </w:r>
      <w:r w:rsidRPr="00C67A5B">
        <w:t xml:space="preserve">will work with local SNAP office staff to recruit participants for the focus group </w:t>
      </w:r>
      <w:r w:rsidRPr="00C67A5B" w:rsidR="0061347D">
        <w:t>who have</w:t>
      </w:r>
      <w:r w:rsidRPr="00C67A5B">
        <w:t xml:space="preserve"> experience using the State’s MCS and will hold the focus groups on site during </w:t>
      </w:r>
      <w:r w:rsidRPr="00C67A5B" w:rsidR="0061347D">
        <w:t xml:space="preserve">the </w:t>
      </w:r>
      <w:r w:rsidRPr="00C67A5B">
        <w:t>site visits</w:t>
      </w:r>
      <w:r w:rsidRPr="006D38F0">
        <w:t>.</w:t>
      </w:r>
    </w:p>
    <w:p w:rsidRPr="006D38F0" w:rsidR="00BF5BB4" w:rsidP="00C05E57" w:rsidRDefault="00A0397C" w14:paraId="46DDDA2C" w14:textId="46C1736F">
      <w:pPr>
        <w:pStyle w:val="BodyText-IPR"/>
      </w:pPr>
      <w:r>
        <w:t>SNAP applicants sitting in local office waiting room</w:t>
      </w:r>
      <w:r w:rsidR="000171F1">
        <w:t>s</w:t>
      </w:r>
      <w:r>
        <w:t xml:space="preserve"> will be </w:t>
      </w:r>
      <w:r w:rsidR="00780202">
        <w:t>randomly selected to receive one</w:t>
      </w:r>
      <w:r>
        <w:t xml:space="preserve"> of two $</w:t>
      </w:r>
      <w:r w:rsidR="00B81332">
        <w:t>10</w:t>
      </w:r>
      <w:r>
        <w:t xml:space="preserve"> </w:t>
      </w:r>
      <w:r w:rsidR="00280B19">
        <w:t>Mastercard, Visa, American Express or Discover</w:t>
      </w:r>
      <w:r w:rsidRPr="006D38F0" w:rsidR="00280B19">
        <w:t xml:space="preserve"> </w:t>
      </w:r>
      <w:r>
        <w:t xml:space="preserve">gift cards if they complete the waiting room questionnaire. The purpose of the waiting room questionnaire is to assess the awareness and usefulness of MCS among potential SNAP participants. </w:t>
      </w:r>
      <w:r w:rsidR="000B24A4">
        <w:t xml:space="preserve">The study team will recruit </w:t>
      </w:r>
      <w:r w:rsidR="000171F1">
        <w:t xml:space="preserve">applicants </w:t>
      </w:r>
      <w:r w:rsidR="000B24A4">
        <w:t>to</w:t>
      </w:r>
      <w:r>
        <w:t xml:space="preserve"> complete the waiting room questionnaire in person at the local offices during the site visits. </w:t>
      </w:r>
    </w:p>
    <w:p w:rsidR="006D38F0" w:rsidP="00D23E4F" w:rsidRDefault="006D38F0" w14:paraId="6266E94A" w14:textId="12DB40D4">
      <w:pPr>
        <w:pStyle w:val="Heading2-IPR"/>
      </w:pPr>
      <w:r>
        <w:t xml:space="preserve">Factors Supporting the Use of </w:t>
      </w:r>
      <w:r w:rsidR="001468F3">
        <w:t>I</w:t>
      </w:r>
      <w:r w:rsidR="008B442C">
        <w:t>n</w:t>
      </w:r>
      <w:r w:rsidR="001468F3">
        <w:t>centives</w:t>
      </w:r>
    </w:p>
    <w:p w:rsidRPr="006D38F0" w:rsidR="00BF5BB4" w:rsidP="00C05E57" w:rsidRDefault="00417E57" w14:paraId="5BDE317C" w14:textId="1D82800D">
      <w:pPr>
        <w:pStyle w:val="BodyText-IPR"/>
      </w:pPr>
      <w:r>
        <w:t>T</w:t>
      </w:r>
      <w:r w:rsidR="00521A77">
        <w:t>his section</w:t>
      </w:r>
      <w:r>
        <w:t xml:space="preserve"> </w:t>
      </w:r>
      <w:r w:rsidRPr="006D38F0" w:rsidR="00BF5BB4">
        <w:t>provide</w:t>
      </w:r>
      <w:r>
        <w:t>s</w:t>
      </w:r>
      <w:r w:rsidRPr="006D38F0" w:rsidR="00BF5BB4">
        <w:t xml:space="preserve"> more detail on the decision to provide </w:t>
      </w:r>
      <w:r w:rsidR="00A0397C">
        <w:t>an incentive</w:t>
      </w:r>
      <w:r w:rsidRPr="006D38F0" w:rsidR="00BF5BB4">
        <w:t xml:space="preserve"> and the amount of the </w:t>
      </w:r>
      <w:r w:rsidR="00A0397C">
        <w:t>incentive</w:t>
      </w:r>
      <w:r w:rsidRPr="006D38F0" w:rsidR="00BF5BB4">
        <w:t xml:space="preserve">. </w:t>
      </w:r>
    </w:p>
    <w:p w:rsidR="00D23E4F" w:rsidP="00C05E57" w:rsidRDefault="00D23E4F" w14:paraId="534E32F1" w14:textId="1F35D536">
      <w:pPr>
        <w:pStyle w:val="Heading3-IPR"/>
        <w:ind w:left="360"/>
      </w:pPr>
      <w:r>
        <w:t>Improve data quality</w:t>
      </w:r>
    </w:p>
    <w:p w:rsidRPr="00B83FA7" w:rsidR="00BF5BB4" w:rsidP="00C05E57" w:rsidRDefault="00A0397C" w14:paraId="67447169" w14:textId="1FE580E0">
      <w:pPr>
        <w:pStyle w:val="BodyText-IPR"/>
      </w:pPr>
      <w:r>
        <w:t>An incentive</w:t>
      </w:r>
      <w:r w:rsidRPr="00B83FA7" w:rsidR="00631202">
        <w:t xml:space="preserve"> </w:t>
      </w:r>
      <w:r w:rsidRPr="00B83FA7" w:rsidR="00BF5BB4">
        <w:t xml:space="preserve">is essential to obtain the sample sizes needed to </w:t>
      </w:r>
      <w:r w:rsidRPr="00B83FA7" w:rsidR="00900E54">
        <w:t xml:space="preserve">understand the full range of various </w:t>
      </w:r>
      <w:r w:rsidR="00845BC4">
        <w:t xml:space="preserve">SNAP </w:t>
      </w:r>
      <w:r w:rsidRPr="00B83FA7" w:rsidR="00900E54">
        <w:t xml:space="preserve">participants’ experiences with </w:t>
      </w:r>
      <w:r w:rsidR="00845BC4">
        <w:t xml:space="preserve">MCS in each </w:t>
      </w:r>
      <w:r w:rsidR="008B3CE2">
        <w:t>S</w:t>
      </w:r>
      <w:r w:rsidR="00845BC4">
        <w:t>tate</w:t>
      </w:r>
      <w:r w:rsidRPr="00B83FA7" w:rsidR="00BF5BB4">
        <w:t>.</w:t>
      </w:r>
      <w:r w:rsidR="00845BC4">
        <w:t xml:space="preserve"> Recruiting for two separate focus groups will be particularly important in </w:t>
      </w:r>
      <w:r w:rsidR="004938F5">
        <w:t>S</w:t>
      </w:r>
      <w:r w:rsidR="00845BC4">
        <w:t xml:space="preserve">tates where multiple MCS </w:t>
      </w:r>
      <w:r w:rsidR="006F58D3">
        <w:t xml:space="preserve">are </w:t>
      </w:r>
      <w:r w:rsidR="00845BC4">
        <w:t xml:space="preserve">being utilized and </w:t>
      </w:r>
      <w:r w:rsidR="006F58D3">
        <w:t xml:space="preserve">where the study team </w:t>
      </w:r>
      <w:r w:rsidR="00845BC4">
        <w:t>want</w:t>
      </w:r>
      <w:r w:rsidR="006F58D3">
        <w:t>s</w:t>
      </w:r>
      <w:r w:rsidR="00845BC4">
        <w:t xml:space="preserve"> to gain opinions from </w:t>
      </w:r>
      <w:r w:rsidR="00C058A0">
        <w:t>participants with a variety of experiences.</w:t>
      </w:r>
      <w:r w:rsidR="004938F5">
        <w:t xml:space="preserve"> R</w:t>
      </w:r>
      <w:r w:rsidRPr="00B83FA7" w:rsidR="00BF5BB4">
        <w:t xml:space="preserve">esponse rates </w:t>
      </w:r>
      <w:r w:rsidRPr="00B83FA7" w:rsidR="00D22D87">
        <w:t>for</w:t>
      </w:r>
      <w:r w:rsidRPr="00B83FA7" w:rsidR="00900E54">
        <w:t xml:space="preserve"> research </w:t>
      </w:r>
      <w:r w:rsidRPr="00B83FA7" w:rsidR="00BF5BB4">
        <w:t xml:space="preserve">have declined in recent years (Brick </w:t>
      </w:r>
      <w:r w:rsidRPr="00B83FA7" w:rsidR="00DA64E6">
        <w:t>&amp;</w:t>
      </w:r>
      <w:r w:rsidRPr="00B83FA7" w:rsidR="00BF5BB4">
        <w:t xml:space="preserve"> Williams</w:t>
      </w:r>
      <w:r w:rsidRPr="00B83FA7" w:rsidR="00550446">
        <w:t>,</w:t>
      </w:r>
      <w:r w:rsidRPr="00B83FA7" w:rsidR="00BF5BB4">
        <w:t xml:space="preserve"> 2013; Curtin, Presser, </w:t>
      </w:r>
      <w:r w:rsidRPr="00B83FA7" w:rsidR="00B06475">
        <w:t>&amp;</w:t>
      </w:r>
      <w:r w:rsidRPr="00B83FA7" w:rsidR="00BF5BB4">
        <w:t xml:space="preserve"> Singer</w:t>
      </w:r>
      <w:r w:rsidRPr="00B83FA7" w:rsidR="00B06475">
        <w:t>,</w:t>
      </w:r>
      <w:r w:rsidRPr="00B83FA7" w:rsidR="00BF5BB4">
        <w:t xml:space="preserve"> 2005). Offering </w:t>
      </w:r>
      <w:r>
        <w:t>incentives</w:t>
      </w:r>
      <w:r w:rsidRPr="00B83FA7" w:rsidR="00BF5BB4">
        <w:t xml:space="preserve"> is an effective </w:t>
      </w:r>
      <w:r w:rsidR="00A77945">
        <w:t>way to improve</w:t>
      </w:r>
      <w:r w:rsidRPr="00B83FA7" w:rsidR="00BF5BB4">
        <w:t xml:space="preserve"> response rates without compromising </w:t>
      </w:r>
      <w:r w:rsidR="00A77945">
        <w:t>data</w:t>
      </w:r>
      <w:r w:rsidRPr="00B83FA7" w:rsidR="00BF5BB4">
        <w:t xml:space="preserve"> quality (Singer </w:t>
      </w:r>
      <w:r w:rsidRPr="00B83FA7" w:rsidR="00B06475">
        <w:t>&amp;</w:t>
      </w:r>
      <w:r w:rsidRPr="00B83FA7" w:rsidR="00BF5BB4">
        <w:t xml:space="preserve"> Ye</w:t>
      </w:r>
      <w:r w:rsidRPr="00B83FA7" w:rsidR="00B06475">
        <w:t>,</w:t>
      </w:r>
      <w:r w:rsidRPr="00B83FA7" w:rsidR="00BF5BB4">
        <w:t xml:space="preserve"> 2013). The knowledge that respondents will </w:t>
      </w:r>
      <w:r w:rsidR="00152DBF">
        <w:t>receive a monetary incentive</w:t>
      </w:r>
      <w:r w:rsidRPr="00B83FA7" w:rsidR="00BF5BB4">
        <w:t xml:space="preserve"> </w:t>
      </w:r>
      <w:r w:rsidRPr="00B83FA7" w:rsidR="00923053">
        <w:t>to</w:t>
      </w:r>
      <w:r w:rsidRPr="00B83FA7" w:rsidR="00BF5BB4">
        <w:t xml:space="preserve"> </w:t>
      </w:r>
      <w:r w:rsidR="00B53ECD">
        <w:t>participate in a focus group</w:t>
      </w:r>
      <w:r w:rsidRPr="00B83FA7" w:rsidR="00BF5BB4">
        <w:t xml:space="preserve"> is expected to increase their likelihood of spending the time to respond. In a recent study, Mercer </w:t>
      </w:r>
      <w:r w:rsidRPr="00B83FA7" w:rsidR="0079596B">
        <w:t>and colleagues</w:t>
      </w:r>
      <w:r w:rsidRPr="00B83FA7" w:rsidR="00BF5BB4">
        <w:t xml:space="preserve"> (2015) conducted a meta-analysis of the dose-response association between </w:t>
      </w:r>
      <w:r>
        <w:t>incentives</w:t>
      </w:r>
      <w:r w:rsidRPr="00B83FA7" w:rsidR="00BF5BB4">
        <w:t xml:space="preserve"> and response and found a positive relationship between </w:t>
      </w:r>
      <w:r>
        <w:t>incentives</w:t>
      </w:r>
      <w:r w:rsidRPr="00B83FA7" w:rsidR="00BF5BB4">
        <w:t xml:space="preserve"> </w:t>
      </w:r>
      <w:r w:rsidRPr="00B83FA7" w:rsidR="001526CD">
        <w:t xml:space="preserve">with a greater monetary value </w:t>
      </w:r>
      <w:r w:rsidRPr="00B83FA7" w:rsidR="00BF5BB4">
        <w:t xml:space="preserve">and response rates for household telephone surveys offering </w:t>
      </w:r>
      <w:r>
        <w:t>incentives</w:t>
      </w:r>
      <w:r w:rsidRPr="00B83FA7" w:rsidR="00BF5BB4">
        <w:t xml:space="preserve">. </w:t>
      </w:r>
      <w:r w:rsidR="00780202">
        <w:t>Monetary incentives provided to respondents</w:t>
      </w:r>
      <w:r w:rsidRPr="00B83FA7" w:rsidR="00780202">
        <w:t xml:space="preserve"> </w:t>
      </w:r>
      <w:r w:rsidRPr="00B83FA7" w:rsidR="00BF5BB4">
        <w:t xml:space="preserve">are particularly effective at increasing response rates for populations similar to </w:t>
      </w:r>
      <w:r w:rsidRPr="00B83FA7" w:rsidR="009A259F">
        <w:t xml:space="preserve">SNAP </w:t>
      </w:r>
      <w:r w:rsidRPr="00B83FA7" w:rsidR="00BF5BB4">
        <w:t>participant</w:t>
      </w:r>
      <w:r w:rsidRPr="00B83FA7" w:rsidR="00577988">
        <w:t>s</w:t>
      </w:r>
      <w:r w:rsidR="006D7CB5">
        <w:t xml:space="preserve">, </w:t>
      </w:r>
      <w:r w:rsidRPr="00B83FA7" w:rsidR="001526CD">
        <w:t xml:space="preserve">which </w:t>
      </w:r>
      <w:r w:rsidRPr="00B83FA7" w:rsidR="00BF5BB4">
        <w:t>includ</w:t>
      </w:r>
      <w:r w:rsidRPr="00B83FA7" w:rsidR="001526CD">
        <w:t>e</w:t>
      </w:r>
      <w:r w:rsidRPr="00B83FA7" w:rsidR="00BF5BB4">
        <w:t xml:space="preserve"> people with low income and lower educational level</w:t>
      </w:r>
      <w:r w:rsidRPr="00B83FA7" w:rsidR="004A0842">
        <w:t>s</w:t>
      </w:r>
      <w:r w:rsidRPr="00B83FA7" w:rsidR="00BF5BB4">
        <w:t>.</w:t>
      </w:r>
    </w:p>
    <w:p w:rsidRPr="00B83FA7" w:rsidR="00D23E4F" w:rsidP="00C05E57" w:rsidRDefault="00254F6F" w14:paraId="6F413349" w14:textId="30F757B1">
      <w:pPr>
        <w:pStyle w:val="Heading3-IPR"/>
        <w:ind w:left="360"/>
      </w:pPr>
      <w:r w:rsidRPr="00B83FA7">
        <w:lastRenderedPageBreak/>
        <w:t>Improve</w:t>
      </w:r>
      <w:r w:rsidRPr="00B83FA7" w:rsidR="00BF5BB4">
        <w:t xml:space="preserve"> coverage of hard-to-r</w:t>
      </w:r>
      <w:r w:rsidRPr="00B83FA7" w:rsidR="00D23E4F">
        <w:t>each or specialized respondents</w:t>
      </w:r>
      <w:r w:rsidRPr="00B83FA7" w:rsidR="003E3790">
        <w:t xml:space="preserve"> </w:t>
      </w:r>
    </w:p>
    <w:p w:rsidRPr="00B83FA7" w:rsidR="00BF5BB4" w:rsidP="00C05E57" w:rsidRDefault="00BF5BB4" w14:paraId="47BFB112" w14:textId="1B1CB286">
      <w:pPr>
        <w:pStyle w:val="BodyText-IPR"/>
      </w:pPr>
      <w:r w:rsidRPr="00B83FA7">
        <w:t xml:space="preserve">The target population </w:t>
      </w:r>
      <w:r w:rsidRPr="00B83FA7" w:rsidR="00631202">
        <w:t xml:space="preserve">for the </w:t>
      </w:r>
      <w:r w:rsidR="0003028D">
        <w:t>focus groups</w:t>
      </w:r>
      <w:r w:rsidRPr="00B83FA7" w:rsidR="00631202">
        <w:t xml:space="preserve"> </w:t>
      </w:r>
      <w:r w:rsidR="00B53ECD">
        <w:t>is</w:t>
      </w:r>
      <w:r w:rsidRPr="00B83FA7">
        <w:t xml:space="preserve"> low-inco</w:t>
      </w:r>
      <w:r w:rsidRPr="00B83FA7" w:rsidR="00631202">
        <w:t>me SNAP participants</w:t>
      </w:r>
      <w:r w:rsidRPr="00B83FA7">
        <w:t xml:space="preserve">, </w:t>
      </w:r>
      <w:r w:rsidRPr="00B83FA7" w:rsidR="004F6A35">
        <w:t>who</w:t>
      </w:r>
      <w:r w:rsidRPr="00B83FA7">
        <w:t xml:space="preserve"> are considered hard</w:t>
      </w:r>
      <w:r w:rsidRPr="00B83FA7" w:rsidR="00947A91">
        <w:t xml:space="preserve"> </w:t>
      </w:r>
      <w:r w:rsidRPr="00B83FA7">
        <w:t>to</w:t>
      </w:r>
      <w:r w:rsidRPr="00B83FA7" w:rsidR="00947A91">
        <w:t xml:space="preserve"> </w:t>
      </w:r>
      <w:r w:rsidRPr="00B83FA7">
        <w:t>reach (Bonevski et al.</w:t>
      </w:r>
      <w:r w:rsidRPr="00B83FA7" w:rsidR="004F6A35">
        <w:t>,</w:t>
      </w:r>
      <w:r w:rsidRPr="00B83FA7">
        <w:t xml:space="preserve"> 2014). </w:t>
      </w:r>
      <w:r w:rsidR="008C1637">
        <w:t>H</w:t>
      </w:r>
      <w:r w:rsidRPr="00B83FA7">
        <w:t xml:space="preserve">ouseholds in the study are specialized respondents because they are limited in number and difficult to recruit, and their lack of participation jeopardizes the </w:t>
      </w:r>
      <w:r w:rsidRPr="00B83FA7" w:rsidR="00631202">
        <w:t>outcomes evaluation</w:t>
      </w:r>
      <w:r w:rsidRPr="00B83FA7">
        <w:t xml:space="preserve">. These groups may also have </w:t>
      </w:r>
      <w:r w:rsidR="00D74229">
        <w:t>transportation concerns</w:t>
      </w:r>
      <w:r w:rsidRPr="00B83FA7" w:rsidR="00D74229">
        <w:t xml:space="preserve"> </w:t>
      </w:r>
      <w:r w:rsidRPr="00B83FA7">
        <w:t>and childcare schedules tha</w:t>
      </w:r>
      <w:r w:rsidRPr="00B83FA7" w:rsidR="00631202">
        <w:t>t make it difficult to reach SNAP</w:t>
      </w:r>
      <w:r w:rsidRPr="00B83FA7">
        <w:t xml:space="preserve"> participant</w:t>
      </w:r>
      <w:r w:rsidRPr="00B83FA7" w:rsidR="00631202">
        <w:t>s</w:t>
      </w:r>
      <w:r w:rsidRPr="00B83FA7" w:rsidR="009A259F">
        <w:t>.</w:t>
      </w:r>
      <w:r w:rsidRPr="00B83FA7">
        <w:t xml:space="preserve"> </w:t>
      </w:r>
      <w:r w:rsidR="00A0397C">
        <w:t>Incentives</w:t>
      </w:r>
      <w:r w:rsidRPr="00B83FA7">
        <w:t xml:space="preserve"> may encourage greater participation among these groups. </w:t>
      </w:r>
      <w:r w:rsidR="006B330C">
        <w:t xml:space="preserve">Similarly, focus groups may take place after working hours, to increase participation for working respondents, and </w:t>
      </w:r>
    </w:p>
    <w:p w:rsidRPr="00B83FA7" w:rsidR="00D23E4F" w:rsidP="00C05E57" w:rsidRDefault="00254F6F" w14:paraId="7897B9B6" w14:textId="613D06E8">
      <w:pPr>
        <w:pStyle w:val="Heading3-IPR"/>
        <w:ind w:left="360"/>
      </w:pPr>
      <w:r w:rsidRPr="00B83FA7">
        <w:t>Reduce</w:t>
      </w:r>
      <w:r w:rsidRPr="00B83FA7" w:rsidR="00BF5BB4">
        <w:t xml:space="preserve"> respondent burden </w:t>
      </w:r>
    </w:p>
    <w:p w:rsidRPr="00B83FA7" w:rsidR="00BF5BB4" w:rsidP="00C05E57" w:rsidRDefault="002D6110" w14:paraId="1FF8D6E8" w14:textId="3C1BF0E3">
      <w:pPr>
        <w:pStyle w:val="BodyText-IPR"/>
      </w:pPr>
      <w:r w:rsidRPr="00B83FA7">
        <w:t xml:space="preserve">The </w:t>
      </w:r>
      <w:r w:rsidR="00A0397C">
        <w:t>incentives</w:t>
      </w:r>
      <w:r w:rsidRPr="00B83FA7">
        <w:t xml:space="preserve"> will reduce respondent burden because they can help offset the costs associated with participation, including childcare that may be needed while respondents complete the </w:t>
      </w:r>
      <w:r w:rsidR="00E64059">
        <w:t>focus group</w:t>
      </w:r>
      <w:r w:rsidRPr="00B83FA7">
        <w:t xml:space="preserve">, </w:t>
      </w:r>
      <w:r w:rsidR="00E64059">
        <w:t xml:space="preserve">transportation costs to </w:t>
      </w:r>
      <w:r w:rsidR="00EE72F8">
        <w:t>travel</w:t>
      </w:r>
      <w:r w:rsidR="00E64059">
        <w:t xml:space="preserve"> to the focus group venue</w:t>
      </w:r>
      <w:r w:rsidRPr="00B83FA7">
        <w:t>,</w:t>
      </w:r>
      <w:r w:rsidR="0067223F">
        <w:t xml:space="preserve"> and fees associated with mobile phone usage during focus group</w:t>
      </w:r>
      <w:r w:rsidRPr="00B83FA7">
        <w:t xml:space="preserve"> </w:t>
      </w:r>
    </w:p>
    <w:p w:rsidRPr="00B83FA7" w:rsidR="00D23E4F" w:rsidP="00C05E57" w:rsidRDefault="00D23E4F" w14:paraId="3CFAB528" w14:textId="05A863A8">
      <w:pPr>
        <w:pStyle w:val="Heading3-IPR"/>
        <w:ind w:left="360"/>
      </w:pPr>
      <w:r w:rsidRPr="00B83FA7">
        <w:t xml:space="preserve">Reduce </w:t>
      </w:r>
      <w:r w:rsidR="00077F2E">
        <w:t>no-shows and diversify the sample</w:t>
      </w:r>
    </w:p>
    <w:p w:rsidR="00077F2E" w:rsidP="00022A1C" w:rsidRDefault="00077F2E" w14:paraId="1C6B7CC7" w14:textId="6B2EF73D">
      <w:pPr>
        <w:pStyle w:val="BodyText-IPR"/>
        <w:rPr>
          <w:b/>
        </w:rPr>
      </w:pPr>
      <w:r w:rsidRPr="00077F2E">
        <w:t>People who participate without incentives may have</w:t>
      </w:r>
      <w:r w:rsidR="00517D6A">
        <w:t xml:space="preserve"> characteristics that are</w:t>
      </w:r>
      <w:r w:rsidRPr="00077F2E">
        <w:t xml:space="preserve"> less common</w:t>
      </w:r>
      <w:r w:rsidR="00517D6A">
        <w:t xml:space="preserve"> among, and therefore less generalizable to, other SNAP participants</w:t>
      </w:r>
      <w:r w:rsidR="007E6BF5">
        <w:t>.</w:t>
      </w:r>
      <w:r w:rsidR="00022A1C">
        <w:t xml:space="preserve"> </w:t>
      </w:r>
      <w:r w:rsidRPr="00077F2E">
        <w:t xml:space="preserve">Incentives reduce efforts to recruit low-income study participants and lower overall costs and time to achieve completion rates without affecting data quality (Dillman, 2000; Singer, 2006). In a meta-analysis, Mercer and colleagues (2015) estimated that surveys that promised $10 generated response rates 5 percentage points greater than surveys that offered no incentive. </w:t>
      </w:r>
      <w:r w:rsidRPr="006E38F7">
        <w:t>Fredrickson and colleagues (2005)</w:t>
      </w:r>
      <w:r w:rsidRPr="00077F2E">
        <w:t xml:space="preserve"> found a $10 contingent incentive increased responses by </w:t>
      </w:r>
      <w:r w:rsidRPr="00C67A5B">
        <w:t xml:space="preserve">20 percentage points among Medicaid recipients, a similar population to those being recruited for this study. (Children’s income eligibility for Medicaid is at least 133 percent of the Federal Poverty </w:t>
      </w:r>
      <w:r w:rsidRPr="00C67A5B" w:rsidR="001C2052">
        <w:t>Guidelines</w:t>
      </w:r>
      <w:r w:rsidRPr="00C67A5B">
        <w:t xml:space="preserve"> (FP</w:t>
      </w:r>
      <w:r w:rsidRPr="00C67A5B" w:rsidR="001C2052">
        <w:t>G</w:t>
      </w:r>
      <w:r w:rsidRPr="00C67A5B">
        <w:t>) but is higher in many States, and SNAP income eligibility is set at 130 percent of the FP</w:t>
      </w:r>
      <w:r w:rsidRPr="00C67A5B" w:rsidR="001C2052">
        <w:t>G</w:t>
      </w:r>
      <w:r w:rsidRPr="00C67A5B">
        <w:t xml:space="preserve"> for the household</w:t>
      </w:r>
      <w:r w:rsidRPr="00077F2E">
        <w:t xml:space="preserve"> size.)</w:t>
      </w:r>
    </w:p>
    <w:p w:rsidRPr="00C67A5B" w:rsidR="00077F2E" w:rsidP="00022A1C" w:rsidRDefault="00077F2E" w14:paraId="4A79BF49" w14:textId="2D984972">
      <w:pPr>
        <w:pStyle w:val="BodyText-IPR"/>
        <w:rPr>
          <w:b/>
        </w:rPr>
      </w:pPr>
      <w:r w:rsidRPr="00077F2E">
        <w:t>Providing focus group participants and waiting room questionnaire participants with a monetary incentive reduces</w:t>
      </w:r>
      <w:r w:rsidR="00856021">
        <w:t xml:space="preserve"> the number of</w:t>
      </w:r>
      <w:r w:rsidRPr="00077F2E">
        <w:t xml:space="preserve"> no</w:t>
      </w:r>
      <w:r w:rsidR="00856021">
        <w:t>-</w:t>
      </w:r>
      <w:r w:rsidRPr="00077F2E">
        <w:t xml:space="preserve">shows and ensures a full range of experiences </w:t>
      </w:r>
      <w:r w:rsidR="0033162A">
        <w:t>is</w:t>
      </w:r>
      <w:r w:rsidRPr="00077F2E">
        <w:t xml:space="preserve"> reflected in the data, especially in populations defined as being in poverty; monetary incentives are particularly effective relative to other types (Yancey,</w:t>
      </w:r>
      <w:r w:rsidRPr="00A31C7F" w:rsidR="00A31C7F">
        <w:t xml:space="preserve"> Ortega, &amp; Kumanyika</w:t>
      </w:r>
      <w:r w:rsidR="00A31C7F">
        <w:t>,</w:t>
      </w:r>
      <w:r w:rsidRPr="00077F2E">
        <w:t xml:space="preserve"> 2006; Singer, 2002; James, 1997; Groves et al., 2009; Singer</w:t>
      </w:r>
      <w:r w:rsidR="000C154B">
        <w:t xml:space="preserve"> &amp;</w:t>
      </w:r>
      <w:r w:rsidRPr="00077F2E">
        <w:t xml:space="preserve"> Ye, 2013</w:t>
      </w:r>
      <w:r w:rsidR="000C154B">
        <w:t xml:space="preserve">; </w:t>
      </w:r>
      <w:r w:rsidRPr="00077F2E" w:rsidR="000C154B">
        <w:t>Parker</w:t>
      </w:r>
      <w:r w:rsidR="000C154B">
        <w:t xml:space="preserve"> </w:t>
      </w:r>
      <w:r w:rsidRPr="00077F2E" w:rsidR="000C154B">
        <w:t>&amp; Tritter, 2006</w:t>
      </w:r>
      <w:r w:rsidRPr="00077F2E">
        <w:t xml:space="preserve">). Incentives can </w:t>
      </w:r>
      <w:r w:rsidR="00D22260">
        <w:t>lower the rate</w:t>
      </w:r>
      <w:r w:rsidR="00BB0B31">
        <w:t xml:space="preserve"> of </w:t>
      </w:r>
      <w:r w:rsidRPr="00077F2E">
        <w:t>no</w:t>
      </w:r>
      <w:r w:rsidR="00D22260">
        <w:t>-</w:t>
      </w:r>
      <w:r w:rsidRPr="00077F2E">
        <w:t>shows and offset the barriers to participation (Kru</w:t>
      </w:r>
      <w:r w:rsidR="00757E0E">
        <w:t>e</w:t>
      </w:r>
      <w:r w:rsidRPr="00077F2E">
        <w:t>ger, 2014; Groves</w:t>
      </w:r>
      <w:r w:rsidR="006F57B5">
        <w:t xml:space="preserve">, </w:t>
      </w:r>
      <w:r w:rsidRPr="006F57B5" w:rsidR="006F57B5">
        <w:t>Singer, &amp; Corning</w:t>
      </w:r>
      <w:r w:rsidRPr="00077F2E">
        <w:t>, 2000; Messer &amp; Dillman, 2011) by encouraging those less interested in research to participate, including low-income respondents (Groves et al., 2006; Singer &amp; Kulka, 2002). Several studies have shown offering incentives may improve representation for ethnic minority subgroups</w:t>
      </w:r>
      <w:r w:rsidR="00B66F1F">
        <w:t xml:space="preserve"> with low income and a lower level of education</w:t>
      </w:r>
      <w:r w:rsidRPr="00077F2E">
        <w:t xml:space="preserve">. Response rates among minorities and </w:t>
      </w:r>
      <w:r w:rsidR="00B66F1F">
        <w:t>individuals with less</w:t>
      </w:r>
      <w:r w:rsidRPr="00077F2E">
        <w:t xml:space="preserve"> education are generally lower for all types of surveys, especially those conducted by mail. For example, in a survey for the National Cancer Institute, the sample was divided into two strata: (1) one with a greater percentage of minority individuals, and (2) one with a smaller percentage. The response rate to the strata with a greater proportion of minority individuals was 12 percentage points lower than the rate for the strata with a smaller proportion (23 percent versus 35 percent; Westat, 2017). </w:t>
      </w:r>
      <w:r w:rsidR="00BA3117">
        <w:t>W</w:t>
      </w:r>
      <w:r w:rsidRPr="00077F2E">
        <w:t xml:space="preserve">hen testing within household selection procedures, Olson and colleagues (2014) </w:t>
      </w:r>
      <w:r w:rsidR="00BA3117">
        <w:t xml:space="preserve">similarly </w:t>
      </w:r>
      <w:r w:rsidRPr="00077F2E">
        <w:t>found all procedures led to underrepresenting non-Whites, Hispanics, individuals with less education</w:t>
      </w:r>
      <w:r w:rsidRPr="00C67A5B">
        <w:t xml:space="preserve">, and individuals in the lowest income groups. The population of interest </w:t>
      </w:r>
      <w:r w:rsidRPr="00C67A5B">
        <w:lastRenderedPageBreak/>
        <w:t>in the current study is comparable to the populations discussed earlier in this section. Th</w:t>
      </w:r>
      <w:r w:rsidRPr="00C67A5B" w:rsidR="00D7130F">
        <w:t xml:space="preserve">is </w:t>
      </w:r>
      <w:r w:rsidRPr="00C67A5B">
        <w:t xml:space="preserve">study will be recruiting participants who currently participate or </w:t>
      </w:r>
      <w:r w:rsidRPr="00C67A5B" w:rsidR="007E6BF5">
        <w:t>are eligible to participate</w:t>
      </w:r>
      <w:r w:rsidRPr="00C67A5B">
        <w:t xml:space="preserve"> in SNAP.</w:t>
      </w:r>
    </w:p>
    <w:p w:rsidRPr="00C67A5B" w:rsidR="009F26EB" w:rsidP="009F26EB" w:rsidRDefault="009F26EB" w14:paraId="3613A429" w14:textId="7A87B671">
      <w:pPr>
        <w:pStyle w:val="Heading2-IPR"/>
      </w:pPr>
      <w:r w:rsidRPr="00C67A5B">
        <w:t xml:space="preserve">Past </w:t>
      </w:r>
      <w:r w:rsidRPr="00C67A5B" w:rsidR="000123D7">
        <w:t xml:space="preserve">Experience Using </w:t>
      </w:r>
      <w:r w:rsidRPr="00C67A5B" w:rsidR="00A0397C">
        <w:t>Incentives</w:t>
      </w:r>
      <w:r w:rsidRPr="00C67A5B" w:rsidR="000123D7">
        <w:t xml:space="preserve"> </w:t>
      </w:r>
      <w:r w:rsidRPr="00C67A5B">
        <w:t xml:space="preserve">in </w:t>
      </w:r>
      <w:r w:rsidRPr="00C67A5B" w:rsidR="00380C2F">
        <w:t>Focus Groups</w:t>
      </w:r>
      <w:r w:rsidRPr="00C67A5B" w:rsidR="000123D7">
        <w:t xml:space="preserve"> With Similar Low-Income Populati</w:t>
      </w:r>
      <w:r w:rsidRPr="00C67A5B">
        <w:t>ons</w:t>
      </w:r>
    </w:p>
    <w:p w:rsidRPr="009C0B59" w:rsidR="009F26EB" w:rsidP="00C05E57" w:rsidRDefault="009F26EB" w14:paraId="2A8D9728" w14:textId="0193F897">
      <w:pPr>
        <w:pStyle w:val="BodyText-IPR"/>
      </w:pPr>
      <w:r w:rsidRPr="00C67A5B">
        <w:t xml:space="preserve">The study team is proposing that respondents </w:t>
      </w:r>
      <w:r w:rsidRPr="00C67A5B" w:rsidR="00EC1E09">
        <w:t>who complete</w:t>
      </w:r>
      <w:r w:rsidRPr="00C67A5B">
        <w:t xml:space="preserve"> the </w:t>
      </w:r>
      <w:r w:rsidRPr="00C67A5B" w:rsidR="00380C2F">
        <w:t>90</w:t>
      </w:r>
      <w:r w:rsidRPr="00C67A5B">
        <w:t xml:space="preserve">-minute </w:t>
      </w:r>
      <w:r w:rsidRPr="00C67A5B" w:rsidR="00380C2F">
        <w:t>focus group</w:t>
      </w:r>
      <w:r w:rsidRPr="00C67A5B" w:rsidR="00205E70">
        <w:t xml:space="preserve"> (</w:t>
      </w:r>
      <w:r w:rsidRPr="00C67A5B" w:rsidR="00EC1E09">
        <w:t xml:space="preserve">see </w:t>
      </w:r>
      <w:r w:rsidRPr="00C67A5B" w:rsidR="00205E70">
        <w:t xml:space="preserve">appendix </w:t>
      </w:r>
      <w:r w:rsidRPr="00C67A5B" w:rsidR="00BE595A">
        <w:t>K</w:t>
      </w:r>
      <w:r w:rsidRPr="00C67A5B" w:rsidR="00EC1E09">
        <w:t>:</w:t>
      </w:r>
      <w:r w:rsidRPr="00C67A5B">
        <w:t xml:space="preserve"> </w:t>
      </w:r>
      <w:r w:rsidRPr="00C67A5B" w:rsidR="00380C2F">
        <w:t>SNAP Participant</w:t>
      </w:r>
      <w:r w:rsidRPr="00C67A5B" w:rsidR="00BE595A">
        <w:t>s</w:t>
      </w:r>
      <w:r w:rsidRPr="00C67A5B" w:rsidR="00380C2F">
        <w:t xml:space="preserve"> Focus Group</w:t>
      </w:r>
      <w:r w:rsidRPr="00C67A5B">
        <w:t xml:space="preserve"> Protocol) receive a $</w:t>
      </w:r>
      <w:r w:rsidRPr="00C67A5B" w:rsidR="00380C2F">
        <w:t>4</w:t>
      </w:r>
      <w:r w:rsidR="00B81332">
        <w:t>5</w:t>
      </w:r>
      <w:r w:rsidRPr="00C67A5B">
        <w:t xml:space="preserve"> </w:t>
      </w:r>
      <w:r w:rsidRPr="00C67A5B" w:rsidR="00A0397C">
        <w:t>incentive</w:t>
      </w:r>
      <w:r w:rsidRPr="00C67A5B">
        <w:t xml:space="preserve">, an amount based </w:t>
      </w:r>
      <w:r w:rsidRPr="00C67A5B" w:rsidR="006D7CB5">
        <w:t xml:space="preserve">on </w:t>
      </w:r>
      <w:r w:rsidRPr="00C67A5B" w:rsidR="00A0397C">
        <w:t>incentives</w:t>
      </w:r>
      <w:r w:rsidRPr="00C67A5B" w:rsidR="006D7CB5">
        <w:t xml:space="preserve"> </w:t>
      </w:r>
      <w:r w:rsidRPr="00C67A5B">
        <w:t xml:space="preserve">that were approved for similar data collections in other recent studies with similar burden among low-income populations. For example, </w:t>
      </w:r>
      <w:r w:rsidRPr="00C67A5B" w:rsidR="008D58F1">
        <w:t>The Examination</w:t>
      </w:r>
      <w:r w:rsidR="008D58F1">
        <w:t xml:space="preserve"> of Cash Nutrition Assistance Program Benefits in Puerto Rico study for FNS (</w:t>
      </w:r>
      <w:r w:rsidRPr="00D23E4F" w:rsidR="008553B9">
        <w:t>O</w:t>
      </w:r>
      <w:r w:rsidR="008553B9">
        <w:t xml:space="preserve">ffice of </w:t>
      </w:r>
      <w:r w:rsidRPr="00D23E4F" w:rsidR="008553B9">
        <w:t>M</w:t>
      </w:r>
      <w:r w:rsidR="008553B9">
        <w:t xml:space="preserve">anagement and </w:t>
      </w:r>
      <w:r w:rsidRPr="009C0B59" w:rsidR="008553B9">
        <w:t xml:space="preserve">Budget [OMB] </w:t>
      </w:r>
      <w:r w:rsidRPr="009C0B59" w:rsidR="008D58F1">
        <w:t xml:space="preserve">Control Number </w:t>
      </w:r>
      <w:r w:rsidRPr="008D58F1" w:rsidR="008D58F1">
        <w:t>0584-0597</w:t>
      </w:r>
      <w:r w:rsidRPr="009C0B59" w:rsidR="008D58F1">
        <w:t xml:space="preserve">; expiration date </w:t>
      </w:r>
      <w:r w:rsidR="008D58F1">
        <w:t>March 31, 2015</w:t>
      </w:r>
      <w:r w:rsidRPr="009C0B59" w:rsidR="008D58F1">
        <w:t>)</w:t>
      </w:r>
      <w:r w:rsidR="008D58F1">
        <w:t xml:space="preserve"> used $50 gift cards to increase participation </w:t>
      </w:r>
      <w:r w:rsidR="008553B9">
        <w:t>for</w:t>
      </w:r>
      <w:r w:rsidR="008D58F1">
        <w:t xml:space="preserve"> in-person focus groups among low-income participants of </w:t>
      </w:r>
      <w:r w:rsidR="008553B9">
        <w:t xml:space="preserve">Puerto Rico’s </w:t>
      </w:r>
      <w:r w:rsidR="008D58F1">
        <w:t>Nutrition Assistance Program. T</w:t>
      </w:r>
      <w:r w:rsidRPr="00D23E4F">
        <w:t>he WIC Cost Containment Study (</w:t>
      </w:r>
      <w:r w:rsidR="008553B9">
        <w:t xml:space="preserve">OMB </w:t>
      </w:r>
      <w:r w:rsidRPr="009C0B59">
        <w:t>Control N</w:t>
      </w:r>
      <w:r w:rsidRPr="009C0B59" w:rsidR="0097279F">
        <w:t>umber</w:t>
      </w:r>
      <w:r w:rsidRPr="009C0B59">
        <w:t xml:space="preserve"> 0584-0627; </w:t>
      </w:r>
      <w:r w:rsidRPr="009C0B59" w:rsidR="0097279F">
        <w:t xml:space="preserve">expiration date </w:t>
      </w:r>
      <w:r w:rsidRPr="009C0B59" w:rsidR="0019169E">
        <w:t xml:space="preserve">September 30, </w:t>
      </w:r>
      <w:r w:rsidRPr="009C0B59">
        <w:t xml:space="preserve">2020) provided a $30 </w:t>
      </w:r>
      <w:r w:rsidR="00A0397C">
        <w:t>incentive</w:t>
      </w:r>
      <w:r w:rsidRPr="009C0B59">
        <w:t xml:space="preserve"> to </w:t>
      </w:r>
      <w:r w:rsidRPr="009C0B59" w:rsidR="00C47AB0">
        <w:t>Special Supplemental Nutrition Program for Women, Infants, and Children (</w:t>
      </w:r>
      <w:r w:rsidRPr="009C0B59">
        <w:t>WIC</w:t>
      </w:r>
      <w:r w:rsidRPr="009C0B59" w:rsidR="00C47AB0">
        <w:t>)</w:t>
      </w:r>
      <w:r w:rsidRPr="009C0B59">
        <w:t xml:space="preserve"> participants </w:t>
      </w:r>
      <w:r w:rsidRPr="009C0B59" w:rsidR="00F87778">
        <w:t>to complete</w:t>
      </w:r>
      <w:r w:rsidRPr="009C0B59">
        <w:t xml:space="preserve"> a 30-minute telephone survey and a $30 </w:t>
      </w:r>
      <w:r w:rsidR="00A0397C">
        <w:t>incentive</w:t>
      </w:r>
      <w:r w:rsidRPr="009C0B59">
        <w:t xml:space="preserve"> to former WIC participants to complete a 20-minute telephone survey. For the Evaluation of the Pilot Project for Canned, Frozen, or Dried Fruits and Vegetables in the Fresh Fruit and Vegetable Program for FNS (OMB Control Number 0584-0598</w:t>
      </w:r>
      <w:r w:rsidRPr="009C0B59" w:rsidR="0097279F">
        <w:t>;</w:t>
      </w:r>
      <w:r w:rsidRPr="009C0B59">
        <w:t xml:space="preserve"> </w:t>
      </w:r>
      <w:r w:rsidRPr="009C0B59" w:rsidR="0097279F">
        <w:t xml:space="preserve">expiration date </w:t>
      </w:r>
      <w:r w:rsidRPr="009C0B59">
        <w:t>September 30, 2017)</w:t>
      </w:r>
      <w:r w:rsidRPr="009C0B59" w:rsidR="00E133DA">
        <w:t>,</w:t>
      </w:r>
      <w:r w:rsidRPr="009C0B59">
        <w:t xml:space="preserve"> $50 </w:t>
      </w:r>
      <w:r w:rsidR="00A0397C">
        <w:t>incentives</w:t>
      </w:r>
      <w:r w:rsidRPr="009C0B59">
        <w:t xml:space="preserve"> were offered to community members, including low-income parents, </w:t>
      </w:r>
      <w:r w:rsidRPr="009C0B59" w:rsidR="00E133DA">
        <w:t>who completed</w:t>
      </w:r>
      <w:r w:rsidRPr="009C0B59">
        <w:t xml:space="preserve"> 1-hour telephone interviews. The Evaluation of the Summer Food Service Program Participant Characteristics used $25 prepaid </w:t>
      </w:r>
      <w:r w:rsidRPr="009C0B59" w:rsidR="00B56D97">
        <w:t>gift</w:t>
      </w:r>
      <w:r w:rsidRPr="009C0B59">
        <w:t xml:space="preserve"> cards to increase</w:t>
      </w:r>
      <w:r w:rsidRPr="009C0B59" w:rsidR="00B50E63">
        <w:t xml:space="preserve"> the</w:t>
      </w:r>
      <w:r w:rsidRPr="009C0B59">
        <w:t xml:space="preserve"> participation of parents/caregivers of participants and eligible nonparticipants in 30-minute telephone interviews (OMB Control Number 0584-0595</w:t>
      </w:r>
      <w:r w:rsidRPr="009C0B59" w:rsidR="00EF2C6E">
        <w:t>;</w:t>
      </w:r>
      <w:r w:rsidRPr="009C0B59">
        <w:t xml:space="preserve"> </w:t>
      </w:r>
      <w:r w:rsidRPr="009C0B59" w:rsidR="00EF2C6E">
        <w:t xml:space="preserve">expiration date </w:t>
      </w:r>
      <w:r w:rsidRPr="009C0B59">
        <w:t xml:space="preserve">April 30, 2016). </w:t>
      </w:r>
    </w:p>
    <w:p w:rsidRPr="00C67A5B" w:rsidR="009866F2" w:rsidP="00C05E57" w:rsidRDefault="009866F2" w14:paraId="334AC97C" w14:textId="37D8141F">
      <w:pPr>
        <w:pStyle w:val="BodyText-IPR"/>
      </w:pPr>
      <w:r w:rsidRPr="009C0B59">
        <w:t xml:space="preserve">The </w:t>
      </w:r>
      <w:r w:rsidR="00A0397C">
        <w:t>incentives</w:t>
      </w:r>
      <w:r w:rsidRPr="009C0B59">
        <w:t xml:space="preserve"> </w:t>
      </w:r>
      <w:r w:rsidRPr="009C0B59" w:rsidR="003E3790">
        <w:t xml:space="preserve">for the current study </w:t>
      </w:r>
      <w:r w:rsidRPr="009C0B59">
        <w:t>will be offered equally to all potent</w:t>
      </w:r>
      <w:r w:rsidR="006D7CB5">
        <w:t xml:space="preserve">ial </w:t>
      </w:r>
      <w:r w:rsidR="00380C2F">
        <w:t>focus group and waiting room questionnaire</w:t>
      </w:r>
      <w:r w:rsidR="006D7CB5">
        <w:t xml:space="preserve"> participants</w:t>
      </w:r>
      <w:r w:rsidR="00380C2F">
        <w:t xml:space="preserve"> </w:t>
      </w:r>
      <w:r w:rsidR="00E17214">
        <w:t>who</w:t>
      </w:r>
      <w:r w:rsidR="00380C2F">
        <w:t xml:space="preserve"> are deemed eligible by the respective screeners. </w:t>
      </w:r>
      <w:r w:rsidRPr="009C0B59">
        <w:t xml:space="preserve">Based on the evidence discussed </w:t>
      </w:r>
      <w:r w:rsidRPr="009C0B59" w:rsidR="00254EFB">
        <w:t xml:space="preserve">earlier </w:t>
      </w:r>
      <w:r w:rsidRPr="00C67A5B" w:rsidR="00254EFB">
        <w:t>in this section</w:t>
      </w:r>
      <w:r w:rsidR="00780202">
        <w:t xml:space="preserve"> </w:t>
      </w:r>
      <w:r w:rsidR="00734261">
        <w:t>FNS/USDA</w:t>
      </w:r>
      <w:r w:rsidRPr="00C67A5B">
        <w:t xml:space="preserve"> plans to offer all </w:t>
      </w:r>
      <w:r w:rsidRPr="00C67A5B" w:rsidR="00380C2F">
        <w:t>focus group participants a $4</w:t>
      </w:r>
      <w:r w:rsidR="00B81332">
        <w:t>5</w:t>
      </w:r>
      <w:r w:rsidRPr="00C67A5B">
        <w:t xml:space="preserve"> </w:t>
      </w:r>
      <w:r w:rsidR="00280B19">
        <w:t>Mastercard, Visa, American Express or Discover</w:t>
      </w:r>
      <w:r w:rsidRPr="00C67A5B" w:rsidR="00280B19">
        <w:t xml:space="preserve"> </w:t>
      </w:r>
      <w:r w:rsidRPr="00C67A5B" w:rsidR="00A0397C">
        <w:t>incentive</w:t>
      </w:r>
      <w:r w:rsidRPr="00C67A5B">
        <w:t xml:space="preserve">, which will </w:t>
      </w:r>
      <w:r w:rsidRPr="00C67A5B" w:rsidR="00C0242D">
        <w:t xml:space="preserve">be </w:t>
      </w:r>
      <w:r w:rsidR="003C1ABD">
        <w:t>distributed to participants</w:t>
      </w:r>
      <w:r w:rsidR="00280B19">
        <w:t xml:space="preserve"> in-person</w:t>
      </w:r>
      <w:r w:rsidRPr="00C67A5B" w:rsidR="003C1ABD">
        <w:t xml:space="preserve"> </w:t>
      </w:r>
      <w:r w:rsidRPr="00C67A5B" w:rsidR="00380C2F">
        <w:t>at the end of the focus group</w:t>
      </w:r>
      <w:r w:rsidRPr="00C67A5B">
        <w:t xml:space="preserve">. As discussed in </w:t>
      </w:r>
      <w:r w:rsidRPr="00C67A5B" w:rsidR="00254EFB">
        <w:t>a</w:t>
      </w:r>
      <w:r w:rsidRPr="00C67A5B" w:rsidR="00205E70">
        <w:t xml:space="preserve">ppendix </w:t>
      </w:r>
      <w:r w:rsidRPr="00C67A5B" w:rsidR="00380C2F">
        <w:t>C</w:t>
      </w:r>
      <w:r w:rsidRPr="00C67A5B" w:rsidR="00297F7E">
        <w:t xml:space="preserve"> (Pretest Methods and Summary of Findings</w:t>
      </w:r>
      <w:r w:rsidRPr="00C67A5B">
        <w:t>), pretest</w:t>
      </w:r>
      <w:r w:rsidR="00280B19">
        <w:t xml:space="preserve"> focus group</w:t>
      </w:r>
      <w:r w:rsidRPr="00C67A5B">
        <w:t xml:space="preserve"> respondents </w:t>
      </w:r>
      <w:r w:rsidR="00280B19">
        <w:t>received</w:t>
      </w:r>
      <w:r w:rsidRPr="00C67A5B">
        <w:t xml:space="preserve"> a $</w:t>
      </w:r>
      <w:r w:rsidRPr="00C67A5B" w:rsidR="00380C2F">
        <w:t>45</w:t>
      </w:r>
      <w:r w:rsidRPr="006B330C" w:rsidR="006B330C">
        <w:t xml:space="preserve"> </w:t>
      </w:r>
      <w:r w:rsidRPr="00C67A5B" w:rsidR="003E3790">
        <w:t xml:space="preserve">gift card </w:t>
      </w:r>
      <w:r w:rsidRPr="00C67A5B">
        <w:t xml:space="preserve">for </w:t>
      </w:r>
      <w:r w:rsidRPr="00C67A5B" w:rsidR="006E7D42">
        <w:t xml:space="preserve">their </w:t>
      </w:r>
      <w:r w:rsidRPr="00C67A5B">
        <w:t>participa</w:t>
      </w:r>
      <w:r w:rsidRPr="00C67A5B" w:rsidR="006E7D42">
        <w:t>tion</w:t>
      </w:r>
      <w:r w:rsidRPr="00C67A5B">
        <w:t xml:space="preserve">. </w:t>
      </w:r>
      <w:r w:rsidRPr="00C67A5B" w:rsidR="00BE595A">
        <w:t>P</w:t>
      </w:r>
      <w:r w:rsidRPr="00C67A5B">
        <w:t xml:space="preserve">retest respondents are not part of the study and cannot receive the </w:t>
      </w:r>
      <w:r w:rsidRPr="00C67A5B" w:rsidR="00A0397C">
        <w:t>incentive</w:t>
      </w:r>
      <w:r w:rsidRPr="00C67A5B">
        <w:t xml:space="preserve"> again.</w:t>
      </w:r>
    </w:p>
    <w:p w:rsidRPr="00C67A5B" w:rsidR="00C05E57" w:rsidP="00C05E57" w:rsidRDefault="00577988" w14:paraId="50069907" w14:textId="68D4BDB4">
      <w:pPr>
        <w:pStyle w:val="BodyText-IPR"/>
      </w:pPr>
      <w:r w:rsidRPr="00C67A5B">
        <w:t>I</w:t>
      </w:r>
      <w:r w:rsidRPr="00C67A5B" w:rsidR="002D6110">
        <w:t xml:space="preserve">n summary, the planned </w:t>
      </w:r>
      <w:r w:rsidRPr="00C67A5B" w:rsidR="00A0397C">
        <w:t>incentives</w:t>
      </w:r>
      <w:r w:rsidRPr="00C67A5B" w:rsidR="002D6110">
        <w:t xml:space="preserve"> for the current and former SNAP participant </w:t>
      </w:r>
      <w:r w:rsidRPr="00C67A5B" w:rsidR="00380C2F">
        <w:t>focus group and waiting room questionnaires</w:t>
      </w:r>
      <w:r w:rsidRPr="00C67A5B" w:rsidR="002D6110">
        <w:t xml:space="preserve"> are designed to </w:t>
      </w:r>
      <w:r w:rsidR="00780202">
        <w:t xml:space="preserve">without enticing </w:t>
      </w:r>
      <w:r w:rsidRPr="00C67A5B" w:rsidR="002D6110">
        <w:t>promote cooperation and improve data quality by minimizing nonresponse bias</w:t>
      </w:r>
      <w:r w:rsidRPr="00C67A5B" w:rsidR="008D7BDE">
        <w:t xml:space="preserve"> and improving sample representativeness</w:t>
      </w:r>
      <w:r w:rsidRPr="00C67A5B" w:rsidR="002D6110">
        <w:t xml:space="preserve">. </w:t>
      </w:r>
      <w:r w:rsidRPr="00C67A5B" w:rsidR="00C05E57">
        <w:br w:type="page"/>
      </w:r>
    </w:p>
    <w:p w:rsidRPr="00C67A5B" w:rsidR="00787826" w:rsidP="00787826" w:rsidRDefault="00787826" w14:paraId="771949D6" w14:textId="14B53B97">
      <w:pPr>
        <w:pStyle w:val="Heading1-IPR"/>
      </w:pPr>
      <w:r w:rsidRPr="00C67A5B">
        <w:t>References</w:t>
      </w:r>
    </w:p>
    <w:p w:rsidRPr="00C67A5B" w:rsidR="00341D65" w:rsidP="00341D65" w:rsidRDefault="00341D65" w14:paraId="3F4FBDC9" w14:textId="33B9927C">
      <w:pPr>
        <w:pStyle w:val="References-IPR"/>
      </w:pPr>
      <w:r w:rsidRPr="00C67A5B">
        <w:t xml:space="preserve">Bonevski, B., Randell, </w:t>
      </w:r>
      <w:r w:rsidRPr="00C67A5B" w:rsidR="00364773">
        <w:t xml:space="preserve">M., </w:t>
      </w:r>
      <w:r w:rsidRPr="00C67A5B">
        <w:t xml:space="preserve">Paul, </w:t>
      </w:r>
      <w:r w:rsidRPr="00C67A5B" w:rsidR="00364773">
        <w:t xml:space="preserve">C., </w:t>
      </w:r>
      <w:r w:rsidRPr="00C67A5B">
        <w:t xml:space="preserve">Chapman, </w:t>
      </w:r>
      <w:r w:rsidRPr="00C67A5B" w:rsidR="00364773">
        <w:t xml:space="preserve">K., </w:t>
      </w:r>
      <w:r w:rsidRPr="00C67A5B">
        <w:t xml:space="preserve">Twyman, </w:t>
      </w:r>
      <w:r w:rsidRPr="00C67A5B" w:rsidR="00364773">
        <w:t xml:space="preserve">L., </w:t>
      </w:r>
      <w:r w:rsidRPr="00C67A5B">
        <w:t xml:space="preserve">Bryant, </w:t>
      </w:r>
      <w:r w:rsidRPr="00C67A5B" w:rsidR="005E0139">
        <w:t>J.,</w:t>
      </w:r>
      <w:r w:rsidRPr="00C67A5B" w:rsidR="0025144A">
        <w:t xml:space="preserve"> . . . </w:t>
      </w:r>
      <w:r w:rsidRPr="00C67A5B">
        <w:t>Hughes</w:t>
      </w:r>
      <w:r w:rsidRPr="00C67A5B" w:rsidR="0025144A">
        <w:t>, C</w:t>
      </w:r>
      <w:r w:rsidRPr="00C67A5B">
        <w:t xml:space="preserve">. </w:t>
      </w:r>
      <w:r w:rsidRPr="00C67A5B" w:rsidR="0069318F">
        <w:t xml:space="preserve">(2014). </w:t>
      </w:r>
      <w:r w:rsidRPr="00C67A5B">
        <w:t xml:space="preserve">Reaching the </w:t>
      </w:r>
      <w:r w:rsidRPr="00C67A5B" w:rsidR="0069318F">
        <w:t>hard-to-reach</w:t>
      </w:r>
      <w:r w:rsidRPr="00C67A5B">
        <w:t xml:space="preserve">: A </w:t>
      </w:r>
      <w:r w:rsidRPr="00C67A5B" w:rsidR="0069318F">
        <w:t>systematic review of strategies for improving health and medical research with socially disadvantaged group</w:t>
      </w:r>
      <w:r w:rsidRPr="00C67A5B">
        <w:t xml:space="preserve">s. </w:t>
      </w:r>
      <w:r w:rsidRPr="00C67A5B">
        <w:rPr>
          <w:i/>
        </w:rPr>
        <w:t xml:space="preserve">BMC Medical Research Methodology, </w:t>
      </w:r>
      <w:r w:rsidRPr="00C67A5B" w:rsidR="0069318F">
        <w:rPr>
          <w:i/>
        </w:rPr>
        <w:t>(</w:t>
      </w:r>
      <w:r w:rsidRPr="00C67A5B">
        <w:rPr>
          <w:i/>
        </w:rPr>
        <w:t>14</w:t>
      </w:r>
      <w:r w:rsidRPr="00C67A5B" w:rsidR="0069318F">
        <w:rPr>
          <w:i/>
        </w:rPr>
        <w:t>)</w:t>
      </w:r>
      <w:r w:rsidRPr="00C67A5B">
        <w:t>42.</w:t>
      </w:r>
    </w:p>
    <w:p w:rsidRPr="00C67A5B" w:rsidR="00F5310C" w:rsidP="00873029" w:rsidRDefault="00F5310C" w14:paraId="73E26701" w14:textId="71357D4E">
      <w:pPr>
        <w:pStyle w:val="References-IPR"/>
        <w:rPr>
          <w:color w:val="000000"/>
        </w:rPr>
      </w:pPr>
      <w:r w:rsidRPr="00C67A5B">
        <w:rPr>
          <w:shd w:val="clear" w:color="auto" w:fill="FFFFFF"/>
        </w:rPr>
        <w:t>Brick, J. M., &amp; Williams, D. (2013). Explaining rising nonresponse rates in cross-sectional surveys. </w:t>
      </w:r>
      <w:r w:rsidRPr="00C67A5B">
        <w:rPr>
          <w:i/>
          <w:iCs/>
          <w:shd w:val="clear" w:color="auto" w:fill="FFFFFF"/>
        </w:rPr>
        <w:t>A</w:t>
      </w:r>
      <w:r w:rsidRPr="00C67A5B" w:rsidR="004938F5">
        <w:rPr>
          <w:i/>
          <w:iCs/>
          <w:shd w:val="clear" w:color="auto" w:fill="FFFFFF"/>
        </w:rPr>
        <w:t>nnals</w:t>
      </w:r>
      <w:r w:rsidRPr="00C67A5B">
        <w:rPr>
          <w:i/>
          <w:shd w:val="clear" w:color="auto" w:fill="FFFFFF"/>
        </w:rPr>
        <w:t xml:space="preserve"> of the American </w:t>
      </w:r>
      <w:r w:rsidRPr="00C67A5B" w:rsidR="006D32C0">
        <w:rPr>
          <w:i/>
          <w:shd w:val="clear" w:color="auto" w:fill="FFFFFF"/>
        </w:rPr>
        <w:t>Academy of Political and Social Science</w:t>
      </w:r>
      <w:r w:rsidRPr="00C67A5B">
        <w:rPr>
          <w:shd w:val="clear" w:color="auto" w:fill="FFFFFF"/>
        </w:rPr>
        <w:t>, </w:t>
      </w:r>
      <w:r w:rsidRPr="00C67A5B">
        <w:rPr>
          <w:i/>
          <w:shd w:val="clear" w:color="auto" w:fill="FFFFFF"/>
        </w:rPr>
        <w:t>645</w:t>
      </w:r>
      <w:r w:rsidRPr="00C67A5B">
        <w:rPr>
          <w:shd w:val="clear" w:color="auto" w:fill="FFFFFF"/>
        </w:rPr>
        <w:t>(1), 36</w:t>
      </w:r>
      <w:r w:rsidRPr="00C67A5B" w:rsidR="006D32C0">
        <w:rPr>
          <w:shd w:val="clear" w:color="auto" w:fill="FFFFFF"/>
        </w:rPr>
        <w:t>–</w:t>
      </w:r>
      <w:r w:rsidRPr="00C67A5B">
        <w:rPr>
          <w:shd w:val="clear" w:color="auto" w:fill="FFFFFF"/>
        </w:rPr>
        <w:t>59.</w:t>
      </w:r>
    </w:p>
    <w:p w:rsidRPr="00C67A5B" w:rsidR="00F5310C" w:rsidP="00873029" w:rsidRDefault="00F5310C" w14:paraId="4575D03F" w14:textId="2855B696">
      <w:pPr>
        <w:pStyle w:val="References-IPR"/>
        <w:rPr>
          <w:color w:val="000000"/>
        </w:rPr>
      </w:pPr>
      <w:r w:rsidRPr="00C67A5B">
        <w:t>Curtin, R., Presser, S., &amp; Singer, E. (2005). Changes in telephone survey nonresponse over the past quarter century. </w:t>
      </w:r>
      <w:r w:rsidRPr="00C67A5B">
        <w:rPr>
          <w:i/>
        </w:rPr>
        <w:t xml:space="preserve">Public </w:t>
      </w:r>
      <w:r w:rsidRPr="00C67A5B" w:rsidR="006D32C0">
        <w:rPr>
          <w:i/>
        </w:rPr>
        <w:t>Opinion Quarterly</w:t>
      </w:r>
      <w:r w:rsidRPr="00C67A5B">
        <w:t>, </w:t>
      </w:r>
      <w:r w:rsidRPr="00C67A5B">
        <w:rPr>
          <w:i/>
        </w:rPr>
        <w:t>69</w:t>
      </w:r>
      <w:r w:rsidRPr="00C67A5B">
        <w:t>(1), 87</w:t>
      </w:r>
      <w:r w:rsidRPr="00C67A5B" w:rsidR="006D32C0">
        <w:t>–</w:t>
      </w:r>
      <w:r w:rsidRPr="00C67A5B">
        <w:t>98</w:t>
      </w:r>
      <w:r w:rsidRPr="00C67A5B">
        <w:rPr>
          <w:shd w:val="clear" w:color="auto" w:fill="F8F8F8"/>
        </w:rPr>
        <w:t>.</w:t>
      </w:r>
    </w:p>
    <w:p w:rsidRPr="00C67A5B" w:rsidR="006D5E8E" w:rsidP="00787826" w:rsidRDefault="006D5E8E" w14:paraId="57C67DA8" w14:textId="7E0FC9B9">
      <w:pPr>
        <w:pStyle w:val="References-IPR"/>
      </w:pPr>
      <w:r w:rsidRPr="00C67A5B">
        <w:t xml:space="preserve">Dillman, D. </w:t>
      </w:r>
      <w:r w:rsidRPr="00C67A5B" w:rsidR="00BE404F">
        <w:t>(</w:t>
      </w:r>
      <w:r w:rsidRPr="00C67A5B">
        <w:t>2000</w:t>
      </w:r>
      <w:r w:rsidRPr="00C67A5B" w:rsidR="00BE404F">
        <w:t>)</w:t>
      </w:r>
      <w:r w:rsidRPr="00C67A5B">
        <w:t xml:space="preserve">. </w:t>
      </w:r>
      <w:r w:rsidRPr="00C67A5B">
        <w:rPr>
          <w:i/>
        </w:rPr>
        <w:t xml:space="preserve">Mail and </w:t>
      </w:r>
      <w:r w:rsidRPr="00C67A5B" w:rsidR="00BE404F">
        <w:rPr>
          <w:i/>
        </w:rPr>
        <w:t>internet surveys</w:t>
      </w:r>
      <w:r w:rsidRPr="00C67A5B">
        <w:rPr>
          <w:i/>
        </w:rPr>
        <w:t xml:space="preserve">: The </w:t>
      </w:r>
      <w:r w:rsidRPr="00C67A5B" w:rsidR="00BE404F">
        <w:rPr>
          <w:i/>
        </w:rPr>
        <w:t>tailored design method</w:t>
      </w:r>
      <w:r w:rsidRPr="00C67A5B" w:rsidR="00BE404F">
        <w:t xml:space="preserve"> (</w:t>
      </w:r>
      <w:r w:rsidRPr="00C67A5B">
        <w:t xml:space="preserve">2nd </w:t>
      </w:r>
      <w:r w:rsidRPr="00C67A5B" w:rsidR="00BE404F">
        <w:t>e</w:t>
      </w:r>
      <w:r w:rsidRPr="00C67A5B">
        <w:t>d</w:t>
      </w:r>
      <w:r w:rsidRPr="00C67A5B" w:rsidR="00BE404F">
        <w:t>.)</w:t>
      </w:r>
      <w:r w:rsidRPr="00C67A5B">
        <w:t xml:space="preserve">. </w:t>
      </w:r>
      <w:r w:rsidRPr="00C67A5B" w:rsidR="00BE404F">
        <w:t xml:space="preserve">New York, NY: </w:t>
      </w:r>
      <w:r w:rsidRPr="00C67A5B">
        <w:t>John Wiley &amp; Sons.</w:t>
      </w:r>
    </w:p>
    <w:p w:rsidRPr="00C67A5B" w:rsidR="006D5E8E" w:rsidP="00787826" w:rsidRDefault="006D5E8E" w14:paraId="74CF74BD" w14:textId="2C150682">
      <w:pPr>
        <w:pStyle w:val="References-IPR"/>
      </w:pPr>
      <w:r w:rsidRPr="00C67A5B">
        <w:t>Fredrickson, D.</w:t>
      </w:r>
      <w:r w:rsidRPr="00C67A5B" w:rsidR="00217E15">
        <w:t xml:space="preserve"> </w:t>
      </w:r>
      <w:r w:rsidRPr="00C67A5B">
        <w:t>D., Jones, T.</w:t>
      </w:r>
      <w:r w:rsidRPr="00C67A5B" w:rsidR="00217E15">
        <w:t xml:space="preserve"> </w:t>
      </w:r>
      <w:r w:rsidRPr="00C67A5B">
        <w:t>I</w:t>
      </w:r>
      <w:r w:rsidRPr="00C67A5B" w:rsidR="006E38F7">
        <w:t>.</w:t>
      </w:r>
      <w:r w:rsidRPr="00C67A5B">
        <w:t>, Molgaard, C.</w:t>
      </w:r>
      <w:r w:rsidRPr="00C67A5B" w:rsidR="00217E15">
        <w:t xml:space="preserve"> </w:t>
      </w:r>
      <w:r w:rsidRPr="00C67A5B">
        <w:t>A., Carman, C.</w:t>
      </w:r>
      <w:r w:rsidRPr="00C67A5B" w:rsidR="00217E15">
        <w:t xml:space="preserve"> </w:t>
      </w:r>
      <w:r w:rsidRPr="00C67A5B">
        <w:t>G., Schukman, J., Dismuke, S.</w:t>
      </w:r>
      <w:r w:rsidRPr="00C67A5B" w:rsidR="00C06A83">
        <w:t xml:space="preserve"> </w:t>
      </w:r>
      <w:r w:rsidRPr="00C67A5B">
        <w:t xml:space="preserve">E., </w:t>
      </w:r>
      <w:r w:rsidRPr="00C67A5B" w:rsidR="00217E15">
        <w:t>&amp;</w:t>
      </w:r>
      <w:r w:rsidRPr="00C67A5B">
        <w:t xml:space="preserve"> Ablah</w:t>
      </w:r>
      <w:r w:rsidRPr="00C67A5B" w:rsidR="00217E15">
        <w:t>, E.</w:t>
      </w:r>
      <w:r w:rsidRPr="00C67A5B">
        <w:t xml:space="preserve"> (2005). Optimal </w:t>
      </w:r>
      <w:r w:rsidRPr="00C67A5B" w:rsidR="00217E15">
        <w:t>design features for surveying low-income populations</w:t>
      </w:r>
      <w:r w:rsidRPr="00C67A5B">
        <w:t>.</w:t>
      </w:r>
      <w:r w:rsidRPr="00C67A5B" w:rsidR="003E3790">
        <w:t xml:space="preserve"> </w:t>
      </w:r>
      <w:r w:rsidRPr="00C67A5B">
        <w:rPr>
          <w:i/>
        </w:rPr>
        <w:t>Journal of Health Care for the Poor and Underserved, 16</w:t>
      </w:r>
      <w:r w:rsidRPr="00C67A5B" w:rsidR="00217E15">
        <w:t>,</w:t>
      </w:r>
      <w:r w:rsidRPr="00C67A5B">
        <w:t xml:space="preserve"> 677</w:t>
      </w:r>
      <w:r w:rsidRPr="00C67A5B" w:rsidR="00217E15">
        <w:t>–</w:t>
      </w:r>
      <w:r w:rsidRPr="00C67A5B">
        <w:t>690.</w:t>
      </w:r>
    </w:p>
    <w:p w:rsidRPr="00C67A5B" w:rsidR="006D5E8E" w:rsidP="00787826" w:rsidRDefault="006D5E8E" w14:paraId="048CE8F0" w14:textId="221A081B">
      <w:pPr>
        <w:pStyle w:val="References-IPR"/>
      </w:pPr>
      <w:r w:rsidRPr="00C67A5B">
        <w:t xml:space="preserve">Groves, R., Fowler, F., Couper, M., Lepkowski, J., Singer, E., &amp; Tourangeau, R. (2009). </w:t>
      </w:r>
      <w:r w:rsidRPr="00C67A5B">
        <w:rPr>
          <w:i/>
        </w:rPr>
        <w:t xml:space="preserve">Survey methodology </w:t>
      </w:r>
      <w:r w:rsidRPr="00C67A5B">
        <w:t xml:space="preserve">(2nd </w:t>
      </w:r>
      <w:r w:rsidRPr="00C67A5B" w:rsidR="002B554C">
        <w:t>e</w:t>
      </w:r>
      <w:r w:rsidRPr="00C67A5B">
        <w:t>d., pp</w:t>
      </w:r>
      <w:r w:rsidRPr="00C67A5B" w:rsidR="00425AF6">
        <w:t>.</w:t>
      </w:r>
      <w:r w:rsidRPr="00C67A5B">
        <w:t xml:space="preserve"> 205–206). New York: Wiley.</w:t>
      </w:r>
    </w:p>
    <w:p w:rsidRPr="00C67A5B" w:rsidR="006D5E8E" w:rsidP="00787826" w:rsidRDefault="006D5E8E" w14:paraId="2CD0E002" w14:textId="65D36831">
      <w:pPr>
        <w:pStyle w:val="References-IPR"/>
      </w:pPr>
      <w:r w:rsidRPr="00C67A5B">
        <w:t xml:space="preserve">Groves, R., Singer, E., &amp; Corning, A. (2000). Leverage-saliency theory of survey participation: </w:t>
      </w:r>
      <w:r w:rsidRPr="00C67A5B" w:rsidR="00093BF9">
        <w:t>D</w:t>
      </w:r>
      <w:r w:rsidRPr="00C67A5B">
        <w:t xml:space="preserve">escription and an illustration. </w:t>
      </w:r>
      <w:r w:rsidRPr="00C67A5B">
        <w:rPr>
          <w:i/>
        </w:rPr>
        <w:t>Public Opinion Quarterly. 64</w:t>
      </w:r>
      <w:r w:rsidRPr="00C67A5B">
        <w:t>(3)</w:t>
      </w:r>
      <w:r w:rsidRPr="00C67A5B" w:rsidR="002B554C">
        <w:t>,</w:t>
      </w:r>
      <w:r w:rsidRPr="00C67A5B">
        <w:t xml:space="preserve"> 299</w:t>
      </w:r>
      <w:r w:rsidRPr="00C67A5B" w:rsidR="002B554C">
        <w:t>–</w:t>
      </w:r>
      <w:r w:rsidRPr="00C67A5B">
        <w:t>308.</w:t>
      </w:r>
    </w:p>
    <w:p w:rsidRPr="00C67A5B" w:rsidR="006D5E8E" w:rsidP="00787826" w:rsidRDefault="006D5E8E" w14:paraId="642E75A1" w14:textId="5B3A7D90">
      <w:pPr>
        <w:pStyle w:val="References-IPR"/>
      </w:pPr>
      <w:r w:rsidRPr="00C67A5B">
        <w:t>Groves, R.</w:t>
      </w:r>
      <w:r w:rsidRPr="00C67A5B" w:rsidR="00CD52CC">
        <w:t xml:space="preserve"> </w:t>
      </w:r>
      <w:r w:rsidRPr="00C67A5B">
        <w:t>M., Couper, M.</w:t>
      </w:r>
      <w:r w:rsidRPr="00C67A5B" w:rsidR="00CD52CC">
        <w:t xml:space="preserve"> </w:t>
      </w:r>
      <w:r w:rsidRPr="00C67A5B">
        <w:t xml:space="preserve">P., Presser, S., Singer, E., Tourangeau, R., Acosta, G., &amp; Nelson, L. (2006) Experiments in </w:t>
      </w:r>
      <w:r w:rsidRPr="00C67A5B" w:rsidR="007B35AE">
        <w:t xml:space="preserve">producing nonresponse </w:t>
      </w:r>
      <w:r w:rsidRPr="00C67A5B">
        <w:t>bias.</w:t>
      </w:r>
      <w:r w:rsidRPr="00C67A5B" w:rsidR="003E3790">
        <w:t xml:space="preserve"> </w:t>
      </w:r>
      <w:r w:rsidRPr="00C67A5B">
        <w:rPr>
          <w:i/>
        </w:rPr>
        <w:t>Public Opinion Quarterly</w:t>
      </w:r>
      <w:r w:rsidRPr="00C67A5B" w:rsidR="007B35AE">
        <w:rPr>
          <w:i/>
        </w:rPr>
        <w:t>,</w:t>
      </w:r>
      <w:r w:rsidRPr="00C67A5B">
        <w:rPr>
          <w:i/>
        </w:rPr>
        <w:t xml:space="preserve"> 70</w:t>
      </w:r>
      <w:r w:rsidRPr="00C67A5B">
        <w:t>(5)</w:t>
      </w:r>
      <w:r w:rsidRPr="00C67A5B" w:rsidR="007B35AE">
        <w:t>,</w:t>
      </w:r>
      <w:r w:rsidRPr="00C67A5B">
        <w:t xml:space="preserve"> 720</w:t>
      </w:r>
      <w:r w:rsidRPr="00C67A5B" w:rsidR="007B35AE">
        <w:t>–</w:t>
      </w:r>
      <w:r w:rsidRPr="00C67A5B">
        <w:t>736</w:t>
      </w:r>
      <w:r w:rsidRPr="00C67A5B" w:rsidR="007B35AE">
        <w:t>.</w:t>
      </w:r>
    </w:p>
    <w:p w:rsidRPr="00C67A5B" w:rsidR="006D5E8E" w:rsidP="00787826" w:rsidRDefault="006D5E8E" w14:paraId="38BAC66F" w14:textId="2CFC17A9">
      <w:pPr>
        <w:pStyle w:val="References-IPR"/>
      </w:pPr>
      <w:r w:rsidRPr="00C67A5B">
        <w:t>James, T.</w:t>
      </w:r>
      <w:r w:rsidRPr="00C67A5B" w:rsidR="007C5BC7">
        <w:t xml:space="preserve"> L.</w:t>
      </w:r>
      <w:r w:rsidRPr="00C67A5B">
        <w:t xml:space="preserve"> (199</w:t>
      </w:r>
      <w:r w:rsidRPr="00C67A5B" w:rsidR="007C5BC7">
        <w:t>7</w:t>
      </w:r>
      <w:r w:rsidRPr="00C67A5B">
        <w:t xml:space="preserve">). Results of wave 1 incentive experiment in the 1996 survey of income and program participation. </w:t>
      </w:r>
      <w:r w:rsidRPr="00C67A5B">
        <w:rPr>
          <w:i/>
        </w:rPr>
        <w:t>Proceedings of the Survey Research Methods Section</w:t>
      </w:r>
      <w:r w:rsidRPr="00C67A5B">
        <w:t xml:space="preserve"> (pp</w:t>
      </w:r>
      <w:r w:rsidRPr="00C67A5B" w:rsidR="00425AF6">
        <w:t>.</w:t>
      </w:r>
      <w:r w:rsidRPr="00C67A5B">
        <w:t xml:space="preserve"> 834–839)</w:t>
      </w:r>
      <w:r w:rsidRPr="00C67A5B" w:rsidR="007C5BC7">
        <w:t>. Washington, DC</w:t>
      </w:r>
      <w:r w:rsidRPr="00C67A5B" w:rsidR="006415B8">
        <w:t>: American Statistical Association</w:t>
      </w:r>
      <w:r w:rsidRPr="00C67A5B">
        <w:t>.</w:t>
      </w:r>
    </w:p>
    <w:p w:rsidRPr="00C67A5B" w:rsidR="00077F2E" w:rsidP="00035324" w:rsidRDefault="00077F2E" w14:paraId="5929A693" w14:textId="660D2A3B">
      <w:pPr>
        <w:pStyle w:val="References-IPR"/>
      </w:pPr>
      <w:r w:rsidRPr="00C67A5B">
        <w:t xml:space="preserve">Krueger, R. A. (1994). </w:t>
      </w:r>
      <w:r w:rsidRPr="00C67A5B">
        <w:rPr>
          <w:i/>
        </w:rPr>
        <w:t xml:space="preserve">Focus groups: A practical guide for applied research. </w:t>
      </w:r>
      <w:r w:rsidRPr="00C67A5B">
        <w:t>Thousand Oaks, CA: Sage Publications</w:t>
      </w:r>
      <w:r w:rsidRPr="00C67A5B" w:rsidR="00425AF6">
        <w:t>,</w:t>
      </w:r>
      <w:r w:rsidRPr="00C67A5B">
        <w:t xml:space="preserve"> Inc.</w:t>
      </w:r>
    </w:p>
    <w:p w:rsidRPr="00C67A5B" w:rsidR="006D5E8E" w:rsidP="00787826" w:rsidRDefault="006D5E8E" w14:paraId="705B569B" w14:textId="224271C6">
      <w:pPr>
        <w:pStyle w:val="References-IPR"/>
      </w:pPr>
      <w:r w:rsidRPr="00C67A5B">
        <w:t>Mercer, A., Caporaso, A., Cantor, D., &amp; Townsend, R. (2015).</w:t>
      </w:r>
      <w:r w:rsidRPr="00C67A5B" w:rsidR="003E3790">
        <w:t xml:space="preserve"> </w:t>
      </w:r>
      <w:r w:rsidRPr="00C67A5B">
        <w:t>How much gets you how much? Monetary incentives and response rates in household surveys.</w:t>
      </w:r>
      <w:r w:rsidRPr="00C67A5B" w:rsidR="003E3790">
        <w:t xml:space="preserve"> </w:t>
      </w:r>
      <w:r w:rsidRPr="00C67A5B">
        <w:rPr>
          <w:i/>
        </w:rPr>
        <w:t>Public Opinion Quarterly, 79</w:t>
      </w:r>
      <w:r w:rsidRPr="00C67A5B" w:rsidR="0079596B">
        <w:rPr>
          <w:i/>
        </w:rPr>
        <w:t>,</w:t>
      </w:r>
      <w:r w:rsidRPr="00C67A5B" w:rsidR="0079596B">
        <w:t xml:space="preserve"> </w:t>
      </w:r>
      <w:r w:rsidRPr="00C67A5B">
        <w:t>105</w:t>
      </w:r>
      <w:r w:rsidRPr="00C67A5B" w:rsidR="0079596B">
        <w:t>–</w:t>
      </w:r>
      <w:r w:rsidRPr="00C67A5B">
        <w:t>129.</w:t>
      </w:r>
    </w:p>
    <w:p w:rsidRPr="00C67A5B" w:rsidR="006D5E8E" w:rsidP="00787826" w:rsidRDefault="006D5E8E" w14:paraId="7B1660AE" w14:textId="6CD80719">
      <w:pPr>
        <w:pStyle w:val="References-IPR"/>
      </w:pPr>
      <w:r w:rsidRPr="00C67A5B">
        <w:t>Messer, B.</w:t>
      </w:r>
      <w:r w:rsidRPr="00C67A5B" w:rsidR="0079596B">
        <w:t>, &amp;</w:t>
      </w:r>
      <w:r w:rsidRPr="00C67A5B">
        <w:t xml:space="preserve"> Dillman, D. (2011).</w:t>
      </w:r>
      <w:r w:rsidRPr="00C67A5B" w:rsidR="003E3790">
        <w:t xml:space="preserve"> </w:t>
      </w:r>
      <w:r w:rsidRPr="00C67A5B">
        <w:t xml:space="preserve">Surveying the general public over the internet using address-based sampling and mail contact procedures. </w:t>
      </w:r>
      <w:r w:rsidRPr="00C67A5B">
        <w:rPr>
          <w:i/>
        </w:rPr>
        <w:t>Public Opinion Quarterly, 75</w:t>
      </w:r>
      <w:r w:rsidRPr="00C67A5B" w:rsidR="0079596B">
        <w:rPr>
          <w:i/>
        </w:rPr>
        <w:t>,</w:t>
      </w:r>
      <w:r w:rsidRPr="00C67A5B" w:rsidR="0079596B">
        <w:t xml:space="preserve"> </w:t>
      </w:r>
      <w:r w:rsidRPr="00C67A5B">
        <w:t>429</w:t>
      </w:r>
      <w:r w:rsidRPr="00C67A5B" w:rsidR="0079596B">
        <w:t>–</w:t>
      </w:r>
      <w:r w:rsidRPr="00C67A5B">
        <w:t>457.</w:t>
      </w:r>
    </w:p>
    <w:p w:rsidRPr="00C67A5B" w:rsidR="006D5E8E" w:rsidP="00787826" w:rsidRDefault="006D5E8E" w14:paraId="2487F477" w14:textId="3DA775BB">
      <w:pPr>
        <w:pStyle w:val="References-IPR"/>
      </w:pPr>
      <w:r w:rsidRPr="00C67A5B">
        <w:t xml:space="preserve">Olson, K., Stange, M., </w:t>
      </w:r>
      <w:r w:rsidRPr="00C67A5B" w:rsidR="00994540">
        <w:t>&amp;</w:t>
      </w:r>
      <w:r w:rsidRPr="00C67A5B">
        <w:t xml:space="preserve"> J. Smyth</w:t>
      </w:r>
      <w:r w:rsidRPr="00C67A5B" w:rsidR="00A63309">
        <w:t>.</w:t>
      </w:r>
      <w:r w:rsidRPr="00C67A5B">
        <w:t xml:space="preserve"> (2014)</w:t>
      </w:r>
      <w:r w:rsidRPr="00C67A5B" w:rsidR="00A63309">
        <w:t>.</w:t>
      </w:r>
      <w:r w:rsidRPr="00C67A5B">
        <w:t xml:space="preserve"> Assessing within-household selection methods in household mail surveys.</w:t>
      </w:r>
      <w:r w:rsidRPr="00C67A5B" w:rsidR="003E3790">
        <w:t xml:space="preserve"> </w:t>
      </w:r>
      <w:r w:rsidRPr="00C67A5B">
        <w:rPr>
          <w:i/>
        </w:rPr>
        <w:t>Public Opinion Quarterly, 78</w:t>
      </w:r>
      <w:r w:rsidRPr="00C67A5B" w:rsidR="00A63309">
        <w:rPr>
          <w:i/>
        </w:rPr>
        <w:t>,</w:t>
      </w:r>
      <w:r w:rsidRPr="00C67A5B">
        <w:t xml:space="preserve"> 656</w:t>
      </w:r>
      <w:r w:rsidRPr="00C67A5B" w:rsidR="00A63309">
        <w:t>–</w:t>
      </w:r>
      <w:r w:rsidRPr="00C67A5B">
        <w:t>678.</w:t>
      </w:r>
    </w:p>
    <w:p w:rsidRPr="00C67A5B" w:rsidR="00077F2E" w:rsidP="00EA072F" w:rsidRDefault="00077F2E" w14:paraId="7739282A" w14:textId="3D182D0D">
      <w:pPr>
        <w:pStyle w:val="References-IPR"/>
      </w:pPr>
      <w:r w:rsidRPr="00C67A5B">
        <w:t>Parker, A.</w:t>
      </w:r>
      <w:r w:rsidRPr="00C67A5B" w:rsidR="000C154B">
        <w:t>,</w:t>
      </w:r>
      <w:r w:rsidRPr="00C67A5B">
        <w:t xml:space="preserve"> &amp; Tritter, J. (2006). Focus group method and methodology: Current practice and recent debate</w:t>
      </w:r>
      <w:r w:rsidRPr="00C67A5B">
        <w:rPr>
          <w:i/>
        </w:rPr>
        <w:t>. International Journal of Research &amp; Method in Education, 29,</w:t>
      </w:r>
      <w:r w:rsidRPr="00C67A5B">
        <w:t xml:space="preserve"> 23–37.</w:t>
      </w:r>
    </w:p>
    <w:p w:rsidRPr="00C67A5B" w:rsidR="006D5E8E" w:rsidP="00787826" w:rsidRDefault="006D5E8E" w14:paraId="0EBA3973" w14:textId="5BD761AF">
      <w:pPr>
        <w:pStyle w:val="References-IPR"/>
      </w:pPr>
      <w:r w:rsidRPr="00C67A5B">
        <w:t>Singer</w:t>
      </w:r>
      <w:r w:rsidRPr="00C67A5B" w:rsidR="00AC5C1C">
        <w:t>,</w:t>
      </w:r>
      <w:r w:rsidRPr="00C67A5B">
        <w:t xml:space="preserve"> E. (2002). The use of incentives to reduce non response in households surveys</w:t>
      </w:r>
      <w:r w:rsidRPr="00C67A5B" w:rsidR="001C5797">
        <w:t>. I</w:t>
      </w:r>
      <w:r w:rsidRPr="00C67A5B">
        <w:t xml:space="preserve">n </w:t>
      </w:r>
      <w:r w:rsidRPr="00C67A5B" w:rsidR="001C5797">
        <w:t xml:space="preserve">R. </w:t>
      </w:r>
      <w:r w:rsidRPr="00C67A5B">
        <w:t xml:space="preserve">Groves, </w:t>
      </w:r>
      <w:r w:rsidRPr="00C67A5B" w:rsidR="001C5797">
        <w:t xml:space="preserve">D. </w:t>
      </w:r>
      <w:r w:rsidRPr="00C67A5B">
        <w:t xml:space="preserve">Dillman, </w:t>
      </w:r>
      <w:r w:rsidRPr="00C67A5B" w:rsidR="001C5797">
        <w:t xml:space="preserve">J. </w:t>
      </w:r>
      <w:r w:rsidRPr="00C67A5B">
        <w:t xml:space="preserve">Eltinge, </w:t>
      </w:r>
      <w:r w:rsidRPr="00C67A5B" w:rsidR="001C5797">
        <w:t xml:space="preserve">&amp; R. </w:t>
      </w:r>
      <w:r w:rsidRPr="00C67A5B">
        <w:t>Little (</w:t>
      </w:r>
      <w:r w:rsidRPr="00C67A5B" w:rsidR="001C5797">
        <w:t>E</w:t>
      </w:r>
      <w:r w:rsidRPr="00C67A5B">
        <w:t>ds.)</w:t>
      </w:r>
      <w:r w:rsidRPr="00C67A5B" w:rsidR="001C5797">
        <w:t>,</w:t>
      </w:r>
      <w:r w:rsidRPr="00C67A5B">
        <w:t xml:space="preserve"> </w:t>
      </w:r>
      <w:r w:rsidRPr="00C67A5B">
        <w:rPr>
          <w:i/>
        </w:rPr>
        <w:t xml:space="preserve">Survey </w:t>
      </w:r>
      <w:r w:rsidRPr="00C67A5B" w:rsidR="001C5797">
        <w:rPr>
          <w:i/>
        </w:rPr>
        <w:t>n</w:t>
      </w:r>
      <w:r w:rsidRPr="00C67A5B">
        <w:rPr>
          <w:i/>
        </w:rPr>
        <w:t xml:space="preserve">on </w:t>
      </w:r>
      <w:r w:rsidRPr="00C67A5B" w:rsidR="001C5797">
        <w:rPr>
          <w:i/>
        </w:rPr>
        <w:t>r</w:t>
      </w:r>
      <w:r w:rsidRPr="00C67A5B">
        <w:rPr>
          <w:i/>
        </w:rPr>
        <w:t>esponse</w:t>
      </w:r>
      <w:r w:rsidRPr="00C67A5B" w:rsidR="002C309F">
        <w:rPr>
          <w:i/>
        </w:rPr>
        <w:t xml:space="preserve"> </w:t>
      </w:r>
      <w:r w:rsidRPr="00C67A5B" w:rsidR="002C309F">
        <w:t>(pp</w:t>
      </w:r>
      <w:r w:rsidRPr="00C67A5B" w:rsidR="00DC062A">
        <w:t>.</w:t>
      </w:r>
      <w:r w:rsidRPr="00C67A5B" w:rsidR="002C309F">
        <w:t xml:space="preserve"> 163–177)</w:t>
      </w:r>
      <w:r w:rsidRPr="00C67A5B">
        <w:rPr>
          <w:i/>
        </w:rPr>
        <w:t>.</w:t>
      </w:r>
      <w:r w:rsidRPr="00C67A5B">
        <w:t xml:space="preserve"> New York: Wiley.</w:t>
      </w:r>
    </w:p>
    <w:p w:rsidRPr="00C67A5B" w:rsidR="006D5E8E" w:rsidP="00787826" w:rsidRDefault="006D5E8E" w14:paraId="1899C59C" w14:textId="4C4B540C">
      <w:pPr>
        <w:pStyle w:val="References-IPR"/>
      </w:pPr>
      <w:r w:rsidRPr="00C67A5B">
        <w:t xml:space="preserve">Singer, E. </w:t>
      </w:r>
      <w:r w:rsidRPr="00C67A5B" w:rsidR="00BB1261">
        <w:t>(</w:t>
      </w:r>
      <w:r w:rsidRPr="00C67A5B">
        <w:t>2006</w:t>
      </w:r>
      <w:r w:rsidRPr="00C67A5B" w:rsidR="00BB1261">
        <w:t>)</w:t>
      </w:r>
      <w:r w:rsidRPr="00C67A5B">
        <w:t xml:space="preserve">. Introduction: Nonresponse </w:t>
      </w:r>
      <w:r w:rsidRPr="00C67A5B" w:rsidR="00BB1261">
        <w:t>bias in household surveys</w:t>
      </w:r>
      <w:r w:rsidRPr="00C67A5B">
        <w:t xml:space="preserve">. </w:t>
      </w:r>
      <w:r w:rsidRPr="00C67A5B">
        <w:rPr>
          <w:i/>
        </w:rPr>
        <w:t>Public Opinion Quarterly, 70</w:t>
      </w:r>
      <w:r w:rsidRPr="00C67A5B">
        <w:t>(5)</w:t>
      </w:r>
      <w:r w:rsidRPr="00C67A5B" w:rsidR="00BB1261">
        <w:t>,</w:t>
      </w:r>
      <w:r w:rsidRPr="00C67A5B">
        <w:t xml:space="preserve"> 637</w:t>
      </w:r>
      <w:r w:rsidRPr="00C67A5B" w:rsidR="00BB1261">
        <w:t>–</w:t>
      </w:r>
      <w:r w:rsidRPr="00C67A5B">
        <w:t>645.</w:t>
      </w:r>
    </w:p>
    <w:p w:rsidRPr="00C67A5B" w:rsidR="00D8125E" w:rsidP="00D8125E" w:rsidRDefault="00D8125E" w14:paraId="472419D4" w14:textId="77777777">
      <w:pPr>
        <w:pStyle w:val="References-IPR"/>
      </w:pPr>
      <w:r w:rsidRPr="00C67A5B">
        <w:t xml:space="preserve">Singer, E., &amp; Kulka, R. A. (2002). Paying respondents for survey participation. In M. Ver Ploeg, R. A. Moffitt, &amp; C. F. Citro, Committee on National Statistics, Division of Behavioral and Social Sciences and Education (Eds.), </w:t>
      </w:r>
      <w:r w:rsidRPr="00C67A5B">
        <w:rPr>
          <w:i/>
        </w:rPr>
        <w:t>Studies of welfare populations: Data collection and research issues. Panel on data and methods for measuring the effects of changes in social welfare programs</w:t>
      </w:r>
      <w:r w:rsidRPr="00C67A5B">
        <w:t xml:space="preserve"> (pp. 105–128). Washington, DC: National Academy Press.</w:t>
      </w:r>
    </w:p>
    <w:p w:rsidRPr="00C67A5B" w:rsidR="006D5E8E" w:rsidP="00787826" w:rsidRDefault="006D5E8E" w14:paraId="5E3EA632" w14:textId="59319BAD">
      <w:pPr>
        <w:pStyle w:val="References-IPR"/>
      </w:pPr>
      <w:r w:rsidRPr="00C67A5B">
        <w:t>Singer, E.</w:t>
      </w:r>
      <w:r w:rsidRPr="00C67A5B" w:rsidR="00B663D9">
        <w:t>, &amp;</w:t>
      </w:r>
      <w:r w:rsidRPr="00C67A5B">
        <w:t xml:space="preserve"> Ye, C. (2013).</w:t>
      </w:r>
      <w:r w:rsidRPr="00C67A5B" w:rsidR="003E3790">
        <w:t xml:space="preserve"> </w:t>
      </w:r>
      <w:r w:rsidRPr="00C67A5B">
        <w:t>The use and effectives of incentives in surveys.</w:t>
      </w:r>
      <w:r w:rsidRPr="00C67A5B" w:rsidR="003E3790">
        <w:t xml:space="preserve"> </w:t>
      </w:r>
      <w:r w:rsidRPr="00C67A5B">
        <w:rPr>
          <w:i/>
        </w:rPr>
        <w:t>Annals of the American Academy of Political and Social Science, 645</w:t>
      </w:r>
      <w:r w:rsidRPr="00C67A5B">
        <w:t>(1)</w:t>
      </w:r>
      <w:r w:rsidRPr="00C67A5B" w:rsidR="00B663D9">
        <w:t xml:space="preserve">, </w:t>
      </w:r>
      <w:r w:rsidRPr="00C67A5B">
        <w:t>112</w:t>
      </w:r>
      <w:r w:rsidRPr="00C67A5B" w:rsidR="00B663D9">
        <w:t>–</w:t>
      </w:r>
      <w:r w:rsidRPr="00C67A5B">
        <w:t>141.</w:t>
      </w:r>
    </w:p>
    <w:p w:rsidRPr="00C67A5B" w:rsidR="006D5E8E" w:rsidP="00787826" w:rsidRDefault="006D5E8E" w14:paraId="6A7733E3" w14:textId="3902DC93">
      <w:pPr>
        <w:pStyle w:val="References-IPR"/>
      </w:pPr>
      <w:r w:rsidRPr="00C67A5B">
        <w:t xml:space="preserve">Westat. (2017). </w:t>
      </w:r>
      <w:r w:rsidRPr="00C67A5B">
        <w:rPr>
          <w:i/>
        </w:rPr>
        <w:t xml:space="preserve">Health Information National Trends Survey 5 (HINTS 5), Cycle 1 </w:t>
      </w:r>
      <w:r w:rsidRPr="00C67A5B" w:rsidR="00597D32">
        <w:rPr>
          <w:i/>
        </w:rPr>
        <w:t>m</w:t>
      </w:r>
      <w:r w:rsidRPr="00C67A5B">
        <w:rPr>
          <w:i/>
        </w:rPr>
        <w:t xml:space="preserve">ethodology </w:t>
      </w:r>
      <w:r w:rsidRPr="00C67A5B" w:rsidR="00597D32">
        <w:rPr>
          <w:i/>
        </w:rPr>
        <w:t>r</w:t>
      </w:r>
      <w:r w:rsidRPr="00C67A5B">
        <w:rPr>
          <w:i/>
        </w:rPr>
        <w:t>eport.</w:t>
      </w:r>
      <w:r w:rsidRPr="00C67A5B" w:rsidR="003E3790">
        <w:t xml:space="preserve"> </w:t>
      </w:r>
      <w:r w:rsidRPr="00C67A5B" w:rsidR="00483413">
        <w:t xml:space="preserve">Retrieved from </w:t>
      </w:r>
      <w:r w:rsidRPr="00C67A5B" w:rsidR="00D5349D">
        <w:t>https://hints.cancer.gov/docs/methodologyreports/HINTS5_Cycle_1_Methodology_Rpt.pdf</w:t>
      </w:r>
    </w:p>
    <w:p w:rsidRPr="00077F2E" w:rsidR="00077F2E" w:rsidP="00077F2E" w:rsidRDefault="00077F2E" w14:paraId="47FD502C" w14:textId="6B53CCE3">
      <w:pPr>
        <w:ind w:left="270" w:hanging="270"/>
        <w:rPr>
          <w:rFonts w:ascii="Calibri" w:hAnsi="Calibri" w:eastAsia="Times New Roman" w:cs="Times New Roman"/>
        </w:rPr>
      </w:pPr>
      <w:r w:rsidRPr="00C67A5B">
        <w:rPr>
          <w:rFonts w:ascii="Calibri" w:hAnsi="Calibri"/>
        </w:rPr>
        <w:t>Yancey, A</w:t>
      </w:r>
      <w:r w:rsidRPr="00C67A5B" w:rsidR="00425AF6">
        <w:rPr>
          <w:rFonts w:ascii="Calibri" w:hAnsi="Calibri"/>
        </w:rPr>
        <w:t>.</w:t>
      </w:r>
      <w:r w:rsidRPr="00C67A5B">
        <w:rPr>
          <w:rFonts w:ascii="Calibri" w:hAnsi="Calibri"/>
        </w:rPr>
        <w:t xml:space="preserve">, Ortega, A. &amp; Kumanyika, S. (2006). Effective </w:t>
      </w:r>
      <w:r w:rsidRPr="00C67A5B" w:rsidR="001C2052">
        <w:rPr>
          <w:rFonts w:ascii="Calibri" w:hAnsi="Calibri" w:eastAsia="Times New Roman" w:cs="Times New Roman"/>
        </w:rPr>
        <w:t>r</w:t>
      </w:r>
      <w:r w:rsidRPr="00C67A5B" w:rsidR="001C2052">
        <w:rPr>
          <w:rFonts w:ascii="Calibri" w:hAnsi="Calibri"/>
        </w:rPr>
        <w:t xml:space="preserve">ecruitment and </w:t>
      </w:r>
      <w:r w:rsidRPr="00C67A5B" w:rsidR="001C2052">
        <w:rPr>
          <w:rFonts w:ascii="Calibri" w:hAnsi="Calibri" w:eastAsia="Times New Roman" w:cs="Times New Roman"/>
        </w:rPr>
        <w:t>r</w:t>
      </w:r>
      <w:r w:rsidRPr="00C67A5B" w:rsidR="001C2052">
        <w:rPr>
          <w:rFonts w:ascii="Calibri" w:hAnsi="Calibri"/>
        </w:rPr>
        <w:t xml:space="preserve">etention of </w:t>
      </w:r>
      <w:r w:rsidRPr="00C67A5B" w:rsidR="001C2052">
        <w:rPr>
          <w:rFonts w:ascii="Calibri" w:hAnsi="Calibri" w:eastAsia="Times New Roman" w:cs="Times New Roman"/>
        </w:rPr>
        <w:t>minority research participan</w:t>
      </w:r>
      <w:r w:rsidRPr="00C67A5B">
        <w:rPr>
          <w:rFonts w:ascii="Calibri" w:hAnsi="Calibri" w:eastAsia="Times New Roman" w:cs="Times New Roman"/>
        </w:rPr>
        <w:t>ts.</w:t>
      </w:r>
      <w:r w:rsidRPr="00C67A5B">
        <w:rPr>
          <w:rFonts w:ascii="Calibri" w:hAnsi="Calibri"/>
        </w:rPr>
        <w:t xml:space="preserve"> </w:t>
      </w:r>
      <w:r w:rsidRPr="00C67A5B">
        <w:rPr>
          <w:rFonts w:ascii="Calibri" w:hAnsi="Calibri"/>
          <w:i/>
        </w:rPr>
        <w:t>Annual Review of Public Health</w:t>
      </w:r>
      <w:r w:rsidRPr="00C67A5B" w:rsidR="001C2052">
        <w:rPr>
          <w:rFonts w:ascii="Calibri" w:hAnsi="Calibri" w:eastAsia="Times New Roman" w:cs="Times New Roman"/>
          <w:i/>
          <w:iCs/>
        </w:rPr>
        <w:t>,</w:t>
      </w:r>
      <w:r w:rsidRPr="00C67A5B" w:rsidR="001C2052">
        <w:rPr>
          <w:rFonts w:ascii="Calibri" w:hAnsi="Calibri"/>
          <w:i/>
        </w:rPr>
        <w:t xml:space="preserve"> 27</w:t>
      </w:r>
      <w:r w:rsidRPr="00C67A5B">
        <w:rPr>
          <w:rFonts w:ascii="Calibri" w:hAnsi="Calibri"/>
          <w:i/>
        </w:rPr>
        <w:t>,</w:t>
      </w:r>
      <w:r w:rsidRPr="00C67A5B">
        <w:rPr>
          <w:rFonts w:ascii="Calibri" w:hAnsi="Calibri"/>
        </w:rPr>
        <w:t xml:space="preserve"> 1</w:t>
      </w:r>
      <w:r w:rsidRPr="00C67A5B" w:rsidR="00425AF6">
        <w:rPr>
          <w:rFonts w:ascii="Calibri" w:hAnsi="Calibri"/>
        </w:rPr>
        <w:t>–</w:t>
      </w:r>
      <w:r w:rsidRPr="00C67A5B">
        <w:rPr>
          <w:rFonts w:ascii="Calibri" w:hAnsi="Calibri"/>
        </w:rPr>
        <w:t>28.</w:t>
      </w:r>
    </w:p>
    <w:p w:rsidRPr="00787826" w:rsidR="00077F2E" w:rsidP="00787826" w:rsidRDefault="00077F2E" w14:paraId="308A565B" w14:textId="77777777">
      <w:pPr>
        <w:pStyle w:val="References-IPR"/>
      </w:pPr>
    </w:p>
    <w:p w:rsidRPr="00D274AB" w:rsidR="00D35B8C" w:rsidP="00C05E57" w:rsidRDefault="00D35B8C" w14:paraId="20D7BBA2" w14:textId="77777777">
      <w:pPr>
        <w:pStyle w:val="BodyText-IPR"/>
      </w:pPr>
    </w:p>
    <w:sectPr w:rsidRPr="00D274AB" w:rsidR="00D35B8C" w:rsidSect="00C05E5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F7F8D" w14:textId="77777777" w:rsidR="00005BAF" w:rsidRDefault="00005BAF">
      <w:pPr>
        <w:spacing w:after="0"/>
      </w:pPr>
      <w:r>
        <w:separator/>
      </w:r>
    </w:p>
  </w:endnote>
  <w:endnote w:type="continuationSeparator" w:id="0">
    <w:p w14:paraId="40EF1F9C" w14:textId="77777777" w:rsidR="00005BAF" w:rsidRDefault="00005BAF">
      <w:pPr>
        <w:spacing w:after="0"/>
      </w:pPr>
      <w:r>
        <w:continuationSeparator/>
      </w:r>
    </w:p>
  </w:endnote>
  <w:endnote w:type="continuationNotice" w:id="1">
    <w:p w14:paraId="7F8A909E" w14:textId="77777777" w:rsidR="00005BAF" w:rsidRDefault="00005B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174379"/>
      <w:docPartObj>
        <w:docPartGallery w:val="Page Numbers (Bottom of Page)"/>
        <w:docPartUnique/>
      </w:docPartObj>
    </w:sdtPr>
    <w:sdtEndPr>
      <w:rPr>
        <w:noProof/>
      </w:rPr>
    </w:sdtEndPr>
    <w:sdtContent>
      <w:sdt>
        <w:sdtPr>
          <w:rPr>
            <w:sz w:val="20"/>
            <w:szCs w:val="20"/>
          </w:rPr>
          <w:id w:val="108703766"/>
          <w:docPartObj>
            <w:docPartGallery w:val="Page Numbers (Bottom of Page)"/>
            <w:docPartUnique/>
          </w:docPartObj>
        </w:sdtPr>
        <w:sdtEndPr>
          <w:rPr>
            <w:noProof/>
          </w:rPr>
        </w:sdtEndPr>
        <w:sdtContent>
          <w:sdt>
            <w:sdtPr>
              <w:rPr>
                <w:rStyle w:val="FooterTitle-IPRChar"/>
                <w:szCs w:val="20"/>
              </w:rPr>
              <w:id w:val="-1832211290"/>
              <w:docPartObj>
                <w:docPartGallery w:val="Page Numbers (Bottom of Page)"/>
                <w:docPartUnique/>
              </w:docPartObj>
            </w:sdtPr>
            <w:sdtEndPr>
              <w:rPr>
                <w:rStyle w:val="FooterTitle-IPRChar"/>
              </w:rPr>
            </w:sdtEndPr>
            <w:sdtContent>
              <w:p w14:paraId="672C599A" w14:textId="20A0E47B" w:rsidR="00C05E57" w:rsidRPr="00C05E57" w:rsidRDefault="006B5FD6" w:rsidP="006B5FD6">
                <w:pPr>
                  <w:pBdr>
                    <w:top w:val="single" w:sz="8" w:space="1" w:color="B12732"/>
                  </w:pBdr>
                  <w:tabs>
                    <w:tab w:val="right" w:pos="9360"/>
                  </w:tabs>
                  <w:rPr>
                    <w:sz w:val="20"/>
                    <w:szCs w:val="20"/>
                  </w:rPr>
                </w:pPr>
                <w:r w:rsidRPr="006B5FD6">
                  <w:t xml:space="preserve"> </w:t>
                </w:r>
                <w:r w:rsidRPr="006B5FD6">
                  <w:rPr>
                    <w:rStyle w:val="FooterTitle-IPRChar"/>
                    <w:szCs w:val="20"/>
                  </w:rPr>
                  <w:t>Modernizing Channels of Communication With SNAP Participants</w:t>
                </w:r>
                <w:r w:rsidR="00C05E57">
                  <w:rPr>
                    <w:rStyle w:val="FooterTitle-IPRChar"/>
                    <w:szCs w:val="20"/>
                  </w:rPr>
                  <w:t xml:space="preserve">, Appendix </w:t>
                </w:r>
                <w:r w:rsidR="004818C4">
                  <w:rPr>
                    <w:rStyle w:val="FooterTitle-IPRChar"/>
                    <w:szCs w:val="20"/>
                  </w:rPr>
                  <w:t>D</w:t>
                </w:r>
                <w:r w:rsidR="00C05E57">
                  <w:rPr>
                    <w:rStyle w:val="FooterTitle-IPRChar"/>
                    <w:szCs w:val="20"/>
                  </w:rPr>
                  <w:t xml:space="preserve">. Use of </w:t>
                </w:r>
                <w:r w:rsidR="00A0397C">
                  <w:rPr>
                    <w:rStyle w:val="FooterTitle-IPRChar"/>
                    <w:szCs w:val="20"/>
                  </w:rPr>
                  <w:t>Incentives</w:t>
                </w:r>
                <w:r w:rsidR="00C05E57" w:rsidRPr="008F7675">
                  <w:rPr>
                    <w:rStyle w:val="FooterTitle-IPRChar"/>
                    <w:szCs w:val="20"/>
                  </w:rPr>
                  <w:tab/>
                </w:r>
                <w:r w:rsidR="004818C4">
                  <w:rPr>
                    <w:rStyle w:val="FooterTitle-IPRChar"/>
                    <w:szCs w:val="20"/>
                  </w:rPr>
                  <w:t>D</w:t>
                </w:r>
                <w:r w:rsidR="00C05E57">
                  <w:rPr>
                    <w:rStyle w:val="FooterTitle-IPRChar"/>
                    <w:szCs w:val="20"/>
                  </w:rPr>
                  <w:t>-</w:t>
                </w:r>
                <w:r w:rsidR="00C05E57" w:rsidRPr="008F7675">
                  <w:rPr>
                    <w:rStyle w:val="FooterTitle-IPRChar"/>
                    <w:szCs w:val="20"/>
                  </w:rPr>
                  <w:fldChar w:fldCharType="begin"/>
                </w:r>
                <w:r w:rsidR="00C05E57" w:rsidRPr="008F7675">
                  <w:rPr>
                    <w:rStyle w:val="FooterTitle-IPRChar"/>
                    <w:szCs w:val="20"/>
                  </w:rPr>
                  <w:instrText xml:space="preserve"> PAGE   \* MERGEFORMAT </w:instrText>
                </w:r>
                <w:r w:rsidR="00C05E57" w:rsidRPr="008F7675">
                  <w:rPr>
                    <w:rStyle w:val="FooterTitle-IPRChar"/>
                    <w:szCs w:val="20"/>
                  </w:rPr>
                  <w:fldChar w:fldCharType="separate"/>
                </w:r>
                <w:r w:rsidR="005A6C06">
                  <w:rPr>
                    <w:rStyle w:val="FooterTitle-IPRChar"/>
                    <w:noProof/>
                    <w:szCs w:val="20"/>
                  </w:rPr>
                  <w:t>4</w:t>
                </w:r>
                <w:r w:rsidR="00C05E57" w:rsidRPr="008F7675">
                  <w:rPr>
                    <w:rStyle w:val="FooterTitle-IPRChar"/>
                    <w:szCs w:val="20"/>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A122B" w14:textId="77777777" w:rsidR="00005BAF" w:rsidRDefault="00005BAF">
      <w:pPr>
        <w:spacing w:after="0"/>
      </w:pPr>
      <w:r>
        <w:separator/>
      </w:r>
    </w:p>
  </w:footnote>
  <w:footnote w:type="continuationSeparator" w:id="0">
    <w:p w14:paraId="176A05B2" w14:textId="77777777" w:rsidR="00005BAF" w:rsidRDefault="00005BAF">
      <w:pPr>
        <w:spacing w:after="0"/>
      </w:pPr>
      <w:r>
        <w:continuationSeparator/>
      </w:r>
    </w:p>
  </w:footnote>
  <w:footnote w:type="continuationNotice" w:id="1">
    <w:p w14:paraId="37017C0C" w14:textId="77777777" w:rsidR="00005BAF" w:rsidRDefault="00005BA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2"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3"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4" w15:restartNumberingAfterBreak="0">
    <w:nsid w:val="05617ED7"/>
    <w:multiLevelType w:val="hybridMultilevel"/>
    <w:tmpl w:val="C17C44DC"/>
    <w:lvl w:ilvl="0" w:tplc="29EE1AA0">
      <w:start w:val="1"/>
      <w:numFmt w:val="upperRoman"/>
      <w:lvlText w:val="(%1)"/>
      <w:lvlJc w:val="left"/>
      <w:pPr>
        <w:ind w:left="100" w:hanging="299"/>
      </w:pPr>
      <w:rPr>
        <w:rFonts w:ascii="Times New Roman" w:eastAsia="Times New Roman" w:hAnsi="Times New Roman" w:hint="default"/>
        <w:spacing w:val="1"/>
        <w:sz w:val="24"/>
        <w:szCs w:val="24"/>
      </w:rPr>
    </w:lvl>
    <w:lvl w:ilvl="1" w:tplc="DCCAAD2C">
      <w:start w:val="1"/>
      <w:numFmt w:val="bullet"/>
      <w:lvlText w:val="•"/>
      <w:lvlJc w:val="left"/>
      <w:pPr>
        <w:ind w:left="1048" w:hanging="299"/>
      </w:pPr>
      <w:rPr>
        <w:rFonts w:hint="default"/>
      </w:rPr>
    </w:lvl>
    <w:lvl w:ilvl="2" w:tplc="E9003B28">
      <w:start w:val="1"/>
      <w:numFmt w:val="bullet"/>
      <w:lvlText w:val="•"/>
      <w:lvlJc w:val="left"/>
      <w:pPr>
        <w:ind w:left="1996" w:hanging="299"/>
      </w:pPr>
      <w:rPr>
        <w:rFonts w:hint="default"/>
      </w:rPr>
    </w:lvl>
    <w:lvl w:ilvl="3" w:tplc="DB98F526">
      <w:start w:val="1"/>
      <w:numFmt w:val="bullet"/>
      <w:lvlText w:val="•"/>
      <w:lvlJc w:val="left"/>
      <w:pPr>
        <w:ind w:left="2944" w:hanging="299"/>
      </w:pPr>
      <w:rPr>
        <w:rFonts w:hint="default"/>
      </w:rPr>
    </w:lvl>
    <w:lvl w:ilvl="4" w:tplc="44FAAE84">
      <w:start w:val="1"/>
      <w:numFmt w:val="bullet"/>
      <w:lvlText w:val="•"/>
      <w:lvlJc w:val="left"/>
      <w:pPr>
        <w:ind w:left="3892" w:hanging="299"/>
      </w:pPr>
      <w:rPr>
        <w:rFonts w:hint="default"/>
      </w:rPr>
    </w:lvl>
    <w:lvl w:ilvl="5" w:tplc="81C014A8">
      <w:start w:val="1"/>
      <w:numFmt w:val="bullet"/>
      <w:lvlText w:val="•"/>
      <w:lvlJc w:val="left"/>
      <w:pPr>
        <w:ind w:left="4840" w:hanging="299"/>
      </w:pPr>
      <w:rPr>
        <w:rFonts w:hint="default"/>
      </w:rPr>
    </w:lvl>
    <w:lvl w:ilvl="6" w:tplc="C3705AA6">
      <w:start w:val="1"/>
      <w:numFmt w:val="bullet"/>
      <w:lvlText w:val="•"/>
      <w:lvlJc w:val="left"/>
      <w:pPr>
        <w:ind w:left="5788" w:hanging="299"/>
      </w:pPr>
      <w:rPr>
        <w:rFonts w:hint="default"/>
      </w:rPr>
    </w:lvl>
    <w:lvl w:ilvl="7" w:tplc="25DA6446">
      <w:start w:val="1"/>
      <w:numFmt w:val="bullet"/>
      <w:lvlText w:val="•"/>
      <w:lvlJc w:val="left"/>
      <w:pPr>
        <w:ind w:left="6736" w:hanging="299"/>
      </w:pPr>
      <w:rPr>
        <w:rFonts w:hint="default"/>
      </w:rPr>
    </w:lvl>
    <w:lvl w:ilvl="8" w:tplc="63DA136E">
      <w:start w:val="1"/>
      <w:numFmt w:val="bullet"/>
      <w:lvlText w:val="•"/>
      <w:lvlJc w:val="left"/>
      <w:pPr>
        <w:ind w:left="7684" w:hanging="299"/>
      </w:pPr>
      <w:rPr>
        <w:rFonts w:hint="default"/>
      </w:rPr>
    </w:lvl>
  </w:abstractNum>
  <w:abstractNum w:abstractNumId="5"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79767A8"/>
    <w:multiLevelType w:val="multilevel"/>
    <w:tmpl w:val="F6DE30B6"/>
    <w:numStyleLink w:val="NumbersListStyleRed-IPR"/>
  </w:abstractNum>
  <w:abstractNum w:abstractNumId="8"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9"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2" w15:restartNumberingAfterBreak="0">
    <w:nsid w:val="1C2A4013"/>
    <w:multiLevelType w:val="multilevel"/>
    <w:tmpl w:val="C9345F34"/>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64A4A"/>
    <w:multiLevelType w:val="hybridMultilevel"/>
    <w:tmpl w:val="65DE7EC0"/>
    <w:lvl w:ilvl="0" w:tplc="EF005C7E">
      <w:start w:val="1"/>
      <w:numFmt w:val="bullet"/>
      <w:lvlText w:val=""/>
      <w:lvlJc w:val="left"/>
      <w:pPr>
        <w:ind w:left="360" w:hanging="360"/>
      </w:pPr>
      <w:rPr>
        <w:rFonts w:ascii="Symbol" w:hAnsi="Symbol" w:hint="default"/>
        <w:color w:val="0098A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734D58"/>
    <w:multiLevelType w:val="multilevel"/>
    <w:tmpl w:val="0F5A555C"/>
    <w:numStyleLink w:val="BulletListStyleRed-IPR"/>
  </w:abstractNum>
  <w:abstractNum w:abstractNumId="16"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7"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44323"/>
    <w:multiLevelType w:val="hybridMultilevel"/>
    <w:tmpl w:val="409CF0F8"/>
    <w:lvl w:ilvl="0" w:tplc="1F98703E">
      <w:start w:val="1"/>
      <w:numFmt w:val="decimal"/>
      <w:lvlText w:val="%1."/>
      <w:lvlJc w:val="left"/>
      <w:pPr>
        <w:ind w:left="720" w:hanging="360"/>
      </w:pPr>
      <w:rPr>
        <w:rFonts w:asciiTheme="minorHAnsi" w:hAnsiTheme="minorHAnsi" w:hint="default"/>
        <w:b w:val="0"/>
        <w:i w:val="0"/>
        <w:color w:val="B1273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0"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21" w15:restartNumberingAfterBreak="0">
    <w:nsid w:val="37074F7D"/>
    <w:multiLevelType w:val="multilevel"/>
    <w:tmpl w:val="639A757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AA50541"/>
    <w:multiLevelType w:val="multilevel"/>
    <w:tmpl w:val="7AEE7A6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C2063FC"/>
    <w:multiLevelType w:val="multilevel"/>
    <w:tmpl w:val="12AE238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5" w15:restartNumberingAfterBreak="0">
    <w:nsid w:val="43265317"/>
    <w:multiLevelType w:val="hybridMultilevel"/>
    <w:tmpl w:val="C02CD0AA"/>
    <w:styleLink w:val="TableRedBulletsList-IPR1"/>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647A1"/>
    <w:multiLevelType w:val="multilevel"/>
    <w:tmpl w:val="3F46EE2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1158CA"/>
    <w:multiLevelType w:val="hybridMultilevel"/>
    <w:tmpl w:val="F142F756"/>
    <w:lvl w:ilvl="0" w:tplc="546AEFA0">
      <w:start w:val="1"/>
      <w:numFmt w:val="decimal"/>
      <w:lvlText w:val="%1."/>
      <w:lvlJc w:val="left"/>
      <w:pPr>
        <w:ind w:left="720" w:hanging="360"/>
      </w:pPr>
      <w:rPr>
        <w:rFonts w:ascii="Candara" w:hAnsi="Candara"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BC6EB8"/>
    <w:multiLevelType w:val="multilevel"/>
    <w:tmpl w:val="B84CE8A6"/>
    <w:numStyleLink w:val="TableRedNumbersList-IPR"/>
  </w:abstractNum>
  <w:abstractNum w:abstractNumId="31"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32"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C4435B"/>
    <w:multiLevelType w:val="hybridMultilevel"/>
    <w:tmpl w:val="07628FFA"/>
    <w:lvl w:ilvl="0" w:tplc="09F8DA5A">
      <w:start w:val="2"/>
      <w:numFmt w:val="lowerRoman"/>
      <w:lvlText w:val="(%1)"/>
      <w:lvlJc w:val="left"/>
      <w:pPr>
        <w:ind w:left="100" w:hanging="354"/>
      </w:pPr>
      <w:rPr>
        <w:rFonts w:ascii="Calibri" w:eastAsia="Times New Roman" w:hAnsi="Calibri" w:cs="Calibri" w:hint="default"/>
        <w:sz w:val="24"/>
        <w:szCs w:val="24"/>
      </w:rPr>
    </w:lvl>
    <w:lvl w:ilvl="1" w:tplc="E0861312">
      <w:start w:val="1"/>
      <w:numFmt w:val="bullet"/>
      <w:lvlText w:val="•"/>
      <w:lvlJc w:val="left"/>
      <w:pPr>
        <w:ind w:left="1044" w:hanging="354"/>
      </w:pPr>
      <w:rPr>
        <w:rFonts w:hint="default"/>
      </w:rPr>
    </w:lvl>
    <w:lvl w:ilvl="2" w:tplc="D5FA7A04">
      <w:start w:val="1"/>
      <w:numFmt w:val="bullet"/>
      <w:lvlText w:val="•"/>
      <w:lvlJc w:val="left"/>
      <w:pPr>
        <w:ind w:left="1988" w:hanging="354"/>
      </w:pPr>
      <w:rPr>
        <w:rFonts w:hint="default"/>
      </w:rPr>
    </w:lvl>
    <w:lvl w:ilvl="3" w:tplc="79B22EC0">
      <w:start w:val="1"/>
      <w:numFmt w:val="bullet"/>
      <w:lvlText w:val="•"/>
      <w:lvlJc w:val="left"/>
      <w:pPr>
        <w:ind w:left="2932" w:hanging="354"/>
      </w:pPr>
      <w:rPr>
        <w:rFonts w:hint="default"/>
      </w:rPr>
    </w:lvl>
    <w:lvl w:ilvl="4" w:tplc="D66EF12C">
      <w:start w:val="1"/>
      <w:numFmt w:val="bullet"/>
      <w:lvlText w:val="•"/>
      <w:lvlJc w:val="left"/>
      <w:pPr>
        <w:ind w:left="3876" w:hanging="354"/>
      </w:pPr>
      <w:rPr>
        <w:rFonts w:hint="default"/>
      </w:rPr>
    </w:lvl>
    <w:lvl w:ilvl="5" w:tplc="E8E08284">
      <w:start w:val="1"/>
      <w:numFmt w:val="bullet"/>
      <w:lvlText w:val="•"/>
      <w:lvlJc w:val="left"/>
      <w:pPr>
        <w:ind w:left="4820" w:hanging="354"/>
      </w:pPr>
      <w:rPr>
        <w:rFonts w:hint="default"/>
      </w:rPr>
    </w:lvl>
    <w:lvl w:ilvl="6" w:tplc="7FE047CC">
      <w:start w:val="1"/>
      <w:numFmt w:val="bullet"/>
      <w:lvlText w:val="•"/>
      <w:lvlJc w:val="left"/>
      <w:pPr>
        <w:ind w:left="5764" w:hanging="354"/>
      </w:pPr>
      <w:rPr>
        <w:rFonts w:hint="default"/>
      </w:rPr>
    </w:lvl>
    <w:lvl w:ilvl="7" w:tplc="B4DAB5D4">
      <w:start w:val="1"/>
      <w:numFmt w:val="bullet"/>
      <w:lvlText w:val="•"/>
      <w:lvlJc w:val="left"/>
      <w:pPr>
        <w:ind w:left="6708" w:hanging="354"/>
      </w:pPr>
      <w:rPr>
        <w:rFonts w:hint="default"/>
      </w:rPr>
    </w:lvl>
    <w:lvl w:ilvl="8" w:tplc="3E302CDA">
      <w:start w:val="1"/>
      <w:numFmt w:val="bullet"/>
      <w:lvlText w:val="•"/>
      <w:lvlJc w:val="left"/>
      <w:pPr>
        <w:ind w:left="7652" w:hanging="354"/>
      </w:pPr>
      <w:rPr>
        <w:rFonts w:hint="default"/>
      </w:rPr>
    </w:lvl>
  </w:abstractNum>
  <w:abstractNum w:abstractNumId="34" w15:restartNumberingAfterBreak="0">
    <w:nsid w:val="5F756792"/>
    <w:multiLevelType w:val="multilevel"/>
    <w:tmpl w:val="282C7C3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633C3D1D"/>
    <w:multiLevelType w:val="multilevel"/>
    <w:tmpl w:val="66EE2814"/>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79741CC7"/>
    <w:multiLevelType w:val="hybridMultilevel"/>
    <w:tmpl w:val="5F907C5E"/>
    <w:styleLink w:val="TableBlackBulletsList-IPR1"/>
    <w:lvl w:ilvl="0" w:tplc="A8B23CF4">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37"/>
  </w:num>
  <w:num w:numId="3">
    <w:abstractNumId w:val="25"/>
  </w:num>
  <w:num w:numId="4">
    <w:abstractNumId w:val="17"/>
  </w:num>
  <w:num w:numId="5">
    <w:abstractNumId w:val="32"/>
  </w:num>
  <w:num w:numId="6">
    <w:abstractNumId w:val="9"/>
  </w:num>
  <w:num w:numId="7">
    <w:abstractNumId w:val="1"/>
  </w:num>
  <w:num w:numId="8">
    <w:abstractNumId w:val="20"/>
  </w:num>
  <w:num w:numId="9">
    <w:abstractNumId w:val="8"/>
  </w:num>
  <w:num w:numId="10">
    <w:abstractNumId w:val="11"/>
  </w:num>
  <w:num w:numId="11">
    <w:abstractNumId w:val="3"/>
  </w:num>
  <w:num w:numId="12">
    <w:abstractNumId w:val="30"/>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3"/>
  </w:num>
  <w:num w:numId="14">
    <w:abstractNumId w:val="5"/>
  </w:num>
  <w:num w:numId="15">
    <w:abstractNumId w:val="6"/>
  </w:num>
  <w:num w:numId="16">
    <w:abstractNumId w:val="7"/>
    <w:lvlOverride w:ilvl="0">
      <w:lvl w:ilvl="0">
        <w:start w:val="1"/>
        <w:numFmt w:val="decimal"/>
        <w:pStyle w:val="NumbersRed-IPR"/>
        <w:lvlText w:val="%1."/>
        <w:lvlJc w:val="left"/>
        <w:pPr>
          <w:ind w:left="720" w:hanging="360"/>
        </w:pPr>
        <w:rPr>
          <w:rFonts w:hint="default"/>
          <w:b w:val="0"/>
          <w:color w:val="B12732"/>
        </w:rPr>
      </w:lvl>
    </w:lvlOverride>
  </w:num>
  <w:num w:numId="17">
    <w:abstractNumId w:val="15"/>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abstractNumId w:val="2"/>
  </w:num>
  <w:num w:numId="19">
    <w:abstractNumId w:val="24"/>
  </w:num>
  <w:num w:numId="20">
    <w:abstractNumId w:val="28"/>
  </w:num>
  <w:num w:numId="21">
    <w:abstractNumId w:val="10"/>
  </w:num>
  <w:num w:numId="22">
    <w:abstractNumId w:val="27"/>
  </w:num>
  <w:num w:numId="23">
    <w:abstractNumId w:val="19"/>
  </w:num>
  <w:num w:numId="24">
    <w:abstractNumId w:val="36"/>
  </w:num>
  <w:num w:numId="25">
    <w:abstractNumId w:val="16"/>
  </w:num>
  <w:num w:numId="26">
    <w:abstractNumId w:val="26"/>
  </w:num>
  <w:num w:numId="27">
    <w:abstractNumId w:val="23"/>
  </w:num>
  <w:num w:numId="28">
    <w:abstractNumId w:val="12"/>
  </w:num>
  <w:num w:numId="29">
    <w:abstractNumId w:val="35"/>
  </w:num>
  <w:num w:numId="30">
    <w:abstractNumId w:val="21"/>
  </w:num>
  <w:num w:numId="31">
    <w:abstractNumId w:val="34"/>
  </w:num>
  <w:num w:numId="32">
    <w:abstractNumId w:val="22"/>
  </w:num>
  <w:num w:numId="33">
    <w:abstractNumId w:val="18"/>
  </w:num>
  <w:num w:numId="34">
    <w:abstractNumId w:val="0"/>
  </w:num>
  <w:num w:numId="35">
    <w:abstractNumId w:val="14"/>
    <w:lvlOverride w:ilvl="0">
      <w:startOverride w:val="1"/>
    </w:lvlOverride>
  </w:num>
  <w:num w:numId="36">
    <w:abstractNumId w:val="14"/>
    <w:lvlOverride w:ilvl="0">
      <w:startOverride w:val="1"/>
    </w:lvlOverride>
  </w:num>
  <w:num w:numId="37">
    <w:abstractNumId w:val="29"/>
  </w:num>
  <w:num w:numId="38">
    <w:abstractNumId w:val="37"/>
  </w:num>
  <w:num w:numId="39">
    <w:abstractNumId w:val="37"/>
  </w:num>
  <w:num w:numId="40">
    <w:abstractNumId w:val="4"/>
  </w:num>
  <w:num w:numId="41">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5780"/>
    <w:rsid w:val="00005BAF"/>
    <w:rsid w:val="000123D7"/>
    <w:rsid w:val="0001253B"/>
    <w:rsid w:val="00012775"/>
    <w:rsid w:val="00013EDA"/>
    <w:rsid w:val="00015739"/>
    <w:rsid w:val="000171F1"/>
    <w:rsid w:val="00022A1C"/>
    <w:rsid w:val="00022C1C"/>
    <w:rsid w:val="00023662"/>
    <w:rsid w:val="0003028D"/>
    <w:rsid w:val="000338AB"/>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71E43"/>
    <w:rsid w:val="00072CCF"/>
    <w:rsid w:val="000764CC"/>
    <w:rsid w:val="000765EA"/>
    <w:rsid w:val="00077F2E"/>
    <w:rsid w:val="00093BF9"/>
    <w:rsid w:val="00094CC1"/>
    <w:rsid w:val="00094CCB"/>
    <w:rsid w:val="00096125"/>
    <w:rsid w:val="000A0D8C"/>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D21D7"/>
    <w:rsid w:val="000D33B3"/>
    <w:rsid w:val="000E22B1"/>
    <w:rsid w:val="000E22D8"/>
    <w:rsid w:val="000E2303"/>
    <w:rsid w:val="000E2ECA"/>
    <w:rsid w:val="000E41B3"/>
    <w:rsid w:val="000F60BE"/>
    <w:rsid w:val="00106F74"/>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5A22"/>
    <w:rsid w:val="001446F9"/>
    <w:rsid w:val="001468F3"/>
    <w:rsid w:val="00150659"/>
    <w:rsid w:val="001526CD"/>
    <w:rsid w:val="00152DBF"/>
    <w:rsid w:val="00155A53"/>
    <w:rsid w:val="001578FD"/>
    <w:rsid w:val="00161429"/>
    <w:rsid w:val="0016287B"/>
    <w:rsid w:val="001635D6"/>
    <w:rsid w:val="0016406B"/>
    <w:rsid w:val="001673B5"/>
    <w:rsid w:val="00170CEF"/>
    <w:rsid w:val="00177BFB"/>
    <w:rsid w:val="00177F81"/>
    <w:rsid w:val="00181850"/>
    <w:rsid w:val="00181C7D"/>
    <w:rsid w:val="00183810"/>
    <w:rsid w:val="001855BE"/>
    <w:rsid w:val="0019169E"/>
    <w:rsid w:val="00191BB3"/>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32A2"/>
    <w:rsid w:val="001E3DBB"/>
    <w:rsid w:val="001E4086"/>
    <w:rsid w:val="001E410C"/>
    <w:rsid w:val="001E4FE0"/>
    <w:rsid w:val="001E6201"/>
    <w:rsid w:val="001E7D91"/>
    <w:rsid w:val="001F3774"/>
    <w:rsid w:val="001F46A9"/>
    <w:rsid w:val="001F78E4"/>
    <w:rsid w:val="00202289"/>
    <w:rsid w:val="00202D95"/>
    <w:rsid w:val="00205E70"/>
    <w:rsid w:val="00210AE8"/>
    <w:rsid w:val="00214A36"/>
    <w:rsid w:val="00214FC8"/>
    <w:rsid w:val="00217E15"/>
    <w:rsid w:val="00221A78"/>
    <w:rsid w:val="002225BA"/>
    <w:rsid w:val="00224C95"/>
    <w:rsid w:val="00230AEF"/>
    <w:rsid w:val="00233A36"/>
    <w:rsid w:val="00237B42"/>
    <w:rsid w:val="00240BAD"/>
    <w:rsid w:val="00244337"/>
    <w:rsid w:val="00244479"/>
    <w:rsid w:val="002459AE"/>
    <w:rsid w:val="00245DAC"/>
    <w:rsid w:val="00246F92"/>
    <w:rsid w:val="0025082C"/>
    <w:rsid w:val="0025144A"/>
    <w:rsid w:val="00254EFB"/>
    <w:rsid w:val="00254F6F"/>
    <w:rsid w:val="00257C3F"/>
    <w:rsid w:val="00265A68"/>
    <w:rsid w:val="00267A45"/>
    <w:rsid w:val="00270620"/>
    <w:rsid w:val="00271D63"/>
    <w:rsid w:val="00274661"/>
    <w:rsid w:val="00277946"/>
    <w:rsid w:val="002808A8"/>
    <w:rsid w:val="00280B19"/>
    <w:rsid w:val="002847D0"/>
    <w:rsid w:val="0028674A"/>
    <w:rsid w:val="002873D2"/>
    <w:rsid w:val="002914EB"/>
    <w:rsid w:val="00293BDE"/>
    <w:rsid w:val="00294BAD"/>
    <w:rsid w:val="0029752C"/>
    <w:rsid w:val="0029785F"/>
    <w:rsid w:val="00297F7E"/>
    <w:rsid w:val="002A171F"/>
    <w:rsid w:val="002A4002"/>
    <w:rsid w:val="002B112B"/>
    <w:rsid w:val="002B1BBE"/>
    <w:rsid w:val="002B554C"/>
    <w:rsid w:val="002C309F"/>
    <w:rsid w:val="002C35B8"/>
    <w:rsid w:val="002D126E"/>
    <w:rsid w:val="002D2008"/>
    <w:rsid w:val="002D2388"/>
    <w:rsid w:val="002D5D85"/>
    <w:rsid w:val="002D6110"/>
    <w:rsid w:val="002D6E8D"/>
    <w:rsid w:val="002D7582"/>
    <w:rsid w:val="002E4A32"/>
    <w:rsid w:val="002E576E"/>
    <w:rsid w:val="002F0114"/>
    <w:rsid w:val="002F3B5A"/>
    <w:rsid w:val="002F75BC"/>
    <w:rsid w:val="003066FB"/>
    <w:rsid w:val="0031108B"/>
    <w:rsid w:val="00313F27"/>
    <w:rsid w:val="00313F43"/>
    <w:rsid w:val="0031517C"/>
    <w:rsid w:val="00320276"/>
    <w:rsid w:val="003208EC"/>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104C"/>
    <w:rsid w:val="00363D63"/>
    <w:rsid w:val="00364773"/>
    <w:rsid w:val="003718B5"/>
    <w:rsid w:val="00374DF5"/>
    <w:rsid w:val="00376BE5"/>
    <w:rsid w:val="00380C2F"/>
    <w:rsid w:val="003821D5"/>
    <w:rsid w:val="00382607"/>
    <w:rsid w:val="00382D11"/>
    <w:rsid w:val="00383410"/>
    <w:rsid w:val="00383C91"/>
    <w:rsid w:val="0039001A"/>
    <w:rsid w:val="00392BE4"/>
    <w:rsid w:val="00393EB0"/>
    <w:rsid w:val="00393FAE"/>
    <w:rsid w:val="003A1A22"/>
    <w:rsid w:val="003A1D15"/>
    <w:rsid w:val="003B0110"/>
    <w:rsid w:val="003B4AB1"/>
    <w:rsid w:val="003B4BF1"/>
    <w:rsid w:val="003B4E82"/>
    <w:rsid w:val="003B5361"/>
    <w:rsid w:val="003B5469"/>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403929"/>
    <w:rsid w:val="004041FC"/>
    <w:rsid w:val="00407417"/>
    <w:rsid w:val="00407B3F"/>
    <w:rsid w:val="004110DA"/>
    <w:rsid w:val="00417E57"/>
    <w:rsid w:val="004217E7"/>
    <w:rsid w:val="00423955"/>
    <w:rsid w:val="00424050"/>
    <w:rsid w:val="00425AF6"/>
    <w:rsid w:val="00427600"/>
    <w:rsid w:val="00431F8D"/>
    <w:rsid w:val="00432A3B"/>
    <w:rsid w:val="00441547"/>
    <w:rsid w:val="00442715"/>
    <w:rsid w:val="00445845"/>
    <w:rsid w:val="00450BA5"/>
    <w:rsid w:val="00452B9E"/>
    <w:rsid w:val="004555D0"/>
    <w:rsid w:val="00466F08"/>
    <w:rsid w:val="00472E8C"/>
    <w:rsid w:val="00473EAC"/>
    <w:rsid w:val="00475493"/>
    <w:rsid w:val="0048146D"/>
    <w:rsid w:val="004818C4"/>
    <w:rsid w:val="0048236F"/>
    <w:rsid w:val="00482E29"/>
    <w:rsid w:val="00483413"/>
    <w:rsid w:val="004835B4"/>
    <w:rsid w:val="004938F5"/>
    <w:rsid w:val="00496542"/>
    <w:rsid w:val="004A0638"/>
    <w:rsid w:val="004A0842"/>
    <w:rsid w:val="004A50C4"/>
    <w:rsid w:val="004A787E"/>
    <w:rsid w:val="004B08DD"/>
    <w:rsid w:val="004B0B7A"/>
    <w:rsid w:val="004B4F0D"/>
    <w:rsid w:val="004B796B"/>
    <w:rsid w:val="004C14EA"/>
    <w:rsid w:val="004C5633"/>
    <w:rsid w:val="004C6396"/>
    <w:rsid w:val="004C66F1"/>
    <w:rsid w:val="004D23B8"/>
    <w:rsid w:val="004D4F58"/>
    <w:rsid w:val="004D52AA"/>
    <w:rsid w:val="004E0E2F"/>
    <w:rsid w:val="004E0EB6"/>
    <w:rsid w:val="004E1573"/>
    <w:rsid w:val="004E1DE5"/>
    <w:rsid w:val="004E635E"/>
    <w:rsid w:val="004E68B3"/>
    <w:rsid w:val="004E79A4"/>
    <w:rsid w:val="004F0843"/>
    <w:rsid w:val="004F37A1"/>
    <w:rsid w:val="004F6A35"/>
    <w:rsid w:val="005026F6"/>
    <w:rsid w:val="00502DB0"/>
    <w:rsid w:val="0050748F"/>
    <w:rsid w:val="00507AE2"/>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CD6"/>
    <w:rsid w:val="00541033"/>
    <w:rsid w:val="00542621"/>
    <w:rsid w:val="00546602"/>
    <w:rsid w:val="00550446"/>
    <w:rsid w:val="005546C4"/>
    <w:rsid w:val="0055666E"/>
    <w:rsid w:val="00561B25"/>
    <w:rsid w:val="005622B1"/>
    <w:rsid w:val="00564182"/>
    <w:rsid w:val="005647C1"/>
    <w:rsid w:val="00565C4D"/>
    <w:rsid w:val="00566470"/>
    <w:rsid w:val="00566CE2"/>
    <w:rsid w:val="00567980"/>
    <w:rsid w:val="00574C8D"/>
    <w:rsid w:val="00577988"/>
    <w:rsid w:val="005847E7"/>
    <w:rsid w:val="005851DF"/>
    <w:rsid w:val="00585B39"/>
    <w:rsid w:val="00587A23"/>
    <w:rsid w:val="00592F83"/>
    <w:rsid w:val="00592FF2"/>
    <w:rsid w:val="00594FA6"/>
    <w:rsid w:val="00595FC7"/>
    <w:rsid w:val="00597459"/>
    <w:rsid w:val="0059765F"/>
    <w:rsid w:val="00597D32"/>
    <w:rsid w:val="005A01EC"/>
    <w:rsid w:val="005A050B"/>
    <w:rsid w:val="005A20A4"/>
    <w:rsid w:val="005A490E"/>
    <w:rsid w:val="005A5BEE"/>
    <w:rsid w:val="005A6C06"/>
    <w:rsid w:val="005B2C56"/>
    <w:rsid w:val="005C269F"/>
    <w:rsid w:val="005C417C"/>
    <w:rsid w:val="005D2989"/>
    <w:rsid w:val="005D5997"/>
    <w:rsid w:val="005D631A"/>
    <w:rsid w:val="005D650A"/>
    <w:rsid w:val="005E0139"/>
    <w:rsid w:val="005F2F55"/>
    <w:rsid w:val="005F42DB"/>
    <w:rsid w:val="005F6E75"/>
    <w:rsid w:val="00600FF8"/>
    <w:rsid w:val="00610673"/>
    <w:rsid w:val="006106FB"/>
    <w:rsid w:val="006126BF"/>
    <w:rsid w:val="0061347D"/>
    <w:rsid w:val="006150ED"/>
    <w:rsid w:val="00631202"/>
    <w:rsid w:val="006344A0"/>
    <w:rsid w:val="006415B8"/>
    <w:rsid w:val="0064514E"/>
    <w:rsid w:val="00646E12"/>
    <w:rsid w:val="00652E26"/>
    <w:rsid w:val="00654431"/>
    <w:rsid w:val="006559C7"/>
    <w:rsid w:val="006561E0"/>
    <w:rsid w:val="006563ED"/>
    <w:rsid w:val="00662998"/>
    <w:rsid w:val="006631F9"/>
    <w:rsid w:val="006646D0"/>
    <w:rsid w:val="00664A30"/>
    <w:rsid w:val="006678D4"/>
    <w:rsid w:val="00667B2F"/>
    <w:rsid w:val="0067052B"/>
    <w:rsid w:val="0067223F"/>
    <w:rsid w:val="0067394A"/>
    <w:rsid w:val="00677F05"/>
    <w:rsid w:val="0068382F"/>
    <w:rsid w:val="00684E48"/>
    <w:rsid w:val="00686046"/>
    <w:rsid w:val="0069318F"/>
    <w:rsid w:val="00694127"/>
    <w:rsid w:val="00694E47"/>
    <w:rsid w:val="00697B5D"/>
    <w:rsid w:val="006A06D4"/>
    <w:rsid w:val="006A19A8"/>
    <w:rsid w:val="006A3D4A"/>
    <w:rsid w:val="006B13A0"/>
    <w:rsid w:val="006B2970"/>
    <w:rsid w:val="006B330C"/>
    <w:rsid w:val="006B527B"/>
    <w:rsid w:val="006B5313"/>
    <w:rsid w:val="006B5FD6"/>
    <w:rsid w:val="006B6C71"/>
    <w:rsid w:val="006C1257"/>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7D42"/>
    <w:rsid w:val="006F20D9"/>
    <w:rsid w:val="006F3271"/>
    <w:rsid w:val="006F57B5"/>
    <w:rsid w:val="006F58D3"/>
    <w:rsid w:val="006F7C11"/>
    <w:rsid w:val="00702AEF"/>
    <w:rsid w:val="00704BED"/>
    <w:rsid w:val="00725A30"/>
    <w:rsid w:val="00725E90"/>
    <w:rsid w:val="00727D56"/>
    <w:rsid w:val="00734261"/>
    <w:rsid w:val="00744452"/>
    <w:rsid w:val="0075272D"/>
    <w:rsid w:val="00752EC6"/>
    <w:rsid w:val="00755695"/>
    <w:rsid w:val="00757E0E"/>
    <w:rsid w:val="00761E9B"/>
    <w:rsid w:val="00763937"/>
    <w:rsid w:val="00770FF4"/>
    <w:rsid w:val="00773251"/>
    <w:rsid w:val="00773F9C"/>
    <w:rsid w:val="007770E1"/>
    <w:rsid w:val="00780202"/>
    <w:rsid w:val="007846A1"/>
    <w:rsid w:val="00784C1F"/>
    <w:rsid w:val="00786B0C"/>
    <w:rsid w:val="00786B9E"/>
    <w:rsid w:val="00787826"/>
    <w:rsid w:val="00790528"/>
    <w:rsid w:val="0079596B"/>
    <w:rsid w:val="0079797B"/>
    <w:rsid w:val="007A0310"/>
    <w:rsid w:val="007A3E7D"/>
    <w:rsid w:val="007A474F"/>
    <w:rsid w:val="007A5641"/>
    <w:rsid w:val="007B1E0E"/>
    <w:rsid w:val="007B27CD"/>
    <w:rsid w:val="007B2EB9"/>
    <w:rsid w:val="007B35AE"/>
    <w:rsid w:val="007B3855"/>
    <w:rsid w:val="007B4F48"/>
    <w:rsid w:val="007B60D6"/>
    <w:rsid w:val="007B785B"/>
    <w:rsid w:val="007C13E2"/>
    <w:rsid w:val="007C5BC7"/>
    <w:rsid w:val="007D00DB"/>
    <w:rsid w:val="007D1EF7"/>
    <w:rsid w:val="007D47A9"/>
    <w:rsid w:val="007D5E85"/>
    <w:rsid w:val="007E6779"/>
    <w:rsid w:val="007E6BF5"/>
    <w:rsid w:val="007E7662"/>
    <w:rsid w:val="007F55B8"/>
    <w:rsid w:val="007F7C44"/>
    <w:rsid w:val="008008E1"/>
    <w:rsid w:val="00800CF4"/>
    <w:rsid w:val="008069F1"/>
    <w:rsid w:val="00812E92"/>
    <w:rsid w:val="00814772"/>
    <w:rsid w:val="00817225"/>
    <w:rsid w:val="00817E14"/>
    <w:rsid w:val="008204AD"/>
    <w:rsid w:val="00820E25"/>
    <w:rsid w:val="00820F5A"/>
    <w:rsid w:val="00827252"/>
    <w:rsid w:val="0083024C"/>
    <w:rsid w:val="008324DE"/>
    <w:rsid w:val="0083435C"/>
    <w:rsid w:val="00837700"/>
    <w:rsid w:val="00840006"/>
    <w:rsid w:val="0084044D"/>
    <w:rsid w:val="008412A4"/>
    <w:rsid w:val="00843A1A"/>
    <w:rsid w:val="00845BC4"/>
    <w:rsid w:val="00852A65"/>
    <w:rsid w:val="008553B9"/>
    <w:rsid w:val="00856021"/>
    <w:rsid w:val="00862737"/>
    <w:rsid w:val="00865DC9"/>
    <w:rsid w:val="008717E1"/>
    <w:rsid w:val="00873029"/>
    <w:rsid w:val="00873742"/>
    <w:rsid w:val="008811E4"/>
    <w:rsid w:val="00885D52"/>
    <w:rsid w:val="00886CF4"/>
    <w:rsid w:val="00890220"/>
    <w:rsid w:val="00893D30"/>
    <w:rsid w:val="008A4242"/>
    <w:rsid w:val="008B2BA2"/>
    <w:rsid w:val="008B3CE2"/>
    <w:rsid w:val="008B442C"/>
    <w:rsid w:val="008B5D51"/>
    <w:rsid w:val="008C1637"/>
    <w:rsid w:val="008C1B6F"/>
    <w:rsid w:val="008C3AB3"/>
    <w:rsid w:val="008C4FF2"/>
    <w:rsid w:val="008C5DD0"/>
    <w:rsid w:val="008C681E"/>
    <w:rsid w:val="008C7D8E"/>
    <w:rsid w:val="008D1DF4"/>
    <w:rsid w:val="008D456C"/>
    <w:rsid w:val="008D58F1"/>
    <w:rsid w:val="008D6AF4"/>
    <w:rsid w:val="008D7BDE"/>
    <w:rsid w:val="008E050D"/>
    <w:rsid w:val="008E7D06"/>
    <w:rsid w:val="008F174D"/>
    <w:rsid w:val="008F1857"/>
    <w:rsid w:val="008F51CF"/>
    <w:rsid w:val="00900E54"/>
    <w:rsid w:val="00901D8A"/>
    <w:rsid w:val="00903BC9"/>
    <w:rsid w:val="00917320"/>
    <w:rsid w:val="009173B8"/>
    <w:rsid w:val="00922410"/>
    <w:rsid w:val="0092254B"/>
    <w:rsid w:val="00923053"/>
    <w:rsid w:val="00924AD8"/>
    <w:rsid w:val="009259DD"/>
    <w:rsid w:val="00933733"/>
    <w:rsid w:val="00936697"/>
    <w:rsid w:val="0093686E"/>
    <w:rsid w:val="0094079B"/>
    <w:rsid w:val="00945039"/>
    <w:rsid w:val="00947A91"/>
    <w:rsid w:val="00950285"/>
    <w:rsid w:val="00956BA3"/>
    <w:rsid w:val="00956F8E"/>
    <w:rsid w:val="00960072"/>
    <w:rsid w:val="00960310"/>
    <w:rsid w:val="009622AB"/>
    <w:rsid w:val="00963706"/>
    <w:rsid w:val="0097251F"/>
    <w:rsid w:val="0097279F"/>
    <w:rsid w:val="00980DDF"/>
    <w:rsid w:val="00982398"/>
    <w:rsid w:val="009837AF"/>
    <w:rsid w:val="009866F2"/>
    <w:rsid w:val="00994540"/>
    <w:rsid w:val="0099460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C98"/>
    <w:rsid w:val="009B61B1"/>
    <w:rsid w:val="009B65A2"/>
    <w:rsid w:val="009B6CDD"/>
    <w:rsid w:val="009C0B59"/>
    <w:rsid w:val="009C475C"/>
    <w:rsid w:val="009D14D7"/>
    <w:rsid w:val="009D1D85"/>
    <w:rsid w:val="009D1E90"/>
    <w:rsid w:val="009D3A1D"/>
    <w:rsid w:val="009E2318"/>
    <w:rsid w:val="009E27C6"/>
    <w:rsid w:val="009E5DFF"/>
    <w:rsid w:val="009F26EB"/>
    <w:rsid w:val="009F4CB3"/>
    <w:rsid w:val="009F5805"/>
    <w:rsid w:val="00A03684"/>
    <w:rsid w:val="00A0397C"/>
    <w:rsid w:val="00A04349"/>
    <w:rsid w:val="00A0610B"/>
    <w:rsid w:val="00A11D5A"/>
    <w:rsid w:val="00A15F06"/>
    <w:rsid w:val="00A1754E"/>
    <w:rsid w:val="00A216EF"/>
    <w:rsid w:val="00A21813"/>
    <w:rsid w:val="00A218BE"/>
    <w:rsid w:val="00A2241B"/>
    <w:rsid w:val="00A239A2"/>
    <w:rsid w:val="00A3051D"/>
    <w:rsid w:val="00A31C77"/>
    <w:rsid w:val="00A31C7F"/>
    <w:rsid w:val="00A34AD5"/>
    <w:rsid w:val="00A40390"/>
    <w:rsid w:val="00A430F2"/>
    <w:rsid w:val="00A44617"/>
    <w:rsid w:val="00A4796D"/>
    <w:rsid w:val="00A5245E"/>
    <w:rsid w:val="00A540DF"/>
    <w:rsid w:val="00A54E9E"/>
    <w:rsid w:val="00A57756"/>
    <w:rsid w:val="00A57D43"/>
    <w:rsid w:val="00A57D99"/>
    <w:rsid w:val="00A63309"/>
    <w:rsid w:val="00A64571"/>
    <w:rsid w:val="00A716E3"/>
    <w:rsid w:val="00A72020"/>
    <w:rsid w:val="00A74D84"/>
    <w:rsid w:val="00A77945"/>
    <w:rsid w:val="00A77B2C"/>
    <w:rsid w:val="00A809CF"/>
    <w:rsid w:val="00A84468"/>
    <w:rsid w:val="00A845C0"/>
    <w:rsid w:val="00A90CC3"/>
    <w:rsid w:val="00A90F80"/>
    <w:rsid w:val="00A92E0D"/>
    <w:rsid w:val="00A93181"/>
    <w:rsid w:val="00A93212"/>
    <w:rsid w:val="00A95173"/>
    <w:rsid w:val="00AA4F03"/>
    <w:rsid w:val="00AA5306"/>
    <w:rsid w:val="00AA6F6E"/>
    <w:rsid w:val="00AB140C"/>
    <w:rsid w:val="00AB189C"/>
    <w:rsid w:val="00AB282B"/>
    <w:rsid w:val="00AB360A"/>
    <w:rsid w:val="00AC30C6"/>
    <w:rsid w:val="00AC596C"/>
    <w:rsid w:val="00AC5C1C"/>
    <w:rsid w:val="00AC6D3C"/>
    <w:rsid w:val="00AC7106"/>
    <w:rsid w:val="00AD4E3D"/>
    <w:rsid w:val="00AD5389"/>
    <w:rsid w:val="00AD6BC3"/>
    <w:rsid w:val="00AD6D3B"/>
    <w:rsid w:val="00AE5566"/>
    <w:rsid w:val="00AF02EB"/>
    <w:rsid w:val="00AF6B6F"/>
    <w:rsid w:val="00B0199D"/>
    <w:rsid w:val="00B05743"/>
    <w:rsid w:val="00B06475"/>
    <w:rsid w:val="00B06F29"/>
    <w:rsid w:val="00B1098F"/>
    <w:rsid w:val="00B15515"/>
    <w:rsid w:val="00B173B9"/>
    <w:rsid w:val="00B22256"/>
    <w:rsid w:val="00B25483"/>
    <w:rsid w:val="00B26409"/>
    <w:rsid w:val="00B27715"/>
    <w:rsid w:val="00B30C6D"/>
    <w:rsid w:val="00B30E41"/>
    <w:rsid w:val="00B3120E"/>
    <w:rsid w:val="00B3413A"/>
    <w:rsid w:val="00B36EBC"/>
    <w:rsid w:val="00B40614"/>
    <w:rsid w:val="00B40C89"/>
    <w:rsid w:val="00B46609"/>
    <w:rsid w:val="00B50C0A"/>
    <w:rsid w:val="00B50E63"/>
    <w:rsid w:val="00B53ECD"/>
    <w:rsid w:val="00B56D97"/>
    <w:rsid w:val="00B60FAD"/>
    <w:rsid w:val="00B61F9B"/>
    <w:rsid w:val="00B63CF8"/>
    <w:rsid w:val="00B64810"/>
    <w:rsid w:val="00B656C6"/>
    <w:rsid w:val="00B663D9"/>
    <w:rsid w:val="00B66F1F"/>
    <w:rsid w:val="00B66FB5"/>
    <w:rsid w:val="00B70D5E"/>
    <w:rsid w:val="00B70D67"/>
    <w:rsid w:val="00B76A84"/>
    <w:rsid w:val="00B81225"/>
    <w:rsid w:val="00B81332"/>
    <w:rsid w:val="00B830B8"/>
    <w:rsid w:val="00B833D9"/>
    <w:rsid w:val="00B83FA7"/>
    <w:rsid w:val="00B92682"/>
    <w:rsid w:val="00B93AC6"/>
    <w:rsid w:val="00B966AF"/>
    <w:rsid w:val="00B9697A"/>
    <w:rsid w:val="00B96C8B"/>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C1DD5"/>
    <w:rsid w:val="00BC3633"/>
    <w:rsid w:val="00BC3A01"/>
    <w:rsid w:val="00BD0875"/>
    <w:rsid w:val="00BD5659"/>
    <w:rsid w:val="00BD5B31"/>
    <w:rsid w:val="00BD6628"/>
    <w:rsid w:val="00BE068A"/>
    <w:rsid w:val="00BE1BC2"/>
    <w:rsid w:val="00BE2F2C"/>
    <w:rsid w:val="00BE404F"/>
    <w:rsid w:val="00BE595A"/>
    <w:rsid w:val="00BE6B2D"/>
    <w:rsid w:val="00BE78D5"/>
    <w:rsid w:val="00BF088B"/>
    <w:rsid w:val="00BF1A1D"/>
    <w:rsid w:val="00BF37B5"/>
    <w:rsid w:val="00BF5BB4"/>
    <w:rsid w:val="00C000E1"/>
    <w:rsid w:val="00C0236E"/>
    <w:rsid w:val="00C0242D"/>
    <w:rsid w:val="00C02F39"/>
    <w:rsid w:val="00C05256"/>
    <w:rsid w:val="00C058A0"/>
    <w:rsid w:val="00C05E57"/>
    <w:rsid w:val="00C06A83"/>
    <w:rsid w:val="00C07F5B"/>
    <w:rsid w:val="00C11802"/>
    <w:rsid w:val="00C1299A"/>
    <w:rsid w:val="00C14631"/>
    <w:rsid w:val="00C151F5"/>
    <w:rsid w:val="00C15787"/>
    <w:rsid w:val="00C17467"/>
    <w:rsid w:val="00C17CDF"/>
    <w:rsid w:val="00C27766"/>
    <w:rsid w:val="00C336AD"/>
    <w:rsid w:val="00C369AD"/>
    <w:rsid w:val="00C40E7A"/>
    <w:rsid w:val="00C44EE1"/>
    <w:rsid w:val="00C47AB0"/>
    <w:rsid w:val="00C55356"/>
    <w:rsid w:val="00C55ADB"/>
    <w:rsid w:val="00C56A6F"/>
    <w:rsid w:val="00C60865"/>
    <w:rsid w:val="00C63FD1"/>
    <w:rsid w:val="00C655CF"/>
    <w:rsid w:val="00C67A5B"/>
    <w:rsid w:val="00C70EFC"/>
    <w:rsid w:val="00C7100C"/>
    <w:rsid w:val="00C7517C"/>
    <w:rsid w:val="00C75CC3"/>
    <w:rsid w:val="00C761B9"/>
    <w:rsid w:val="00C82EFF"/>
    <w:rsid w:val="00C85162"/>
    <w:rsid w:val="00C901A9"/>
    <w:rsid w:val="00CA222F"/>
    <w:rsid w:val="00CA4BA0"/>
    <w:rsid w:val="00CA598A"/>
    <w:rsid w:val="00CB0301"/>
    <w:rsid w:val="00CC16A6"/>
    <w:rsid w:val="00CC6160"/>
    <w:rsid w:val="00CC70BC"/>
    <w:rsid w:val="00CD12C0"/>
    <w:rsid w:val="00CD160F"/>
    <w:rsid w:val="00CD436B"/>
    <w:rsid w:val="00CD52CC"/>
    <w:rsid w:val="00CD6CCB"/>
    <w:rsid w:val="00CD72EC"/>
    <w:rsid w:val="00CD7C53"/>
    <w:rsid w:val="00CE4396"/>
    <w:rsid w:val="00CF0F1D"/>
    <w:rsid w:val="00CF2849"/>
    <w:rsid w:val="00CF59EC"/>
    <w:rsid w:val="00CF6506"/>
    <w:rsid w:val="00D00738"/>
    <w:rsid w:val="00D02AB8"/>
    <w:rsid w:val="00D0346D"/>
    <w:rsid w:val="00D05C42"/>
    <w:rsid w:val="00D101FF"/>
    <w:rsid w:val="00D136EF"/>
    <w:rsid w:val="00D14C1E"/>
    <w:rsid w:val="00D206E4"/>
    <w:rsid w:val="00D22260"/>
    <w:rsid w:val="00D22D87"/>
    <w:rsid w:val="00D239B7"/>
    <w:rsid w:val="00D23E4F"/>
    <w:rsid w:val="00D259F5"/>
    <w:rsid w:val="00D26586"/>
    <w:rsid w:val="00D274AB"/>
    <w:rsid w:val="00D303A2"/>
    <w:rsid w:val="00D305F9"/>
    <w:rsid w:val="00D31F94"/>
    <w:rsid w:val="00D33FE7"/>
    <w:rsid w:val="00D350EB"/>
    <w:rsid w:val="00D35B8C"/>
    <w:rsid w:val="00D423E0"/>
    <w:rsid w:val="00D44D1F"/>
    <w:rsid w:val="00D5336A"/>
    <w:rsid w:val="00D5349D"/>
    <w:rsid w:val="00D62DC7"/>
    <w:rsid w:val="00D63F0F"/>
    <w:rsid w:val="00D64730"/>
    <w:rsid w:val="00D7130F"/>
    <w:rsid w:val="00D72259"/>
    <w:rsid w:val="00D74229"/>
    <w:rsid w:val="00D75DCB"/>
    <w:rsid w:val="00D8125E"/>
    <w:rsid w:val="00D8154A"/>
    <w:rsid w:val="00D84243"/>
    <w:rsid w:val="00D848B5"/>
    <w:rsid w:val="00D90132"/>
    <w:rsid w:val="00D906D7"/>
    <w:rsid w:val="00D94F89"/>
    <w:rsid w:val="00D95978"/>
    <w:rsid w:val="00D95D0D"/>
    <w:rsid w:val="00D96A9C"/>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6364"/>
    <w:rsid w:val="00DE07A5"/>
    <w:rsid w:val="00DE5E78"/>
    <w:rsid w:val="00DF5D1A"/>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6C79"/>
    <w:rsid w:val="00E31EF5"/>
    <w:rsid w:val="00E3264E"/>
    <w:rsid w:val="00E331F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70612"/>
    <w:rsid w:val="00E71251"/>
    <w:rsid w:val="00E71626"/>
    <w:rsid w:val="00E75D90"/>
    <w:rsid w:val="00E766FF"/>
    <w:rsid w:val="00E77747"/>
    <w:rsid w:val="00E81437"/>
    <w:rsid w:val="00E81587"/>
    <w:rsid w:val="00E917A0"/>
    <w:rsid w:val="00E9682D"/>
    <w:rsid w:val="00E96CEF"/>
    <w:rsid w:val="00E9793A"/>
    <w:rsid w:val="00EA0641"/>
    <w:rsid w:val="00EA072F"/>
    <w:rsid w:val="00EA29EC"/>
    <w:rsid w:val="00EA48FA"/>
    <w:rsid w:val="00EA7E0A"/>
    <w:rsid w:val="00EB04A9"/>
    <w:rsid w:val="00EB1C36"/>
    <w:rsid w:val="00EB2028"/>
    <w:rsid w:val="00EB3FBB"/>
    <w:rsid w:val="00EC1B26"/>
    <w:rsid w:val="00EC1E09"/>
    <w:rsid w:val="00EC4628"/>
    <w:rsid w:val="00ED1267"/>
    <w:rsid w:val="00ED2B08"/>
    <w:rsid w:val="00ED7A02"/>
    <w:rsid w:val="00EE0CE6"/>
    <w:rsid w:val="00EE12F0"/>
    <w:rsid w:val="00EE3560"/>
    <w:rsid w:val="00EE5A73"/>
    <w:rsid w:val="00EE72F8"/>
    <w:rsid w:val="00EF0396"/>
    <w:rsid w:val="00EF0C32"/>
    <w:rsid w:val="00EF2065"/>
    <w:rsid w:val="00EF2C6E"/>
    <w:rsid w:val="00EF58E6"/>
    <w:rsid w:val="00EF655B"/>
    <w:rsid w:val="00F018B6"/>
    <w:rsid w:val="00F02DD0"/>
    <w:rsid w:val="00F04F32"/>
    <w:rsid w:val="00F059D7"/>
    <w:rsid w:val="00F06F60"/>
    <w:rsid w:val="00F128A8"/>
    <w:rsid w:val="00F13B65"/>
    <w:rsid w:val="00F1472C"/>
    <w:rsid w:val="00F16354"/>
    <w:rsid w:val="00F17890"/>
    <w:rsid w:val="00F17B1F"/>
    <w:rsid w:val="00F23717"/>
    <w:rsid w:val="00F2501B"/>
    <w:rsid w:val="00F2669A"/>
    <w:rsid w:val="00F272DE"/>
    <w:rsid w:val="00F27C95"/>
    <w:rsid w:val="00F31DA2"/>
    <w:rsid w:val="00F32C65"/>
    <w:rsid w:val="00F35312"/>
    <w:rsid w:val="00F40880"/>
    <w:rsid w:val="00F418CD"/>
    <w:rsid w:val="00F41939"/>
    <w:rsid w:val="00F4435F"/>
    <w:rsid w:val="00F4450B"/>
    <w:rsid w:val="00F51507"/>
    <w:rsid w:val="00F51A13"/>
    <w:rsid w:val="00F5310C"/>
    <w:rsid w:val="00F5452C"/>
    <w:rsid w:val="00F57577"/>
    <w:rsid w:val="00F61B64"/>
    <w:rsid w:val="00F670F0"/>
    <w:rsid w:val="00F76A11"/>
    <w:rsid w:val="00F76EF9"/>
    <w:rsid w:val="00F770B2"/>
    <w:rsid w:val="00F81391"/>
    <w:rsid w:val="00F821CA"/>
    <w:rsid w:val="00F82B50"/>
    <w:rsid w:val="00F83CB0"/>
    <w:rsid w:val="00F841A1"/>
    <w:rsid w:val="00F864E0"/>
    <w:rsid w:val="00F86FEE"/>
    <w:rsid w:val="00F87413"/>
    <w:rsid w:val="00F87778"/>
    <w:rsid w:val="00F901A0"/>
    <w:rsid w:val="00FA0B7B"/>
    <w:rsid w:val="00FA1FC3"/>
    <w:rsid w:val="00FA4FE8"/>
    <w:rsid w:val="00FA678C"/>
    <w:rsid w:val="00FA799D"/>
    <w:rsid w:val="00FB2BE9"/>
    <w:rsid w:val="00FB7EA8"/>
    <w:rsid w:val="00FC1052"/>
    <w:rsid w:val="00FC11F8"/>
    <w:rsid w:val="00FC4E4A"/>
    <w:rsid w:val="00FD21B7"/>
    <w:rsid w:val="00FD3420"/>
    <w:rsid w:val="00FD3BB7"/>
    <w:rsid w:val="00FD66EC"/>
    <w:rsid w:val="00FE38F3"/>
    <w:rsid w:val="00FE46C8"/>
    <w:rsid w:val="00FE5BE2"/>
    <w:rsid w:val="00FE7ECB"/>
    <w:rsid w:val="00FF3EF6"/>
    <w:rsid w:val="00FF408C"/>
    <w:rsid w:val="00FF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BE1BC2"/>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1,Footnote Text2,F,Footnote Text Char Char"/>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1 Char,Footnote Text2 Char,F Char,Footnote Text Char Char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BE1BC2"/>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83286">
      <w:bodyDiv w:val="1"/>
      <w:marLeft w:val="0"/>
      <w:marRight w:val="0"/>
      <w:marTop w:val="0"/>
      <w:marBottom w:val="0"/>
      <w:divBdr>
        <w:top w:val="none" w:sz="0" w:space="0" w:color="auto"/>
        <w:left w:val="none" w:sz="0" w:space="0" w:color="auto"/>
        <w:bottom w:val="none" w:sz="0" w:space="0" w:color="auto"/>
        <w:right w:val="none" w:sz="0" w:space="0" w:color="auto"/>
      </w:divBdr>
    </w:div>
    <w:div w:id="286397077">
      <w:bodyDiv w:val="1"/>
      <w:marLeft w:val="0"/>
      <w:marRight w:val="0"/>
      <w:marTop w:val="0"/>
      <w:marBottom w:val="0"/>
      <w:divBdr>
        <w:top w:val="none" w:sz="0" w:space="0" w:color="auto"/>
        <w:left w:val="none" w:sz="0" w:space="0" w:color="auto"/>
        <w:bottom w:val="none" w:sz="0" w:space="0" w:color="auto"/>
        <w:right w:val="none" w:sz="0" w:space="0" w:color="auto"/>
      </w:divBdr>
    </w:div>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937517837">
      <w:bodyDiv w:val="1"/>
      <w:marLeft w:val="0"/>
      <w:marRight w:val="0"/>
      <w:marTop w:val="0"/>
      <w:marBottom w:val="0"/>
      <w:divBdr>
        <w:top w:val="none" w:sz="0" w:space="0" w:color="auto"/>
        <w:left w:val="none" w:sz="0" w:space="0" w:color="auto"/>
        <w:bottom w:val="none" w:sz="0" w:space="0" w:color="auto"/>
        <w:right w:val="none" w:sz="0" w:space="0" w:color="auto"/>
      </w:divBdr>
    </w:div>
    <w:div w:id="1189610751">
      <w:bodyDiv w:val="1"/>
      <w:marLeft w:val="0"/>
      <w:marRight w:val="0"/>
      <w:marTop w:val="0"/>
      <w:marBottom w:val="0"/>
      <w:divBdr>
        <w:top w:val="none" w:sz="0" w:space="0" w:color="auto"/>
        <w:left w:val="none" w:sz="0" w:space="0" w:color="auto"/>
        <w:bottom w:val="none" w:sz="0" w:space="0" w:color="auto"/>
        <w:right w:val="none" w:sz="0" w:space="0" w:color="auto"/>
      </w:divBdr>
    </w:div>
    <w:div w:id="1230848535">
      <w:bodyDiv w:val="1"/>
      <w:marLeft w:val="0"/>
      <w:marRight w:val="0"/>
      <w:marTop w:val="0"/>
      <w:marBottom w:val="0"/>
      <w:divBdr>
        <w:top w:val="none" w:sz="0" w:space="0" w:color="auto"/>
        <w:left w:val="none" w:sz="0" w:space="0" w:color="auto"/>
        <w:bottom w:val="none" w:sz="0" w:space="0" w:color="auto"/>
        <w:right w:val="none" w:sz="0" w:space="0" w:color="auto"/>
      </w:divBdr>
      <w:divsChild>
        <w:div w:id="43724738">
          <w:marLeft w:val="0"/>
          <w:marRight w:val="0"/>
          <w:marTop w:val="0"/>
          <w:marBottom w:val="0"/>
          <w:divBdr>
            <w:top w:val="none" w:sz="0" w:space="0" w:color="auto"/>
            <w:left w:val="none" w:sz="0" w:space="0" w:color="auto"/>
            <w:bottom w:val="none" w:sz="0" w:space="0" w:color="auto"/>
            <w:right w:val="none" w:sz="0" w:space="0" w:color="auto"/>
          </w:divBdr>
        </w:div>
      </w:divsChild>
    </w:div>
    <w:div w:id="1374771593">
      <w:bodyDiv w:val="1"/>
      <w:marLeft w:val="0"/>
      <w:marRight w:val="0"/>
      <w:marTop w:val="0"/>
      <w:marBottom w:val="0"/>
      <w:divBdr>
        <w:top w:val="none" w:sz="0" w:space="0" w:color="auto"/>
        <w:left w:val="none" w:sz="0" w:space="0" w:color="auto"/>
        <w:bottom w:val="none" w:sz="0" w:space="0" w:color="auto"/>
        <w:right w:val="none" w:sz="0" w:space="0" w:color="auto"/>
      </w:divBdr>
      <w:divsChild>
        <w:div w:id="582573324">
          <w:marLeft w:val="0"/>
          <w:marRight w:val="0"/>
          <w:marTop w:val="0"/>
          <w:marBottom w:val="0"/>
          <w:divBdr>
            <w:top w:val="none" w:sz="0" w:space="0" w:color="auto"/>
            <w:left w:val="none" w:sz="0" w:space="0" w:color="auto"/>
            <w:bottom w:val="none" w:sz="0" w:space="0" w:color="auto"/>
            <w:right w:val="none" w:sz="0" w:space="0" w:color="auto"/>
          </w:divBdr>
        </w:div>
        <w:div w:id="657616052">
          <w:marLeft w:val="0"/>
          <w:marRight w:val="0"/>
          <w:marTop w:val="0"/>
          <w:marBottom w:val="0"/>
          <w:divBdr>
            <w:top w:val="none" w:sz="0" w:space="0" w:color="auto"/>
            <w:left w:val="none" w:sz="0" w:space="0" w:color="auto"/>
            <w:bottom w:val="none" w:sz="0" w:space="0" w:color="auto"/>
            <w:right w:val="none" w:sz="0" w:space="0" w:color="auto"/>
          </w:divBdr>
        </w:div>
      </w:divsChild>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701010454">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Corbo</dc:creator>
  <cp:lastModifiedBy>Ayanna Williams</cp:lastModifiedBy>
  <cp:revision>11</cp:revision>
  <cp:lastPrinted>2019-03-14T15:56:00Z</cp:lastPrinted>
  <dcterms:created xsi:type="dcterms:W3CDTF">2020-02-04T19:13:00Z</dcterms:created>
  <dcterms:modified xsi:type="dcterms:W3CDTF">2020-03-02T14:58:00Z</dcterms:modified>
</cp:coreProperties>
</file>