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FFD" w:rsidRDefault="00161FFD" w14:paraId="17B92AB5" w14:textId="77777777">
      <w:pPr>
        <w:widowControl/>
        <w:tabs>
          <w:tab w:val="center" w:pos="4680"/>
        </w:tabs>
        <w:rPr>
          <w:rFonts w:hint="eastAsia" w:ascii="Times New Roman Bold" w:hAnsi="Times New Roman Bold"/>
        </w:rPr>
      </w:pPr>
      <w:r>
        <w:tab/>
      </w:r>
      <w:r>
        <w:rPr>
          <w:rFonts w:ascii="Times New Roman Bold" w:hAnsi="Times New Roman Bold"/>
        </w:rPr>
        <w:t>SUPPORTING STATEMENT</w:t>
      </w:r>
    </w:p>
    <w:p w:rsidR="00161FFD" w:rsidRDefault="00161FFD" w14:paraId="35A81455" w14:textId="77777777">
      <w:pPr>
        <w:widowControl/>
        <w:tabs>
          <w:tab w:val="center" w:pos="4680"/>
        </w:tabs>
        <w:jc w:val="center"/>
        <w:rPr>
          <w:rFonts w:hint="eastAsia" w:ascii="Times New Roman Bold" w:hAnsi="Times New Roman Bold"/>
        </w:rPr>
      </w:pPr>
      <w:r>
        <w:rPr>
          <w:rFonts w:ascii="Times New Roman Bold" w:hAnsi="Times New Roman Bold"/>
        </w:rPr>
        <w:t>U.S. Department of Commerce</w:t>
      </w:r>
    </w:p>
    <w:p w:rsidR="00161FFD" w:rsidRDefault="00161FFD" w14:paraId="0C20CBA9" w14:textId="77777777">
      <w:pPr>
        <w:widowControl/>
        <w:tabs>
          <w:tab w:val="center" w:pos="4680"/>
        </w:tabs>
        <w:rPr>
          <w:rFonts w:hint="eastAsia" w:ascii="Times New Roman Bold" w:hAnsi="Times New Roman Bold"/>
        </w:rPr>
      </w:pPr>
      <w:r>
        <w:tab/>
      </w:r>
      <w:r>
        <w:rPr>
          <w:rFonts w:ascii="Times New Roman Bold" w:hAnsi="Times New Roman Bold"/>
        </w:rPr>
        <w:t xml:space="preserve">National Technical Information Service </w:t>
      </w:r>
    </w:p>
    <w:p w:rsidR="00161FFD" w:rsidRDefault="00161FFD" w14:paraId="6131D082" w14:textId="77777777">
      <w:pPr>
        <w:widowControl/>
        <w:tabs>
          <w:tab w:val="center" w:pos="4680"/>
        </w:tabs>
        <w:jc w:val="center"/>
        <w:rPr>
          <w:rFonts w:hint="eastAsia" w:ascii="Times New Roman Bold" w:hAnsi="Times New Roman Bold"/>
        </w:rPr>
      </w:pPr>
      <w:r>
        <w:rPr>
          <w:rFonts w:ascii="Times New Roman Bold" w:hAnsi="Times New Roman Bold"/>
        </w:rPr>
        <w:t xml:space="preserve">Limited Access Death Master File </w:t>
      </w:r>
    </w:p>
    <w:p w:rsidR="00161FFD" w:rsidRDefault="00161FFD" w14:paraId="4F18FB52" w14:textId="77777777">
      <w:pPr>
        <w:widowControl/>
        <w:tabs>
          <w:tab w:val="center" w:pos="4680"/>
        </w:tabs>
        <w:jc w:val="center"/>
        <w:rPr>
          <w:rFonts w:hint="eastAsia" w:ascii="Times New Roman Bold" w:hAnsi="Times New Roman Bold"/>
        </w:rPr>
      </w:pPr>
      <w:r>
        <w:rPr>
          <w:rFonts w:ascii="Times New Roman Bold" w:hAnsi="Times New Roman Bold"/>
        </w:rPr>
        <w:t>Accredited Conformity Assessment Body</w:t>
      </w:r>
    </w:p>
    <w:p w:rsidR="00161FFD" w:rsidRDefault="00161FFD" w14:paraId="0C6E4871" w14:textId="77777777">
      <w:pPr>
        <w:widowControl/>
        <w:tabs>
          <w:tab w:val="center" w:pos="4680"/>
        </w:tabs>
        <w:jc w:val="center"/>
        <w:rPr>
          <w:rFonts w:hint="eastAsia" w:ascii="Times New Roman Bold" w:hAnsi="Times New Roman Bold"/>
        </w:rPr>
      </w:pPr>
      <w:r>
        <w:rPr>
          <w:rFonts w:ascii="Times New Roman Bold" w:hAnsi="Times New Roman Bold"/>
        </w:rPr>
        <w:t>Application for Firewalled Status</w:t>
      </w:r>
    </w:p>
    <w:p w:rsidR="00161FFD" w:rsidRDefault="00161FFD" w14:paraId="7DDDCDBF" w14:textId="2D185A2F">
      <w:pPr>
        <w:widowControl/>
        <w:jc w:val="center"/>
        <w:rPr>
          <w:rFonts w:hint="eastAsia" w:ascii="Times New Roman Bold" w:hAnsi="Times New Roman Bold"/>
        </w:rPr>
      </w:pPr>
      <w:r>
        <w:rPr>
          <w:rFonts w:ascii="Times New Roman Bold" w:hAnsi="Times New Roman Bold"/>
        </w:rPr>
        <w:t>OMB Control No. 0692-</w:t>
      </w:r>
      <w:r w:rsidR="001E6481">
        <w:rPr>
          <w:rFonts w:ascii="Times New Roman Bold" w:hAnsi="Times New Roman Bold"/>
        </w:rPr>
        <w:t>0015</w:t>
      </w:r>
    </w:p>
    <w:p w:rsidR="00161FFD" w:rsidRDefault="00161FFD" w14:paraId="412B0927" w14:textId="77777777">
      <w:pPr>
        <w:widowControl/>
      </w:pPr>
    </w:p>
    <w:p w:rsidR="00161FFD" w:rsidRDefault="00161FFD" w14:paraId="2B0B053F" w14:textId="77777777">
      <w:pPr>
        <w:widowControl/>
      </w:pPr>
    </w:p>
    <w:p w:rsidR="00161FFD" w:rsidRDefault="00161FFD" w14:paraId="60D500D3" w14:textId="77777777">
      <w:pPr>
        <w:widowControl/>
        <w:tabs>
          <w:tab w:val="left" w:pos="0"/>
        </w:tabs>
        <w:ind w:left="720" w:hanging="720"/>
        <w:rPr>
          <w:rFonts w:hint="eastAsia" w:ascii="Times New Roman Bold" w:hAnsi="Times New Roman Bold"/>
        </w:rPr>
      </w:pPr>
      <w:r>
        <w:rPr>
          <w:rFonts w:ascii="Times New Roman Bold" w:hAnsi="Times New Roman Bold"/>
        </w:rPr>
        <w:t xml:space="preserve">A. </w:t>
      </w:r>
      <w:r>
        <w:rPr>
          <w:rFonts w:ascii="Times New Roman Bold" w:hAnsi="Times New Roman Bold"/>
        </w:rPr>
        <w:tab/>
        <w:t>JUSTIFICATION</w:t>
      </w:r>
    </w:p>
    <w:p w:rsidR="00161FFD" w:rsidRDefault="00161FFD" w14:paraId="668D8EAB" w14:textId="77777777">
      <w:pPr>
        <w:widowControl/>
        <w:tabs>
          <w:tab w:val="left" w:pos="0"/>
        </w:tabs>
        <w:ind w:left="720" w:hanging="720"/>
      </w:pPr>
    </w:p>
    <w:p w:rsidR="00161FFD" w:rsidRDefault="00161FFD" w14:paraId="5FA7252A" w14:textId="4EF29BA9">
      <w:pPr>
        <w:rPr>
          <w:rFonts w:hint="eastAsia" w:ascii="Times New Roman Bold" w:hAnsi="Times New Roman Bold"/>
        </w:rPr>
      </w:pPr>
      <w:r>
        <w:t xml:space="preserve">This is a </w:t>
      </w:r>
      <w:r w:rsidR="001E6481">
        <w:t>re</w:t>
      </w:r>
      <w:r w:rsidR="00D21922">
        <w:t>vision</w:t>
      </w:r>
      <w:r w:rsidR="001E6481">
        <w:t xml:space="preserve"> of a </w:t>
      </w:r>
      <w:r w:rsidR="00F3084D">
        <w:t>previously</w:t>
      </w:r>
      <w:r w:rsidR="001E6481">
        <w:t xml:space="preserve"> approved</w:t>
      </w:r>
      <w:r>
        <w:t xml:space="preserve"> information collection associated with a final rulemaking (Certification Program for Access to the Death Master File/RIN 0692-AA21).</w:t>
      </w:r>
      <w:r>
        <w:rPr>
          <w:rFonts w:ascii="Times New Roman Bold" w:hAnsi="Times New Roman Bold"/>
        </w:rPr>
        <w:t xml:space="preserve"> </w:t>
      </w:r>
    </w:p>
    <w:p w:rsidR="00161FFD" w:rsidRDefault="00161FFD" w14:paraId="2A499D71" w14:textId="77777777">
      <w:pPr>
        <w:widowControl/>
        <w:rPr>
          <w:rFonts w:hint="eastAsia" w:ascii="Times New Roman Bold" w:hAnsi="Times New Roman Bold"/>
        </w:rPr>
      </w:pPr>
    </w:p>
    <w:p w:rsidR="00161FFD" w:rsidRDefault="00161FFD" w14:paraId="6529C214" w14:textId="77777777">
      <w:pPr>
        <w:widowControl/>
        <w:rPr>
          <w:rFonts w:hint="eastAsia" w:ascii="Times New Roman Bold" w:hAnsi="Times New Roman Bold"/>
        </w:rPr>
      </w:pPr>
    </w:p>
    <w:p w:rsidR="00161FFD" w:rsidRDefault="00161FFD" w14:paraId="0E0764CB" w14:textId="77777777">
      <w:pPr>
        <w:widowControl/>
        <w:rPr>
          <w:rFonts w:hint="eastAsia" w:ascii="Times New Roman Bold" w:hAnsi="Times New Roman Bold"/>
          <w:u w:val="single"/>
        </w:rPr>
      </w:pPr>
      <w:r>
        <w:rPr>
          <w:rFonts w:ascii="Times New Roman Bold" w:hAnsi="Times New Roman Bold"/>
        </w:rPr>
        <w:t xml:space="preserve">1.  </w:t>
      </w:r>
      <w:r>
        <w:rPr>
          <w:rFonts w:ascii="Times New Roman Bold" w:hAnsi="Times New Roman Bold"/>
          <w:u w:val="single"/>
        </w:rPr>
        <w:t>Explain the circumstances that make the collection of information necessary.</w:t>
      </w:r>
    </w:p>
    <w:p w:rsidR="00161FFD" w:rsidRDefault="00161FFD" w14:paraId="4CB265F6" w14:textId="77777777">
      <w:pPr>
        <w:widowControl/>
      </w:pPr>
    </w:p>
    <w:p w:rsidR="00161FFD" w:rsidRDefault="00161FFD" w14:paraId="72FE5A44" w14:textId="77777777">
      <w:r>
        <w:t xml:space="preserve">The National Technical Information Service (NTIS) Limited Access Death Master File Accredited Conformity Assessment Body Application for Firewalled Status (Firewalled Status Application Form) is used to collect information related to the implementation of Section 203 of the Bipartisan Budget Act of 2013 (Pub. L. 113-67) (Act).  Section 203 of the Act prohibits disclosure of Limited Access Death Master File (Limited Access DMF) information during the three-calendar-year period following death unless the person requesting the information has been certified under a program established by the Secretary of Commerce.  The Act directs the Secretary of Commerce to establish a certification program for such access to the Limited Access DMF.  The Secretary of Commerce delegated the authority to carry out the DMF certification program to the Director, NTIS. </w:t>
      </w:r>
    </w:p>
    <w:p w:rsidR="00161FFD" w:rsidRDefault="00161FFD" w14:paraId="22D9E2FC" w14:textId="77777777"/>
    <w:p w:rsidR="00161FFD" w:rsidRDefault="00161FFD" w14:paraId="1BE58FD4" w14:textId="7AB6970A">
      <w:r>
        <w:t>Initially, on March 26, 2014, NTIS promulgated an interim final rule, establishing a temporary certification program for persons who seek access to the Limited Access DMF (79 FR 16668).  Subsequently, on December 30, 2014, NTIS issued a notice of proposed rulemaking (79 FR 78314).  NTIS adjudicated the comments received, and, on June 1, 2016, published a final rule (81 FR 34882)</w:t>
      </w:r>
      <w:r w:rsidR="00F004F0">
        <w:t xml:space="preserve">. </w:t>
      </w:r>
      <w:r>
        <w:t xml:space="preserve">The final rule requires that, in order to become certified, a Person or Certified Person must submit a written attestation from an “Accredited Conformity Assessment Body” (ACAB), as defined in the final rule, concluding that such Person or Certified Person has information security systems, facilities and procedures in place to protect the security of the Limited Access DMF, as required under Section 1110.102(a)(2) of the final rule.  A Certified Person also must periodically provide a written attestation for renewal of its certification as specified in the final rule.  The ACAB must be independent of the Person or Certified Person seeking certification, unless it is a </w:t>
      </w:r>
      <w:r w:rsidR="003532BE">
        <w:t>third-party</w:t>
      </w:r>
      <w:r>
        <w:t xml:space="preserve"> conformity assessment body which qualifies for “firewalled status” pursuant to Section 1110.502 of the final rule.   </w:t>
      </w:r>
    </w:p>
    <w:p w:rsidR="00161FFD" w:rsidRDefault="00161FFD" w14:paraId="50CB66EC" w14:textId="77777777"/>
    <w:p w:rsidR="00161FFD" w:rsidRDefault="00161FFD" w14:paraId="26383A56" w14:textId="7BDCF112">
      <w:r>
        <w:t xml:space="preserve">An ACAB seeking “firewalled status” must apply for such status using the Firewalled Status Application Form.  Using the form, the ACAB certifies that it satisfies specific requirements for “firewalled status” and provides information necessary for NTIS to process the application, such </w:t>
      </w:r>
      <w:r>
        <w:lastRenderedPageBreak/>
        <w:t>as the identity of the Person or Certified Person that would be the subject of the attestation and the basis upon which the certifications were made, information required pursuant to Section 1110.502(b) of the final rule.</w:t>
      </w:r>
    </w:p>
    <w:p w:rsidR="00161FFD" w:rsidRDefault="00161FFD" w14:paraId="5622BD79" w14:textId="77777777"/>
    <w:p w:rsidR="00161FFD" w:rsidRDefault="00161FFD" w14:paraId="0DCBA8B2" w14:textId="77777777">
      <w:pPr>
        <w:rPr>
          <w:rFonts w:hint="eastAsia" w:ascii="Times New Roman Bold" w:hAnsi="Times New Roman Bold"/>
        </w:rPr>
      </w:pPr>
      <w:r>
        <w:rPr>
          <w:rFonts w:ascii="Times New Roman Bold" w:hAnsi="Times New Roman Bold"/>
        </w:rPr>
        <w:t xml:space="preserve">2.  </w:t>
      </w:r>
      <w:r>
        <w:rPr>
          <w:rFonts w:ascii="Times New Roman Bold" w:hAnsi="Times New Roman Bold"/>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rFonts w:ascii="Times New Roman Bold" w:hAnsi="Times New Roman Bold"/>
        </w:rPr>
        <w:t xml:space="preserve">. </w:t>
      </w:r>
    </w:p>
    <w:p w:rsidR="00161FFD" w:rsidRDefault="00161FFD" w14:paraId="5913710E" w14:textId="77777777">
      <w:pPr>
        <w:widowControl/>
        <w:rPr>
          <w:rFonts w:hint="eastAsia" w:ascii="Times New Roman Bold" w:hAnsi="Times New Roman Bold"/>
        </w:rPr>
      </w:pPr>
    </w:p>
    <w:p w:rsidR="00161FFD" w:rsidRDefault="00161FFD" w14:paraId="59E50F5C" w14:textId="77777777">
      <w:pPr>
        <w:widowControl/>
      </w:pPr>
      <w:r>
        <w:t xml:space="preserve">All ACABs seeking “firewalled status” under the final rule, which will allow them to provide a written attestation in lieu of an independent ACAB’s attestation, must submit the Firewalled Status Application Form.  NTIS intends to use the information collected to evaluate whether a particular ACAB qualifies for “firewalled status.” </w:t>
      </w:r>
      <w:bookmarkStart w:name="_GoBack" w:id="0"/>
      <w:bookmarkEnd w:id="0"/>
      <w:r>
        <w:t>Although the “firewalled status” concept was not discussed in the notice of proposed rulemaking, comments received in response to the notice of proposed rulemaking addressed the issue and were taken into consideration</w:t>
      </w:r>
      <w:r w:rsidR="00F004F0">
        <w:t>.</w:t>
      </w:r>
      <w:r>
        <w:t xml:space="preserve"> </w:t>
      </w:r>
      <w:r w:rsidR="00F004F0">
        <w:t>These comments</w:t>
      </w:r>
      <w:r>
        <w:t xml:space="preserve"> helped NTIS determine that the final rule must provide for circumstances where an ACAB is not independent of a Person or Certified Person but is nevertheless capable of providing equal or greater assurance that the Person or Certified Person has the requisite information security systems, facilities and procedures in place to protect the Limited Access DMF than an independent ACAB and other requirements set forth in Section 1110.502(b) of the final rule.  The Firewalled Status Application Form collects information to establish that the applicant has established procedures to ensure that its attestations and audits are protected from undue influence from the Person or Certified Person and to ensure allegations of undue influence may be reported confidentially to NTIS to the extent permitted by federal law.  The information collected will not be disseminated to the public.</w:t>
      </w:r>
    </w:p>
    <w:p w:rsidR="00161FFD" w:rsidRDefault="00161FFD" w14:paraId="438B1E21" w14:textId="77777777">
      <w:pPr>
        <w:widowControl/>
      </w:pPr>
    </w:p>
    <w:p w:rsidR="00161FFD" w:rsidRDefault="00161FFD" w14:paraId="4B0FAC6F" w14:textId="77777777">
      <w:pPr>
        <w:widowControl/>
        <w:rPr>
          <w:rFonts w:hint="eastAsia" w:ascii="Times New Roman Bold" w:hAnsi="Times New Roman Bold"/>
        </w:rPr>
      </w:pPr>
      <w:r>
        <w:rPr>
          <w:rFonts w:ascii="Times New Roman Bold" w:hAnsi="Times New Roman Bold"/>
        </w:rPr>
        <w:t xml:space="preserve">3.  </w:t>
      </w:r>
      <w:r>
        <w:rPr>
          <w:rFonts w:ascii="Times New Roman Bold" w:hAnsi="Times New Roman Bold"/>
          <w:u w:val="single"/>
        </w:rPr>
        <w:t>Describe whether, and to what extent, the collection of information involves the use of automated, electronic, mechanical, or other technological techniques or other forms of information technology</w:t>
      </w:r>
      <w:r>
        <w:rPr>
          <w:rFonts w:ascii="Times New Roman Bold" w:hAnsi="Times New Roman Bold"/>
        </w:rPr>
        <w:t>.</w:t>
      </w:r>
    </w:p>
    <w:p w:rsidR="007851BD" w:rsidP="007851BD" w:rsidRDefault="007851BD" w14:paraId="3356ED00" w14:textId="77777777">
      <w:pPr>
        <w:widowControl/>
      </w:pPr>
    </w:p>
    <w:p w:rsidR="00161FFD" w:rsidP="007851BD" w:rsidRDefault="00C22B97" w14:paraId="28CEE833" w14:textId="639EB275">
      <w:pPr>
        <w:widowControl/>
      </w:pPr>
      <w:r>
        <w:t>T</w:t>
      </w:r>
      <w:r w:rsidR="007851BD">
        <w:t xml:space="preserve">he Firewalled Status Application Form </w:t>
      </w:r>
      <w:r>
        <w:t xml:space="preserve">is </w:t>
      </w:r>
      <w:r w:rsidR="007851BD">
        <w:t xml:space="preserve">available online on </w:t>
      </w:r>
      <w:r>
        <w:t>the NTIS</w:t>
      </w:r>
      <w:r w:rsidR="007851BD">
        <w:t xml:space="preserve"> website.  NTIS </w:t>
      </w:r>
      <w:r>
        <w:t xml:space="preserve">accepts and </w:t>
      </w:r>
      <w:r w:rsidR="007851BD">
        <w:t xml:space="preserve">will accept Firewalled Status Application Forms that Persons and Certified Persons have completed and submitted online through the NTIS website.  NTIS encourages Persons and Certified Persons to make use of the online </w:t>
      </w:r>
      <w:r w:rsidR="003532BE">
        <w:t>form but</w:t>
      </w:r>
      <w:r w:rsidR="007851BD">
        <w:t xml:space="preserve"> will continue to accept forms submitted through other means, including via fax, mail or as email attachments. </w:t>
      </w:r>
    </w:p>
    <w:p w:rsidR="00161FFD" w:rsidRDefault="00161FFD" w14:paraId="24AEC625" w14:textId="77777777">
      <w:pPr>
        <w:widowControl/>
      </w:pPr>
    </w:p>
    <w:p w:rsidR="00161FFD" w:rsidRDefault="00161FFD" w14:paraId="5FF43635" w14:textId="77777777">
      <w:pPr>
        <w:widowControl/>
        <w:rPr>
          <w:rFonts w:hint="eastAsia" w:ascii="Times New Roman Bold" w:hAnsi="Times New Roman Bold"/>
        </w:rPr>
      </w:pPr>
      <w:r>
        <w:rPr>
          <w:rFonts w:ascii="Times New Roman Bold" w:hAnsi="Times New Roman Bold"/>
        </w:rPr>
        <w:t xml:space="preserve">4.  </w:t>
      </w:r>
      <w:r>
        <w:rPr>
          <w:rFonts w:ascii="Times New Roman Bold" w:hAnsi="Times New Roman Bold"/>
          <w:u w:val="single"/>
        </w:rPr>
        <w:t>Describe efforts to identify duplication</w:t>
      </w:r>
      <w:r>
        <w:rPr>
          <w:rFonts w:ascii="Times New Roman Bold" w:hAnsi="Times New Roman Bold"/>
        </w:rPr>
        <w:t>.</w:t>
      </w:r>
    </w:p>
    <w:p w:rsidR="00161FFD" w:rsidRDefault="00161FFD" w14:paraId="36D07502" w14:textId="77777777">
      <w:pPr>
        <w:widowControl/>
        <w:rPr>
          <w:rFonts w:hint="eastAsia" w:ascii="Times New Roman Bold" w:hAnsi="Times New Roman Bold"/>
        </w:rPr>
      </w:pPr>
    </w:p>
    <w:p w:rsidR="00161FFD" w:rsidRDefault="00161FFD" w14:paraId="76259AD3" w14:textId="77777777">
      <w:pPr>
        <w:widowControl/>
      </w:pPr>
      <w:r>
        <w:t>The certifications and supporting information collected via the Firewalled Status Application Form are unique to this program, as the certifications are related to requirements set forth in the legislation specific to this program.</w:t>
      </w:r>
    </w:p>
    <w:p w:rsidR="00161FFD" w:rsidRDefault="00161FFD" w14:paraId="1BB18D56" w14:textId="77777777">
      <w:pPr>
        <w:widowControl/>
      </w:pPr>
    </w:p>
    <w:p w:rsidR="00161FFD" w:rsidRDefault="00161FFD" w14:paraId="47A886F6" w14:textId="77777777">
      <w:pPr>
        <w:widowControl/>
      </w:pPr>
      <w:r>
        <w:rPr>
          <w:rFonts w:ascii="Times New Roman Bold" w:hAnsi="Times New Roman Bold"/>
        </w:rPr>
        <w:t xml:space="preserve">5.  </w:t>
      </w:r>
      <w:r>
        <w:rPr>
          <w:rFonts w:ascii="Times New Roman Bold" w:hAnsi="Times New Roman Bold"/>
          <w:u w:val="single"/>
        </w:rPr>
        <w:t>If the collection of information involves small businesses or other small entities, describe the methods used to minimize burden</w:t>
      </w:r>
      <w:r>
        <w:rPr>
          <w:rFonts w:ascii="Times New Roman Bold" w:hAnsi="Times New Roman Bold"/>
        </w:rPr>
        <w:t>.</w:t>
      </w:r>
      <w:r>
        <w:t xml:space="preserve"> </w:t>
      </w:r>
    </w:p>
    <w:p w:rsidR="00161FFD" w:rsidRDefault="00161FFD" w14:paraId="274E6E59" w14:textId="77777777">
      <w:pPr>
        <w:widowControl/>
      </w:pPr>
    </w:p>
    <w:p w:rsidR="00161FFD" w:rsidRDefault="00161FFD" w14:paraId="06EC2427" w14:textId="7DF692B3">
      <w:pPr>
        <w:widowControl/>
      </w:pPr>
      <w:r>
        <w:lastRenderedPageBreak/>
        <w:t>Small businesses or other small entities may submit Firewalled Status Application Forms</w:t>
      </w:r>
      <w:r w:rsidR="00F87AB8">
        <w:t>.</w:t>
      </w:r>
      <w:r w:rsidR="00AE1C9F">
        <w:t xml:space="preserve"> In its notice of proposed rulemaking </w:t>
      </w:r>
      <w:r>
        <w:t>NTIS included a request for information from the public about the types of entities impacted by this rule, whether those are small or large entities under</w:t>
      </w:r>
      <w:r w:rsidR="008B6F54">
        <w:t xml:space="preserve"> the Small Business Administration</w:t>
      </w:r>
      <w:r>
        <w:t xml:space="preserve"> size standards, and the level of or a description of the type of impacts that the rule will have on those entities.  NTIS received a few comments addressing these issues.  These comments were taken into consideration in drafting the Firewalled Status Application Form.</w:t>
      </w:r>
      <w:r w:rsidR="000E1807">
        <w:t xml:space="preserve"> No changes are being made to the currently approved Firewalled Status Application Form. </w:t>
      </w:r>
    </w:p>
    <w:p w:rsidR="00161FFD" w:rsidRDefault="00161FFD" w14:paraId="2C339B26" w14:textId="77777777">
      <w:pPr>
        <w:widowControl/>
      </w:pPr>
    </w:p>
    <w:p w:rsidR="00161FFD" w:rsidRDefault="00161FFD" w14:paraId="52D3D65F" w14:textId="77777777">
      <w:r>
        <w:t>The Firewalled Status Application Form collects only information necessary for NTIS to conduct the program.</w:t>
      </w:r>
    </w:p>
    <w:p w:rsidR="00161FFD" w:rsidRDefault="00161FFD" w14:paraId="23D3E4FD" w14:textId="77777777">
      <w:pPr>
        <w:widowControl/>
      </w:pPr>
    </w:p>
    <w:p w:rsidR="00161FFD" w:rsidRDefault="00161FFD" w14:paraId="130475A9" w14:textId="77777777">
      <w:pPr>
        <w:widowControl/>
      </w:pPr>
      <w:r>
        <w:rPr>
          <w:rFonts w:ascii="Times New Roman Bold" w:hAnsi="Times New Roman Bold"/>
        </w:rPr>
        <w:t xml:space="preserve">6.  </w:t>
      </w:r>
      <w:r>
        <w:rPr>
          <w:rFonts w:ascii="Times New Roman Bold" w:hAnsi="Times New Roman Bold"/>
          <w:u w:val="single"/>
        </w:rPr>
        <w:t>Describe the consequences to the Federal program or policy activities if the collection is not conducted or is conducted less frequently</w:t>
      </w:r>
      <w:r>
        <w:rPr>
          <w:rFonts w:ascii="Times New Roman Bold" w:hAnsi="Times New Roman Bold"/>
        </w:rPr>
        <w:t>.</w:t>
      </w:r>
      <w:r>
        <w:t xml:space="preserve"> </w:t>
      </w:r>
    </w:p>
    <w:p w:rsidR="00161FFD" w:rsidRDefault="00161FFD" w14:paraId="2D228D44" w14:textId="77777777">
      <w:pPr>
        <w:widowControl/>
      </w:pPr>
    </w:p>
    <w:p w:rsidR="00161FFD" w:rsidRDefault="00161FFD" w14:paraId="21923E60" w14:textId="77777777">
      <w:pPr>
        <w:widowControl/>
      </w:pPr>
      <w:r>
        <w:t>Pursuant to Section 203 of the Act, NTIS must audit, inspect and monitor persons certified under the program.  This includes determining whether a Person or Certified Person has information security systems, facilities and procedures in place to protect the Limited Access DMF.  The provision of a written attestation from an ACAB applying a nationally or internationally recognized auditing standard is a critical device for ensuring that the Person or Certified Person is in compliance with the Limited Access DMF safeguarding requirement.  NTIS cannot determine whether an ACAB that is not independent of the Person or Certified Person which is the subject of attestation or audit should be permitted to provide this attestation without collecting the information in the Firewalled Status Application Form.  NTIS requires all Persons seeking certification and all Certified Persons to periodically provide written attestation from an ACAB to ensure their continued compliance with Section 203 of the Act.</w:t>
      </w:r>
    </w:p>
    <w:p w:rsidR="00161FFD" w:rsidRDefault="00161FFD" w14:paraId="026FA618" w14:textId="77777777">
      <w:pPr>
        <w:widowControl/>
        <w:rPr>
          <w:rFonts w:hint="eastAsia" w:ascii="Times New Roman Bold" w:hAnsi="Times New Roman Bold"/>
        </w:rPr>
      </w:pPr>
    </w:p>
    <w:p w:rsidR="00161FFD" w:rsidRDefault="00161FFD" w14:paraId="1043A98F" w14:textId="77777777">
      <w:pPr>
        <w:widowControl/>
        <w:rPr>
          <w:rFonts w:hint="eastAsia" w:ascii="Times New Roman Bold" w:hAnsi="Times New Roman Bold"/>
        </w:rPr>
      </w:pPr>
      <w:r>
        <w:rPr>
          <w:rFonts w:ascii="Times New Roman Bold" w:hAnsi="Times New Roman Bold"/>
        </w:rPr>
        <w:t xml:space="preserve">7.  </w:t>
      </w:r>
      <w:r>
        <w:rPr>
          <w:rFonts w:ascii="Times New Roman Bold" w:hAnsi="Times New Roman Bold"/>
          <w:u w:val="single"/>
        </w:rPr>
        <w:t>Explain any special circumstances that require the collection to be conducted in a manner inconsistent with OMB guidelines</w:t>
      </w:r>
      <w:r>
        <w:rPr>
          <w:rFonts w:ascii="Times New Roman Bold" w:hAnsi="Times New Roman Bold"/>
        </w:rPr>
        <w:t xml:space="preserve">. </w:t>
      </w:r>
    </w:p>
    <w:p w:rsidR="00161FFD" w:rsidRDefault="00161FFD" w14:paraId="0ECC8754" w14:textId="77777777">
      <w:pPr>
        <w:widowControl/>
        <w:rPr>
          <w:rFonts w:hint="eastAsia" w:ascii="Times New Roman Bold" w:hAnsi="Times New Roman Bold"/>
        </w:rPr>
      </w:pPr>
    </w:p>
    <w:p w:rsidR="00161FFD" w:rsidRDefault="00161FFD" w14:paraId="57706AB8" w14:textId="77777777">
      <w:pPr>
        <w:widowControl/>
      </w:pPr>
      <w:r>
        <w:t xml:space="preserve">Not </w:t>
      </w:r>
      <w:r w:rsidR="008B6F54">
        <w:t>a</w:t>
      </w:r>
      <w:r>
        <w:t>pplicable.</w:t>
      </w:r>
    </w:p>
    <w:p w:rsidR="00161FFD" w:rsidRDefault="00161FFD" w14:paraId="0EBB0072" w14:textId="77777777">
      <w:pPr>
        <w:widowControl/>
      </w:pPr>
    </w:p>
    <w:p w:rsidR="00161FFD" w:rsidRDefault="00161FFD" w14:paraId="370CC299" w14:textId="77777777">
      <w:pPr>
        <w:widowControl/>
        <w:rPr>
          <w:rFonts w:hint="eastAsia" w:ascii="Times New Roman Bold" w:hAnsi="Times New Roman Bold"/>
          <w:u w:val="single"/>
        </w:rPr>
      </w:pPr>
      <w:r>
        <w:rPr>
          <w:rFonts w:ascii="Times New Roman Bold" w:hAnsi="Times New Roman Bold"/>
        </w:rPr>
        <w:t xml:space="preserve">8.  </w:t>
      </w:r>
      <w:r>
        <w:rPr>
          <w:rFonts w:ascii="Times New Roman Bold" w:hAnsi="Times New Roman Bold"/>
          <w:u w:val="single"/>
        </w:rPr>
        <w:t>Provide information of the PRA Federal Register Notice that solicited public comments on the information collection prior to this submission.  Summarize the public comments received in response to that notice and describe the actions taken by the agency in response to those comments</w:t>
      </w:r>
      <w:r>
        <w:rPr>
          <w:rFonts w:ascii="Times New Roman Bold" w:hAnsi="Times New Roman Bold"/>
        </w:rPr>
        <w:t>.</w:t>
      </w:r>
      <w:r>
        <w:t xml:space="preserve">  </w:t>
      </w:r>
      <w:r>
        <w:rPr>
          <w:rFonts w:ascii="Times New Roman Bold" w:hAnsi="Times New Roman Bold"/>
          <w:u w:val="single"/>
        </w:rPr>
        <w:t xml:space="preserve">Describe the efforts to consult with persons outside the agency to </w:t>
      </w:r>
    </w:p>
    <w:p w:rsidR="00161FFD" w:rsidRDefault="00161FFD" w14:paraId="7F922F5C" w14:textId="77777777">
      <w:pPr>
        <w:widowControl/>
        <w:rPr>
          <w:rFonts w:hint="eastAsia" w:ascii="Times New Roman Bold" w:hAnsi="Times New Roman Bold"/>
        </w:rPr>
      </w:pPr>
      <w:r>
        <w:rPr>
          <w:rFonts w:ascii="Times New Roman Bold" w:hAnsi="Times New Roman Bold"/>
          <w:u w:val="single"/>
        </w:rPr>
        <w:t>obtain their views on the availability of data, frequency of collection, the clarity of instructions and recordkeeping, disclosure, or reporting format (if any), and on the data elements to be recorded, disclosed, or reported</w:t>
      </w:r>
      <w:r>
        <w:rPr>
          <w:rFonts w:ascii="Times New Roman Bold" w:hAnsi="Times New Roman Bold"/>
        </w:rPr>
        <w:t>.</w:t>
      </w:r>
    </w:p>
    <w:p w:rsidR="00161FFD" w:rsidRDefault="00161FFD" w14:paraId="262FDD13" w14:textId="77777777">
      <w:pPr>
        <w:widowControl/>
      </w:pPr>
    </w:p>
    <w:p w:rsidRPr="00C73D1B" w:rsidR="00036514" w:rsidP="00036514" w:rsidRDefault="00036514" w14:paraId="1540F719" w14:textId="63CAAC8A">
      <w:r w:rsidRPr="00C73D1B">
        <w:t xml:space="preserve">A notice soliciting public comments was published in the Federal Register on </w:t>
      </w:r>
      <w:r w:rsidR="000E1807">
        <w:t>October 18, 2019 (Vol. 84, Number 202, pages 55941-55942)</w:t>
      </w:r>
      <w:r w:rsidR="00F87AB8">
        <w:t>.</w:t>
      </w:r>
      <w:r w:rsidRPr="00C73D1B">
        <w:t xml:space="preserve">  </w:t>
      </w:r>
      <w:r w:rsidRPr="00AA2C11">
        <w:t>No comments were received</w:t>
      </w:r>
      <w:r w:rsidR="00AA2C11">
        <w:t>.</w:t>
      </w:r>
    </w:p>
    <w:p w:rsidR="00161FFD" w:rsidRDefault="00161FFD" w14:paraId="785441B6" w14:textId="436F8C20">
      <w:pPr>
        <w:widowControl/>
      </w:pPr>
    </w:p>
    <w:p w:rsidR="00036514" w:rsidRDefault="00036514" w14:paraId="5369D5D5" w14:textId="77777777">
      <w:pPr>
        <w:widowControl/>
      </w:pPr>
    </w:p>
    <w:p w:rsidR="00161FFD" w:rsidRDefault="00161FFD" w14:paraId="1E3D29D1" w14:textId="77777777">
      <w:pPr>
        <w:widowControl/>
        <w:rPr>
          <w:rFonts w:hint="eastAsia" w:ascii="Times New Roman Bold" w:hAnsi="Times New Roman Bold"/>
        </w:rPr>
      </w:pPr>
      <w:r>
        <w:rPr>
          <w:rFonts w:ascii="Times New Roman Bold" w:hAnsi="Times New Roman Bold"/>
        </w:rPr>
        <w:t xml:space="preserve">9.  </w:t>
      </w:r>
      <w:r>
        <w:rPr>
          <w:rFonts w:ascii="Times New Roman Bold" w:hAnsi="Times New Roman Bold"/>
          <w:u w:val="single"/>
        </w:rPr>
        <w:t>Explain any decisions to provide payments or gifts to respondents, other than remuneration of contractors or grantees</w:t>
      </w:r>
      <w:r>
        <w:rPr>
          <w:rFonts w:ascii="Times New Roman Bold" w:hAnsi="Times New Roman Bold"/>
        </w:rPr>
        <w:t>.</w:t>
      </w:r>
    </w:p>
    <w:p w:rsidR="00161FFD" w:rsidRDefault="00161FFD" w14:paraId="2B79FDCF" w14:textId="77777777">
      <w:pPr>
        <w:widowControl/>
      </w:pPr>
    </w:p>
    <w:p w:rsidR="00161FFD" w:rsidRDefault="00161FFD" w14:paraId="020AC199" w14:textId="77777777">
      <w:pPr>
        <w:widowControl/>
      </w:pPr>
      <w:r>
        <w:t>None.</w:t>
      </w:r>
    </w:p>
    <w:p w:rsidR="00161FFD" w:rsidRDefault="00161FFD" w14:paraId="71B1C46D" w14:textId="77777777">
      <w:pPr>
        <w:widowControl/>
      </w:pPr>
    </w:p>
    <w:p w:rsidR="00161FFD" w:rsidRDefault="00161FFD" w14:paraId="4BC96C21" w14:textId="77777777">
      <w:pPr>
        <w:widowControl/>
        <w:rPr>
          <w:rFonts w:hint="eastAsia" w:ascii="Times New Roman Bold" w:hAnsi="Times New Roman Bold"/>
        </w:rPr>
      </w:pPr>
      <w:r>
        <w:rPr>
          <w:rFonts w:ascii="Times New Roman Bold" w:hAnsi="Times New Roman Bold"/>
        </w:rPr>
        <w:t xml:space="preserve">10.  </w:t>
      </w:r>
      <w:r>
        <w:rPr>
          <w:rFonts w:ascii="Times New Roman Bold" w:hAnsi="Times New Roman Bold"/>
          <w:u w:val="single"/>
        </w:rPr>
        <w:t>Describe any assurance of confidentiality provided to respondents and the basis for assurance in statute, regulation, or agency policy</w:t>
      </w:r>
      <w:r>
        <w:rPr>
          <w:rFonts w:ascii="Times New Roman Bold" w:hAnsi="Times New Roman Bold"/>
        </w:rPr>
        <w:t>.</w:t>
      </w:r>
    </w:p>
    <w:p w:rsidR="00161FFD" w:rsidRDefault="00161FFD" w14:paraId="0946195D" w14:textId="77777777">
      <w:pPr>
        <w:widowControl/>
      </w:pPr>
    </w:p>
    <w:p w:rsidR="00161FFD" w:rsidRDefault="00161FFD" w14:paraId="6147C36C" w14:textId="77777777">
      <w:pPr>
        <w:widowControl/>
      </w:pPr>
      <w:r>
        <w:t>None.</w:t>
      </w:r>
    </w:p>
    <w:p w:rsidR="00161FFD" w:rsidRDefault="00161FFD" w14:paraId="192100BF" w14:textId="77777777">
      <w:pPr>
        <w:widowControl/>
      </w:pPr>
    </w:p>
    <w:p w:rsidR="00161FFD" w:rsidRDefault="00161FFD" w14:paraId="22265231" w14:textId="77777777">
      <w:pPr>
        <w:widowControl/>
        <w:rPr>
          <w:rFonts w:hint="eastAsia" w:ascii="Times New Roman Bold" w:hAnsi="Times New Roman Bold"/>
        </w:rPr>
      </w:pPr>
      <w:r>
        <w:rPr>
          <w:rFonts w:ascii="Times New Roman Bold" w:hAnsi="Times New Roman Bold"/>
        </w:rPr>
        <w:t xml:space="preserve">11.  </w:t>
      </w:r>
      <w:r>
        <w:rPr>
          <w:rFonts w:ascii="Times New Roman Bold" w:hAnsi="Times New Roman Bold"/>
          <w:u w:val="single"/>
        </w:rPr>
        <w:t>Provide additional justification for any questions of a sensitive nature, such as sexual behavior and attitudes, religious beliefs, and other matters that are commonly considered private</w:t>
      </w:r>
      <w:r>
        <w:rPr>
          <w:rFonts w:ascii="Times New Roman Bold" w:hAnsi="Times New Roman Bold"/>
        </w:rPr>
        <w:t>.</w:t>
      </w:r>
    </w:p>
    <w:p w:rsidR="00161FFD" w:rsidRDefault="00161FFD" w14:paraId="332BDB1F" w14:textId="77777777">
      <w:pPr>
        <w:widowControl/>
      </w:pPr>
    </w:p>
    <w:p w:rsidR="00161FFD" w:rsidRDefault="00161FFD" w14:paraId="34820C61" w14:textId="77777777">
      <w:pPr>
        <w:widowControl/>
      </w:pPr>
      <w:r>
        <w:t xml:space="preserve">Not </w:t>
      </w:r>
      <w:r w:rsidR="008B6F54">
        <w:t>a</w:t>
      </w:r>
      <w:r>
        <w:t>pplicable.</w:t>
      </w:r>
    </w:p>
    <w:p w:rsidR="00161FFD" w:rsidRDefault="00161FFD" w14:paraId="7C21B017" w14:textId="77777777">
      <w:pPr>
        <w:widowControl/>
      </w:pPr>
    </w:p>
    <w:p w:rsidR="00161FFD" w:rsidRDefault="00161FFD" w14:paraId="336D4DCE" w14:textId="77777777">
      <w:pPr>
        <w:widowControl/>
        <w:rPr>
          <w:rFonts w:hint="eastAsia" w:ascii="Times New Roman Bold" w:hAnsi="Times New Roman Bold"/>
        </w:rPr>
      </w:pPr>
      <w:r>
        <w:rPr>
          <w:rFonts w:ascii="Times New Roman Bold" w:hAnsi="Times New Roman Bold"/>
        </w:rPr>
        <w:t xml:space="preserve">12.  </w:t>
      </w:r>
      <w:r>
        <w:rPr>
          <w:rFonts w:ascii="Times New Roman Bold" w:hAnsi="Times New Roman Bold"/>
          <w:u w:val="single"/>
        </w:rPr>
        <w:t>Provide an estimate in hours of the burden of the collection of information</w:t>
      </w:r>
      <w:r>
        <w:rPr>
          <w:rFonts w:ascii="Times New Roman Bold" w:hAnsi="Times New Roman Bold"/>
        </w:rPr>
        <w:t>.</w:t>
      </w:r>
    </w:p>
    <w:p w:rsidR="00161FFD" w:rsidRDefault="00161FFD" w14:paraId="034E9D99" w14:textId="77777777">
      <w:pPr>
        <w:widowControl/>
      </w:pPr>
    </w:p>
    <w:p w:rsidR="00161FFD" w:rsidRDefault="00161FFD" w14:paraId="7A00AE2D" w14:textId="391BA00D">
      <w:pPr>
        <w:widowControl/>
      </w:pPr>
      <w:r>
        <w:t xml:space="preserve">The Firewalled Status Application Form is for the use of a conformity assessment body organizationally within the Person or Certified Person’s organization seeking firewalled status.   NTIS estimates that it will take a senior auditor within the organization </w:t>
      </w:r>
      <w:r w:rsidRPr="00AA2C11">
        <w:t>one hour to complete the form.</w:t>
      </w:r>
      <w:r>
        <w:t xml:space="preserve"> NTIS expects that </w:t>
      </w:r>
      <w:r w:rsidR="00B245F7">
        <w:t>approximately</w:t>
      </w:r>
      <w:r>
        <w:t xml:space="preserve"> 20% of </w:t>
      </w:r>
      <w:r w:rsidR="000E1807">
        <w:t>an</w:t>
      </w:r>
      <w:r>
        <w:t xml:space="preserve"> estimated </w:t>
      </w:r>
      <w:r w:rsidR="000E1807">
        <w:t>250</w:t>
      </w:r>
      <w:r>
        <w:t xml:space="preserve"> Persons and Certified Persons, or </w:t>
      </w:r>
      <w:r w:rsidR="000E1807">
        <w:t>50</w:t>
      </w:r>
      <w:r>
        <w:t xml:space="preserve">, will have ACABs within their organizations apply for firewalled status.  As such, the total hours for the public will be </w:t>
      </w:r>
      <w:r w:rsidR="000E1807">
        <w:t>50</w:t>
      </w:r>
      <w:r>
        <w:t xml:space="preserve"> (</w:t>
      </w:r>
      <w:r w:rsidR="000E1807">
        <w:t>50</w:t>
      </w:r>
      <w:r>
        <w:t xml:space="preserve"> Firewalled Status Application</w:t>
      </w:r>
      <w:r w:rsidR="00DC0EED">
        <w:t xml:space="preserve"> Forms</w:t>
      </w:r>
      <w:r>
        <w:t xml:space="preserve"> x 1 hour each).    </w:t>
      </w:r>
    </w:p>
    <w:p w:rsidR="00E0584D" w:rsidRDefault="00E0584D" w14:paraId="0726EC04" w14:textId="77777777">
      <w:pPr>
        <w:widowControl/>
      </w:pPr>
    </w:p>
    <w:p w:rsidR="00161FFD" w:rsidRDefault="00161FFD" w14:paraId="7B38FCA3" w14:textId="77777777">
      <w:pPr>
        <w:widowControl/>
        <w:rPr>
          <w:rFonts w:hint="eastAsia" w:ascii="Times New Roman Bold" w:hAnsi="Times New Roman Bold"/>
          <w:u w:val="single"/>
        </w:rPr>
      </w:pPr>
      <w:r>
        <w:rPr>
          <w:rFonts w:ascii="Times New Roman Bold" w:hAnsi="Times New Roman Bold"/>
        </w:rPr>
        <w:t xml:space="preserve">13.  </w:t>
      </w:r>
      <w:r>
        <w:rPr>
          <w:rFonts w:ascii="Times New Roman Bold" w:hAnsi="Times New Roman Bold"/>
          <w:u w:val="single"/>
        </w:rPr>
        <w:t xml:space="preserve">Provide an estimate of the total annual cost burden to the respondents or record-keepers resulting from the collection (excluding the value of the burden hours in </w:t>
      </w:r>
    </w:p>
    <w:p w:rsidR="00161FFD" w:rsidRDefault="00161FFD" w14:paraId="5440F957" w14:textId="77777777">
      <w:pPr>
        <w:widowControl/>
        <w:rPr>
          <w:rFonts w:hint="eastAsia" w:ascii="Times New Roman Bold" w:hAnsi="Times New Roman Bold"/>
        </w:rPr>
      </w:pPr>
      <w:r>
        <w:t xml:space="preserve"> </w:t>
      </w:r>
      <w:r>
        <w:rPr>
          <w:rFonts w:ascii="Times New Roman Bold" w:hAnsi="Times New Roman Bold"/>
          <w:u w:val="single"/>
        </w:rPr>
        <w:t>Question 12 above)</w:t>
      </w:r>
      <w:r>
        <w:rPr>
          <w:rFonts w:ascii="Times New Roman Bold" w:hAnsi="Times New Roman Bold"/>
        </w:rPr>
        <w:t>.</w:t>
      </w:r>
    </w:p>
    <w:p w:rsidR="00161FFD" w:rsidRDefault="00161FFD" w14:paraId="5BAA6FD2" w14:textId="77777777">
      <w:pPr>
        <w:widowControl/>
        <w:rPr>
          <w:rFonts w:hint="eastAsia" w:ascii="Times New Roman Bold" w:hAnsi="Times New Roman Bold"/>
        </w:rPr>
      </w:pPr>
    </w:p>
    <w:p w:rsidR="00161FFD" w:rsidRDefault="00161FFD" w14:paraId="3490B6BD" w14:textId="4C40D696">
      <w:pPr>
        <w:widowControl/>
        <w:rPr>
          <w:rFonts w:hint="eastAsia" w:ascii="Times New Roman Bold" w:hAnsi="Times New Roman Bold"/>
        </w:rPr>
      </w:pPr>
      <w:r>
        <w:t xml:space="preserve">NTIS expects to receive </w:t>
      </w:r>
      <w:r w:rsidR="00B245F7">
        <w:t>approximately</w:t>
      </w:r>
      <w:r>
        <w:t xml:space="preserve"> </w:t>
      </w:r>
      <w:r w:rsidR="000E1807">
        <w:t>50</w:t>
      </w:r>
      <w:r>
        <w:t xml:space="preserve"> Firewall Status Application Forms annually at a fee of $2</w:t>
      </w:r>
      <w:r w:rsidR="000E1807">
        <w:t>68</w:t>
      </w:r>
      <w:r>
        <w:t xml:space="preserve"> per application, for a total annual cost of $</w:t>
      </w:r>
      <w:r w:rsidR="000E1807">
        <w:t>13</w:t>
      </w:r>
      <w:r>
        <w:t>,</w:t>
      </w:r>
      <w:r w:rsidR="008E1063">
        <w:t>4</w:t>
      </w:r>
      <w:r>
        <w:t xml:space="preserve">00 to </w:t>
      </w:r>
      <w:r w:rsidR="00B245F7">
        <w:t>respondents</w:t>
      </w:r>
      <w:r>
        <w:t xml:space="preserve">.  </w:t>
      </w:r>
    </w:p>
    <w:p w:rsidRPr="00E0584D" w:rsidR="00161FFD" w:rsidRDefault="00161FFD" w14:paraId="2EBF3645" w14:textId="77777777">
      <w:pPr>
        <w:widowControl/>
        <w:rPr>
          <w:rFonts w:eastAsia="Times New Roman"/>
        </w:rPr>
      </w:pPr>
    </w:p>
    <w:p w:rsidR="00161FFD" w:rsidRDefault="00161FFD" w14:paraId="7891C516" w14:textId="77777777">
      <w:pPr>
        <w:widowControl/>
        <w:rPr>
          <w:rFonts w:hint="eastAsia" w:ascii="Times New Roman Bold" w:hAnsi="Times New Roman Bold"/>
        </w:rPr>
      </w:pPr>
      <w:r>
        <w:rPr>
          <w:rFonts w:ascii="Times New Roman Bold" w:hAnsi="Times New Roman Bold"/>
        </w:rPr>
        <w:t xml:space="preserve">14.  </w:t>
      </w:r>
      <w:r>
        <w:rPr>
          <w:rFonts w:ascii="Times New Roman Bold" w:hAnsi="Times New Roman Bold"/>
          <w:u w:val="single"/>
        </w:rPr>
        <w:t>Provide estimates of annualized cost to the Federal government</w:t>
      </w:r>
      <w:r>
        <w:rPr>
          <w:rFonts w:ascii="Times New Roman Bold" w:hAnsi="Times New Roman Bold"/>
        </w:rPr>
        <w:t>.</w:t>
      </w:r>
    </w:p>
    <w:p w:rsidR="00AC01FA" w:rsidRDefault="00AC01FA" w14:paraId="0B42DCE6" w14:textId="77777777">
      <w:pPr>
        <w:widowControl/>
      </w:pPr>
    </w:p>
    <w:p w:rsidR="00161FFD" w:rsidRDefault="00983EBC" w14:paraId="1F21196E" w14:textId="316C2E6C">
      <w:pPr>
        <w:widowControl/>
      </w:pPr>
      <w:r>
        <w:t xml:space="preserve">The </w:t>
      </w:r>
      <w:r w:rsidR="00161FFD">
        <w:t xml:space="preserve">cost to the Federal </w:t>
      </w:r>
      <w:r w:rsidR="0076391C">
        <w:t>G</w:t>
      </w:r>
      <w:r w:rsidR="00161FFD">
        <w:t>overnment consists of the expenses associated with NTIS personnel reviewing and processing Firewalled Status Application Forms.  NTIS estimates that NTIS</w:t>
      </w:r>
      <w:r>
        <w:t xml:space="preserve"> personnel</w:t>
      </w:r>
      <w:r w:rsidR="00161FFD">
        <w:t xml:space="preserve"> will require </w:t>
      </w:r>
      <w:r w:rsidR="000E1807">
        <w:t>50</w:t>
      </w:r>
      <w:r w:rsidR="00161FFD">
        <w:t xml:space="preserve"> hours to review and process the expected </w:t>
      </w:r>
      <w:r w:rsidR="000E1807">
        <w:t>50</w:t>
      </w:r>
      <w:r w:rsidR="00161FFD">
        <w:t xml:space="preserve"> forms, at an average hourly rate of $</w:t>
      </w:r>
      <w:r w:rsidR="000E1807">
        <w:t>135</w:t>
      </w:r>
      <w:r w:rsidR="00161FFD">
        <w:t>, for a</w:t>
      </w:r>
      <w:r w:rsidR="008E1063">
        <w:t xml:space="preserve"> total estimated</w:t>
      </w:r>
      <w:r w:rsidR="00161FFD">
        <w:t xml:space="preserve"> cost of $</w:t>
      </w:r>
      <w:r w:rsidR="000E1807">
        <w:t>6,750</w:t>
      </w:r>
      <w:r w:rsidR="00161FFD">
        <w:t xml:space="preserve">.  </w:t>
      </w:r>
    </w:p>
    <w:p w:rsidR="00161FFD" w:rsidRDefault="00161FFD" w14:paraId="53D95B70" w14:textId="77777777">
      <w:pPr>
        <w:widowControl/>
      </w:pPr>
    </w:p>
    <w:p w:rsidR="00161FFD" w:rsidRDefault="00161FFD" w14:paraId="5495C6A8" w14:textId="77777777">
      <w:pPr>
        <w:widowControl/>
        <w:rPr>
          <w:rFonts w:hint="eastAsia" w:ascii="Times New Roman Bold" w:hAnsi="Times New Roman Bold"/>
        </w:rPr>
      </w:pPr>
      <w:r>
        <w:rPr>
          <w:rFonts w:ascii="Times New Roman Bold" w:hAnsi="Times New Roman Bold"/>
        </w:rPr>
        <w:t xml:space="preserve">15.  </w:t>
      </w:r>
      <w:r>
        <w:rPr>
          <w:rFonts w:ascii="Times New Roman Bold" w:hAnsi="Times New Roman Bold"/>
          <w:u w:val="single"/>
        </w:rPr>
        <w:t>Explain the reasons for any program changes or adjustments</w:t>
      </w:r>
      <w:r>
        <w:rPr>
          <w:rFonts w:ascii="Times New Roman Bold" w:hAnsi="Times New Roman Bold"/>
        </w:rPr>
        <w:t>.</w:t>
      </w:r>
    </w:p>
    <w:p w:rsidR="00161FFD" w:rsidRDefault="00161FFD" w14:paraId="10F2F540" w14:textId="77777777">
      <w:pPr>
        <w:widowControl/>
      </w:pPr>
    </w:p>
    <w:p w:rsidR="00161FFD" w:rsidRDefault="00161FFD" w14:paraId="3820846B" w14:textId="77777777"/>
    <w:p w:rsidR="00161FFD" w:rsidRDefault="00161FFD" w14:paraId="5284CCF8" w14:textId="456CC7C2">
      <w:r>
        <w:t xml:space="preserve">Section 203(b)(3)(A) of the Act requires that the Secretary of Commerce “shall establish a program for the charge of fees sufficient to cover (but not exceed) all costs associated with evaluating applications for certification and auditing, inspecting and monitoring certified persons under the program.”  Because of this requirement, NTIS </w:t>
      </w:r>
      <w:r w:rsidR="00E814C8">
        <w:t xml:space="preserve">will charge </w:t>
      </w:r>
      <w:r>
        <w:t xml:space="preserve">the costs associated with the review and processing of the Firewalled Status Application Forms only to the conformity </w:t>
      </w:r>
      <w:r>
        <w:lastRenderedPageBreak/>
        <w:t xml:space="preserve">assessment bodies seeking firewalled status. </w:t>
      </w:r>
      <w:r w:rsidR="006523E7">
        <w:t xml:space="preserve">NTIS conducts periodic reviews </w:t>
      </w:r>
      <w:r w:rsidR="000A4045">
        <w:t xml:space="preserve">of </w:t>
      </w:r>
      <w:r w:rsidR="006523E7">
        <w:t xml:space="preserve">the costs associated with the program and adjusts fees accordingly.  </w:t>
      </w:r>
    </w:p>
    <w:p w:rsidR="00A65A3E" w:rsidRDefault="00A65A3E" w14:paraId="79383A4F" w14:textId="7D21EAEC"/>
    <w:p w:rsidRPr="00A65A3E" w:rsidR="00A65A3E" w:rsidP="00A65A3E" w:rsidRDefault="00A65A3E" w14:paraId="245E93D7" w14:textId="77777777">
      <w:bookmarkStart w:name="_Hlk35946255" w:id="1"/>
      <w:r w:rsidRPr="00A65A3E">
        <w:t xml:space="preserve">Adjustments in the information collection are due to: </w:t>
      </w:r>
    </w:p>
    <w:p w:rsidRPr="00A65A3E" w:rsidR="00A65A3E" w:rsidP="00A65A3E" w:rsidRDefault="00A65A3E" w14:paraId="5B5A780B" w14:textId="77777777"/>
    <w:p w:rsidRPr="00A65A3E" w:rsidR="00A65A3E" w:rsidP="00A65A3E" w:rsidRDefault="00A65A3E" w14:paraId="38BC2F23" w14:textId="57521AD7">
      <w:pPr>
        <w:numPr>
          <w:ilvl w:val="0"/>
          <w:numId w:val="1"/>
        </w:numPr>
      </w:pPr>
      <w:r>
        <w:rPr>
          <w:b/>
        </w:rPr>
        <w:t>De</w:t>
      </w:r>
      <w:r w:rsidRPr="00A65A3E">
        <w:rPr>
          <w:b/>
        </w:rPr>
        <w:t xml:space="preserve">crease in estimated responses. </w:t>
      </w:r>
      <w:bookmarkStart w:name="_Hlk35946173" w:id="2"/>
      <w:r>
        <w:t xml:space="preserve">Based on data </w:t>
      </w:r>
      <w:r w:rsidR="007A0043">
        <w:t xml:space="preserve">from </w:t>
      </w:r>
      <w:r>
        <w:t>the last three years f</w:t>
      </w:r>
      <w:r w:rsidR="007A0043">
        <w:t>or</w:t>
      </w:r>
      <w:r w:rsidRPr="00A65A3E">
        <w:t xml:space="preserve"> this information collection</w:t>
      </w:r>
      <w:r w:rsidR="007A0043">
        <w:t>,</w:t>
      </w:r>
      <w:bookmarkEnd w:id="2"/>
      <w:r>
        <w:t xml:space="preserve"> the </w:t>
      </w:r>
      <w:r w:rsidRPr="00A65A3E">
        <w:t xml:space="preserve">estimated annual responses </w:t>
      </w:r>
      <w:r w:rsidR="007A0043">
        <w:t xml:space="preserve">are </w:t>
      </w:r>
      <w:r w:rsidRPr="00A65A3E">
        <w:t xml:space="preserve">being </w:t>
      </w:r>
      <w:r w:rsidR="007A0043">
        <w:t>de</w:t>
      </w:r>
      <w:r w:rsidRPr="00A65A3E">
        <w:t xml:space="preserve">creased by </w:t>
      </w:r>
      <w:r w:rsidR="007A0043">
        <w:t>62.</w:t>
      </w:r>
      <w:r w:rsidRPr="00A65A3E">
        <w:t xml:space="preserve">   </w:t>
      </w:r>
    </w:p>
    <w:p w:rsidRPr="00A65A3E" w:rsidR="00A65A3E" w:rsidP="00A65A3E" w:rsidRDefault="00A65A3E" w14:paraId="26693632" w14:textId="77777777"/>
    <w:p w:rsidR="00523661" w:rsidP="00A65A3E" w:rsidRDefault="007A0043" w14:paraId="2EAFEAD6" w14:textId="3C3D3A21">
      <w:pPr>
        <w:numPr>
          <w:ilvl w:val="0"/>
          <w:numId w:val="1"/>
        </w:numPr>
      </w:pPr>
      <w:r>
        <w:rPr>
          <w:b/>
        </w:rPr>
        <w:t>De</w:t>
      </w:r>
      <w:r w:rsidRPr="00A65A3E" w:rsidR="00A65A3E">
        <w:rPr>
          <w:b/>
        </w:rPr>
        <w:t>crease in estimated burden</w:t>
      </w:r>
      <w:r>
        <w:rPr>
          <w:b/>
        </w:rPr>
        <w:t xml:space="preserve"> hour</w:t>
      </w:r>
      <w:r w:rsidRPr="00A65A3E" w:rsidR="00A65A3E">
        <w:rPr>
          <w:b/>
        </w:rPr>
        <w:t>s.</w:t>
      </w:r>
      <w:r w:rsidRPr="00A65A3E" w:rsidR="00A65A3E">
        <w:t xml:space="preserve">  </w:t>
      </w:r>
      <w:r>
        <w:t xml:space="preserve">Consequently, </w:t>
      </w:r>
      <w:r w:rsidR="0075084B">
        <w:t>b</w:t>
      </w:r>
      <w:r w:rsidR="00523661">
        <w:t xml:space="preserve">ased on </w:t>
      </w:r>
      <w:r w:rsidR="00523661">
        <w:t xml:space="preserve">the same </w:t>
      </w:r>
      <w:r w:rsidR="00523661">
        <w:t>data from the last three years for</w:t>
      </w:r>
      <w:r w:rsidRPr="00A65A3E" w:rsidR="00523661">
        <w:t xml:space="preserve"> this information collection</w:t>
      </w:r>
      <w:r w:rsidR="00523661">
        <w:t>,</w:t>
      </w:r>
      <w:r w:rsidR="00523661">
        <w:t xml:space="preserve"> </w:t>
      </w:r>
      <w:r>
        <w:t xml:space="preserve">the estimated number of </w:t>
      </w:r>
      <w:r w:rsidR="00523661">
        <w:t>hour</w:t>
      </w:r>
      <w:r>
        <w:t xml:space="preserve">s has </w:t>
      </w:r>
      <w:r w:rsidR="00523661">
        <w:t xml:space="preserve">also </w:t>
      </w:r>
      <w:r>
        <w:t xml:space="preserve">decreased </w:t>
      </w:r>
      <w:r w:rsidR="00523661">
        <w:t>by 62.</w:t>
      </w:r>
    </w:p>
    <w:bookmarkEnd w:id="1"/>
    <w:p w:rsidR="00523661" w:rsidP="00523661" w:rsidRDefault="00523661" w14:paraId="2DD0D0A9" w14:textId="77777777">
      <w:pPr>
        <w:pStyle w:val="ListParagraph"/>
      </w:pPr>
    </w:p>
    <w:p w:rsidR="00161FFD" w:rsidRDefault="00161FFD" w14:paraId="72ADB9FC" w14:textId="77777777">
      <w:pPr>
        <w:widowControl/>
        <w:rPr>
          <w:rFonts w:hint="eastAsia" w:ascii="Times New Roman Bold" w:hAnsi="Times New Roman Bold"/>
        </w:rPr>
      </w:pPr>
      <w:r>
        <w:rPr>
          <w:rFonts w:ascii="Times New Roman Bold" w:hAnsi="Times New Roman Bold"/>
        </w:rPr>
        <w:t xml:space="preserve">16.  </w:t>
      </w:r>
      <w:r>
        <w:rPr>
          <w:rFonts w:ascii="Times New Roman Bold" w:hAnsi="Times New Roman Bold"/>
          <w:u w:val="single"/>
        </w:rPr>
        <w:t>For collections whose results will be published, outline the plans for tabulation and publication</w:t>
      </w:r>
      <w:r>
        <w:rPr>
          <w:rFonts w:ascii="Times New Roman Bold" w:hAnsi="Times New Roman Bold"/>
        </w:rPr>
        <w:t>.</w:t>
      </w:r>
    </w:p>
    <w:p w:rsidR="00161FFD" w:rsidRDefault="00161FFD" w14:paraId="0DC4E2CC" w14:textId="77777777">
      <w:pPr>
        <w:widowControl/>
      </w:pPr>
    </w:p>
    <w:p w:rsidR="00161FFD" w:rsidRDefault="00161FFD" w14:paraId="553D7577" w14:textId="77777777">
      <w:pPr>
        <w:widowControl/>
      </w:pPr>
      <w:r>
        <w:t xml:space="preserve">Not </w:t>
      </w:r>
      <w:r w:rsidR="00FE0CF7">
        <w:t>a</w:t>
      </w:r>
      <w:r>
        <w:t>pplicable.</w:t>
      </w:r>
    </w:p>
    <w:p w:rsidR="00161FFD" w:rsidRDefault="00161FFD" w14:paraId="31D02967" w14:textId="77777777">
      <w:pPr>
        <w:widowControl/>
      </w:pPr>
    </w:p>
    <w:p w:rsidR="00161FFD" w:rsidRDefault="00161FFD" w14:paraId="19D11FB9" w14:textId="77777777">
      <w:pPr>
        <w:widowControl/>
        <w:rPr>
          <w:rFonts w:hint="eastAsia" w:ascii="Times New Roman Bold" w:hAnsi="Times New Roman Bold"/>
        </w:rPr>
      </w:pPr>
      <w:r>
        <w:rPr>
          <w:rFonts w:ascii="Times New Roman Bold" w:hAnsi="Times New Roman Bold"/>
        </w:rPr>
        <w:t xml:space="preserve">17.  </w:t>
      </w:r>
      <w:r>
        <w:rPr>
          <w:rFonts w:ascii="Times New Roman Bold" w:hAnsi="Times New Roman Bold"/>
          <w:u w:val="single"/>
        </w:rPr>
        <w:t>If seeking approval to not display the expiration date for OMB approval of the information collection, explain the reasons why display would be inappropriate</w:t>
      </w:r>
      <w:r>
        <w:rPr>
          <w:rFonts w:ascii="Times New Roman Bold" w:hAnsi="Times New Roman Bold"/>
        </w:rPr>
        <w:t>.</w:t>
      </w:r>
    </w:p>
    <w:p w:rsidR="00161FFD" w:rsidRDefault="00161FFD" w14:paraId="06BAC4BE" w14:textId="77777777">
      <w:pPr>
        <w:widowControl/>
      </w:pPr>
    </w:p>
    <w:p w:rsidR="00161FFD" w:rsidRDefault="00161FFD" w14:paraId="461A59E8" w14:textId="77777777">
      <w:pPr>
        <w:widowControl/>
      </w:pPr>
      <w:r>
        <w:t xml:space="preserve">Not </w:t>
      </w:r>
      <w:r w:rsidR="00FE0CF7">
        <w:t>a</w:t>
      </w:r>
      <w:r>
        <w:t>pplicable.</w:t>
      </w:r>
    </w:p>
    <w:p w:rsidR="00161FFD" w:rsidRDefault="00161FFD" w14:paraId="7BF7EB8D" w14:textId="77777777">
      <w:pPr>
        <w:widowControl/>
      </w:pPr>
    </w:p>
    <w:p w:rsidR="00161FFD" w:rsidRDefault="00161FFD" w14:paraId="71146AFE" w14:textId="77777777">
      <w:pPr>
        <w:widowControl/>
        <w:rPr>
          <w:rFonts w:hint="eastAsia" w:ascii="Times New Roman Bold" w:hAnsi="Times New Roman Bold"/>
        </w:rPr>
      </w:pPr>
      <w:r>
        <w:rPr>
          <w:rFonts w:ascii="Times New Roman Bold" w:hAnsi="Times New Roman Bold"/>
        </w:rPr>
        <w:t xml:space="preserve">18.  </w:t>
      </w:r>
      <w:r>
        <w:rPr>
          <w:rFonts w:ascii="Times New Roman Bold" w:hAnsi="Times New Roman Bold"/>
          <w:u w:val="single"/>
        </w:rPr>
        <w:t>Explain each exception to the certification statement</w:t>
      </w:r>
      <w:r>
        <w:rPr>
          <w:rFonts w:ascii="Times New Roman Bold" w:hAnsi="Times New Roman Bold"/>
        </w:rPr>
        <w:t>.</w:t>
      </w:r>
    </w:p>
    <w:p w:rsidR="00161FFD" w:rsidRDefault="00161FFD" w14:paraId="37598C55" w14:textId="77777777">
      <w:pPr>
        <w:widowControl/>
      </w:pPr>
    </w:p>
    <w:p w:rsidR="00161FFD" w:rsidRDefault="00161FFD" w14:paraId="01696EAD" w14:textId="77777777">
      <w:pPr>
        <w:widowControl/>
      </w:pPr>
      <w:r>
        <w:t xml:space="preserve">Not </w:t>
      </w:r>
      <w:r w:rsidR="00FE0CF7">
        <w:t>a</w:t>
      </w:r>
      <w:r>
        <w:t>pplicable.</w:t>
      </w:r>
    </w:p>
    <w:p w:rsidR="00161FFD" w:rsidRDefault="00161FFD" w14:paraId="44C79580" w14:textId="77777777">
      <w:pPr>
        <w:widowControl/>
        <w:rPr>
          <w:rFonts w:hint="eastAsia" w:ascii="Times New Roman Bold" w:hAnsi="Times New Roman Bold"/>
        </w:rPr>
      </w:pPr>
    </w:p>
    <w:p w:rsidR="00161FFD" w:rsidRDefault="00161FFD" w14:paraId="37BF2140" w14:textId="77777777">
      <w:pPr>
        <w:widowControl/>
        <w:rPr>
          <w:rFonts w:hint="eastAsia" w:ascii="Times New Roman Bold" w:hAnsi="Times New Roman Bold"/>
        </w:rPr>
      </w:pPr>
      <w:r>
        <w:rPr>
          <w:rFonts w:ascii="Times New Roman Bold" w:hAnsi="Times New Roman Bold"/>
        </w:rPr>
        <w:t>B.  COLLECTIONS OF INFORMATION EMPLOYING STATISTICAL METHODS</w:t>
      </w:r>
    </w:p>
    <w:p w:rsidR="00161FFD" w:rsidRDefault="00161FFD" w14:paraId="3A6B59B6" w14:textId="77777777">
      <w:pPr>
        <w:widowControl/>
      </w:pPr>
    </w:p>
    <w:p w:rsidR="00161FFD" w:rsidRDefault="00161FFD" w14:paraId="435D5D34" w14:textId="77777777">
      <w:pPr>
        <w:widowControl/>
        <w:rPr>
          <w:rFonts w:eastAsia="Times New Roman"/>
          <w:color w:val="auto"/>
          <w:sz w:val="20"/>
          <w:lang w:bidi="x-none"/>
        </w:rPr>
      </w:pPr>
      <w:r>
        <w:t xml:space="preserve">Not </w:t>
      </w:r>
      <w:r w:rsidR="00FE0CF7">
        <w:t>a</w:t>
      </w:r>
      <w:r>
        <w:t>pplicable.</w:t>
      </w:r>
    </w:p>
    <w:sectPr w:rsidR="00161FF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080" w:left="1440" w:header="144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AA486" w14:textId="77777777" w:rsidR="001D4FC0" w:rsidRDefault="001D4FC0">
      <w:r>
        <w:separator/>
      </w:r>
    </w:p>
  </w:endnote>
  <w:endnote w:type="continuationSeparator" w:id="0">
    <w:p w14:paraId="38C0C75E" w14:textId="77777777" w:rsidR="001D4FC0" w:rsidRDefault="001D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80"/>
    <w:family w:val="auto"/>
    <w:pitch w:val="variable"/>
    <w:sig w:usb0="00000000"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020D2" w14:textId="77777777" w:rsidR="00CC7787" w:rsidRDefault="00CC7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7515B" w14:textId="77777777" w:rsidR="00CC7787" w:rsidRDefault="00CC77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53760" w14:textId="77777777" w:rsidR="00CC7787" w:rsidRDefault="00CC7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B6D62" w14:textId="77777777" w:rsidR="001D4FC0" w:rsidRDefault="001D4FC0">
      <w:r>
        <w:separator/>
      </w:r>
    </w:p>
  </w:footnote>
  <w:footnote w:type="continuationSeparator" w:id="0">
    <w:p w14:paraId="2271791A" w14:textId="77777777" w:rsidR="001D4FC0" w:rsidRDefault="001D4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E6457" w14:textId="77777777" w:rsidR="00161FFD" w:rsidRDefault="00161FFD">
    <w:pPr>
      <w:pStyle w:val="Header1"/>
      <w:tabs>
        <w:tab w:val="clear" w:pos="9360"/>
        <w:tab w:val="right" w:pos="9340"/>
      </w:tabs>
      <w:rPr>
        <w:rFonts w:eastAsia="Times New Roman"/>
        <w:color w:val="auto"/>
        <w:sz w:val="20"/>
        <w:lang w:bidi="x-none"/>
      </w:rPr>
    </w:pPr>
    <w:r>
      <w:br/>
    </w:r>
    <w:r w:rsidR="003532BE">
      <w:rPr>
        <w:noProof/>
      </w:rPr>
      <w:pict w14:anchorId="399A02D9">
        <v:rect id="_x0000_s2050" style="position:absolute;margin-left:72.1pt;margin-top:720.05pt;width:468pt;height:14pt;z-index:-251658240;mso-position-horizontal-relative:page;mso-position-vertical-relative:page" coordsize="21600,21600" stroked="f" strokeweight="1pt">
          <v:fill o:detectmouseclick="t"/>
          <v:path arrowok="t" o:connectlocs="10800,10800"/>
          <v:textbox inset="0,0,0,0">
            <w:txbxContent>
              <w:p w14:paraId="22B347E2" w14:textId="77777777" w:rsidR="00161FFD" w:rsidRDefault="00161FFD">
                <w:pPr>
                  <w:jc w:val="center"/>
                  <w:rPr>
                    <w:rFonts w:eastAsia="Times New Roman"/>
                    <w:color w:val="auto"/>
                    <w:sz w:val="20"/>
                    <w:lang w:bidi="x-none"/>
                  </w:rPr>
                </w:pPr>
                <w:r>
                  <w:fldChar w:fldCharType="begin"/>
                </w:r>
                <w:r>
                  <w:instrText xml:space="preserve"> PAGE </w:instrText>
                </w:r>
                <w:r>
                  <w:fldChar w:fldCharType="separate"/>
                </w:r>
                <w:r w:rsidR="009B6F87">
                  <w:rPr>
                    <w:noProof/>
                  </w:rPr>
                  <w:t>2</w:t>
                </w:r>
                <w:r>
                  <w:fldChar w:fldCharType="end"/>
                </w:r>
              </w:p>
            </w:txbxContent>
          </v:textbox>
          <w10:wrap anchorx="page" anchory="page"/>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2287F" w14:textId="77777777" w:rsidR="00161FFD" w:rsidRDefault="00161FFD">
    <w:pPr>
      <w:pStyle w:val="Header1"/>
      <w:tabs>
        <w:tab w:val="clear" w:pos="9360"/>
        <w:tab w:val="right" w:pos="9340"/>
      </w:tabs>
      <w:rPr>
        <w:rFonts w:eastAsia="Times New Roman"/>
        <w:color w:val="auto"/>
        <w:sz w:val="20"/>
        <w:lang w:bidi="x-none"/>
      </w:rPr>
    </w:pPr>
    <w:r>
      <w:br/>
    </w:r>
    <w:r w:rsidR="003532BE">
      <w:rPr>
        <w:noProof/>
      </w:rPr>
      <w:pict w14:anchorId="646C1D77">
        <v:rect id="_x0000_s2049" style="position:absolute;margin-left:72.1pt;margin-top:720.05pt;width:468pt;height:14pt;z-index:-251659264;mso-position-horizontal-relative:page;mso-position-vertical-relative:page" coordsize="21600,21600" stroked="f" strokeweight="1pt">
          <v:fill o:detectmouseclick="t"/>
          <v:path arrowok="t" o:connectlocs="10800,10800"/>
          <v:textbox inset="0,0,0,0">
            <w:txbxContent>
              <w:p w14:paraId="786823EF" w14:textId="77777777" w:rsidR="00161FFD" w:rsidRDefault="00161FFD">
                <w:pPr>
                  <w:jc w:val="center"/>
                  <w:rPr>
                    <w:rFonts w:eastAsia="Times New Roman"/>
                    <w:color w:val="auto"/>
                    <w:sz w:val="20"/>
                    <w:lang w:bidi="x-none"/>
                  </w:rPr>
                </w:pPr>
                <w:r>
                  <w:fldChar w:fldCharType="begin"/>
                </w:r>
                <w:r>
                  <w:instrText xml:space="preserve"> PAGE </w:instrText>
                </w:r>
                <w:r>
                  <w:fldChar w:fldCharType="separate"/>
                </w:r>
                <w:r w:rsidR="009B6F87">
                  <w:rPr>
                    <w:noProof/>
                  </w:rPr>
                  <w:t>1</w:t>
                </w:r>
                <w:r>
                  <w:fldChar w:fldCharType="end"/>
                </w:r>
              </w:p>
            </w:txbxContent>
          </v:textbox>
          <w10:wrap anchorx="page" anchory="page"/>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B4649" w14:textId="77777777" w:rsidR="00CC7787" w:rsidRDefault="00CC7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300B0"/>
    <w:multiLevelType w:val="hybridMultilevel"/>
    <w:tmpl w:val="3FF4DC4E"/>
    <w:lvl w:ilvl="0" w:tplc="18B40D7A">
      <w:start w:val="1"/>
      <w:numFmt w:val="bullet"/>
      <w:lvlText w:val=""/>
      <w:lvlJc w:val="left"/>
      <w:pPr>
        <w:tabs>
          <w:tab w:val="num" w:pos="660"/>
        </w:tabs>
        <w:ind w:left="6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NotTrackMove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851BD"/>
    <w:rsid w:val="0003011B"/>
    <w:rsid w:val="00036514"/>
    <w:rsid w:val="000633F9"/>
    <w:rsid w:val="00070BB5"/>
    <w:rsid w:val="00082C9A"/>
    <w:rsid w:val="000A4045"/>
    <w:rsid w:val="000E1807"/>
    <w:rsid w:val="00161FFD"/>
    <w:rsid w:val="001876F7"/>
    <w:rsid w:val="001A4B27"/>
    <w:rsid w:val="001C4B47"/>
    <w:rsid w:val="001D4FC0"/>
    <w:rsid w:val="001E6481"/>
    <w:rsid w:val="001F6861"/>
    <w:rsid w:val="00257F17"/>
    <w:rsid w:val="002625E0"/>
    <w:rsid w:val="002B5BB3"/>
    <w:rsid w:val="00327F17"/>
    <w:rsid w:val="00330DD9"/>
    <w:rsid w:val="003532BE"/>
    <w:rsid w:val="004362E8"/>
    <w:rsid w:val="00437003"/>
    <w:rsid w:val="00486D7A"/>
    <w:rsid w:val="004B4ED9"/>
    <w:rsid w:val="004D1068"/>
    <w:rsid w:val="004D7BAE"/>
    <w:rsid w:val="00521EC4"/>
    <w:rsid w:val="00523661"/>
    <w:rsid w:val="005260E1"/>
    <w:rsid w:val="00566B15"/>
    <w:rsid w:val="00581017"/>
    <w:rsid w:val="005D70ED"/>
    <w:rsid w:val="00604A8C"/>
    <w:rsid w:val="006523E7"/>
    <w:rsid w:val="006741A3"/>
    <w:rsid w:val="006D1200"/>
    <w:rsid w:val="0075084B"/>
    <w:rsid w:val="0076391C"/>
    <w:rsid w:val="00782777"/>
    <w:rsid w:val="007851BD"/>
    <w:rsid w:val="007A0043"/>
    <w:rsid w:val="008276E2"/>
    <w:rsid w:val="00860FDD"/>
    <w:rsid w:val="00886739"/>
    <w:rsid w:val="008B6F54"/>
    <w:rsid w:val="008E1063"/>
    <w:rsid w:val="009574EB"/>
    <w:rsid w:val="00983EBC"/>
    <w:rsid w:val="009B6F87"/>
    <w:rsid w:val="00A46FBA"/>
    <w:rsid w:val="00A608E4"/>
    <w:rsid w:val="00A65A3E"/>
    <w:rsid w:val="00A81BA2"/>
    <w:rsid w:val="00AA2C11"/>
    <w:rsid w:val="00AC01FA"/>
    <w:rsid w:val="00AD2E85"/>
    <w:rsid w:val="00AD7D44"/>
    <w:rsid w:val="00AE1C9F"/>
    <w:rsid w:val="00B04E77"/>
    <w:rsid w:val="00B245F7"/>
    <w:rsid w:val="00B44676"/>
    <w:rsid w:val="00B47F2D"/>
    <w:rsid w:val="00C22B97"/>
    <w:rsid w:val="00CC4C7B"/>
    <w:rsid w:val="00CC7787"/>
    <w:rsid w:val="00D21922"/>
    <w:rsid w:val="00D62662"/>
    <w:rsid w:val="00D764BA"/>
    <w:rsid w:val="00DC0EED"/>
    <w:rsid w:val="00DE0D53"/>
    <w:rsid w:val="00DF686D"/>
    <w:rsid w:val="00DF6A70"/>
    <w:rsid w:val="00E05120"/>
    <w:rsid w:val="00E0584D"/>
    <w:rsid w:val="00E429D0"/>
    <w:rsid w:val="00E814C8"/>
    <w:rsid w:val="00E95991"/>
    <w:rsid w:val="00EB21BB"/>
    <w:rsid w:val="00F004F0"/>
    <w:rsid w:val="00F3084D"/>
    <w:rsid w:val="00F87AB8"/>
    <w:rsid w:val="00F90535"/>
    <w:rsid w:val="00FA2218"/>
    <w:rsid w:val="00FE0C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4:docId w14:val="069CEC7D"/>
  <w15:docId w15:val="{49446AC3-0DC1-4727-BB46-6E799B5E1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eastAsia="ヒラギノ角ゴ Pro W3"/>
      <w:color w:val="000000"/>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autoRedefine/>
    <w:pPr>
      <w:widowControl w:val="0"/>
      <w:tabs>
        <w:tab w:val="center" w:pos="4680"/>
        <w:tab w:val="right" w:pos="9360"/>
      </w:tabs>
    </w:pPr>
    <w:rPr>
      <w:rFonts w:eastAsia="ヒラギノ角ゴ Pro W3"/>
      <w:color w:val="000000"/>
      <w:sz w:val="24"/>
      <w:lang w:eastAsia="en-US"/>
    </w:rPr>
  </w:style>
  <w:style w:type="paragraph" w:customStyle="1" w:styleId="CommentText1">
    <w:name w:val="Comment Text1"/>
    <w:pPr>
      <w:widowControl w:val="0"/>
    </w:pPr>
    <w:rPr>
      <w:rFonts w:eastAsia="ヒラギノ角ゴ Pro W3"/>
      <w:color w:val="000000"/>
      <w:lang w:eastAsia="en-US"/>
    </w:rPr>
  </w:style>
  <w:style w:type="paragraph" w:styleId="BalloonText">
    <w:name w:val="Balloon Text"/>
    <w:basedOn w:val="Normal"/>
    <w:link w:val="BalloonTextChar"/>
    <w:locked/>
    <w:rsid w:val="007851BD"/>
    <w:rPr>
      <w:rFonts w:ascii="Segoe UI" w:hAnsi="Segoe UI" w:cs="Segoe UI"/>
      <w:sz w:val="18"/>
      <w:szCs w:val="18"/>
    </w:rPr>
  </w:style>
  <w:style w:type="character" w:customStyle="1" w:styleId="BalloonTextChar">
    <w:name w:val="Balloon Text Char"/>
    <w:link w:val="BalloonText"/>
    <w:rsid w:val="007851BD"/>
    <w:rPr>
      <w:rFonts w:ascii="Segoe UI" w:eastAsia="ヒラギノ角ゴ Pro W3" w:hAnsi="Segoe UI" w:cs="Segoe UI"/>
      <w:color w:val="000000"/>
      <w:sz w:val="18"/>
      <w:szCs w:val="18"/>
    </w:rPr>
  </w:style>
  <w:style w:type="character" w:styleId="CommentReference">
    <w:name w:val="annotation reference"/>
    <w:locked/>
    <w:rsid w:val="007851BD"/>
    <w:rPr>
      <w:sz w:val="16"/>
      <w:szCs w:val="16"/>
    </w:rPr>
  </w:style>
  <w:style w:type="paragraph" w:styleId="CommentText">
    <w:name w:val="annotation text"/>
    <w:basedOn w:val="Normal"/>
    <w:link w:val="CommentTextChar"/>
    <w:locked/>
    <w:rsid w:val="007851BD"/>
    <w:rPr>
      <w:sz w:val="20"/>
      <w:szCs w:val="20"/>
    </w:rPr>
  </w:style>
  <w:style w:type="character" w:customStyle="1" w:styleId="CommentTextChar">
    <w:name w:val="Comment Text Char"/>
    <w:link w:val="CommentText"/>
    <w:rsid w:val="007851BD"/>
    <w:rPr>
      <w:rFonts w:eastAsia="ヒラギノ角ゴ Pro W3"/>
      <w:color w:val="000000"/>
    </w:rPr>
  </w:style>
  <w:style w:type="paragraph" w:styleId="CommentSubject">
    <w:name w:val="annotation subject"/>
    <w:basedOn w:val="CommentText"/>
    <w:next w:val="CommentText"/>
    <w:link w:val="CommentSubjectChar"/>
    <w:locked/>
    <w:rsid w:val="007851BD"/>
    <w:rPr>
      <w:b/>
      <w:bCs/>
    </w:rPr>
  </w:style>
  <w:style w:type="character" w:customStyle="1" w:styleId="CommentSubjectChar">
    <w:name w:val="Comment Subject Char"/>
    <w:link w:val="CommentSubject"/>
    <w:rsid w:val="007851BD"/>
    <w:rPr>
      <w:rFonts w:eastAsia="ヒラギノ角ゴ Pro W3"/>
      <w:b/>
      <w:bCs/>
      <w:color w:val="000000"/>
    </w:rPr>
  </w:style>
  <w:style w:type="paragraph" w:styleId="Footer">
    <w:name w:val="footer"/>
    <w:basedOn w:val="Normal"/>
    <w:link w:val="FooterChar"/>
    <w:locked/>
    <w:rsid w:val="00CC7787"/>
    <w:pPr>
      <w:tabs>
        <w:tab w:val="center" w:pos="4680"/>
        <w:tab w:val="right" w:pos="9360"/>
      </w:tabs>
    </w:pPr>
  </w:style>
  <w:style w:type="character" w:customStyle="1" w:styleId="FooterChar">
    <w:name w:val="Footer Char"/>
    <w:link w:val="Footer"/>
    <w:rsid w:val="00CC7787"/>
    <w:rPr>
      <w:rFonts w:eastAsia="ヒラギノ角ゴ Pro W3"/>
      <w:color w:val="000000"/>
      <w:sz w:val="24"/>
      <w:szCs w:val="24"/>
    </w:rPr>
  </w:style>
  <w:style w:type="paragraph" w:styleId="Header">
    <w:name w:val="header"/>
    <w:basedOn w:val="Normal"/>
    <w:link w:val="HeaderChar"/>
    <w:locked/>
    <w:rsid w:val="00CC7787"/>
    <w:pPr>
      <w:tabs>
        <w:tab w:val="center" w:pos="4680"/>
        <w:tab w:val="right" w:pos="9360"/>
      </w:tabs>
    </w:pPr>
  </w:style>
  <w:style w:type="character" w:customStyle="1" w:styleId="HeaderChar">
    <w:name w:val="Header Char"/>
    <w:link w:val="Header"/>
    <w:rsid w:val="00CC7787"/>
    <w:rPr>
      <w:rFonts w:eastAsia="ヒラギノ角ゴ Pro W3"/>
      <w:color w:val="000000"/>
      <w:sz w:val="24"/>
      <w:szCs w:val="24"/>
    </w:rPr>
  </w:style>
  <w:style w:type="paragraph" w:styleId="ListParagraph">
    <w:name w:val="List Paragraph"/>
    <w:basedOn w:val="Normal"/>
    <w:uiPriority w:val="34"/>
    <w:qFormat/>
    <w:rsid w:val="0052366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1821</Words>
  <Characters>10384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Lieberman (Fed)</dc:creator>
  <cp:keywords/>
  <cp:lastModifiedBy>Dumas, Sheleen (Federal)</cp:lastModifiedBy>
  <cp:revision>3</cp:revision>
  <cp:lastPrinted>2016-11-14T19:36:00Z</cp:lastPrinted>
  <dcterms:created xsi:type="dcterms:W3CDTF">2020-03-24T16:47:00Z</dcterms:created>
  <dcterms:modified xsi:type="dcterms:W3CDTF">2020-03-24T16:49:00Z</dcterms:modified>
</cp:coreProperties>
</file>