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203" w:rsidRDefault="00856203" w14:paraId="0AC6AA17" w14:textId="77777777"/>
    <w:p w:rsidR="00856203" w:rsidP="00856203" w:rsidRDefault="00856203" w14:paraId="0277F360" w14:textId="77777777">
      <w:pPr>
        <w:jc w:val="center"/>
        <w:rPr>
          <w:rFonts w:cstheme="minorHAnsi"/>
          <w:szCs w:val="24"/>
        </w:rPr>
      </w:pPr>
    </w:p>
    <w:p w:rsidR="00856203" w:rsidP="00856203" w:rsidRDefault="00856203" w14:paraId="4EC05422" w14:textId="77777777">
      <w:pPr>
        <w:jc w:val="center"/>
        <w:rPr>
          <w:rFonts w:cstheme="minorHAnsi"/>
          <w:szCs w:val="24"/>
        </w:rPr>
      </w:pPr>
    </w:p>
    <w:p w:rsidR="00856203" w:rsidP="00856203" w:rsidRDefault="00856203" w14:paraId="43688747" w14:textId="77777777">
      <w:pPr>
        <w:jc w:val="center"/>
        <w:rPr>
          <w:rFonts w:cstheme="minorHAnsi"/>
          <w:szCs w:val="24"/>
        </w:rPr>
      </w:pPr>
    </w:p>
    <w:p w:rsidR="00856203" w:rsidP="00856203" w:rsidRDefault="00856203" w14:paraId="1C1A80FE" w14:textId="77777777">
      <w:pPr>
        <w:jc w:val="center"/>
        <w:rPr>
          <w:rFonts w:cstheme="minorHAnsi"/>
          <w:szCs w:val="24"/>
        </w:rPr>
      </w:pPr>
    </w:p>
    <w:p w:rsidR="00856203" w:rsidP="00856203" w:rsidRDefault="00856203" w14:paraId="3FD34DB7" w14:textId="77777777">
      <w:pPr>
        <w:jc w:val="center"/>
        <w:rPr>
          <w:rFonts w:cstheme="minorHAnsi"/>
          <w:szCs w:val="24"/>
        </w:rPr>
      </w:pPr>
    </w:p>
    <w:p w:rsidR="00856203" w:rsidP="00856203" w:rsidRDefault="00856203" w14:paraId="28593D39" w14:textId="77777777">
      <w:pPr>
        <w:jc w:val="center"/>
        <w:rPr>
          <w:rFonts w:cstheme="minorHAnsi"/>
          <w:szCs w:val="24"/>
        </w:rPr>
      </w:pPr>
    </w:p>
    <w:p w:rsidR="00856203" w:rsidP="00856203" w:rsidRDefault="00856203" w14:paraId="028E8216" w14:textId="77777777">
      <w:pPr>
        <w:jc w:val="center"/>
        <w:rPr>
          <w:rFonts w:cstheme="minorHAnsi"/>
          <w:szCs w:val="24"/>
        </w:rPr>
      </w:pPr>
    </w:p>
    <w:p w:rsidR="00856203" w:rsidP="00856203" w:rsidRDefault="00FB5168" w14:paraId="30213952" w14:textId="076EED04">
      <w:pPr>
        <w:jc w:val="center"/>
        <w:rPr>
          <w:rFonts w:cstheme="minorHAnsi"/>
          <w:szCs w:val="24"/>
        </w:rPr>
      </w:pPr>
      <w:r>
        <w:rPr>
          <w:rFonts w:cstheme="minorHAnsi"/>
          <w:szCs w:val="24"/>
        </w:rPr>
        <w:t xml:space="preserve">Formative </w:t>
      </w:r>
      <w:r w:rsidR="00F625A0">
        <w:rPr>
          <w:rFonts w:cstheme="minorHAnsi"/>
          <w:szCs w:val="24"/>
        </w:rPr>
        <w:t>a</w:t>
      </w:r>
      <w:r>
        <w:rPr>
          <w:rFonts w:cstheme="minorHAnsi"/>
          <w:szCs w:val="24"/>
        </w:rPr>
        <w:t xml:space="preserve">ssessment of the </w:t>
      </w:r>
      <w:r w:rsidR="00F625A0">
        <w:rPr>
          <w:rFonts w:cstheme="minorHAnsi"/>
          <w:szCs w:val="24"/>
        </w:rPr>
        <w:t>i</w:t>
      </w:r>
      <w:r>
        <w:rPr>
          <w:rFonts w:cstheme="minorHAnsi"/>
          <w:szCs w:val="24"/>
        </w:rPr>
        <w:t xml:space="preserve">nformation </w:t>
      </w:r>
      <w:r w:rsidR="00F625A0">
        <w:rPr>
          <w:rFonts w:cstheme="minorHAnsi"/>
          <w:szCs w:val="24"/>
        </w:rPr>
        <w:t>n</w:t>
      </w:r>
      <w:r>
        <w:rPr>
          <w:rFonts w:cstheme="minorHAnsi"/>
          <w:szCs w:val="24"/>
        </w:rPr>
        <w:t xml:space="preserve">eeds of </w:t>
      </w:r>
      <w:r w:rsidR="00F625A0">
        <w:rPr>
          <w:rFonts w:cstheme="minorHAnsi"/>
          <w:szCs w:val="24"/>
        </w:rPr>
        <w:t>a</w:t>
      </w:r>
      <w:r w:rsidRPr="00D341E5" w:rsidR="00D341E5">
        <w:rPr>
          <w:rFonts w:cstheme="minorHAnsi"/>
          <w:szCs w:val="24"/>
        </w:rPr>
        <w:t>dapting NIOSH-CPWR toolbox talks for Spanish-speaking construction workers</w:t>
      </w:r>
      <w:r w:rsidR="00D341E5">
        <w:rPr>
          <w:rFonts w:cstheme="minorHAnsi"/>
          <w:szCs w:val="24"/>
        </w:rPr>
        <w:t>: Phase 1</w:t>
      </w:r>
    </w:p>
    <w:p w:rsidR="00856203" w:rsidP="00856203" w:rsidRDefault="00856203" w14:paraId="05A0C288" w14:textId="77777777">
      <w:pPr>
        <w:jc w:val="center"/>
        <w:rPr>
          <w:rFonts w:cstheme="minorHAnsi"/>
          <w:szCs w:val="24"/>
        </w:rPr>
      </w:pPr>
      <w:r>
        <w:rPr>
          <w:rFonts w:cstheme="minorHAnsi"/>
          <w:szCs w:val="24"/>
        </w:rPr>
        <w:t>Supporting Statement-Section A</w:t>
      </w:r>
    </w:p>
    <w:p w:rsidR="00856203" w:rsidP="004C1DFD" w:rsidRDefault="00856203" w14:paraId="367AF2D6" w14:textId="77777777">
      <w:pPr>
        <w:rPr>
          <w:rFonts w:cstheme="minorHAnsi"/>
          <w:szCs w:val="24"/>
        </w:rPr>
      </w:pPr>
    </w:p>
    <w:p w:rsidR="00856203" w:rsidP="00856203" w:rsidRDefault="00856203" w14:paraId="25C2CF5E" w14:textId="77777777">
      <w:pPr>
        <w:jc w:val="center"/>
        <w:rPr>
          <w:rFonts w:cstheme="minorHAnsi"/>
          <w:szCs w:val="24"/>
        </w:rPr>
      </w:pPr>
    </w:p>
    <w:p w:rsidR="00856203" w:rsidP="00856203" w:rsidRDefault="00856203" w14:paraId="3D9A088A" w14:textId="77777777">
      <w:pPr>
        <w:jc w:val="center"/>
      </w:pPr>
      <w:r>
        <w:rPr>
          <w:rFonts w:cstheme="minorHAnsi"/>
          <w:szCs w:val="24"/>
        </w:rPr>
        <w:t>OMB No. 0920-1154</w:t>
      </w:r>
    </w:p>
    <w:p w:rsidR="00856203" w:rsidRDefault="00856203" w14:paraId="5946633C" w14:textId="77777777"/>
    <w:p w:rsidRPr="00D60A79" w:rsidR="000F319B" w:rsidP="00D60A79" w:rsidRDefault="000F319B" w14:paraId="479F3483" w14:textId="2536A9C6">
      <w:pPr>
        <w:rPr>
          <w:b/>
          <w:u w:val="single"/>
        </w:rPr>
      </w:pPr>
      <w:r w:rsidRPr="000F319B">
        <w:rPr>
          <w:b/>
          <w:u w:val="single"/>
        </w:rPr>
        <w:t>Program Official/Project Officers</w:t>
      </w:r>
    </w:p>
    <w:p w:rsidR="000F319B" w:rsidP="000F319B" w:rsidRDefault="000F319B" w14:paraId="41AE5ED4" w14:textId="77777777">
      <w:pPr>
        <w:spacing w:after="0"/>
      </w:pPr>
      <w:r>
        <w:t>Brenna Keller, MPH</w:t>
      </w:r>
      <w:r>
        <w:tab/>
      </w:r>
      <w:r>
        <w:tab/>
      </w:r>
      <w:r>
        <w:tab/>
      </w:r>
      <w:r>
        <w:tab/>
      </w:r>
      <w:r>
        <w:tab/>
      </w:r>
      <w:r>
        <w:tab/>
      </w:r>
      <w:r>
        <w:tab/>
      </w:r>
      <w:r>
        <w:tab/>
        <w:t>Donald Eggerth, Ph.D.</w:t>
      </w:r>
    </w:p>
    <w:p w:rsidR="000F319B" w:rsidP="000F319B" w:rsidRDefault="000F319B" w14:paraId="5978D1AB" w14:textId="77777777">
      <w:pPr>
        <w:spacing w:after="0"/>
      </w:pPr>
      <w:r>
        <w:t>Associate Service Fellow                                                                                                     Behavioral Scientist</w:t>
      </w:r>
    </w:p>
    <w:p w:rsidR="000F319B" w:rsidP="000F319B" w:rsidRDefault="000F319B" w14:paraId="0B10611F" w14:textId="77777777">
      <w:pPr>
        <w:spacing w:after="0"/>
      </w:pPr>
      <w:r>
        <w:t xml:space="preserve">CDC/NIOSH/DSI </w:t>
      </w:r>
      <w:r>
        <w:tab/>
      </w:r>
      <w:r>
        <w:tab/>
      </w:r>
      <w:r>
        <w:tab/>
      </w:r>
      <w:r>
        <w:tab/>
      </w:r>
      <w:r>
        <w:tab/>
      </w:r>
      <w:r>
        <w:tab/>
      </w:r>
      <w:r>
        <w:tab/>
      </w:r>
      <w:r>
        <w:tab/>
      </w:r>
      <w:r w:rsidRPr="005E3254">
        <w:t>CDC/NIOSH/DSI</w:t>
      </w:r>
    </w:p>
    <w:p w:rsidRPr="005E3254" w:rsidR="000F319B" w:rsidP="000F319B" w:rsidRDefault="000F319B" w14:paraId="0E6A8721" w14:textId="77777777">
      <w:pPr>
        <w:spacing w:after="0"/>
      </w:pPr>
    </w:p>
    <w:p w:rsidRPr="00474519" w:rsidR="000F319B" w:rsidP="000F319B" w:rsidRDefault="000F319B" w14:paraId="27CEBE8D" w14:textId="458772D1">
      <w:pPr>
        <w:spacing w:after="0"/>
      </w:pPr>
      <w:bookmarkStart w:name="_Hlk27342680" w:id="0"/>
      <w:r w:rsidRPr="00AF6963">
        <w:rPr>
          <w:b/>
          <w:bCs/>
          <w:u w:val="single"/>
        </w:rPr>
        <w:t>Contact Information</w:t>
      </w:r>
      <w:r w:rsidRPr="00AF6963">
        <w:rPr>
          <w:b/>
          <w:bCs/>
        </w:rPr>
        <w:t xml:space="preserve"> </w:t>
      </w:r>
      <w:r w:rsidRPr="00AF6963">
        <w:rPr>
          <w:b/>
          <w:bCs/>
        </w:rPr>
        <w:tab/>
      </w:r>
      <w:r w:rsidRPr="00AF6963">
        <w:rPr>
          <w:b/>
          <w:bCs/>
        </w:rPr>
        <w:tab/>
      </w:r>
      <w:r w:rsidRPr="00AF6963">
        <w:rPr>
          <w:b/>
          <w:bCs/>
        </w:rPr>
        <w:tab/>
      </w:r>
      <w:r w:rsidRPr="00AF6963">
        <w:rPr>
          <w:b/>
          <w:bCs/>
        </w:rPr>
        <w:tab/>
      </w:r>
      <w:r w:rsidRPr="00AF6963">
        <w:rPr>
          <w:b/>
          <w:bCs/>
        </w:rPr>
        <w:tab/>
      </w:r>
      <w:r w:rsidRPr="00AF6963">
        <w:rPr>
          <w:b/>
          <w:bCs/>
        </w:rPr>
        <w:tab/>
      </w:r>
      <w:r w:rsidRPr="00AF6963">
        <w:rPr>
          <w:b/>
          <w:bCs/>
        </w:rPr>
        <w:tab/>
      </w:r>
      <w:r w:rsidRPr="00AF6963">
        <w:rPr>
          <w:b/>
          <w:bCs/>
        </w:rPr>
        <w:tab/>
      </w:r>
      <w:r w:rsidRPr="00AF6963">
        <w:rPr>
          <w:b/>
          <w:bCs/>
          <w:u w:val="single"/>
        </w:rPr>
        <w:t>Contact Information</w:t>
      </w:r>
      <w:r w:rsidRPr="00AF6963">
        <w:rPr>
          <w:b/>
          <w:bCs/>
        </w:rPr>
        <w:t xml:space="preserve"> </w:t>
      </w:r>
    </w:p>
    <w:p w:rsidRPr="00474519" w:rsidR="000F319B" w:rsidP="000F319B" w:rsidRDefault="000F319B" w14:paraId="4170FE97" w14:textId="77777777">
      <w:pPr>
        <w:spacing w:after="0"/>
      </w:pPr>
      <w:r w:rsidRPr="00474519">
        <w:t>1090 Tusculum Avenue</w:t>
      </w:r>
      <w:r>
        <w:tab/>
      </w:r>
      <w:r>
        <w:tab/>
      </w:r>
      <w:r>
        <w:tab/>
      </w:r>
      <w:r>
        <w:tab/>
      </w:r>
      <w:r>
        <w:tab/>
      </w:r>
      <w:r>
        <w:tab/>
      </w:r>
      <w:r>
        <w:tab/>
      </w:r>
      <w:r>
        <w:tab/>
      </w:r>
      <w:r w:rsidRPr="00474519">
        <w:t>1090 Tusculum Avenue</w:t>
      </w:r>
    </w:p>
    <w:p w:rsidRPr="00474519" w:rsidR="000F319B" w:rsidP="000F319B" w:rsidRDefault="000F319B" w14:paraId="26E3B8C1" w14:textId="77777777">
      <w:pPr>
        <w:spacing w:after="0"/>
      </w:pPr>
      <w:r>
        <w:t xml:space="preserve">MS C-10, Cincinnati, Ohio-45226                                                                                      MS C-10, </w:t>
      </w:r>
      <w:r w:rsidRPr="00474519">
        <w:t>Cincinnati, Ohio-45226</w:t>
      </w:r>
    </w:p>
    <w:p w:rsidR="000F319B" w:rsidP="000F319B" w:rsidRDefault="000F319B" w14:paraId="09338C0C" w14:textId="77777777">
      <w:pPr>
        <w:spacing w:after="0"/>
      </w:pPr>
      <w:r>
        <w:rPr>
          <w:b/>
          <w:bCs/>
        </w:rPr>
        <w:t>Phone:</w:t>
      </w:r>
      <w:r w:rsidRPr="00474519">
        <w:rPr>
          <w:b/>
          <w:bCs/>
        </w:rPr>
        <w:t xml:space="preserve"> </w:t>
      </w:r>
      <w:r w:rsidRPr="00474519">
        <w:t>513-533-</w:t>
      </w:r>
      <w:r>
        <w:t>8103</w:t>
      </w:r>
      <w:r>
        <w:tab/>
      </w:r>
      <w:r>
        <w:tab/>
      </w:r>
      <w:r>
        <w:tab/>
      </w:r>
      <w:r>
        <w:tab/>
      </w:r>
      <w:r>
        <w:tab/>
      </w:r>
      <w:r>
        <w:tab/>
      </w:r>
      <w:r>
        <w:tab/>
      </w:r>
      <w:r>
        <w:tab/>
        <w:t>Phone: 513-533-8505</w:t>
      </w:r>
    </w:p>
    <w:p w:rsidR="000F319B" w:rsidP="000F319B" w:rsidRDefault="000F319B" w14:paraId="19906A39" w14:textId="77777777">
      <w:r>
        <w:t xml:space="preserve">Email: </w:t>
      </w:r>
      <w:hyperlink w:history="1" r:id="rId8">
        <w:r w:rsidRPr="008B7E17">
          <w:rPr>
            <w:rStyle w:val="Hyperlink"/>
          </w:rPr>
          <w:t>kgy5@cdc.gov</w:t>
        </w:r>
      </w:hyperlink>
      <w:r>
        <w:t xml:space="preserve">                          </w:t>
      </w:r>
      <w:r>
        <w:tab/>
      </w:r>
      <w:r>
        <w:tab/>
      </w:r>
      <w:r>
        <w:tab/>
      </w:r>
      <w:r>
        <w:tab/>
      </w:r>
      <w:r>
        <w:tab/>
      </w:r>
      <w:r>
        <w:tab/>
        <w:t xml:space="preserve">Email: </w:t>
      </w:r>
      <w:hyperlink w:history="1" r:id="rId9">
        <w:r w:rsidRPr="008B7E17">
          <w:rPr>
            <w:rStyle w:val="Hyperlink"/>
          </w:rPr>
          <w:t>dfe0@cdc.gov</w:t>
        </w:r>
      </w:hyperlink>
      <w:r>
        <w:t xml:space="preserve"> </w:t>
      </w:r>
    </w:p>
    <w:bookmarkEnd w:id="0"/>
    <w:p w:rsidR="000F319B" w:rsidP="000F319B" w:rsidRDefault="000F319B" w14:paraId="5447D995" w14:textId="77777777"/>
    <w:p w:rsidR="000F319B" w:rsidP="000F319B" w:rsidRDefault="000F319B" w14:paraId="637310E7" w14:textId="77777777">
      <w:pPr>
        <w:spacing w:after="0" w:line="240" w:lineRule="auto"/>
      </w:pPr>
      <w:r>
        <w:t>Thomas Cunningham, Ph.D.</w:t>
      </w:r>
    </w:p>
    <w:p w:rsidR="000F319B" w:rsidP="000F319B" w:rsidRDefault="000F319B" w14:paraId="505C5DB6" w14:textId="77777777">
      <w:pPr>
        <w:spacing w:after="0" w:line="240" w:lineRule="auto"/>
      </w:pPr>
      <w:r>
        <w:t>Supervisory Social Scientist</w:t>
      </w:r>
      <w:r>
        <w:tab/>
      </w:r>
      <w:r>
        <w:tab/>
      </w:r>
      <w:r>
        <w:tab/>
      </w:r>
      <w:r>
        <w:tab/>
      </w:r>
      <w:r>
        <w:tab/>
      </w:r>
      <w:r>
        <w:tab/>
      </w:r>
      <w:r>
        <w:tab/>
      </w:r>
      <w:r>
        <w:tab/>
      </w:r>
    </w:p>
    <w:p w:rsidR="000F319B" w:rsidP="000F319B" w:rsidRDefault="000F319B" w14:paraId="0283E943" w14:textId="77777777">
      <w:pPr>
        <w:spacing w:after="0" w:line="240" w:lineRule="auto"/>
      </w:pPr>
      <w:r>
        <w:t>CDC/NIOSH/DSI</w:t>
      </w:r>
    </w:p>
    <w:p w:rsidR="000F319B" w:rsidP="000F319B" w:rsidRDefault="000F319B" w14:paraId="19985029" w14:textId="77777777">
      <w:pPr>
        <w:spacing w:after="0" w:line="240" w:lineRule="auto"/>
      </w:pPr>
    </w:p>
    <w:p w:rsidRPr="00474519" w:rsidR="000F319B" w:rsidP="000F319B" w:rsidRDefault="000F319B" w14:paraId="0347FDCE" w14:textId="77777777">
      <w:pPr>
        <w:spacing w:after="0"/>
      </w:pPr>
      <w:r w:rsidRPr="00AF6963">
        <w:rPr>
          <w:b/>
          <w:bCs/>
          <w:u w:val="single"/>
        </w:rPr>
        <w:t>Contact Information</w:t>
      </w:r>
      <w:r w:rsidRPr="00AF6963">
        <w:rPr>
          <w:b/>
          <w:bCs/>
        </w:rPr>
        <w:t xml:space="preserve"> </w:t>
      </w:r>
      <w:r w:rsidRPr="00AF6963">
        <w:rPr>
          <w:b/>
          <w:bCs/>
        </w:rPr>
        <w:tab/>
      </w:r>
      <w:r w:rsidRPr="00AF6963">
        <w:rPr>
          <w:b/>
          <w:bCs/>
        </w:rPr>
        <w:tab/>
      </w:r>
      <w:r w:rsidRPr="00AF6963">
        <w:rPr>
          <w:b/>
          <w:bCs/>
        </w:rPr>
        <w:tab/>
      </w:r>
      <w:r w:rsidRPr="00AF6963">
        <w:rPr>
          <w:b/>
          <w:bCs/>
        </w:rPr>
        <w:tab/>
      </w:r>
      <w:r w:rsidRPr="00AF6963">
        <w:rPr>
          <w:b/>
          <w:bCs/>
        </w:rPr>
        <w:tab/>
      </w:r>
      <w:r w:rsidRPr="00AF6963">
        <w:rPr>
          <w:b/>
          <w:bCs/>
        </w:rPr>
        <w:tab/>
      </w:r>
      <w:r w:rsidRPr="00AF6963">
        <w:rPr>
          <w:b/>
          <w:bCs/>
        </w:rPr>
        <w:tab/>
      </w:r>
      <w:r w:rsidRPr="00AF6963">
        <w:rPr>
          <w:b/>
          <w:bCs/>
        </w:rPr>
        <w:tab/>
        <w:t xml:space="preserve"> </w:t>
      </w:r>
    </w:p>
    <w:p w:rsidRPr="00474519" w:rsidR="000F319B" w:rsidP="000F319B" w:rsidRDefault="000F319B" w14:paraId="7BE08832" w14:textId="77777777">
      <w:pPr>
        <w:spacing w:after="0"/>
      </w:pPr>
      <w:r w:rsidRPr="00474519">
        <w:t>1090 Tusculum Avenue</w:t>
      </w:r>
      <w:r>
        <w:tab/>
      </w:r>
      <w:r>
        <w:tab/>
      </w:r>
      <w:r>
        <w:tab/>
      </w:r>
      <w:r>
        <w:tab/>
      </w:r>
      <w:r>
        <w:tab/>
      </w:r>
      <w:r>
        <w:tab/>
      </w:r>
      <w:r>
        <w:tab/>
      </w:r>
      <w:r>
        <w:tab/>
      </w:r>
    </w:p>
    <w:p w:rsidRPr="00474519" w:rsidR="000F319B" w:rsidP="000F319B" w:rsidRDefault="000F319B" w14:paraId="6FD5E77D" w14:textId="77777777">
      <w:pPr>
        <w:spacing w:after="0"/>
      </w:pPr>
      <w:r>
        <w:t xml:space="preserve">MS C-10, Cincinnati, Ohio-45226                                                                                      </w:t>
      </w:r>
    </w:p>
    <w:p w:rsidR="000F319B" w:rsidP="000F319B" w:rsidRDefault="000F319B" w14:paraId="7C1EAAF4" w14:textId="56B4DB57">
      <w:pPr>
        <w:spacing w:after="0"/>
      </w:pPr>
      <w:r>
        <w:rPr>
          <w:b/>
          <w:bCs/>
        </w:rPr>
        <w:t>Phone:</w:t>
      </w:r>
      <w:r w:rsidRPr="00474519">
        <w:rPr>
          <w:b/>
          <w:bCs/>
        </w:rPr>
        <w:t xml:space="preserve"> </w:t>
      </w:r>
      <w:r w:rsidRPr="005E3254">
        <w:t>513</w:t>
      </w:r>
      <w:r w:rsidR="00F327F6">
        <w:t>-</w:t>
      </w:r>
      <w:r w:rsidRPr="005E3254">
        <w:t>5338325</w:t>
      </w:r>
      <w:r>
        <w:tab/>
      </w:r>
      <w:r>
        <w:tab/>
      </w:r>
      <w:r>
        <w:tab/>
      </w:r>
      <w:r>
        <w:tab/>
      </w:r>
      <w:r>
        <w:tab/>
      </w:r>
      <w:r>
        <w:tab/>
      </w:r>
      <w:r>
        <w:tab/>
      </w:r>
      <w:r>
        <w:tab/>
      </w:r>
    </w:p>
    <w:p w:rsidR="00856203" w:rsidRDefault="000F319B" w14:paraId="3117F160" w14:textId="4AC0C742">
      <w:r>
        <w:t xml:space="preserve">Email: </w:t>
      </w:r>
      <w:hyperlink w:history="1" r:id="rId10">
        <w:r w:rsidRPr="0015469F">
          <w:rPr>
            <w:rStyle w:val="Hyperlink"/>
          </w:rPr>
          <w:t>hul6@cdc.gov</w:t>
        </w:r>
      </w:hyperlink>
      <w:r>
        <w:t xml:space="preserve">                          </w:t>
      </w:r>
    </w:p>
    <w:sdt>
      <w:sdtPr>
        <w:rPr>
          <w:rFonts w:asciiTheme="minorHAnsi" w:hAnsiTheme="minorHAnsi" w:eastAsiaTheme="minorHAnsi" w:cstheme="minorBidi"/>
          <w:color w:val="auto"/>
          <w:sz w:val="22"/>
          <w:szCs w:val="22"/>
        </w:rPr>
        <w:id w:val="2033147176"/>
        <w:docPartObj>
          <w:docPartGallery w:val="Table of Contents"/>
          <w:docPartUnique/>
        </w:docPartObj>
      </w:sdtPr>
      <w:sdtEndPr>
        <w:rPr>
          <w:b/>
          <w:bCs/>
          <w:noProof/>
        </w:rPr>
      </w:sdtEndPr>
      <w:sdtContent>
        <w:p w:rsidR="00C8057D" w:rsidRDefault="00C8057D" w14:paraId="2F766DDB" w14:textId="77777777">
          <w:pPr>
            <w:pStyle w:val="TOCHeading"/>
          </w:pPr>
          <w:r>
            <w:t>Contents</w:t>
          </w:r>
        </w:p>
        <w:p w:rsidR="007D096E" w:rsidP="005D510E" w:rsidRDefault="00C8057D" w14:paraId="6D61315D" w14:textId="6F05A5CD">
          <w:pPr>
            <w:pStyle w:val="TOC1"/>
            <w:rPr>
              <w:noProof/>
            </w:rPr>
          </w:pPr>
          <w:r>
            <w:fldChar w:fldCharType="begin"/>
          </w:r>
          <w:r>
            <w:instrText xml:space="preserve"> TOC \o "1-3" \h \z \u </w:instrText>
          </w:r>
          <w:r>
            <w:fldChar w:fldCharType="separate"/>
          </w:r>
          <w:hyperlink w:history="1" w:anchor="_Toc9946250">
            <w:r w:rsidRPr="001C07EE" w:rsidR="007D096E">
              <w:rPr>
                <w:rStyle w:val="Hyperlink"/>
                <w:rFonts w:cstheme="minorHAnsi"/>
                <w:b/>
                <w:noProof/>
              </w:rPr>
              <w:t>1.</w:t>
            </w:r>
            <w:r w:rsidR="007D096E">
              <w:rPr>
                <w:noProof/>
              </w:rPr>
              <w:tab/>
            </w:r>
            <w:r w:rsidRPr="001C07EE" w:rsidR="007D096E">
              <w:rPr>
                <w:rStyle w:val="Hyperlink"/>
                <w:rFonts w:cstheme="minorHAnsi"/>
                <w:b/>
                <w:noProof/>
              </w:rPr>
              <w:t>Circumstances making the collection of information necessary</w:t>
            </w:r>
            <w:r w:rsidR="007D096E">
              <w:rPr>
                <w:noProof/>
                <w:webHidden/>
              </w:rPr>
              <w:tab/>
            </w:r>
            <w:r w:rsidR="007D096E">
              <w:rPr>
                <w:noProof/>
                <w:webHidden/>
              </w:rPr>
              <w:fldChar w:fldCharType="begin"/>
            </w:r>
            <w:r w:rsidR="007D096E">
              <w:rPr>
                <w:noProof/>
                <w:webHidden/>
              </w:rPr>
              <w:instrText xml:space="preserve"> PAGEREF _Toc9946250 \h </w:instrText>
            </w:r>
            <w:r w:rsidR="007D096E">
              <w:rPr>
                <w:noProof/>
                <w:webHidden/>
              </w:rPr>
            </w:r>
            <w:r w:rsidR="007D096E">
              <w:rPr>
                <w:noProof/>
                <w:webHidden/>
              </w:rPr>
              <w:fldChar w:fldCharType="separate"/>
            </w:r>
            <w:r w:rsidR="000C74A8">
              <w:rPr>
                <w:noProof/>
                <w:webHidden/>
              </w:rPr>
              <w:t>4</w:t>
            </w:r>
            <w:r w:rsidR="007D096E">
              <w:rPr>
                <w:noProof/>
                <w:webHidden/>
              </w:rPr>
              <w:fldChar w:fldCharType="end"/>
            </w:r>
          </w:hyperlink>
        </w:p>
        <w:p w:rsidR="007D096E" w:rsidRDefault="00941054" w14:paraId="44AFAF93" w14:textId="60A90238">
          <w:pPr>
            <w:pStyle w:val="TOC1"/>
            <w:rPr>
              <w:noProof/>
            </w:rPr>
          </w:pPr>
          <w:hyperlink w:history="1" w:anchor="_Toc9946251">
            <w:r w:rsidRPr="001C07EE" w:rsidR="007D096E">
              <w:rPr>
                <w:rStyle w:val="Hyperlink"/>
                <w:rFonts w:cstheme="minorHAnsi"/>
                <w:b/>
                <w:noProof/>
              </w:rPr>
              <w:t>2.</w:t>
            </w:r>
            <w:r w:rsidR="007D096E">
              <w:rPr>
                <w:noProof/>
              </w:rPr>
              <w:tab/>
            </w:r>
            <w:r w:rsidRPr="001C07EE" w:rsidR="007D096E">
              <w:rPr>
                <w:rStyle w:val="Hyperlink"/>
                <w:rFonts w:cstheme="minorHAnsi"/>
                <w:b/>
                <w:noProof/>
              </w:rPr>
              <w:t>Purpose and Use of the Information Collection</w:t>
            </w:r>
            <w:r w:rsidR="007D096E">
              <w:rPr>
                <w:noProof/>
                <w:webHidden/>
              </w:rPr>
              <w:tab/>
            </w:r>
            <w:r w:rsidR="007D096E">
              <w:rPr>
                <w:noProof/>
                <w:webHidden/>
              </w:rPr>
              <w:fldChar w:fldCharType="begin"/>
            </w:r>
            <w:r w:rsidR="007D096E">
              <w:rPr>
                <w:noProof/>
                <w:webHidden/>
              </w:rPr>
              <w:instrText xml:space="preserve"> PAGEREF _Toc9946251 \h </w:instrText>
            </w:r>
            <w:r w:rsidR="007D096E">
              <w:rPr>
                <w:noProof/>
                <w:webHidden/>
              </w:rPr>
            </w:r>
            <w:r w:rsidR="007D096E">
              <w:rPr>
                <w:noProof/>
                <w:webHidden/>
              </w:rPr>
              <w:fldChar w:fldCharType="separate"/>
            </w:r>
            <w:r w:rsidR="000C74A8">
              <w:rPr>
                <w:noProof/>
                <w:webHidden/>
              </w:rPr>
              <w:t>4</w:t>
            </w:r>
            <w:r w:rsidR="007D096E">
              <w:rPr>
                <w:noProof/>
                <w:webHidden/>
              </w:rPr>
              <w:fldChar w:fldCharType="end"/>
            </w:r>
          </w:hyperlink>
        </w:p>
        <w:p w:rsidR="007D096E" w:rsidP="005D510E" w:rsidRDefault="00941054" w14:paraId="22EF7EBC" w14:textId="02EB8024">
          <w:pPr>
            <w:pStyle w:val="TOC1"/>
            <w:rPr>
              <w:noProof/>
            </w:rPr>
          </w:pPr>
          <w:hyperlink w:history="1" w:anchor="_Toc9946252">
            <w:r w:rsidRPr="001C07EE" w:rsidR="007D096E">
              <w:rPr>
                <w:rStyle w:val="Hyperlink"/>
                <w:rFonts w:cstheme="minorHAnsi"/>
                <w:b/>
                <w:noProof/>
              </w:rPr>
              <w:t>3.</w:t>
            </w:r>
            <w:r w:rsidR="007D096E">
              <w:rPr>
                <w:noProof/>
              </w:rPr>
              <w:tab/>
            </w:r>
            <w:r w:rsidRPr="001C07EE" w:rsidR="007D096E">
              <w:rPr>
                <w:rStyle w:val="Hyperlink"/>
                <w:rFonts w:cstheme="minorHAnsi"/>
                <w:b/>
                <w:noProof/>
              </w:rPr>
              <w:t>Use of Improved Information Technology and Burden Reduction</w:t>
            </w:r>
            <w:r w:rsidR="007D096E">
              <w:rPr>
                <w:noProof/>
                <w:webHidden/>
              </w:rPr>
              <w:tab/>
            </w:r>
            <w:r w:rsidR="007D096E">
              <w:rPr>
                <w:noProof/>
                <w:webHidden/>
              </w:rPr>
              <w:fldChar w:fldCharType="begin"/>
            </w:r>
            <w:r w:rsidR="007D096E">
              <w:rPr>
                <w:noProof/>
                <w:webHidden/>
              </w:rPr>
              <w:instrText xml:space="preserve"> PAGEREF _Toc9946252 \h </w:instrText>
            </w:r>
            <w:r w:rsidR="007D096E">
              <w:rPr>
                <w:noProof/>
                <w:webHidden/>
              </w:rPr>
            </w:r>
            <w:r w:rsidR="007D096E">
              <w:rPr>
                <w:noProof/>
                <w:webHidden/>
              </w:rPr>
              <w:fldChar w:fldCharType="separate"/>
            </w:r>
            <w:r w:rsidR="000C74A8">
              <w:rPr>
                <w:noProof/>
                <w:webHidden/>
              </w:rPr>
              <w:t>5</w:t>
            </w:r>
            <w:r w:rsidR="007D096E">
              <w:rPr>
                <w:noProof/>
                <w:webHidden/>
              </w:rPr>
              <w:fldChar w:fldCharType="end"/>
            </w:r>
          </w:hyperlink>
        </w:p>
        <w:p w:rsidR="007D096E" w:rsidP="005D510E" w:rsidRDefault="00941054" w14:paraId="58DDAE17" w14:textId="73CCA1E4">
          <w:pPr>
            <w:pStyle w:val="TOC1"/>
            <w:rPr>
              <w:noProof/>
            </w:rPr>
          </w:pPr>
          <w:hyperlink w:history="1" w:anchor="_Toc9946253">
            <w:r w:rsidRPr="001C07EE" w:rsidR="007D096E">
              <w:rPr>
                <w:rStyle w:val="Hyperlink"/>
                <w:rFonts w:cstheme="minorHAnsi"/>
                <w:b/>
                <w:noProof/>
              </w:rPr>
              <w:t>4.</w:t>
            </w:r>
            <w:r w:rsidR="007D096E">
              <w:rPr>
                <w:noProof/>
              </w:rPr>
              <w:tab/>
            </w:r>
            <w:r w:rsidRPr="001C07EE" w:rsidR="007D096E">
              <w:rPr>
                <w:rStyle w:val="Hyperlink"/>
                <w:rFonts w:cstheme="minorHAnsi"/>
                <w:b/>
                <w:noProof/>
              </w:rPr>
              <w:t>Efforts to Identify Duplication and Use of Similar Information</w:t>
            </w:r>
            <w:r w:rsidR="007D096E">
              <w:rPr>
                <w:noProof/>
                <w:webHidden/>
              </w:rPr>
              <w:tab/>
            </w:r>
            <w:r w:rsidR="007D096E">
              <w:rPr>
                <w:noProof/>
                <w:webHidden/>
              </w:rPr>
              <w:fldChar w:fldCharType="begin"/>
            </w:r>
            <w:r w:rsidR="007D096E">
              <w:rPr>
                <w:noProof/>
                <w:webHidden/>
              </w:rPr>
              <w:instrText xml:space="preserve"> PAGEREF _Toc9946253 \h </w:instrText>
            </w:r>
            <w:r w:rsidR="007D096E">
              <w:rPr>
                <w:noProof/>
                <w:webHidden/>
              </w:rPr>
            </w:r>
            <w:r w:rsidR="007D096E">
              <w:rPr>
                <w:noProof/>
                <w:webHidden/>
              </w:rPr>
              <w:fldChar w:fldCharType="separate"/>
            </w:r>
            <w:r w:rsidR="000C74A8">
              <w:rPr>
                <w:noProof/>
                <w:webHidden/>
              </w:rPr>
              <w:t>5</w:t>
            </w:r>
            <w:r w:rsidR="007D096E">
              <w:rPr>
                <w:noProof/>
                <w:webHidden/>
              </w:rPr>
              <w:fldChar w:fldCharType="end"/>
            </w:r>
          </w:hyperlink>
        </w:p>
        <w:p w:rsidR="007D096E" w:rsidP="005D510E" w:rsidRDefault="00941054" w14:paraId="4B6C803F" w14:textId="703F8BEA">
          <w:pPr>
            <w:pStyle w:val="TOC1"/>
            <w:rPr>
              <w:noProof/>
            </w:rPr>
          </w:pPr>
          <w:hyperlink w:history="1" w:anchor="_Toc9946254">
            <w:r w:rsidRPr="001C07EE" w:rsidR="007D096E">
              <w:rPr>
                <w:rStyle w:val="Hyperlink"/>
                <w:rFonts w:cstheme="minorHAnsi"/>
                <w:b/>
                <w:noProof/>
              </w:rPr>
              <w:t>5.</w:t>
            </w:r>
            <w:r w:rsidR="007D096E">
              <w:rPr>
                <w:noProof/>
              </w:rPr>
              <w:tab/>
            </w:r>
            <w:r w:rsidRPr="001C07EE" w:rsidR="007D096E">
              <w:rPr>
                <w:rStyle w:val="Hyperlink"/>
                <w:rFonts w:cstheme="minorHAnsi"/>
                <w:b/>
                <w:noProof/>
              </w:rPr>
              <w:t>Impact on small Businesses or other small entities</w:t>
            </w:r>
            <w:r w:rsidR="007D096E">
              <w:rPr>
                <w:noProof/>
                <w:webHidden/>
              </w:rPr>
              <w:tab/>
            </w:r>
            <w:r w:rsidR="007D096E">
              <w:rPr>
                <w:noProof/>
                <w:webHidden/>
              </w:rPr>
              <w:fldChar w:fldCharType="begin"/>
            </w:r>
            <w:r w:rsidR="007D096E">
              <w:rPr>
                <w:noProof/>
                <w:webHidden/>
              </w:rPr>
              <w:instrText xml:space="preserve"> PAGEREF _Toc9946254 \h </w:instrText>
            </w:r>
            <w:r w:rsidR="007D096E">
              <w:rPr>
                <w:noProof/>
                <w:webHidden/>
              </w:rPr>
            </w:r>
            <w:r w:rsidR="007D096E">
              <w:rPr>
                <w:noProof/>
                <w:webHidden/>
              </w:rPr>
              <w:fldChar w:fldCharType="separate"/>
            </w:r>
            <w:r w:rsidR="000C74A8">
              <w:rPr>
                <w:noProof/>
                <w:webHidden/>
              </w:rPr>
              <w:t>5</w:t>
            </w:r>
            <w:r w:rsidR="007D096E">
              <w:rPr>
                <w:noProof/>
                <w:webHidden/>
              </w:rPr>
              <w:fldChar w:fldCharType="end"/>
            </w:r>
          </w:hyperlink>
        </w:p>
        <w:p w:rsidR="007D096E" w:rsidRDefault="00941054" w14:paraId="1C80CD33" w14:textId="4EC716FA">
          <w:pPr>
            <w:pStyle w:val="TOC1"/>
            <w:rPr>
              <w:noProof/>
            </w:rPr>
          </w:pPr>
          <w:hyperlink w:history="1" w:anchor="_Toc9946255">
            <w:r w:rsidRPr="001C07EE" w:rsidR="007D096E">
              <w:rPr>
                <w:rStyle w:val="Hyperlink"/>
                <w:rFonts w:cstheme="minorHAnsi"/>
                <w:b/>
                <w:noProof/>
              </w:rPr>
              <w:t>6.</w:t>
            </w:r>
            <w:r w:rsidR="007D096E">
              <w:rPr>
                <w:noProof/>
              </w:rPr>
              <w:tab/>
            </w:r>
            <w:r w:rsidRPr="001C07EE" w:rsidR="007D096E">
              <w:rPr>
                <w:rStyle w:val="Hyperlink"/>
                <w:rFonts w:cstheme="minorHAnsi"/>
                <w:b/>
                <w:noProof/>
              </w:rPr>
              <w:t>Consequences of collecting the information less frequently</w:t>
            </w:r>
            <w:r w:rsidR="007D096E">
              <w:rPr>
                <w:noProof/>
                <w:webHidden/>
              </w:rPr>
              <w:tab/>
            </w:r>
            <w:r w:rsidR="007D096E">
              <w:rPr>
                <w:noProof/>
                <w:webHidden/>
              </w:rPr>
              <w:fldChar w:fldCharType="begin"/>
            </w:r>
            <w:r w:rsidR="007D096E">
              <w:rPr>
                <w:noProof/>
                <w:webHidden/>
              </w:rPr>
              <w:instrText xml:space="preserve"> PAGEREF _Toc9946255 \h </w:instrText>
            </w:r>
            <w:r w:rsidR="007D096E">
              <w:rPr>
                <w:noProof/>
                <w:webHidden/>
              </w:rPr>
            </w:r>
            <w:r w:rsidR="007D096E">
              <w:rPr>
                <w:noProof/>
                <w:webHidden/>
              </w:rPr>
              <w:fldChar w:fldCharType="separate"/>
            </w:r>
            <w:r w:rsidR="000C74A8">
              <w:rPr>
                <w:noProof/>
                <w:webHidden/>
              </w:rPr>
              <w:t>5</w:t>
            </w:r>
            <w:r w:rsidR="007D096E">
              <w:rPr>
                <w:noProof/>
                <w:webHidden/>
              </w:rPr>
              <w:fldChar w:fldCharType="end"/>
            </w:r>
          </w:hyperlink>
        </w:p>
        <w:p w:rsidR="007D096E" w:rsidRDefault="00941054" w14:paraId="144CEEFA" w14:textId="46C95F98">
          <w:pPr>
            <w:pStyle w:val="TOC1"/>
            <w:rPr>
              <w:noProof/>
            </w:rPr>
          </w:pPr>
          <w:hyperlink w:history="1" w:anchor="_Toc9946256">
            <w:r w:rsidRPr="001C07EE" w:rsidR="007D096E">
              <w:rPr>
                <w:rStyle w:val="Hyperlink"/>
                <w:rFonts w:cstheme="minorHAnsi"/>
                <w:b/>
                <w:noProof/>
              </w:rPr>
              <w:t>7.</w:t>
            </w:r>
            <w:r w:rsidR="007D096E">
              <w:rPr>
                <w:noProof/>
              </w:rPr>
              <w:tab/>
            </w:r>
            <w:r w:rsidRPr="001C07EE" w:rsidR="007D096E">
              <w:rPr>
                <w:rStyle w:val="Hyperlink"/>
                <w:rFonts w:cstheme="minorHAnsi"/>
                <w:b/>
                <w:noProof/>
              </w:rPr>
              <w:t>Special Circumstances Relating to the Guidance of 5 CFR1320.5</w:t>
            </w:r>
            <w:r w:rsidR="007D096E">
              <w:rPr>
                <w:noProof/>
                <w:webHidden/>
              </w:rPr>
              <w:tab/>
            </w:r>
            <w:r w:rsidR="007D096E">
              <w:rPr>
                <w:noProof/>
                <w:webHidden/>
              </w:rPr>
              <w:fldChar w:fldCharType="begin"/>
            </w:r>
            <w:r w:rsidR="007D096E">
              <w:rPr>
                <w:noProof/>
                <w:webHidden/>
              </w:rPr>
              <w:instrText xml:space="preserve"> PAGEREF _Toc9946256 \h </w:instrText>
            </w:r>
            <w:r w:rsidR="007D096E">
              <w:rPr>
                <w:noProof/>
                <w:webHidden/>
              </w:rPr>
            </w:r>
            <w:r w:rsidR="007D096E">
              <w:rPr>
                <w:noProof/>
                <w:webHidden/>
              </w:rPr>
              <w:fldChar w:fldCharType="separate"/>
            </w:r>
            <w:r w:rsidR="000C74A8">
              <w:rPr>
                <w:noProof/>
                <w:webHidden/>
              </w:rPr>
              <w:t>5</w:t>
            </w:r>
            <w:r w:rsidR="007D096E">
              <w:rPr>
                <w:noProof/>
                <w:webHidden/>
              </w:rPr>
              <w:fldChar w:fldCharType="end"/>
            </w:r>
          </w:hyperlink>
        </w:p>
        <w:p w:rsidR="007D096E" w:rsidRDefault="00941054" w14:paraId="6678B14E" w14:textId="36651DD7">
          <w:pPr>
            <w:pStyle w:val="TOC1"/>
            <w:rPr>
              <w:noProof/>
            </w:rPr>
          </w:pPr>
          <w:hyperlink w:history="1" w:anchor="_Toc9946257">
            <w:r w:rsidRPr="001C07EE" w:rsidR="007D096E">
              <w:rPr>
                <w:rStyle w:val="Hyperlink"/>
                <w:rFonts w:cstheme="minorHAnsi"/>
                <w:b/>
                <w:bCs/>
                <w:noProof/>
              </w:rPr>
              <w:t>8.</w:t>
            </w:r>
            <w:r w:rsidR="007D096E">
              <w:rPr>
                <w:noProof/>
              </w:rPr>
              <w:tab/>
            </w:r>
            <w:r w:rsidRPr="001C07EE" w:rsidR="007D096E">
              <w:rPr>
                <w:rStyle w:val="Hyperlink"/>
                <w:rFonts w:cstheme="minorHAnsi"/>
                <w:b/>
                <w:bCs/>
                <w:noProof/>
              </w:rPr>
              <w:t>Comments in Response to the Federal Register Notice and Efforts to Consult Outside the Agency</w:t>
            </w:r>
            <w:r w:rsidR="007D096E">
              <w:rPr>
                <w:noProof/>
                <w:webHidden/>
              </w:rPr>
              <w:tab/>
            </w:r>
            <w:r w:rsidR="007D096E">
              <w:rPr>
                <w:noProof/>
                <w:webHidden/>
              </w:rPr>
              <w:fldChar w:fldCharType="begin"/>
            </w:r>
            <w:r w:rsidR="007D096E">
              <w:rPr>
                <w:noProof/>
                <w:webHidden/>
              </w:rPr>
              <w:instrText xml:space="preserve"> PAGEREF _Toc9946257 \h </w:instrText>
            </w:r>
            <w:r w:rsidR="007D096E">
              <w:rPr>
                <w:noProof/>
                <w:webHidden/>
              </w:rPr>
            </w:r>
            <w:r w:rsidR="007D096E">
              <w:rPr>
                <w:noProof/>
                <w:webHidden/>
              </w:rPr>
              <w:fldChar w:fldCharType="separate"/>
            </w:r>
            <w:r w:rsidR="000C74A8">
              <w:rPr>
                <w:noProof/>
                <w:webHidden/>
              </w:rPr>
              <w:t>5</w:t>
            </w:r>
            <w:r w:rsidR="007D096E">
              <w:rPr>
                <w:noProof/>
                <w:webHidden/>
              </w:rPr>
              <w:fldChar w:fldCharType="end"/>
            </w:r>
          </w:hyperlink>
        </w:p>
        <w:p w:rsidR="007D096E" w:rsidP="005D510E" w:rsidRDefault="00941054" w14:paraId="3F36D7ED" w14:textId="60368FDA">
          <w:pPr>
            <w:pStyle w:val="TOC1"/>
            <w:rPr>
              <w:noProof/>
            </w:rPr>
          </w:pPr>
          <w:hyperlink w:history="1" w:anchor="_Toc9946258">
            <w:r w:rsidRPr="001C07EE" w:rsidR="007D096E">
              <w:rPr>
                <w:rStyle w:val="Hyperlink"/>
                <w:rFonts w:cstheme="minorHAnsi"/>
                <w:b/>
                <w:noProof/>
              </w:rPr>
              <w:t>9.</w:t>
            </w:r>
            <w:r w:rsidR="007D096E">
              <w:rPr>
                <w:noProof/>
              </w:rPr>
              <w:tab/>
            </w:r>
            <w:r w:rsidRPr="001C07EE" w:rsidR="007D096E">
              <w:rPr>
                <w:rStyle w:val="Hyperlink"/>
                <w:rFonts w:cstheme="minorHAnsi"/>
                <w:b/>
                <w:noProof/>
              </w:rPr>
              <w:t>Explanation of Any Payment or Gift to Respondents</w:t>
            </w:r>
            <w:r w:rsidR="007D096E">
              <w:rPr>
                <w:noProof/>
                <w:webHidden/>
              </w:rPr>
              <w:tab/>
            </w:r>
            <w:r w:rsidR="007D096E">
              <w:rPr>
                <w:noProof/>
                <w:webHidden/>
              </w:rPr>
              <w:fldChar w:fldCharType="begin"/>
            </w:r>
            <w:r w:rsidR="007D096E">
              <w:rPr>
                <w:noProof/>
                <w:webHidden/>
              </w:rPr>
              <w:instrText xml:space="preserve"> PAGEREF _Toc9946258 \h </w:instrText>
            </w:r>
            <w:r w:rsidR="007D096E">
              <w:rPr>
                <w:noProof/>
                <w:webHidden/>
              </w:rPr>
            </w:r>
            <w:r w:rsidR="007D096E">
              <w:rPr>
                <w:noProof/>
                <w:webHidden/>
              </w:rPr>
              <w:fldChar w:fldCharType="separate"/>
            </w:r>
            <w:r w:rsidR="000C74A8">
              <w:rPr>
                <w:noProof/>
                <w:webHidden/>
              </w:rPr>
              <w:t>5</w:t>
            </w:r>
            <w:r w:rsidR="007D096E">
              <w:rPr>
                <w:noProof/>
                <w:webHidden/>
              </w:rPr>
              <w:fldChar w:fldCharType="end"/>
            </w:r>
          </w:hyperlink>
        </w:p>
        <w:p w:rsidR="007D096E" w:rsidP="005D510E" w:rsidRDefault="00941054" w14:paraId="360669BA" w14:textId="15CE15BC">
          <w:pPr>
            <w:pStyle w:val="TOC1"/>
            <w:rPr>
              <w:noProof/>
            </w:rPr>
          </w:pPr>
          <w:hyperlink w:history="1" w:anchor="_Toc9946259">
            <w:r w:rsidRPr="001C07EE" w:rsidR="007D096E">
              <w:rPr>
                <w:rStyle w:val="Hyperlink"/>
                <w:rFonts w:cstheme="minorHAnsi"/>
                <w:b/>
                <w:bCs/>
                <w:noProof/>
              </w:rPr>
              <w:t>10.</w:t>
            </w:r>
            <w:r w:rsidR="007D096E">
              <w:rPr>
                <w:noProof/>
              </w:rPr>
              <w:tab/>
            </w:r>
            <w:r w:rsidRPr="001C07EE" w:rsidR="007D096E">
              <w:rPr>
                <w:rStyle w:val="Hyperlink"/>
                <w:rFonts w:cstheme="minorHAnsi"/>
                <w:b/>
                <w:noProof/>
              </w:rPr>
              <w:t>Protection of the Privacy and Confidentiality of Information Provided by Respondents</w:t>
            </w:r>
            <w:r w:rsidR="007D096E">
              <w:rPr>
                <w:noProof/>
                <w:webHidden/>
              </w:rPr>
              <w:tab/>
            </w:r>
            <w:r w:rsidR="007D096E">
              <w:rPr>
                <w:noProof/>
                <w:webHidden/>
              </w:rPr>
              <w:fldChar w:fldCharType="begin"/>
            </w:r>
            <w:r w:rsidR="007D096E">
              <w:rPr>
                <w:noProof/>
                <w:webHidden/>
              </w:rPr>
              <w:instrText xml:space="preserve"> PAGEREF _Toc9946259 \h </w:instrText>
            </w:r>
            <w:r w:rsidR="007D096E">
              <w:rPr>
                <w:noProof/>
                <w:webHidden/>
              </w:rPr>
            </w:r>
            <w:r w:rsidR="007D096E">
              <w:rPr>
                <w:noProof/>
                <w:webHidden/>
              </w:rPr>
              <w:fldChar w:fldCharType="separate"/>
            </w:r>
            <w:r w:rsidR="000C74A8">
              <w:rPr>
                <w:noProof/>
                <w:webHidden/>
              </w:rPr>
              <w:t>6</w:t>
            </w:r>
            <w:r w:rsidR="007D096E">
              <w:rPr>
                <w:noProof/>
                <w:webHidden/>
              </w:rPr>
              <w:fldChar w:fldCharType="end"/>
            </w:r>
          </w:hyperlink>
        </w:p>
        <w:p w:rsidR="007D096E" w:rsidP="005D510E" w:rsidRDefault="00941054" w14:paraId="2F12DB1D" w14:textId="0AC303BA">
          <w:pPr>
            <w:pStyle w:val="TOC1"/>
            <w:rPr>
              <w:noProof/>
            </w:rPr>
          </w:pPr>
          <w:hyperlink w:history="1" w:anchor="_Toc9946260">
            <w:r w:rsidRPr="001C07EE" w:rsidR="007D096E">
              <w:rPr>
                <w:rStyle w:val="Hyperlink"/>
                <w:rFonts w:cstheme="minorHAnsi"/>
                <w:b/>
                <w:noProof/>
              </w:rPr>
              <w:t>11.</w:t>
            </w:r>
            <w:r w:rsidR="007D096E">
              <w:rPr>
                <w:noProof/>
              </w:rPr>
              <w:tab/>
            </w:r>
            <w:r w:rsidRPr="001C07EE" w:rsidR="007D096E">
              <w:rPr>
                <w:rStyle w:val="Hyperlink"/>
                <w:rFonts w:cstheme="minorHAnsi"/>
                <w:b/>
                <w:noProof/>
              </w:rPr>
              <w:t>Institutional Review Board (IRB) and Justification for Sensitive Questions</w:t>
            </w:r>
            <w:r w:rsidR="007D096E">
              <w:rPr>
                <w:noProof/>
                <w:webHidden/>
              </w:rPr>
              <w:tab/>
            </w:r>
            <w:r w:rsidR="007D096E">
              <w:rPr>
                <w:noProof/>
                <w:webHidden/>
              </w:rPr>
              <w:fldChar w:fldCharType="begin"/>
            </w:r>
            <w:r w:rsidR="007D096E">
              <w:rPr>
                <w:noProof/>
                <w:webHidden/>
              </w:rPr>
              <w:instrText xml:space="preserve"> PAGEREF _Toc9946260 \h </w:instrText>
            </w:r>
            <w:r w:rsidR="007D096E">
              <w:rPr>
                <w:noProof/>
                <w:webHidden/>
              </w:rPr>
            </w:r>
            <w:r w:rsidR="007D096E">
              <w:rPr>
                <w:noProof/>
                <w:webHidden/>
              </w:rPr>
              <w:fldChar w:fldCharType="separate"/>
            </w:r>
            <w:r w:rsidR="000C74A8">
              <w:rPr>
                <w:noProof/>
                <w:webHidden/>
              </w:rPr>
              <w:t>6</w:t>
            </w:r>
            <w:r w:rsidR="007D096E">
              <w:rPr>
                <w:noProof/>
                <w:webHidden/>
              </w:rPr>
              <w:fldChar w:fldCharType="end"/>
            </w:r>
          </w:hyperlink>
        </w:p>
        <w:p w:rsidR="007D096E" w:rsidP="005D510E" w:rsidRDefault="00941054" w14:paraId="016CB983" w14:textId="28399ABA">
          <w:pPr>
            <w:pStyle w:val="TOC1"/>
            <w:rPr>
              <w:noProof/>
            </w:rPr>
          </w:pPr>
          <w:hyperlink w:history="1" w:anchor="_Toc9946261">
            <w:r w:rsidRPr="001C07EE" w:rsidR="007D096E">
              <w:rPr>
                <w:rStyle w:val="Hyperlink"/>
                <w:rFonts w:cstheme="minorHAnsi"/>
                <w:b/>
                <w:noProof/>
              </w:rPr>
              <w:t>12.</w:t>
            </w:r>
            <w:r w:rsidR="007D096E">
              <w:rPr>
                <w:noProof/>
              </w:rPr>
              <w:tab/>
            </w:r>
            <w:r w:rsidRPr="001C07EE" w:rsidR="007D096E">
              <w:rPr>
                <w:rStyle w:val="Hyperlink"/>
                <w:rFonts w:cstheme="minorHAnsi"/>
                <w:b/>
                <w:noProof/>
              </w:rPr>
              <w:t>Estimate</w:t>
            </w:r>
            <w:r w:rsidR="002E1189">
              <w:rPr>
                <w:rStyle w:val="Hyperlink"/>
                <w:rFonts w:cstheme="minorHAnsi"/>
                <w:b/>
                <w:noProof/>
              </w:rPr>
              <w:t>s</w:t>
            </w:r>
            <w:r w:rsidRPr="001C07EE" w:rsidR="007D096E">
              <w:rPr>
                <w:rStyle w:val="Hyperlink"/>
                <w:rFonts w:cstheme="minorHAnsi"/>
                <w:b/>
                <w:noProof/>
              </w:rPr>
              <w:t xml:space="preserve"> of Annualized Burden Hours and Costs</w:t>
            </w:r>
            <w:r w:rsidR="007D096E">
              <w:rPr>
                <w:noProof/>
                <w:webHidden/>
              </w:rPr>
              <w:tab/>
            </w:r>
            <w:r w:rsidR="007D096E">
              <w:rPr>
                <w:noProof/>
                <w:webHidden/>
              </w:rPr>
              <w:fldChar w:fldCharType="begin"/>
            </w:r>
            <w:r w:rsidR="007D096E">
              <w:rPr>
                <w:noProof/>
                <w:webHidden/>
              </w:rPr>
              <w:instrText xml:space="preserve"> PAGEREF _Toc9946261 \h </w:instrText>
            </w:r>
            <w:r w:rsidR="007D096E">
              <w:rPr>
                <w:noProof/>
                <w:webHidden/>
              </w:rPr>
            </w:r>
            <w:r w:rsidR="007D096E">
              <w:rPr>
                <w:noProof/>
                <w:webHidden/>
              </w:rPr>
              <w:fldChar w:fldCharType="separate"/>
            </w:r>
            <w:r w:rsidR="000C74A8">
              <w:rPr>
                <w:noProof/>
                <w:webHidden/>
              </w:rPr>
              <w:t>6</w:t>
            </w:r>
            <w:r w:rsidR="007D096E">
              <w:rPr>
                <w:noProof/>
                <w:webHidden/>
              </w:rPr>
              <w:fldChar w:fldCharType="end"/>
            </w:r>
          </w:hyperlink>
        </w:p>
        <w:p w:rsidR="007D096E" w:rsidP="005D510E" w:rsidRDefault="00941054" w14:paraId="43157F20" w14:textId="12A7E32E">
          <w:pPr>
            <w:pStyle w:val="TOC1"/>
            <w:rPr>
              <w:noProof/>
            </w:rPr>
          </w:pPr>
          <w:hyperlink w:history="1" w:anchor="_Toc9946262">
            <w:r w:rsidRPr="001C07EE" w:rsidR="007D096E">
              <w:rPr>
                <w:rStyle w:val="Hyperlink"/>
                <w:rFonts w:cstheme="minorHAnsi"/>
                <w:b/>
                <w:noProof/>
              </w:rPr>
              <w:t>13.</w:t>
            </w:r>
            <w:r w:rsidR="007D096E">
              <w:rPr>
                <w:noProof/>
              </w:rPr>
              <w:tab/>
            </w:r>
            <w:r w:rsidRPr="001C07EE" w:rsidR="007D096E">
              <w:rPr>
                <w:rStyle w:val="Hyperlink"/>
                <w:rFonts w:cstheme="minorHAnsi"/>
                <w:b/>
                <w:noProof/>
              </w:rPr>
              <w:t>Estimates of Other Total Annual Cost Burden to Respondents and Record Keeping</w:t>
            </w:r>
            <w:r w:rsidR="007D096E">
              <w:rPr>
                <w:noProof/>
                <w:webHidden/>
              </w:rPr>
              <w:tab/>
            </w:r>
            <w:r w:rsidR="007D096E">
              <w:rPr>
                <w:noProof/>
                <w:webHidden/>
              </w:rPr>
              <w:fldChar w:fldCharType="begin"/>
            </w:r>
            <w:r w:rsidR="007D096E">
              <w:rPr>
                <w:noProof/>
                <w:webHidden/>
              </w:rPr>
              <w:instrText xml:space="preserve"> PAGEREF _Toc9946262 \h </w:instrText>
            </w:r>
            <w:r w:rsidR="007D096E">
              <w:rPr>
                <w:noProof/>
                <w:webHidden/>
              </w:rPr>
            </w:r>
            <w:r w:rsidR="007D096E">
              <w:rPr>
                <w:noProof/>
                <w:webHidden/>
              </w:rPr>
              <w:fldChar w:fldCharType="separate"/>
            </w:r>
            <w:r w:rsidR="000C74A8">
              <w:rPr>
                <w:noProof/>
                <w:webHidden/>
              </w:rPr>
              <w:t>7</w:t>
            </w:r>
            <w:r w:rsidR="007D096E">
              <w:rPr>
                <w:noProof/>
                <w:webHidden/>
              </w:rPr>
              <w:fldChar w:fldCharType="end"/>
            </w:r>
          </w:hyperlink>
        </w:p>
        <w:p w:rsidR="007D096E" w:rsidP="005D510E" w:rsidRDefault="00941054" w14:paraId="2ABAD2BB" w14:textId="2EB29C13">
          <w:pPr>
            <w:pStyle w:val="TOC1"/>
            <w:rPr>
              <w:noProof/>
            </w:rPr>
          </w:pPr>
          <w:hyperlink w:history="1" w:anchor="_Toc9946263">
            <w:r w:rsidRPr="001C07EE" w:rsidR="007D096E">
              <w:rPr>
                <w:rStyle w:val="Hyperlink"/>
                <w:rFonts w:cstheme="minorHAnsi"/>
                <w:b/>
                <w:noProof/>
              </w:rPr>
              <w:t>14.</w:t>
            </w:r>
            <w:r w:rsidR="007D096E">
              <w:rPr>
                <w:noProof/>
              </w:rPr>
              <w:tab/>
            </w:r>
            <w:r w:rsidRPr="001C07EE" w:rsidR="007D096E">
              <w:rPr>
                <w:rStyle w:val="Hyperlink"/>
                <w:rFonts w:cstheme="minorHAnsi"/>
                <w:b/>
                <w:noProof/>
              </w:rPr>
              <w:t>Annualized Cost to the Government</w:t>
            </w:r>
            <w:r w:rsidR="007D096E">
              <w:rPr>
                <w:noProof/>
                <w:webHidden/>
              </w:rPr>
              <w:tab/>
            </w:r>
            <w:r w:rsidR="007D096E">
              <w:rPr>
                <w:noProof/>
                <w:webHidden/>
              </w:rPr>
              <w:fldChar w:fldCharType="begin"/>
            </w:r>
            <w:r w:rsidR="007D096E">
              <w:rPr>
                <w:noProof/>
                <w:webHidden/>
              </w:rPr>
              <w:instrText xml:space="preserve"> PAGEREF _Toc9946263 \h </w:instrText>
            </w:r>
            <w:r w:rsidR="007D096E">
              <w:rPr>
                <w:noProof/>
                <w:webHidden/>
              </w:rPr>
            </w:r>
            <w:r w:rsidR="007D096E">
              <w:rPr>
                <w:noProof/>
                <w:webHidden/>
              </w:rPr>
              <w:fldChar w:fldCharType="separate"/>
            </w:r>
            <w:r w:rsidR="000C74A8">
              <w:rPr>
                <w:noProof/>
                <w:webHidden/>
              </w:rPr>
              <w:t>7</w:t>
            </w:r>
            <w:r w:rsidR="007D096E">
              <w:rPr>
                <w:noProof/>
                <w:webHidden/>
              </w:rPr>
              <w:fldChar w:fldCharType="end"/>
            </w:r>
          </w:hyperlink>
        </w:p>
        <w:p w:rsidR="007D096E" w:rsidP="004C1DFD" w:rsidRDefault="00941054" w14:paraId="5C3328A6" w14:textId="44F1A710">
          <w:pPr>
            <w:pStyle w:val="TOC1"/>
            <w:rPr>
              <w:noProof/>
            </w:rPr>
          </w:pPr>
          <w:hyperlink w:history="1" w:anchor="_Toc9946264">
            <w:r w:rsidRPr="001C07EE" w:rsidR="007D096E">
              <w:rPr>
                <w:rStyle w:val="Hyperlink"/>
                <w:rFonts w:cstheme="minorHAnsi"/>
                <w:b/>
                <w:noProof/>
              </w:rPr>
              <w:t>15.</w:t>
            </w:r>
            <w:r w:rsidR="007D096E">
              <w:rPr>
                <w:noProof/>
              </w:rPr>
              <w:tab/>
            </w:r>
            <w:r w:rsidRPr="001C07EE" w:rsidR="007D096E">
              <w:rPr>
                <w:rStyle w:val="Hyperlink"/>
                <w:rFonts w:cstheme="minorHAnsi"/>
                <w:b/>
                <w:noProof/>
              </w:rPr>
              <w:t>Explanation for Program Changes or Adjustments</w:t>
            </w:r>
            <w:r w:rsidR="007D096E">
              <w:rPr>
                <w:noProof/>
                <w:webHidden/>
              </w:rPr>
              <w:tab/>
            </w:r>
            <w:r w:rsidR="007D096E">
              <w:rPr>
                <w:noProof/>
                <w:webHidden/>
              </w:rPr>
              <w:fldChar w:fldCharType="begin"/>
            </w:r>
            <w:r w:rsidR="007D096E">
              <w:rPr>
                <w:noProof/>
                <w:webHidden/>
              </w:rPr>
              <w:instrText xml:space="preserve"> PAGEREF _Toc9946264 \h </w:instrText>
            </w:r>
            <w:r w:rsidR="007D096E">
              <w:rPr>
                <w:noProof/>
                <w:webHidden/>
              </w:rPr>
            </w:r>
            <w:r w:rsidR="007D096E">
              <w:rPr>
                <w:noProof/>
                <w:webHidden/>
              </w:rPr>
              <w:fldChar w:fldCharType="separate"/>
            </w:r>
            <w:r w:rsidR="000C74A8">
              <w:rPr>
                <w:noProof/>
                <w:webHidden/>
              </w:rPr>
              <w:t>7</w:t>
            </w:r>
            <w:r w:rsidR="007D096E">
              <w:rPr>
                <w:noProof/>
                <w:webHidden/>
              </w:rPr>
              <w:fldChar w:fldCharType="end"/>
            </w:r>
          </w:hyperlink>
        </w:p>
        <w:p w:rsidR="007D096E" w:rsidP="004C1DFD" w:rsidRDefault="00941054" w14:paraId="31AB448B" w14:textId="05A2F452">
          <w:pPr>
            <w:pStyle w:val="TOC1"/>
            <w:rPr>
              <w:noProof/>
            </w:rPr>
          </w:pPr>
          <w:hyperlink w:history="1" w:anchor="_Toc9946265">
            <w:r w:rsidRPr="001C07EE" w:rsidR="007D096E">
              <w:rPr>
                <w:rStyle w:val="Hyperlink"/>
                <w:rFonts w:cstheme="minorHAnsi"/>
                <w:b/>
                <w:noProof/>
              </w:rPr>
              <w:t>16.</w:t>
            </w:r>
            <w:r w:rsidR="007D096E">
              <w:rPr>
                <w:noProof/>
              </w:rPr>
              <w:tab/>
            </w:r>
            <w:r w:rsidRPr="001C07EE" w:rsidR="007D096E">
              <w:rPr>
                <w:rStyle w:val="Hyperlink"/>
                <w:rFonts w:cstheme="minorHAnsi"/>
                <w:b/>
                <w:noProof/>
              </w:rPr>
              <w:t>Plans for Tabulation and Publication and Project Time Schedule</w:t>
            </w:r>
            <w:r w:rsidR="007D096E">
              <w:rPr>
                <w:noProof/>
                <w:webHidden/>
              </w:rPr>
              <w:tab/>
            </w:r>
            <w:r w:rsidR="007D096E">
              <w:rPr>
                <w:noProof/>
                <w:webHidden/>
              </w:rPr>
              <w:fldChar w:fldCharType="begin"/>
            </w:r>
            <w:r w:rsidR="007D096E">
              <w:rPr>
                <w:noProof/>
                <w:webHidden/>
              </w:rPr>
              <w:instrText xml:space="preserve"> PAGEREF _Toc9946265 \h </w:instrText>
            </w:r>
            <w:r w:rsidR="007D096E">
              <w:rPr>
                <w:noProof/>
                <w:webHidden/>
              </w:rPr>
            </w:r>
            <w:r w:rsidR="007D096E">
              <w:rPr>
                <w:noProof/>
                <w:webHidden/>
              </w:rPr>
              <w:fldChar w:fldCharType="separate"/>
            </w:r>
            <w:r w:rsidR="000C74A8">
              <w:rPr>
                <w:noProof/>
                <w:webHidden/>
              </w:rPr>
              <w:t>7</w:t>
            </w:r>
            <w:r w:rsidR="007D096E">
              <w:rPr>
                <w:noProof/>
                <w:webHidden/>
              </w:rPr>
              <w:fldChar w:fldCharType="end"/>
            </w:r>
          </w:hyperlink>
        </w:p>
        <w:p w:rsidR="007D096E" w:rsidP="005D510E" w:rsidRDefault="00941054" w14:paraId="127152FA" w14:textId="0F4986EF">
          <w:pPr>
            <w:pStyle w:val="TOC1"/>
            <w:rPr>
              <w:noProof/>
            </w:rPr>
          </w:pPr>
          <w:hyperlink w:history="1" w:anchor="_Toc9946266">
            <w:r w:rsidRPr="001C07EE" w:rsidR="007D096E">
              <w:rPr>
                <w:rStyle w:val="Hyperlink"/>
                <w:rFonts w:cstheme="minorHAnsi"/>
                <w:b/>
                <w:noProof/>
              </w:rPr>
              <w:t>17.</w:t>
            </w:r>
            <w:r w:rsidR="007D096E">
              <w:rPr>
                <w:noProof/>
              </w:rPr>
              <w:tab/>
            </w:r>
            <w:r w:rsidRPr="001C07EE" w:rsidR="007D096E">
              <w:rPr>
                <w:rStyle w:val="Hyperlink"/>
                <w:rFonts w:cstheme="minorHAnsi"/>
                <w:b/>
                <w:noProof/>
              </w:rPr>
              <w:t>Reason(s) Display of OMB Expiration Date is Inappropriate</w:t>
            </w:r>
            <w:r w:rsidR="007D096E">
              <w:rPr>
                <w:noProof/>
                <w:webHidden/>
              </w:rPr>
              <w:tab/>
            </w:r>
            <w:r w:rsidR="007D096E">
              <w:rPr>
                <w:noProof/>
                <w:webHidden/>
              </w:rPr>
              <w:fldChar w:fldCharType="begin"/>
            </w:r>
            <w:r w:rsidR="007D096E">
              <w:rPr>
                <w:noProof/>
                <w:webHidden/>
              </w:rPr>
              <w:instrText xml:space="preserve"> PAGEREF _Toc9946266 \h </w:instrText>
            </w:r>
            <w:r w:rsidR="007D096E">
              <w:rPr>
                <w:noProof/>
                <w:webHidden/>
              </w:rPr>
            </w:r>
            <w:r w:rsidR="007D096E">
              <w:rPr>
                <w:noProof/>
                <w:webHidden/>
              </w:rPr>
              <w:fldChar w:fldCharType="separate"/>
            </w:r>
            <w:r w:rsidR="000C74A8">
              <w:rPr>
                <w:noProof/>
                <w:webHidden/>
              </w:rPr>
              <w:t>8</w:t>
            </w:r>
            <w:r w:rsidR="007D096E">
              <w:rPr>
                <w:noProof/>
                <w:webHidden/>
              </w:rPr>
              <w:fldChar w:fldCharType="end"/>
            </w:r>
          </w:hyperlink>
        </w:p>
        <w:p w:rsidR="007D096E" w:rsidP="005D510E" w:rsidRDefault="00941054" w14:paraId="2089096E" w14:textId="2370AB58">
          <w:pPr>
            <w:pStyle w:val="TOC1"/>
            <w:rPr>
              <w:noProof/>
            </w:rPr>
          </w:pPr>
          <w:hyperlink w:history="1" w:anchor="_Toc9946267">
            <w:r w:rsidRPr="001C07EE" w:rsidR="007D096E">
              <w:rPr>
                <w:rStyle w:val="Hyperlink"/>
                <w:rFonts w:cstheme="minorHAnsi"/>
                <w:b/>
                <w:noProof/>
              </w:rPr>
              <w:t>18.</w:t>
            </w:r>
            <w:r w:rsidR="007D096E">
              <w:rPr>
                <w:noProof/>
              </w:rPr>
              <w:tab/>
            </w:r>
            <w:r w:rsidRPr="001C07EE" w:rsidR="007D096E">
              <w:rPr>
                <w:rStyle w:val="Hyperlink"/>
                <w:rFonts w:cstheme="minorHAnsi"/>
                <w:b/>
                <w:noProof/>
              </w:rPr>
              <w:t>Exceptions to Certification for Paperwork Reduction Act Submissions</w:t>
            </w:r>
            <w:r w:rsidR="007D096E">
              <w:rPr>
                <w:noProof/>
                <w:webHidden/>
              </w:rPr>
              <w:tab/>
            </w:r>
            <w:r w:rsidR="007D096E">
              <w:rPr>
                <w:noProof/>
                <w:webHidden/>
              </w:rPr>
              <w:fldChar w:fldCharType="begin"/>
            </w:r>
            <w:r w:rsidR="007D096E">
              <w:rPr>
                <w:noProof/>
                <w:webHidden/>
              </w:rPr>
              <w:instrText xml:space="preserve"> PAGEREF _Toc9946267 \h </w:instrText>
            </w:r>
            <w:r w:rsidR="007D096E">
              <w:rPr>
                <w:noProof/>
                <w:webHidden/>
              </w:rPr>
            </w:r>
            <w:r w:rsidR="007D096E">
              <w:rPr>
                <w:noProof/>
                <w:webHidden/>
              </w:rPr>
              <w:fldChar w:fldCharType="separate"/>
            </w:r>
            <w:r w:rsidR="000C74A8">
              <w:rPr>
                <w:noProof/>
                <w:webHidden/>
              </w:rPr>
              <w:t>8</w:t>
            </w:r>
            <w:r w:rsidR="007D096E">
              <w:rPr>
                <w:noProof/>
                <w:webHidden/>
              </w:rPr>
              <w:fldChar w:fldCharType="end"/>
            </w:r>
          </w:hyperlink>
        </w:p>
        <w:p w:rsidR="00C8057D" w:rsidRDefault="00C8057D" w14:paraId="443B74D0" w14:textId="7A998370">
          <w:r>
            <w:rPr>
              <w:b/>
              <w:bCs/>
              <w:noProof/>
            </w:rPr>
            <w:fldChar w:fldCharType="end"/>
          </w:r>
        </w:p>
      </w:sdtContent>
    </w:sdt>
    <w:p w:rsidR="00C8057D" w:rsidRDefault="00C8057D" w14:paraId="37FD1DB7" w14:textId="77777777">
      <w:pPr>
        <w:rPr>
          <w:b/>
        </w:rPr>
      </w:pPr>
    </w:p>
    <w:p w:rsidR="00C8057D" w:rsidRDefault="00C8057D" w14:paraId="0469BA45" w14:textId="77777777">
      <w:pPr>
        <w:rPr>
          <w:b/>
        </w:rPr>
      </w:pPr>
    </w:p>
    <w:p w:rsidR="0054270B" w:rsidRDefault="00C8057D" w14:paraId="671B92CD" w14:textId="77777777">
      <w:pPr>
        <w:rPr>
          <w:b/>
        </w:rPr>
      </w:pPr>
      <w:r>
        <w:rPr>
          <w:b/>
        </w:rPr>
        <w:br w:type="page"/>
      </w:r>
    </w:p>
    <w:p w:rsidR="0054270B" w:rsidRDefault="0054270B" w14:paraId="27DBA2FB" w14:textId="77777777">
      <w:pPr>
        <w:rPr>
          <w:b/>
        </w:rPr>
      </w:pPr>
      <w:r>
        <w:rPr>
          <w:b/>
        </w:rPr>
        <w:lastRenderedPageBreak/>
        <w:t xml:space="preserve">List of Attachments </w:t>
      </w:r>
    </w:p>
    <w:p w:rsidR="00036A0F" w:rsidP="0054270B" w:rsidRDefault="00036A0F" w14:paraId="30084F3A" w14:textId="77777777">
      <w:pPr>
        <w:pStyle w:val="ListParagraph"/>
        <w:numPr>
          <w:ilvl w:val="0"/>
          <w:numId w:val="16"/>
        </w:numPr>
      </w:pPr>
      <w:r>
        <w:t>Authorizing Act</w:t>
      </w:r>
    </w:p>
    <w:p w:rsidR="0054270B" w:rsidP="0054270B" w:rsidRDefault="0054270B" w14:paraId="49D427F4" w14:textId="77777777">
      <w:pPr>
        <w:pStyle w:val="ListParagraph"/>
        <w:numPr>
          <w:ilvl w:val="0"/>
          <w:numId w:val="16"/>
        </w:numPr>
      </w:pPr>
      <w:r>
        <w:t xml:space="preserve">Signed </w:t>
      </w:r>
      <w:r w:rsidRPr="0054270B">
        <w:t xml:space="preserve">NIOSH IRB Determination </w:t>
      </w:r>
      <w:r>
        <w:t>Form</w:t>
      </w:r>
    </w:p>
    <w:p w:rsidR="00036A0F" w:rsidP="0054270B" w:rsidRDefault="00036A0F" w14:paraId="6B0DAB35" w14:textId="77777777">
      <w:pPr>
        <w:pStyle w:val="ListParagraph"/>
        <w:numPr>
          <w:ilvl w:val="0"/>
          <w:numId w:val="16"/>
        </w:numPr>
      </w:pPr>
      <w:r>
        <w:t>Focus Group Guide</w:t>
      </w:r>
    </w:p>
    <w:p w:rsidR="00036A0F" w:rsidP="0054270B" w:rsidRDefault="00036A0F" w14:paraId="066DFBDB" w14:textId="77777777">
      <w:pPr>
        <w:pStyle w:val="ListParagraph"/>
        <w:numPr>
          <w:ilvl w:val="0"/>
          <w:numId w:val="16"/>
        </w:numPr>
      </w:pPr>
      <w:r>
        <w:t>Consent Form</w:t>
      </w:r>
    </w:p>
    <w:p w:rsidR="006C501B" w:rsidP="006C501B" w:rsidRDefault="006C501B" w14:paraId="3F0D19CE" w14:textId="77777777">
      <w:pPr>
        <w:pStyle w:val="ListParagraph"/>
      </w:pPr>
    </w:p>
    <w:p w:rsidRPr="0054270B" w:rsidR="0054270B" w:rsidP="0054270B" w:rsidRDefault="0054270B" w14:paraId="74A3CE1F" w14:textId="77777777">
      <w:pPr>
        <w:pStyle w:val="ListParagraph"/>
        <w:numPr>
          <w:ilvl w:val="0"/>
          <w:numId w:val="16"/>
        </w:numPr>
      </w:pPr>
      <w:r w:rsidRPr="0054270B">
        <w:br w:type="page"/>
      </w:r>
    </w:p>
    <w:tbl>
      <w:tblPr>
        <w:tblStyle w:val="TableGrid1"/>
        <w:tblpPr w:leftFromText="180" w:rightFromText="180" w:vertAnchor="text" w:horzAnchor="margin" w:tblpY="-187"/>
        <w:tblW w:w="0" w:type="auto"/>
        <w:tblLook w:val="04A0" w:firstRow="1" w:lastRow="0" w:firstColumn="1" w:lastColumn="0" w:noHBand="0" w:noVBand="1"/>
      </w:tblPr>
      <w:tblGrid>
        <w:gridCol w:w="9350"/>
      </w:tblGrid>
      <w:tr w:rsidRPr="00C35E15" w:rsidR="00C35E15" w:rsidTr="005529EA" w14:paraId="64F9F3D4" w14:textId="77777777">
        <w:tc>
          <w:tcPr>
            <w:tcW w:w="9350" w:type="dxa"/>
          </w:tcPr>
          <w:p w:rsidRPr="004C1DFD" w:rsidR="00C35E15" w:rsidP="004C1DFD" w:rsidRDefault="00C35E15" w14:paraId="4B2776BE" w14:textId="198E6C6A">
            <w:pPr>
              <w:pStyle w:val="ListParagraph"/>
              <w:numPr>
                <w:ilvl w:val="0"/>
                <w:numId w:val="20"/>
              </w:numPr>
              <w:ind w:left="330"/>
              <w:rPr>
                <w:rFonts w:asciiTheme="minorHAnsi" w:hAnsiTheme="minorHAnsi" w:cstheme="minorHAnsi"/>
                <w:sz w:val="22"/>
              </w:rPr>
            </w:pPr>
            <w:r w:rsidRPr="004C1DFD">
              <w:rPr>
                <w:rFonts w:cstheme="minorHAnsi"/>
                <w:b/>
                <w:bCs/>
              </w:rPr>
              <w:lastRenderedPageBreak/>
              <w:t>Goals of the project:</w:t>
            </w:r>
            <w:r w:rsidRPr="004C1DFD">
              <w:rPr>
                <w:rFonts w:cstheme="minorHAnsi"/>
              </w:rPr>
              <w:t xml:space="preserve"> </w:t>
            </w:r>
            <w:r w:rsidRPr="004C1DFD" w:rsidR="00462C9B">
              <w:rPr>
                <w:rFonts w:cstheme="minorHAnsi"/>
              </w:rPr>
              <w:t xml:space="preserve">To </w:t>
            </w:r>
            <w:r w:rsidRPr="004C1DFD" w:rsidR="00036A0F">
              <w:rPr>
                <w:rFonts w:cstheme="minorHAnsi"/>
              </w:rPr>
              <w:t xml:space="preserve">collect preliminary information to inform the </w:t>
            </w:r>
            <w:r w:rsidRPr="004C1DFD" w:rsidR="00462C9B">
              <w:rPr>
                <w:rFonts w:cstheme="minorHAnsi"/>
              </w:rPr>
              <w:t>develop</w:t>
            </w:r>
            <w:r w:rsidRPr="004C1DFD" w:rsidR="00036A0F">
              <w:rPr>
                <w:rFonts w:cstheme="minorHAnsi"/>
              </w:rPr>
              <w:t xml:space="preserve">ment </w:t>
            </w:r>
            <w:r w:rsidRPr="004C1DFD" w:rsidR="00D60A79">
              <w:rPr>
                <w:rFonts w:cstheme="minorHAnsi"/>
              </w:rPr>
              <w:t>of communication</w:t>
            </w:r>
            <w:r w:rsidRPr="004C1DFD" w:rsidR="00462C9B">
              <w:rPr>
                <w:rFonts w:cstheme="minorHAnsi"/>
              </w:rPr>
              <w:t xml:space="preserve"> products to </w:t>
            </w:r>
            <w:r w:rsidRPr="004C1DFD" w:rsidR="00D341E5">
              <w:rPr>
                <w:rFonts w:cstheme="minorHAnsi"/>
              </w:rPr>
              <w:t>reduce work-related injuries among Spanish-speaking construction workers</w:t>
            </w:r>
            <w:r w:rsidRPr="004C1DFD" w:rsidR="00462C9B">
              <w:rPr>
                <w:rFonts w:cstheme="minorHAnsi"/>
              </w:rPr>
              <w:t xml:space="preserve"> </w:t>
            </w:r>
            <w:r w:rsidRPr="004C1DFD">
              <w:rPr>
                <w:rFonts w:cstheme="minorHAnsi"/>
              </w:rPr>
              <w:t xml:space="preserve"> </w:t>
            </w:r>
          </w:p>
          <w:p w:rsidRPr="004C1DFD" w:rsidR="00C35E15" w:rsidP="00C35E15" w:rsidRDefault="00C35E15" w14:paraId="44033E0D" w14:textId="77777777">
            <w:pPr>
              <w:contextualSpacing/>
              <w:jc w:val="both"/>
              <w:rPr>
                <w:rFonts w:eastAsia="Calibri" w:asciiTheme="minorHAnsi" w:hAnsiTheme="minorHAnsi" w:cstheme="minorHAnsi"/>
                <w:sz w:val="22"/>
              </w:rPr>
            </w:pPr>
          </w:p>
          <w:p w:rsidRPr="004C1DFD" w:rsidR="00D341E5" w:rsidP="004C1DFD" w:rsidRDefault="00C35E15" w14:paraId="4B704932" w14:textId="7F696962">
            <w:pPr>
              <w:pStyle w:val="ListParagraph"/>
              <w:numPr>
                <w:ilvl w:val="0"/>
                <w:numId w:val="21"/>
              </w:numPr>
              <w:ind w:left="330"/>
              <w:rPr>
                <w:rFonts w:asciiTheme="minorHAnsi" w:hAnsiTheme="minorHAnsi" w:cstheme="minorHAnsi"/>
                <w:sz w:val="22"/>
              </w:rPr>
            </w:pPr>
            <w:r w:rsidRPr="004C1DFD">
              <w:rPr>
                <w:rFonts w:cstheme="minorHAnsi"/>
                <w:b/>
                <w:bCs/>
              </w:rPr>
              <w:t>Intended use of the resulting data:</w:t>
            </w:r>
            <w:r w:rsidRPr="004C1DFD">
              <w:rPr>
                <w:rFonts w:cstheme="minorHAnsi"/>
              </w:rPr>
              <w:t xml:space="preserve"> </w:t>
            </w:r>
            <w:r w:rsidRPr="004C1DFD" w:rsidR="00462C9B">
              <w:rPr>
                <w:rFonts w:cstheme="minorHAnsi"/>
              </w:rPr>
              <w:t>Internal use to develop communication products</w:t>
            </w:r>
            <w:r w:rsidRPr="004C1DFD" w:rsidR="00EB04EB">
              <w:rPr>
                <w:rFonts w:cstheme="minorHAnsi"/>
              </w:rPr>
              <w:t xml:space="preserve"> </w:t>
            </w:r>
            <w:r w:rsidRPr="004C1DFD" w:rsidR="00D341E5">
              <w:rPr>
                <w:rFonts w:cstheme="minorHAnsi"/>
              </w:rPr>
              <w:t xml:space="preserve">to reduce work-related injuries among Spanish-speaking construction workers  </w:t>
            </w:r>
          </w:p>
          <w:p w:rsidRPr="004C1DFD" w:rsidR="00C35E15" w:rsidP="00C35E15" w:rsidRDefault="00C35E15" w14:paraId="2DB4E027" w14:textId="77777777">
            <w:pPr>
              <w:contextualSpacing/>
              <w:jc w:val="both"/>
              <w:rPr>
                <w:rFonts w:eastAsia="Calibri" w:asciiTheme="minorHAnsi" w:hAnsiTheme="minorHAnsi" w:cstheme="minorHAnsi"/>
                <w:sz w:val="22"/>
              </w:rPr>
            </w:pPr>
          </w:p>
          <w:p w:rsidRPr="004C1DFD" w:rsidR="00C35E15" w:rsidP="004C1DFD" w:rsidRDefault="00C35E15" w14:paraId="0F07FB9B" w14:textId="09FCE2BF">
            <w:pPr>
              <w:pStyle w:val="ListParagraph"/>
              <w:numPr>
                <w:ilvl w:val="0"/>
                <w:numId w:val="22"/>
              </w:numPr>
              <w:ind w:left="330"/>
              <w:rPr>
                <w:rFonts w:asciiTheme="minorHAnsi" w:hAnsiTheme="minorHAnsi" w:cstheme="minorHAnsi"/>
                <w:b/>
                <w:sz w:val="22"/>
                <w:szCs w:val="22"/>
              </w:rPr>
            </w:pPr>
            <w:r w:rsidRPr="004C1DFD">
              <w:rPr>
                <w:rFonts w:cstheme="minorHAnsi"/>
                <w:b/>
              </w:rPr>
              <w:t xml:space="preserve">Methods to be used to collect data: </w:t>
            </w:r>
            <w:r w:rsidRPr="004C1DFD" w:rsidR="0021087D">
              <w:rPr>
                <w:rFonts w:cstheme="minorHAnsi"/>
              </w:rPr>
              <w:t>Cognitive testing in a f</w:t>
            </w:r>
            <w:r w:rsidRPr="004C1DFD" w:rsidR="00EB04EB">
              <w:rPr>
                <w:rFonts w:cstheme="minorHAnsi"/>
              </w:rPr>
              <w:t>ocus</w:t>
            </w:r>
            <w:r w:rsidRPr="004C1DFD" w:rsidR="0021087D">
              <w:rPr>
                <w:rFonts w:cstheme="minorHAnsi"/>
              </w:rPr>
              <w:t xml:space="preserve"> g</w:t>
            </w:r>
            <w:r w:rsidRPr="004C1DFD" w:rsidR="00EB04EB">
              <w:rPr>
                <w:rFonts w:cstheme="minorHAnsi"/>
              </w:rPr>
              <w:t>roup</w:t>
            </w:r>
            <w:r w:rsidRPr="004C1DFD" w:rsidR="0021087D">
              <w:rPr>
                <w:rFonts w:cstheme="minorHAnsi"/>
              </w:rPr>
              <w:t xml:space="preserve"> </w:t>
            </w:r>
            <w:r w:rsidRPr="004C1DFD" w:rsidR="00D341E5">
              <w:rPr>
                <w:rFonts w:cstheme="minorHAnsi"/>
              </w:rPr>
              <w:t>s</w:t>
            </w:r>
            <w:r w:rsidRPr="004C1DFD" w:rsidR="0021087D">
              <w:rPr>
                <w:rFonts w:cstheme="minorHAnsi"/>
              </w:rPr>
              <w:t>etting</w:t>
            </w:r>
          </w:p>
          <w:p w:rsidRPr="004C1DFD" w:rsidR="00C35E15" w:rsidP="00C35E15" w:rsidRDefault="00C35E15" w14:paraId="404C2F11" w14:textId="77777777">
            <w:pPr>
              <w:contextualSpacing/>
              <w:jc w:val="both"/>
              <w:rPr>
                <w:rFonts w:eastAsia="Calibri" w:asciiTheme="minorHAnsi" w:hAnsiTheme="minorHAnsi" w:cstheme="minorHAnsi"/>
                <w:b/>
                <w:bCs/>
                <w:sz w:val="22"/>
              </w:rPr>
            </w:pPr>
          </w:p>
          <w:p w:rsidRPr="004C1DFD" w:rsidR="00C35E15" w:rsidP="004C1DFD" w:rsidRDefault="00C35E15" w14:paraId="45B67D23" w14:textId="77777777">
            <w:pPr>
              <w:pStyle w:val="ListParagraph"/>
              <w:numPr>
                <w:ilvl w:val="0"/>
                <w:numId w:val="23"/>
              </w:numPr>
              <w:ind w:left="330"/>
              <w:rPr>
                <w:rFonts w:asciiTheme="minorHAnsi" w:hAnsiTheme="minorHAnsi" w:cstheme="minorHAnsi"/>
              </w:rPr>
            </w:pPr>
            <w:r w:rsidRPr="004C1DFD">
              <w:rPr>
                <w:rFonts w:cstheme="minorHAnsi"/>
                <w:b/>
                <w:bCs/>
              </w:rPr>
              <w:t>The subpopulation to be studied:</w:t>
            </w:r>
            <w:r w:rsidRPr="004C1DFD">
              <w:rPr>
                <w:rFonts w:cstheme="minorHAnsi"/>
              </w:rPr>
              <w:t xml:space="preserve"> </w:t>
            </w:r>
            <w:r w:rsidRPr="004C1DFD" w:rsidR="00D341E5">
              <w:rPr>
                <w:rFonts w:cstheme="minorHAnsi"/>
              </w:rPr>
              <w:t>Spanish-speaking construction workers</w:t>
            </w:r>
          </w:p>
          <w:p w:rsidRPr="004C1DFD" w:rsidR="00C35E15" w:rsidP="00C35E15" w:rsidRDefault="00C35E15" w14:paraId="04EB7904" w14:textId="77777777">
            <w:pPr>
              <w:contextualSpacing/>
              <w:jc w:val="both"/>
              <w:rPr>
                <w:rFonts w:eastAsia="Calibri" w:asciiTheme="minorHAnsi" w:hAnsiTheme="minorHAnsi" w:cstheme="minorHAnsi"/>
                <w:sz w:val="22"/>
              </w:rPr>
            </w:pPr>
          </w:p>
          <w:p w:rsidRPr="004C1DFD" w:rsidR="00C35E15" w:rsidP="004C1DFD" w:rsidRDefault="00C35E15" w14:paraId="588E4500" w14:textId="45935C87">
            <w:pPr>
              <w:pStyle w:val="ListParagraph"/>
              <w:numPr>
                <w:ilvl w:val="0"/>
                <w:numId w:val="24"/>
              </w:numPr>
              <w:ind w:left="330"/>
              <w:rPr>
                <w:rFonts w:asciiTheme="minorHAnsi" w:hAnsiTheme="minorHAnsi" w:cstheme="minorHAnsi"/>
              </w:rPr>
            </w:pPr>
            <w:r w:rsidRPr="004C1DFD">
              <w:rPr>
                <w:rFonts w:cstheme="minorHAnsi"/>
                <w:b/>
              </w:rPr>
              <w:t>How data will be analyzed:</w:t>
            </w:r>
            <w:r w:rsidRPr="004C1DFD">
              <w:rPr>
                <w:rFonts w:cstheme="minorHAnsi"/>
              </w:rPr>
              <w:t xml:space="preserve"> </w:t>
            </w:r>
            <w:r w:rsidRPr="004C1DFD" w:rsidR="00975A42">
              <w:rPr>
                <w:rFonts w:cstheme="minorHAnsi"/>
              </w:rPr>
              <w:t xml:space="preserve">Qualitative analysis </w:t>
            </w:r>
            <w:r w:rsidRPr="004C1DFD" w:rsidR="0021087D">
              <w:rPr>
                <w:rFonts w:cstheme="minorHAnsi"/>
              </w:rPr>
              <w:t>of</w:t>
            </w:r>
            <w:r w:rsidRPr="004C1DFD" w:rsidR="00D341E5">
              <w:rPr>
                <w:rFonts w:cstheme="minorHAnsi"/>
              </w:rPr>
              <w:t xml:space="preserve"> the cognitive testing results to identify more </w:t>
            </w:r>
            <w:r w:rsidRPr="004C1DFD" w:rsidR="0021087D">
              <w:rPr>
                <w:rFonts w:cstheme="minorHAnsi"/>
              </w:rPr>
              <w:t>easily understood</w:t>
            </w:r>
            <w:r w:rsidRPr="004C1DFD" w:rsidR="00D341E5">
              <w:rPr>
                <w:rFonts w:cstheme="minorHAnsi"/>
              </w:rPr>
              <w:t xml:space="preserve"> language and</w:t>
            </w:r>
            <w:r w:rsidRPr="004C1DFD" w:rsidR="0021087D">
              <w:rPr>
                <w:rFonts w:cstheme="minorHAnsi"/>
              </w:rPr>
              <w:t xml:space="preserve"> phrasing</w:t>
            </w:r>
          </w:p>
        </w:tc>
      </w:tr>
    </w:tbl>
    <w:p w:rsidR="00C35E15" w:rsidRDefault="00C35E15" w14:paraId="640BFC42" w14:textId="77777777">
      <w:pPr>
        <w:rPr>
          <w:b/>
        </w:rPr>
      </w:pPr>
    </w:p>
    <w:p w:rsidR="00C35E15" w:rsidRDefault="00C35E15" w14:paraId="3AD94D90" w14:textId="77777777">
      <w:pPr>
        <w:rPr>
          <w:b/>
        </w:rPr>
      </w:pPr>
    </w:p>
    <w:p w:rsidR="00C35E15" w:rsidRDefault="00C35E15" w14:paraId="3D816222" w14:textId="77777777">
      <w:pPr>
        <w:rPr>
          <w:b/>
        </w:rPr>
      </w:pPr>
    </w:p>
    <w:p w:rsidR="00C35E15" w:rsidRDefault="00C35E15" w14:paraId="279E7D82" w14:textId="77777777">
      <w:pPr>
        <w:rPr>
          <w:b/>
        </w:rPr>
      </w:pPr>
    </w:p>
    <w:p w:rsidR="00C35E15" w:rsidRDefault="00C35E15" w14:paraId="06419ED3" w14:textId="77777777">
      <w:pPr>
        <w:rPr>
          <w:b/>
        </w:rPr>
      </w:pPr>
    </w:p>
    <w:p w:rsidR="00C35E15" w:rsidRDefault="00C35E15" w14:paraId="1E76B9C7" w14:textId="77777777">
      <w:pPr>
        <w:rPr>
          <w:b/>
        </w:rPr>
      </w:pPr>
    </w:p>
    <w:p w:rsidR="00C35E15" w:rsidRDefault="00C35E15" w14:paraId="4BC1D8D1" w14:textId="77777777">
      <w:pPr>
        <w:rPr>
          <w:b/>
        </w:rPr>
      </w:pPr>
    </w:p>
    <w:p w:rsidR="00C35E15" w:rsidRDefault="00C35E15" w14:paraId="66A79560" w14:textId="77777777">
      <w:pPr>
        <w:rPr>
          <w:b/>
        </w:rPr>
      </w:pPr>
    </w:p>
    <w:p w:rsidRPr="00542C7E" w:rsidR="00FC70C6" w:rsidRDefault="00856203" w14:paraId="461A80B5" w14:textId="77777777">
      <w:pPr>
        <w:rPr>
          <w:b/>
        </w:rPr>
      </w:pPr>
      <w:r w:rsidRPr="00542C7E">
        <w:rPr>
          <w:b/>
        </w:rPr>
        <w:t>Section A-Justification</w:t>
      </w:r>
    </w:p>
    <w:p w:rsidRPr="004C1DFD" w:rsidR="00D60A79" w:rsidP="004C1DFD" w:rsidRDefault="00856203" w14:paraId="6592B81B" w14:textId="775E6BEF">
      <w:pPr>
        <w:pStyle w:val="ListParagraph"/>
        <w:numPr>
          <w:ilvl w:val="0"/>
          <w:numId w:val="25"/>
        </w:numPr>
        <w:ind w:left="720" w:hanging="720"/>
        <w:rPr>
          <w:b/>
        </w:rPr>
      </w:pPr>
      <w:bookmarkStart w:name="_Toc9946250" w:id="1"/>
      <w:r w:rsidRPr="004C1DFD">
        <w:rPr>
          <w:b/>
        </w:rPr>
        <w:t>Circumstances making the collection of information necessary</w:t>
      </w:r>
      <w:bookmarkEnd w:id="1"/>
    </w:p>
    <w:p w:rsidRPr="00D60A79" w:rsidR="003F455A" w:rsidP="003F455A" w:rsidRDefault="003F455A" w14:paraId="59074D7D" w14:textId="7AAE077D">
      <w:r w:rsidRPr="00D60A79">
        <w:t>The Centers for Disease Control and Prevention (CDC), National Institute for Occupational Safety and Health (NIOSH) seeks approval from the Office of Management and Budget (OMB) to conduct formative research focus groups with Spanish</w:t>
      </w:r>
      <w:r w:rsidR="00A57A58">
        <w:t>-</w:t>
      </w:r>
      <w:r w:rsidRPr="00D60A79">
        <w:t>speaking construction workers who are at increased risk for work-related injuries. These focus group discussions will be conducted by a contractor for NIOSH.</w:t>
      </w:r>
    </w:p>
    <w:p w:rsidRPr="00D341E5" w:rsidR="00D341E5" w:rsidP="00D341E5" w:rsidRDefault="00FB5168" w14:paraId="49586A6B" w14:textId="27E49ABB">
      <w:pPr>
        <w:rPr>
          <w:rFonts w:cstheme="minorHAnsi"/>
        </w:rPr>
      </w:pPr>
      <w:r>
        <w:rPr>
          <w:rFonts w:cstheme="minorHAnsi"/>
        </w:rPr>
        <w:t>C</w:t>
      </w:r>
      <w:r w:rsidRPr="00D341E5" w:rsidR="00D341E5">
        <w:rPr>
          <w:rFonts w:cstheme="minorHAnsi"/>
        </w:rPr>
        <w:t>onstruction is one of the most dangerous industry sectors</w:t>
      </w:r>
      <w:r w:rsidR="00A57A58">
        <w:rPr>
          <w:rFonts w:cstheme="minorHAnsi"/>
        </w:rPr>
        <w:t xml:space="preserve"> in which</w:t>
      </w:r>
      <w:r w:rsidRPr="00D341E5" w:rsidR="00D341E5">
        <w:rPr>
          <w:rFonts w:cstheme="minorHAnsi"/>
        </w:rPr>
        <w:t xml:space="preserve"> to be employed. There are approximately 1.8 million Spanish-speaking workers employed in construction, and </w:t>
      </w:r>
      <w:r w:rsidR="00385EA9">
        <w:rPr>
          <w:rFonts w:cstheme="minorHAnsi"/>
        </w:rPr>
        <w:t>Latino</w:t>
      </w:r>
      <w:r w:rsidRPr="00D341E5" w:rsidR="00385EA9">
        <w:rPr>
          <w:rFonts w:cstheme="minorHAnsi"/>
        </w:rPr>
        <w:t xml:space="preserve"> </w:t>
      </w:r>
      <w:r w:rsidRPr="00D341E5" w:rsidR="00D341E5">
        <w:rPr>
          <w:rFonts w:cstheme="minorHAnsi"/>
        </w:rPr>
        <w:t>workers are injured and killed at rates 2 – 3 times higher than non-</w:t>
      </w:r>
      <w:r w:rsidR="00385EA9">
        <w:rPr>
          <w:rFonts w:cstheme="minorHAnsi"/>
        </w:rPr>
        <w:t>Latino</w:t>
      </w:r>
      <w:r w:rsidRPr="00D341E5" w:rsidR="00385EA9">
        <w:rPr>
          <w:rFonts w:cstheme="minorHAnsi"/>
        </w:rPr>
        <w:t xml:space="preserve"> </w:t>
      </w:r>
      <w:r w:rsidRPr="00D341E5" w:rsidR="00D341E5">
        <w:rPr>
          <w:rFonts w:cstheme="minorHAnsi"/>
        </w:rPr>
        <w:t xml:space="preserve">construction workers. Among the challenges to meeting the occupational safety and health (OSH) needs of the construction industry is </w:t>
      </w:r>
      <w:r w:rsidR="00385EA9">
        <w:rPr>
          <w:rFonts w:cstheme="minorHAnsi"/>
        </w:rPr>
        <w:t xml:space="preserve">the large number of small businesses, with </w:t>
      </w:r>
      <w:r w:rsidRPr="00D341E5" w:rsidR="00D341E5">
        <w:rPr>
          <w:rFonts w:cstheme="minorHAnsi"/>
        </w:rPr>
        <w:t>approximately 90% of small construction contractors employ</w:t>
      </w:r>
      <w:r w:rsidR="00385EA9">
        <w:rPr>
          <w:rFonts w:cstheme="minorHAnsi"/>
        </w:rPr>
        <w:t>ing</w:t>
      </w:r>
      <w:r w:rsidRPr="00D341E5" w:rsidR="00D341E5">
        <w:rPr>
          <w:rFonts w:cstheme="minorHAnsi"/>
        </w:rPr>
        <w:t xml:space="preserve"> 20 or fewer workers (NIOSH &amp; ASSE, 2015). Over 40% of Spanish-speaking construction workers work for businesses employing 10 or fewer workers. Latino workers are more likely to be employed in small establishments, and small establishments have a higher risk of fatal injuries. In 2010 alone, 56.3% of construction deaths occurred in establishments with fewer than 20 employees, yet such establishments employed just 41.4% of the construction workforce (CPWR</w:t>
      </w:r>
      <w:r w:rsidR="00385EA9">
        <w:rPr>
          <w:rFonts w:cstheme="minorHAnsi"/>
        </w:rPr>
        <w:t>,</w:t>
      </w:r>
      <w:r w:rsidRPr="00D341E5" w:rsidR="00D341E5">
        <w:rPr>
          <w:rFonts w:cstheme="minorHAnsi"/>
        </w:rPr>
        <w:t xml:space="preserve"> 2013). From 2003 to 2008, small establishments with 1-10 employees reported an average of 47% work-related deaths among Latino workers, while employing 44% of the Latino construction workers (Dong et al., 2010). These small construction contractors have limited resources to apply to OSH training needs. </w:t>
      </w:r>
    </w:p>
    <w:p w:rsidR="00D60A79" w:rsidRDefault="0021087D" w14:paraId="03D5311A" w14:textId="7099FB53">
      <w:r w:rsidRPr="0021087D">
        <w:t xml:space="preserve">A challenge identified by previous NIOSH and CPWR activities with Latino immigrants is that merely translating documents into proper Spanish often fails to produce documents that are comprehensible to immigrant workers. In addition to having lower educational levels, many Latino immigrants refer to construction materials and activities using Spanglish – a hybridized mixture of Spanish and English. Many do not know construction terminology in Spanish, as they did not work in construction in their homelands. In the first phase of this project, iterative rounds of cognitive testing of the translated toolbox talks will be conducted. During the process of cognitive testing, participants will be asked not only if they understand a </w:t>
      </w:r>
      <w:r w:rsidRPr="0021087D" w:rsidR="00385EA9">
        <w:t>term</w:t>
      </w:r>
      <w:r w:rsidRPr="0021087D">
        <w:t xml:space="preserve">, but </w:t>
      </w:r>
      <w:r w:rsidR="00385EA9">
        <w:t xml:space="preserve">also </w:t>
      </w:r>
      <w:r w:rsidRPr="0021087D">
        <w:t xml:space="preserve">whether that is the term popularly used on their worksites. If not, they will be asked what term(s) they </w:t>
      </w:r>
      <w:r w:rsidR="003F455A">
        <w:t xml:space="preserve">do </w:t>
      </w:r>
      <w:r w:rsidRPr="0021087D">
        <w:t xml:space="preserve">use. </w:t>
      </w:r>
    </w:p>
    <w:p w:rsidRPr="00C0455A" w:rsidR="00AF6E8C" w:rsidP="004C1DFD" w:rsidRDefault="00AF6E8C" w14:paraId="798357B3" w14:textId="77777777">
      <w:pPr>
        <w:pStyle w:val="ListParagraph"/>
        <w:numPr>
          <w:ilvl w:val="0"/>
          <w:numId w:val="25"/>
        </w:numPr>
        <w:ind w:left="720" w:hanging="720"/>
        <w:rPr>
          <w:rFonts w:cstheme="minorHAnsi"/>
          <w:b/>
          <w:color w:val="000000" w:themeColor="text1"/>
          <w:szCs w:val="24"/>
        </w:rPr>
      </w:pPr>
      <w:bookmarkStart w:name="_Toc9946251" w:id="2"/>
      <w:r w:rsidRPr="00C8057D">
        <w:rPr>
          <w:rFonts w:cstheme="minorHAnsi"/>
          <w:b/>
          <w:color w:val="000000" w:themeColor="text1"/>
          <w:szCs w:val="24"/>
        </w:rPr>
        <w:t>Purpose and Use of the Information Collection</w:t>
      </w:r>
      <w:bookmarkEnd w:id="2"/>
    </w:p>
    <w:p w:rsidR="0021087D" w:rsidP="004B028F" w:rsidRDefault="00AF6E8C" w14:paraId="3EC875B9" w14:textId="03A9DC47">
      <w:pPr>
        <w:pStyle w:val="ListParagraph"/>
        <w:tabs>
          <w:tab w:val="left" w:pos="900"/>
        </w:tabs>
        <w:ind w:left="0"/>
      </w:pPr>
      <w:r>
        <w:t xml:space="preserve">The purpose of </w:t>
      </w:r>
      <w:r w:rsidR="001411AF">
        <w:t xml:space="preserve">conducting </w:t>
      </w:r>
      <w:r>
        <w:t xml:space="preserve">these </w:t>
      </w:r>
      <w:r w:rsidR="001411AF">
        <w:t xml:space="preserve">formative research </w:t>
      </w:r>
      <w:r>
        <w:t xml:space="preserve">focus groups is to </w:t>
      </w:r>
      <w:r w:rsidR="0021087D">
        <w:t xml:space="preserve">cognitively test </w:t>
      </w:r>
      <w:r w:rsidR="003F455A">
        <w:t>draft translations</w:t>
      </w:r>
      <w:r w:rsidR="0021087D">
        <w:t xml:space="preserve"> </w:t>
      </w:r>
      <w:r w:rsidR="003F455A">
        <w:t>of</w:t>
      </w:r>
      <w:r w:rsidR="0021087D">
        <w:t xml:space="preserve"> Spanish-language toolbox talks to identify more easily understood terminology and/or phrasing. This information will be used</w:t>
      </w:r>
      <w:r w:rsidR="0052085A">
        <w:t xml:space="preserve"> internally to inform the development of more effective resources for these workers. </w:t>
      </w:r>
    </w:p>
    <w:p w:rsidRPr="004C1DFD" w:rsidR="004D375B" w:rsidP="004C1DFD" w:rsidRDefault="0021087D" w14:paraId="131DE523" w14:textId="075222C8">
      <w:pPr>
        <w:rPr>
          <w:rFonts w:cstheme="minorHAnsi"/>
        </w:rPr>
      </w:pPr>
      <w:r>
        <w:rPr>
          <w:rFonts w:cstheme="minorHAnsi"/>
        </w:rPr>
        <w:lastRenderedPageBreak/>
        <w:t>Eight</w:t>
      </w:r>
      <w:r w:rsidR="004D375B">
        <w:rPr>
          <w:rFonts w:cstheme="minorHAnsi"/>
        </w:rPr>
        <w:t xml:space="preserve"> focus groups with up to 9 participants each will be conducted by the contractor. The </w:t>
      </w:r>
      <w:r>
        <w:rPr>
          <w:rFonts w:cstheme="minorHAnsi"/>
        </w:rPr>
        <w:t>eight</w:t>
      </w:r>
      <w:r w:rsidR="004D375B">
        <w:rPr>
          <w:rFonts w:cstheme="minorHAnsi"/>
        </w:rPr>
        <w:t xml:space="preserve"> focus groups will consist of</w:t>
      </w:r>
      <w:r w:rsidR="00C25847">
        <w:rPr>
          <w:rFonts w:cstheme="minorHAnsi"/>
        </w:rPr>
        <w:t xml:space="preserve"> n</w:t>
      </w:r>
      <w:r w:rsidRPr="004C1DFD">
        <w:rPr>
          <w:rFonts w:cstheme="minorHAnsi"/>
        </w:rPr>
        <w:t>ative Spanish-speaking construction workers age 18 and older.</w:t>
      </w:r>
    </w:p>
    <w:p w:rsidRPr="0021087D" w:rsidR="00972E71" w:rsidP="0021087D" w:rsidRDefault="00DF23EB" w14:paraId="7CEC38EB" w14:textId="66E62486">
      <w:pPr>
        <w:rPr>
          <w:rFonts w:cstheme="minorHAnsi"/>
        </w:rPr>
      </w:pPr>
      <w:r w:rsidRPr="0021087D">
        <w:rPr>
          <w:rFonts w:cstheme="minorHAnsi"/>
        </w:rPr>
        <w:t>Q</w:t>
      </w:r>
      <w:r w:rsidRPr="0021087D" w:rsidR="00656C03">
        <w:rPr>
          <w:rFonts w:cstheme="minorHAnsi"/>
        </w:rPr>
        <w:t>uestions</w:t>
      </w:r>
      <w:r w:rsidRPr="0021087D" w:rsidR="00972E71">
        <w:rPr>
          <w:rFonts w:cstheme="minorHAnsi"/>
        </w:rPr>
        <w:t xml:space="preserve"> in the focus group </w:t>
      </w:r>
      <w:r w:rsidR="0021087D">
        <w:rPr>
          <w:rFonts w:cstheme="minorHAnsi"/>
        </w:rPr>
        <w:t>guide</w:t>
      </w:r>
      <w:r w:rsidRPr="0021087D" w:rsidR="00972E71">
        <w:rPr>
          <w:rFonts w:cstheme="minorHAnsi"/>
        </w:rPr>
        <w:t xml:space="preserve"> </w:t>
      </w:r>
      <w:r w:rsidRPr="0021087D">
        <w:rPr>
          <w:rFonts w:cstheme="minorHAnsi"/>
        </w:rPr>
        <w:t xml:space="preserve">ask respondents to </w:t>
      </w:r>
      <w:r w:rsidRPr="0021087D" w:rsidR="00F14F36">
        <w:rPr>
          <w:rFonts w:cstheme="minorHAnsi"/>
        </w:rPr>
        <w:t xml:space="preserve">provide feedback </w:t>
      </w:r>
      <w:r w:rsidRPr="0021087D">
        <w:rPr>
          <w:rFonts w:cstheme="minorHAnsi"/>
        </w:rPr>
        <w:t>on the following topics</w:t>
      </w:r>
      <w:r w:rsidRPr="0021087D" w:rsidR="00656C03">
        <w:rPr>
          <w:rFonts w:cstheme="minorHAnsi"/>
        </w:rPr>
        <w:t xml:space="preserve"> </w:t>
      </w:r>
      <w:r w:rsidRPr="0021087D" w:rsidR="00AA73F6">
        <w:rPr>
          <w:rFonts w:cstheme="minorHAnsi"/>
        </w:rPr>
        <w:t xml:space="preserve">(also see </w:t>
      </w:r>
      <w:r w:rsidR="000B435F">
        <w:rPr>
          <w:rFonts w:cstheme="minorHAnsi"/>
        </w:rPr>
        <w:t>A</w:t>
      </w:r>
      <w:r w:rsidRPr="0021087D" w:rsidR="00972E71">
        <w:rPr>
          <w:rFonts w:cstheme="minorHAnsi"/>
        </w:rPr>
        <w:t>ttachment</w:t>
      </w:r>
      <w:r w:rsidRPr="0021087D" w:rsidR="00AA73F6">
        <w:rPr>
          <w:rFonts w:cstheme="minorHAnsi"/>
        </w:rPr>
        <w:t xml:space="preserve"> I</w:t>
      </w:r>
      <w:r w:rsidR="006931B9">
        <w:rPr>
          <w:rFonts w:cstheme="minorHAnsi"/>
        </w:rPr>
        <w:t>I</w:t>
      </w:r>
      <w:r w:rsidRPr="0021087D" w:rsidR="00AA73F6">
        <w:rPr>
          <w:rFonts w:cstheme="minorHAnsi"/>
        </w:rPr>
        <w:t>I</w:t>
      </w:r>
      <w:r w:rsidRPr="0021087D" w:rsidR="00972E71">
        <w:rPr>
          <w:rFonts w:cstheme="minorHAnsi"/>
        </w:rPr>
        <w:t>):</w:t>
      </w:r>
    </w:p>
    <w:p w:rsidRPr="00330072" w:rsidR="00123B3F" w:rsidP="00123B3F" w:rsidRDefault="00123B3F" w14:paraId="0D507AF9" w14:textId="77777777">
      <w:pPr>
        <w:pStyle w:val="ListParagraph"/>
        <w:numPr>
          <w:ilvl w:val="0"/>
          <w:numId w:val="2"/>
        </w:numPr>
      </w:pPr>
      <w:r w:rsidRPr="00330072">
        <w:t xml:space="preserve">Knowledge </w:t>
      </w:r>
      <w:r w:rsidRPr="00330072" w:rsidR="00330072">
        <w:t>of</w:t>
      </w:r>
      <w:r w:rsidRPr="00330072">
        <w:t xml:space="preserve"> and experience</w:t>
      </w:r>
      <w:r w:rsidRPr="00330072" w:rsidR="00330072">
        <w:t>s</w:t>
      </w:r>
      <w:r w:rsidRPr="00330072">
        <w:t xml:space="preserve"> </w:t>
      </w:r>
      <w:r w:rsidRPr="00330072" w:rsidR="00330072">
        <w:t>related to</w:t>
      </w:r>
      <w:r w:rsidRPr="00330072">
        <w:t xml:space="preserve"> </w:t>
      </w:r>
      <w:r w:rsidRPr="00330072" w:rsidR="00330072">
        <w:t>workplace safety</w:t>
      </w:r>
    </w:p>
    <w:p w:rsidR="00330072" w:rsidP="00123B3F" w:rsidRDefault="00BB09EA" w14:paraId="638A4FA3" w14:textId="5EF8ED30">
      <w:pPr>
        <w:pStyle w:val="ListParagraph"/>
        <w:numPr>
          <w:ilvl w:val="0"/>
          <w:numId w:val="2"/>
        </w:numPr>
      </w:pPr>
      <w:r>
        <w:t xml:space="preserve">Whether the information presented in sample toolbox talks </w:t>
      </w:r>
      <w:r w:rsidR="008148EB">
        <w:t xml:space="preserve">is </w:t>
      </w:r>
      <w:r>
        <w:t xml:space="preserve">understandable </w:t>
      </w:r>
      <w:r w:rsidR="008148EB">
        <w:t xml:space="preserve">and </w:t>
      </w:r>
      <w:r>
        <w:t>useful</w:t>
      </w:r>
    </w:p>
    <w:p w:rsidRPr="00330072" w:rsidR="00BB09EA" w:rsidP="00123B3F" w:rsidRDefault="00BB09EA" w14:paraId="4C1E0E5C" w14:textId="0EB02C26">
      <w:pPr>
        <w:pStyle w:val="ListParagraph"/>
        <w:numPr>
          <w:ilvl w:val="0"/>
          <w:numId w:val="2"/>
        </w:numPr>
      </w:pPr>
      <w:r>
        <w:t>If they have any suggestions regarding wording or phrasing that would make the Spanish-</w:t>
      </w:r>
      <w:r w:rsidR="00405C1B">
        <w:t>language</w:t>
      </w:r>
      <w:r>
        <w:t xml:space="preserve"> toolbox talks easier to understand and/or more useful</w:t>
      </w:r>
    </w:p>
    <w:p w:rsidRPr="00C0455A" w:rsidR="00123B3F" w:rsidP="004C1DFD" w:rsidRDefault="00123B3F" w14:paraId="3819B9B6" w14:textId="77777777">
      <w:pPr>
        <w:pStyle w:val="Heading1"/>
        <w:numPr>
          <w:ilvl w:val="0"/>
          <w:numId w:val="25"/>
        </w:numPr>
        <w:ind w:left="0" w:firstLine="0"/>
        <w:rPr>
          <w:rFonts w:asciiTheme="minorHAnsi" w:hAnsiTheme="minorHAnsi" w:cstheme="minorHAnsi"/>
          <w:b/>
          <w:color w:val="000000" w:themeColor="text1"/>
          <w:sz w:val="22"/>
          <w:szCs w:val="22"/>
        </w:rPr>
      </w:pPr>
      <w:bookmarkStart w:name="_Toc9946252" w:id="3"/>
      <w:r w:rsidRPr="00C8057D">
        <w:rPr>
          <w:rFonts w:asciiTheme="minorHAnsi" w:hAnsiTheme="minorHAnsi" w:cstheme="minorHAnsi"/>
          <w:b/>
          <w:color w:val="000000" w:themeColor="text1"/>
          <w:sz w:val="22"/>
          <w:szCs w:val="22"/>
        </w:rPr>
        <w:t>Use of Improved Information Technology and Burden Reduction</w:t>
      </w:r>
      <w:bookmarkEnd w:id="3"/>
    </w:p>
    <w:p w:rsidR="00123B3F" w:rsidP="004B028F" w:rsidRDefault="00123B3F" w14:paraId="4DF6503C" w14:textId="32451FEA">
      <w:r>
        <w:t xml:space="preserve">The focus groups will include workers </w:t>
      </w:r>
      <w:r w:rsidR="00BB09EA">
        <w:t>from the construction</w:t>
      </w:r>
      <w:r>
        <w:t xml:space="preserve"> industry. </w:t>
      </w:r>
      <w:r w:rsidR="00713C3F">
        <w:t xml:space="preserve">A </w:t>
      </w:r>
      <w:r>
        <w:t xml:space="preserve">contractor will </w:t>
      </w:r>
      <w:r w:rsidR="00187677">
        <w:t xml:space="preserve">recruit </w:t>
      </w:r>
      <w:r w:rsidR="00BB09EA">
        <w:t>the</w:t>
      </w:r>
      <w:r>
        <w:t xml:space="preserve"> focus group participa</w:t>
      </w:r>
      <w:r w:rsidR="004B028F">
        <w:t>nts</w:t>
      </w:r>
      <w:r>
        <w:t xml:space="preserve">. Individuals who would like to volunteer </w:t>
      </w:r>
      <w:r w:rsidR="00C8057D">
        <w:t xml:space="preserve">will </w:t>
      </w:r>
      <w:r>
        <w:t>be selected based on the eligibility criteria of the focus group (</w:t>
      </w:r>
      <w:r w:rsidR="000774F3">
        <w:t>n</w:t>
      </w:r>
      <w:r w:rsidR="004B028F">
        <w:t xml:space="preserve">ative Spanish-speaker, age 18 or older, </w:t>
      </w:r>
      <w:r>
        <w:t xml:space="preserve">and </w:t>
      </w:r>
      <w:r w:rsidR="004B028F">
        <w:t>currently employed in the construction industry</w:t>
      </w:r>
      <w:r>
        <w:t xml:space="preserve">). </w:t>
      </w:r>
      <w:r w:rsidRPr="00263CFE">
        <w:t xml:space="preserve">The focus group will </w:t>
      </w:r>
      <w:r w:rsidR="000774F3">
        <w:t>include</w:t>
      </w:r>
      <w:r w:rsidRPr="00263CFE">
        <w:t xml:space="preserve"> female workers that represent the female proportion of the worker population in </w:t>
      </w:r>
      <w:r w:rsidR="004B028F">
        <w:t>the construction</w:t>
      </w:r>
      <w:r w:rsidRPr="00263CFE">
        <w:t xml:space="preserve"> sector. The contractor will</w:t>
      </w:r>
      <w:r>
        <w:t xml:space="preserve"> recruit potential participants from pre-existing lists of </w:t>
      </w:r>
      <w:r w:rsidR="008D5CEE">
        <w:t xml:space="preserve">workers in the </w:t>
      </w:r>
      <w:r w:rsidR="00BB09EA">
        <w:t>construction</w:t>
      </w:r>
      <w:r w:rsidR="008D5CEE">
        <w:t xml:space="preserve"> sector</w:t>
      </w:r>
      <w:r>
        <w:t>; therefore, no personally identifiable information (PII) will be collected</w:t>
      </w:r>
      <w:r w:rsidR="004D375B">
        <w:t xml:space="preserve"> nor provided to NIOSH. All the information collected will be used internally for product development and improvement.</w:t>
      </w:r>
    </w:p>
    <w:p w:rsidR="00123B3F" w:rsidP="004C1DFD" w:rsidRDefault="00123B3F" w14:paraId="7D70F4D2" w14:textId="4567E318">
      <w:pPr>
        <w:pStyle w:val="Heading1"/>
        <w:numPr>
          <w:ilvl w:val="0"/>
          <w:numId w:val="25"/>
        </w:numPr>
        <w:ind w:left="720" w:hanging="720"/>
        <w:rPr>
          <w:rFonts w:asciiTheme="minorHAnsi" w:hAnsiTheme="minorHAnsi" w:cstheme="minorHAnsi"/>
          <w:b/>
          <w:color w:val="000000" w:themeColor="text1"/>
          <w:sz w:val="22"/>
          <w:szCs w:val="22"/>
        </w:rPr>
      </w:pPr>
      <w:bookmarkStart w:name="_Toc9946253" w:id="4"/>
      <w:r w:rsidRPr="00C8057D">
        <w:rPr>
          <w:rFonts w:asciiTheme="minorHAnsi" w:hAnsiTheme="minorHAnsi" w:cstheme="minorHAnsi"/>
          <w:b/>
          <w:color w:val="000000" w:themeColor="text1"/>
          <w:sz w:val="22"/>
          <w:szCs w:val="22"/>
        </w:rPr>
        <w:t>Efforts to Identify Duplication and Use of Similar Information</w:t>
      </w:r>
      <w:bookmarkEnd w:id="4"/>
    </w:p>
    <w:p w:rsidRPr="00492861" w:rsidR="00492861" w:rsidP="00492861" w:rsidRDefault="00492861" w14:paraId="1677D83A" w14:textId="20E61366">
      <w:r w:rsidRPr="00492861">
        <w:t xml:space="preserve">No similar information has been gathered by or maintained by NIOSH or other Federal agencies and </w:t>
      </w:r>
      <w:r w:rsidR="00347F7D">
        <w:t>is</w:t>
      </w:r>
      <w:r w:rsidRPr="00492861">
        <w:t xml:space="preserve"> not available from other known sources.</w:t>
      </w:r>
    </w:p>
    <w:p w:rsidRPr="00C8057D" w:rsidR="00123B3F" w:rsidP="004C1DFD" w:rsidRDefault="00123B3F" w14:paraId="00838FC4" w14:textId="77777777">
      <w:pPr>
        <w:pStyle w:val="Heading1"/>
        <w:numPr>
          <w:ilvl w:val="0"/>
          <w:numId w:val="25"/>
        </w:numPr>
        <w:ind w:left="720" w:hanging="720"/>
        <w:rPr>
          <w:rFonts w:asciiTheme="minorHAnsi" w:hAnsiTheme="minorHAnsi" w:cstheme="minorHAnsi"/>
          <w:b/>
          <w:color w:val="000000" w:themeColor="text1"/>
          <w:sz w:val="22"/>
          <w:szCs w:val="22"/>
        </w:rPr>
      </w:pPr>
      <w:bookmarkStart w:name="_Toc9946254" w:id="5"/>
      <w:r w:rsidRPr="00C8057D">
        <w:rPr>
          <w:rFonts w:asciiTheme="minorHAnsi" w:hAnsiTheme="minorHAnsi" w:cstheme="minorHAnsi"/>
          <w:b/>
          <w:color w:val="000000" w:themeColor="text1"/>
          <w:sz w:val="22"/>
          <w:szCs w:val="22"/>
        </w:rPr>
        <w:t>Impact on small Businesses or other small entities</w:t>
      </w:r>
      <w:bookmarkEnd w:id="5"/>
      <w:r w:rsidRPr="00C8057D">
        <w:rPr>
          <w:rFonts w:asciiTheme="minorHAnsi" w:hAnsiTheme="minorHAnsi" w:cstheme="minorHAnsi"/>
          <w:b/>
          <w:color w:val="000000" w:themeColor="text1"/>
          <w:sz w:val="22"/>
          <w:szCs w:val="22"/>
        </w:rPr>
        <w:t xml:space="preserve"> </w:t>
      </w:r>
    </w:p>
    <w:p w:rsidRPr="00043B5A" w:rsidR="00043B5A" w:rsidP="004C1DFD" w:rsidRDefault="00492861" w14:paraId="1446FDA8" w14:textId="5453DA61">
      <w:pPr>
        <w:pStyle w:val="Header"/>
      </w:pPr>
      <w:r w:rsidRPr="00492861">
        <w:rPr>
          <w:rFonts w:cstheme="minorHAnsi"/>
        </w:rPr>
        <w:t xml:space="preserve">Workers from small business or other small entities may be involved in these efforts but the contractor will minimize the burden on them during information collection by scheduling focus groups dates and times that work for participants, asking for readily available information, and using short, easy-to-complete information collection instruments. The burden on respondents has been reduced and minimized </w:t>
      </w:r>
      <w:r w:rsidRPr="00492861" w:rsidR="006736EA">
        <w:rPr>
          <w:rFonts w:cstheme="minorHAnsi"/>
        </w:rPr>
        <w:t>using</w:t>
      </w:r>
      <w:r w:rsidRPr="00492861">
        <w:rPr>
          <w:rFonts w:cstheme="minorHAnsi"/>
        </w:rPr>
        <w:t xml:space="preserve"> an efficient and effective focus group guide.</w:t>
      </w:r>
    </w:p>
    <w:p w:rsidR="00124C3C" w:rsidP="004C1DFD" w:rsidRDefault="00124C3C" w14:paraId="027DC384" w14:textId="740CC4BD">
      <w:pPr>
        <w:pStyle w:val="Heading1"/>
        <w:numPr>
          <w:ilvl w:val="0"/>
          <w:numId w:val="25"/>
        </w:numPr>
        <w:ind w:left="720" w:hanging="720"/>
        <w:rPr>
          <w:rFonts w:asciiTheme="minorHAnsi" w:hAnsiTheme="minorHAnsi" w:cstheme="minorHAnsi"/>
          <w:b/>
          <w:color w:val="000000" w:themeColor="text1"/>
          <w:sz w:val="22"/>
          <w:szCs w:val="22"/>
        </w:rPr>
      </w:pPr>
      <w:bookmarkStart w:name="_Toc9946255" w:id="6"/>
      <w:r w:rsidRPr="00C8057D">
        <w:rPr>
          <w:rFonts w:asciiTheme="minorHAnsi" w:hAnsiTheme="minorHAnsi" w:cstheme="minorHAnsi"/>
          <w:b/>
          <w:color w:val="000000" w:themeColor="text1"/>
          <w:sz w:val="22"/>
          <w:szCs w:val="22"/>
        </w:rPr>
        <w:t xml:space="preserve">Consequences of </w:t>
      </w:r>
      <w:r w:rsidRPr="00C8057D" w:rsidR="00C8057D">
        <w:rPr>
          <w:rFonts w:asciiTheme="minorHAnsi" w:hAnsiTheme="minorHAnsi" w:cstheme="minorHAnsi"/>
          <w:b/>
          <w:color w:val="000000" w:themeColor="text1"/>
          <w:sz w:val="22"/>
          <w:szCs w:val="22"/>
        </w:rPr>
        <w:t>collecting</w:t>
      </w:r>
      <w:r w:rsidRPr="00C8057D">
        <w:rPr>
          <w:rFonts w:asciiTheme="minorHAnsi" w:hAnsiTheme="minorHAnsi" w:cstheme="minorHAnsi"/>
          <w:b/>
          <w:color w:val="000000" w:themeColor="text1"/>
          <w:sz w:val="22"/>
          <w:szCs w:val="22"/>
        </w:rPr>
        <w:t xml:space="preserve"> the information less frequently</w:t>
      </w:r>
      <w:bookmarkEnd w:id="6"/>
    </w:p>
    <w:p w:rsidRPr="00CB0DFE" w:rsidR="00492861" w:rsidP="004C1DFD" w:rsidRDefault="00492861" w14:paraId="78E48538" w14:textId="6F036397">
      <w:pPr>
        <w:rPr>
          <w:rFonts w:cstheme="minorHAnsi"/>
        </w:rPr>
      </w:pPr>
      <w:r w:rsidRPr="000472C4">
        <w:t xml:space="preserve">This request is for a one-time data collection. There are no legal obstacles to reducing the burden. This   formative research will aid in the understanding of the information needs </w:t>
      </w:r>
      <w:r>
        <w:t xml:space="preserve">to reduce work-related injuries among </w:t>
      </w:r>
      <w:r w:rsidRPr="000472C4">
        <w:t>Spanish</w:t>
      </w:r>
      <w:r>
        <w:t>-speaking construction</w:t>
      </w:r>
      <w:r w:rsidRPr="000472C4">
        <w:t xml:space="preserve"> workers. Data will be used to inform the development of draft educational products to aid in awareness and prevention. Without this focus group data, knowledge gaps will not be </w:t>
      </w:r>
      <w:r w:rsidRPr="000472C4" w:rsidR="00D60A79">
        <w:t>identified,</w:t>
      </w:r>
      <w:r w:rsidRPr="000472C4">
        <w:t xml:space="preserve"> and researchers will not have adequate information to develop effective educational materials for Spanish speaking </w:t>
      </w:r>
      <w:r>
        <w:t xml:space="preserve">construction </w:t>
      </w:r>
      <w:r w:rsidRPr="000472C4">
        <w:t>workers.</w:t>
      </w:r>
    </w:p>
    <w:p w:rsidRPr="007B7C23" w:rsidR="00472EF1" w:rsidP="004C1DFD" w:rsidRDefault="00D16687" w14:paraId="1459A6B2" w14:textId="77777777">
      <w:pPr>
        <w:pStyle w:val="Heading1"/>
        <w:numPr>
          <w:ilvl w:val="0"/>
          <w:numId w:val="25"/>
        </w:numPr>
        <w:ind w:left="720" w:hanging="720"/>
        <w:rPr>
          <w:rFonts w:asciiTheme="minorHAnsi" w:hAnsiTheme="minorHAnsi" w:cstheme="minorHAnsi"/>
          <w:b/>
          <w:color w:val="000000" w:themeColor="text1"/>
          <w:sz w:val="22"/>
          <w:szCs w:val="22"/>
        </w:rPr>
      </w:pPr>
      <w:bookmarkStart w:name="_Toc9946256" w:id="7"/>
      <w:r w:rsidRPr="00C8057D">
        <w:rPr>
          <w:rFonts w:asciiTheme="minorHAnsi" w:hAnsiTheme="minorHAnsi" w:cstheme="minorHAnsi"/>
          <w:b/>
          <w:color w:val="000000" w:themeColor="text1"/>
          <w:sz w:val="22"/>
          <w:szCs w:val="22"/>
        </w:rPr>
        <w:t>Special Circumstances Relating to the Guidance of 5 CFR1320.5</w:t>
      </w:r>
      <w:bookmarkEnd w:id="7"/>
    </w:p>
    <w:p w:rsidR="00472EF1" w:rsidP="004B028F" w:rsidRDefault="0037541A" w14:paraId="4E5CC1EC" w14:textId="77777777">
      <w:r>
        <w:t xml:space="preserve">There are no special circumstances with this information collection package. </w:t>
      </w:r>
      <w:r w:rsidR="00472EF1">
        <w:t xml:space="preserve">This request fully complies with </w:t>
      </w:r>
      <w:r w:rsidR="007B7C23">
        <w:t xml:space="preserve">  </w:t>
      </w:r>
      <w:r w:rsidR="00472EF1">
        <w:t>the regulation 5 CFR 1320.5</w:t>
      </w:r>
      <w:r w:rsidR="002F7419">
        <w:t xml:space="preserve">. </w:t>
      </w:r>
    </w:p>
    <w:p w:rsidRPr="00180810" w:rsidR="00180810" w:rsidP="004C1DFD" w:rsidRDefault="00472EF1" w14:paraId="57884A9B" w14:textId="77777777">
      <w:pPr>
        <w:pStyle w:val="ListParagraph"/>
        <w:numPr>
          <w:ilvl w:val="0"/>
          <w:numId w:val="25"/>
        </w:numPr>
        <w:autoSpaceDE w:val="0"/>
        <w:autoSpaceDN w:val="0"/>
        <w:adjustRightInd w:val="0"/>
        <w:spacing w:after="200" w:line="276" w:lineRule="auto"/>
        <w:ind w:left="720" w:right="720" w:hanging="720"/>
        <w:rPr>
          <w:rFonts w:cstheme="minorHAnsi"/>
          <w:sz w:val="24"/>
          <w:szCs w:val="24"/>
        </w:rPr>
      </w:pPr>
      <w:bookmarkStart w:name="_Toc9946257" w:id="8"/>
      <w:r w:rsidRPr="00180810">
        <w:rPr>
          <w:rFonts w:cstheme="minorHAnsi"/>
          <w:b/>
          <w:bCs/>
          <w:color w:val="000000" w:themeColor="text1"/>
        </w:rPr>
        <w:t>Comments in Response to the Federal Register Notice and Efforts to Consult Outside the Agency</w:t>
      </w:r>
      <w:bookmarkStart w:name="_Toc9946258" w:id="9"/>
      <w:bookmarkEnd w:id="8"/>
    </w:p>
    <w:p w:rsidR="00D60A79" w:rsidP="004C1DFD" w:rsidRDefault="007F60D5" w14:paraId="453F24DF" w14:textId="193AF683">
      <w:r w:rsidRPr="00180810">
        <w:rPr>
          <w:sz w:val="24"/>
          <w:szCs w:val="24"/>
        </w:rPr>
        <w:t>The Federal Regist</w:t>
      </w:r>
      <w:r w:rsidR="003977E2">
        <w:rPr>
          <w:sz w:val="24"/>
          <w:szCs w:val="24"/>
        </w:rPr>
        <w:t>e</w:t>
      </w:r>
      <w:r w:rsidRPr="00180810">
        <w:rPr>
          <w:sz w:val="24"/>
          <w:szCs w:val="24"/>
        </w:rPr>
        <w:t xml:space="preserve">r Notice was published </w:t>
      </w:r>
      <w:r w:rsidRPr="00180810">
        <w:t>for this collection on July 18, 2016, Vol. 81, No. 137, pp. 46680. No public comments were received.</w:t>
      </w:r>
    </w:p>
    <w:p w:rsidR="00492861" w:rsidP="004C1DFD" w:rsidRDefault="00492861" w14:paraId="219300AC" w14:textId="588673A5">
      <w:r w:rsidRPr="00492861">
        <w:lastRenderedPageBreak/>
        <w:t xml:space="preserve">This project builds upon a </w:t>
      </w:r>
      <w:r w:rsidR="00022085">
        <w:t xml:space="preserve">long-standing </w:t>
      </w:r>
      <w:r w:rsidRPr="00492861">
        <w:t xml:space="preserve">NIOSH collaboration with the </w:t>
      </w:r>
      <w:r w:rsidR="002645D2">
        <w:t xml:space="preserve">Center for </w:t>
      </w:r>
      <w:r>
        <w:t xml:space="preserve">Construction Research </w:t>
      </w:r>
      <w:r w:rsidR="002645D2">
        <w:t>and Training</w:t>
      </w:r>
      <w:r>
        <w:t xml:space="preserve"> (CPWR).</w:t>
      </w:r>
      <w:r w:rsidRPr="00492861">
        <w:t xml:space="preserve"> This collaboration </w:t>
      </w:r>
      <w:r>
        <w:t>allows leveraging of both CPWR and NIOSH efforts to</w:t>
      </w:r>
      <w:r w:rsidR="00022085">
        <w:t xml:space="preserve"> reduce work-related injuries among Spanish-speaking construction workers</w:t>
      </w:r>
      <w:r w:rsidR="006D4B20">
        <w:t xml:space="preserve"> and</w:t>
      </w:r>
      <w:r w:rsidR="00022085">
        <w:t xml:space="preserve"> eliminates duplication of data collection</w:t>
      </w:r>
      <w:r w:rsidR="006D4B20">
        <w:t>.</w:t>
      </w:r>
      <w:r w:rsidR="00022085">
        <w:t xml:space="preserve"> </w:t>
      </w:r>
      <w:r w:rsidR="006D4B20">
        <w:t>The collaboration</w:t>
      </w:r>
      <w:r w:rsidR="00022085">
        <w:t xml:space="preserve"> </w:t>
      </w:r>
      <w:r w:rsidR="006D4B20">
        <w:t xml:space="preserve">allows for </w:t>
      </w:r>
      <w:r w:rsidR="00022085">
        <w:t>better integration of expertise and science provided by both agencies and will greatly increase the reach of any developed educational materials by partnering with CPWR’s distribution network.</w:t>
      </w:r>
      <w:r>
        <w:t xml:space="preserve"> </w:t>
      </w:r>
      <w:r w:rsidR="00022085">
        <w:t>Previous research by both NIOSH and CPWR indicate a great need for training materials accessible to Spanish-speaking construction workers and which can be easily implemented by small construction companies. Previous interviews with small construction companies conducted by CPWR indicate a great deal of interest in the proposed project.</w:t>
      </w:r>
    </w:p>
    <w:p w:rsidRPr="004C1DFD" w:rsidR="00A9744C" w:rsidP="004C1DFD" w:rsidRDefault="001A6DB3" w14:paraId="646777D5" w14:textId="584BD652">
      <w:pPr>
        <w:pStyle w:val="ListParagraph"/>
        <w:numPr>
          <w:ilvl w:val="0"/>
          <w:numId w:val="25"/>
        </w:numPr>
        <w:ind w:left="720" w:hanging="720"/>
        <w:rPr>
          <w:b/>
          <w:bCs/>
        </w:rPr>
      </w:pPr>
      <w:r w:rsidRPr="004C1DFD">
        <w:rPr>
          <w:b/>
        </w:rPr>
        <w:t>Explanation of Any Payment or Gift to Respondents</w:t>
      </w:r>
      <w:bookmarkStart w:name="_Toc9946259" w:id="10"/>
      <w:bookmarkEnd w:id="9"/>
    </w:p>
    <w:p w:rsidR="00A6298B" w:rsidP="004C1DFD" w:rsidRDefault="00A6298B" w14:paraId="706D0F80" w14:textId="1F900002">
      <w:r>
        <w:t>T</w:t>
      </w:r>
      <w:r w:rsidRPr="00A9744C" w:rsidR="00A9744C">
        <w:t xml:space="preserve">he focus group participants will be given an incentive </w:t>
      </w:r>
      <w:r>
        <w:t xml:space="preserve">of $40.00 </w:t>
      </w:r>
      <w:r w:rsidR="004A074B">
        <w:t xml:space="preserve">to encourage participation. </w:t>
      </w:r>
    </w:p>
    <w:p w:rsidRPr="004C1DFD" w:rsidR="001A6DB3" w:rsidP="004C1DFD" w:rsidRDefault="00BB6648" w14:paraId="22F89BA3" w14:textId="4F4C8CE3">
      <w:pPr>
        <w:pStyle w:val="ListParagraph"/>
        <w:numPr>
          <w:ilvl w:val="0"/>
          <w:numId w:val="25"/>
        </w:numPr>
        <w:ind w:left="720" w:hanging="720"/>
        <w:rPr>
          <w:b/>
        </w:rPr>
      </w:pPr>
      <w:r w:rsidRPr="004C1DFD">
        <w:rPr>
          <w:b/>
        </w:rPr>
        <w:t>Protection of the Privacy and Confidentiality of Information Provided by Respondents</w:t>
      </w:r>
      <w:bookmarkEnd w:id="10"/>
      <w:r w:rsidRPr="004C1DFD">
        <w:rPr>
          <w:b/>
        </w:rPr>
        <w:t xml:space="preserve"> </w:t>
      </w:r>
    </w:p>
    <w:p w:rsidR="00E641C8" w:rsidP="004C1DFD" w:rsidRDefault="00180810" w14:paraId="3BA47CCC" w14:textId="7089F029">
      <w:r>
        <w:t xml:space="preserve">This submission has been reviewed by the </w:t>
      </w:r>
      <w:r w:rsidR="00E24416">
        <w:t>NIOSH</w:t>
      </w:r>
      <w:r w:rsidR="009A2D81">
        <w:t xml:space="preserve"> </w:t>
      </w:r>
      <w:r w:rsidR="004E3A6C">
        <w:t>Information Systems Security Officer</w:t>
      </w:r>
      <w:r w:rsidR="00E24416">
        <w:t>, who determined that the Privacy Act does not apply because no personal</w:t>
      </w:r>
      <w:r w:rsidR="009A2D81">
        <w:t>ly</w:t>
      </w:r>
      <w:r w:rsidR="00E24416">
        <w:t xml:space="preserve"> identifiable information will be collected.</w:t>
      </w:r>
      <w:r w:rsidR="00043B5A">
        <w:t xml:space="preserve"> This data collection </w:t>
      </w:r>
      <w:r w:rsidR="00AB455D">
        <w:t xml:space="preserve">was determined </w:t>
      </w:r>
      <w:r w:rsidR="00043B5A">
        <w:t xml:space="preserve">not </w:t>
      </w:r>
      <w:r w:rsidR="00AB455D">
        <w:t xml:space="preserve">be </w:t>
      </w:r>
      <w:r w:rsidR="00043B5A">
        <w:t>research involving human subjects</w:t>
      </w:r>
      <w:r w:rsidR="00FE7244">
        <w:t xml:space="preserve"> by </w:t>
      </w:r>
      <w:r w:rsidR="00405C1B">
        <w:t xml:space="preserve">the </w:t>
      </w:r>
      <w:r w:rsidR="00FE7244">
        <w:t xml:space="preserve">NIOSH </w:t>
      </w:r>
      <w:r w:rsidR="00AB455D">
        <w:t xml:space="preserve">Division of Science Integration </w:t>
      </w:r>
      <w:r w:rsidR="00FE7244">
        <w:t xml:space="preserve">Associate Director </w:t>
      </w:r>
      <w:r w:rsidR="00573130">
        <w:t>for</w:t>
      </w:r>
      <w:r w:rsidR="00FE7244">
        <w:t xml:space="preserve"> Science</w:t>
      </w:r>
      <w:r w:rsidR="00043B5A">
        <w:t>.</w:t>
      </w:r>
      <w:r w:rsidR="00405C1B">
        <w:t xml:space="preserve">  </w:t>
      </w:r>
    </w:p>
    <w:p w:rsidR="00BB6648" w:rsidP="004C1DFD" w:rsidRDefault="00BB6648" w14:paraId="367772B0" w14:textId="4D32C410">
      <w:r>
        <w:t xml:space="preserve">Participation in the focus groups is voluntary. Participants will be provided with an informed consent form prior to the start of focus group and will be allowed to ask questions about the project before deciding whether to participate or not. </w:t>
      </w:r>
      <w:r w:rsidR="004B4CCD">
        <w:t>The consent form describes the purpose of the project, how the information they provide will be used</w:t>
      </w:r>
      <w:r w:rsidR="00E612EC">
        <w:t>,</w:t>
      </w:r>
      <w:r w:rsidR="004B4CCD">
        <w:t xml:space="preserve"> and </w:t>
      </w:r>
      <w:r w:rsidR="00E612EC">
        <w:t xml:space="preserve">how </w:t>
      </w:r>
      <w:r w:rsidR="004B4CCD">
        <w:t>the</w:t>
      </w:r>
      <w:r w:rsidR="00E612EC">
        <w:t>ir</w:t>
      </w:r>
      <w:r w:rsidR="004B4CCD">
        <w:t xml:space="preserve"> privacy and confidentiality</w:t>
      </w:r>
      <w:r w:rsidR="00E612EC">
        <w:t xml:space="preserve"> will be protected</w:t>
      </w:r>
      <w:r w:rsidR="004B4CCD">
        <w:t xml:space="preserve">. </w:t>
      </w:r>
      <w:r>
        <w:t>The contractor will recruit potential participants from pre-existing lists of personnel; therefore, no new PII will be collected.</w:t>
      </w:r>
      <w:r w:rsidR="00A6298B">
        <w:t xml:space="preserve"> These pre-existing lists </w:t>
      </w:r>
      <w:r w:rsidR="006931B9">
        <w:t>will be</w:t>
      </w:r>
      <w:r w:rsidR="00A6298B">
        <w:t xml:space="preserve"> from previous data collection activities the contractor has performed with the target population.</w:t>
      </w:r>
    </w:p>
    <w:p w:rsidRPr="004C1DFD" w:rsidR="002F7419" w:rsidP="004C1DFD" w:rsidRDefault="004B4CCD" w14:paraId="4C207779" w14:textId="68F666AB">
      <w:pPr>
        <w:pStyle w:val="ListParagraph"/>
        <w:numPr>
          <w:ilvl w:val="0"/>
          <w:numId w:val="25"/>
        </w:numPr>
        <w:ind w:left="720" w:hanging="720"/>
        <w:rPr>
          <w:bCs/>
        </w:rPr>
      </w:pPr>
      <w:bookmarkStart w:name="_Toc9946260" w:id="11"/>
      <w:r w:rsidRPr="004C1DFD">
        <w:rPr>
          <w:b/>
        </w:rPr>
        <w:t>Institutional Review Board (IRB) and Justification for Sensitive Questions</w:t>
      </w:r>
      <w:bookmarkEnd w:id="11"/>
    </w:p>
    <w:p w:rsidR="004B4CCD" w:rsidRDefault="002F7419" w14:paraId="15885BF7" w14:textId="670672E4">
      <w:r w:rsidRPr="00DC2A83">
        <w:rPr>
          <w:bCs/>
        </w:rPr>
        <w:t xml:space="preserve">No information will be collected that </w:t>
      </w:r>
      <w:r w:rsidR="00F9118A">
        <w:rPr>
          <w:bCs/>
        </w:rPr>
        <w:t>is</w:t>
      </w:r>
      <w:r w:rsidRPr="00DC2A83" w:rsidR="00F9118A">
        <w:rPr>
          <w:bCs/>
        </w:rPr>
        <w:t xml:space="preserve"> </w:t>
      </w:r>
      <w:r w:rsidRPr="00DC2A83">
        <w:rPr>
          <w:bCs/>
        </w:rPr>
        <w:t xml:space="preserve">of a personal or sensitive nature. </w:t>
      </w:r>
      <w:r w:rsidRPr="00DC2A83">
        <w:t>The proposed data collection was re</w:t>
      </w:r>
      <w:r w:rsidRPr="00DC2A83" w:rsidR="002735EE">
        <w:t xml:space="preserve">viewed by </w:t>
      </w:r>
      <w:r w:rsidR="00AF46BC">
        <w:t xml:space="preserve">the </w:t>
      </w:r>
      <w:r w:rsidRPr="00DC2A83" w:rsidR="002735EE">
        <w:t>NI</w:t>
      </w:r>
      <w:r w:rsidR="00004A9F">
        <w:t xml:space="preserve">OSH </w:t>
      </w:r>
      <w:r w:rsidR="00AF46BC">
        <w:t xml:space="preserve">Division of Science Integration </w:t>
      </w:r>
      <w:r w:rsidR="00004A9F">
        <w:t>Associate Director for</w:t>
      </w:r>
      <w:r w:rsidRPr="00DC2A83" w:rsidR="002735EE">
        <w:t xml:space="preserve"> Science</w:t>
      </w:r>
      <w:r w:rsidR="006D3636">
        <w:t xml:space="preserve"> and determined</w:t>
      </w:r>
      <w:r w:rsidRPr="00DC2A83" w:rsidR="00DC2A83">
        <w:t xml:space="preserve"> </w:t>
      </w:r>
      <w:r w:rsidR="00AF46BC">
        <w:t xml:space="preserve">to be a </w:t>
      </w:r>
      <w:r w:rsidRPr="00DC2A83" w:rsidR="002735EE">
        <w:t xml:space="preserve">non-research project </w:t>
      </w:r>
      <w:r w:rsidR="00AF46BC">
        <w:t xml:space="preserve">that </w:t>
      </w:r>
      <w:r w:rsidRPr="00DC2A83" w:rsidR="002735EE">
        <w:t>does not need further IRB review.</w:t>
      </w:r>
      <w:r w:rsidR="00DC2A83">
        <w:t xml:space="preserve"> Please see </w:t>
      </w:r>
      <w:r w:rsidR="00F9118A">
        <w:t xml:space="preserve">the </w:t>
      </w:r>
      <w:r w:rsidR="00DC2A83">
        <w:t>attached NIOSH IRB determination form</w:t>
      </w:r>
      <w:r w:rsidR="00AA73F6">
        <w:t xml:space="preserve"> (Attachment I</w:t>
      </w:r>
      <w:r w:rsidR="00573130">
        <w:t>I</w:t>
      </w:r>
      <w:r w:rsidR="00AA73F6">
        <w:t>)</w:t>
      </w:r>
      <w:r w:rsidR="00DC2A83">
        <w:t>.</w:t>
      </w:r>
    </w:p>
    <w:p w:rsidRPr="004C1DFD" w:rsidR="004B4CCD" w:rsidP="004C1DFD" w:rsidRDefault="004B4CCD" w14:paraId="2B3CCC21" w14:textId="313F611E">
      <w:pPr>
        <w:pStyle w:val="ListParagraph"/>
        <w:numPr>
          <w:ilvl w:val="0"/>
          <w:numId w:val="25"/>
        </w:numPr>
        <w:ind w:left="720" w:hanging="720"/>
        <w:rPr>
          <w:b/>
        </w:rPr>
      </w:pPr>
      <w:bookmarkStart w:name="_Toc9946261" w:id="12"/>
      <w:r w:rsidRPr="004C1DFD">
        <w:rPr>
          <w:b/>
        </w:rPr>
        <w:t>Estimated of Annualized Burden Hours and Costs</w:t>
      </w:r>
      <w:bookmarkEnd w:id="12"/>
    </w:p>
    <w:p w:rsidR="000D5CEE" w:rsidRDefault="004E7F74" w14:paraId="1926FADA" w14:textId="11174294">
      <w:pPr>
        <w:rPr>
          <w:bCs/>
        </w:rPr>
      </w:pPr>
      <w:r>
        <w:rPr>
          <w:bCs/>
        </w:rPr>
        <w:t>Each focus group will be 90 minutes and will have up to 9 participants. The median hourly wage is estimated to be $</w:t>
      </w:r>
      <w:r w:rsidR="004C1A47">
        <w:rPr>
          <w:bCs/>
        </w:rPr>
        <w:t>16.74</w:t>
      </w:r>
      <w:r>
        <w:rPr>
          <w:bCs/>
        </w:rPr>
        <w:t xml:space="preserve"> for </w:t>
      </w:r>
      <w:r w:rsidR="00405C1B">
        <w:rPr>
          <w:bCs/>
        </w:rPr>
        <w:t>construction</w:t>
      </w:r>
      <w:r>
        <w:rPr>
          <w:bCs/>
        </w:rPr>
        <w:t xml:space="preserve"> workers based on the most recent (May 2018) National Occupational Employment and Wage Estimates for all occupations, published on the Bureau of Labor Statistics website: </w:t>
      </w:r>
      <w:hyperlink w:history="1" r:id="rId11">
        <w:r w:rsidRPr="00082237" w:rsidR="002C5DB3">
          <w:rPr>
            <w:rStyle w:val="Hyperlink"/>
          </w:rPr>
          <w:t>https://www.bls.gov/ooh/construction-and-extraction/construction-laborers-and-helpers.htm</w:t>
        </w:r>
      </w:hyperlink>
      <w:r w:rsidR="002C5DB3">
        <w:t xml:space="preserve"> </w:t>
      </w:r>
    </w:p>
    <w:p w:rsidR="00C704FD" w:rsidP="004E7F74" w:rsidRDefault="00C704FD" w14:paraId="686D27AD" w14:textId="3427A8A3">
      <w:pPr>
        <w:rPr>
          <w:bCs/>
        </w:rPr>
      </w:pPr>
      <w:r>
        <w:rPr>
          <w:bCs/>
        </w:rPr>
        <w:t>Table A.12.</w:t>
      </w:r>
      <w:r w:rsidRPr="008E0301">
        <w:rPr>
          <w:bCs/>
        </w:rPr>
        <w:t xml:space="preserve">A  Annualized Burden Hours </w:t>
      </w:r>
    </w:p>
    <w:tbl>
      <w:tblPr>
        <w:tblStyle w:val="TableGrid"/>
        <w:tblW w:w="0" w:type="auto"/>
        <w:tblLook w:val="04A0" w:firstRow="1" w:lastRow="0" w:firstColumn="1" w:lastColumn="0" w:noHBand="0" w:noVBand="1"/>
      </w:tblPr>
      <w:tblGrid>
        <w:gridCol w:w="1652"/>
        <w:gridCol w:w="1652"/>
        <w:gridCol w:w="1652"/>
        <w:gridCol w:w="1652"/>
        <w:gridCol w:w="1653"/>
        <w:gridCol w:w="1653"/>
      </w:tblGrid>
      <w:tr w:rsidRPr="00BA2612" w:rsidR="00720BE0" w:rsidTr="00720BE0" w14:paraId="0A3A45D2" w14:textId="77777777">
        <w:trPr>
          <w:trHeight w:val="980"/>
        </w:trPr>
        <w:tc>
          <w:tcPr>
            <w:tcW w:w="1652" w:type="dxa"/>
            <w:vAlign w:val="center"/>
          </w:tcPr>
          <w:p w:rsidRPr="00720BE0" w:rsidR="00720BE0" w:rsidP="00720BE0" w:rsidRDefault="00720BE0" w14:paraId="3E980DDC"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Autospacing="0"/>
              <w:jc w:val="center"/>
              <w:rPr>
                <w:rFonts w:asciiTheme="minorHAnsi" w:hAnsiTheme="minorHAnsi" w:cstheme="minorHAnsi"/>
                <w:b/>
                <w:bCs/>
                <w:color w:val="000000"/>
                <w:sz w:val="22"/>
              </w:rPr>
            </w:pPr>
            <w:r w:rsidRPr="00720BE0">
              <w:rPr>
                <w:rFonts w:asciiTheme="minorHAnsi" w:hAnsiTheme="minorHAnsi" w:cstheme="minorHAnsi"/>
                <w:b/>
                <w:bCs/>
                <w:color w:val="000000"/>
                <w:sz w:val="22"/>
              </w:rPr>
              <w:t>Type of Respondent</w:t>
            </w:r>
          </w:p>
        </w:tc>
        <w:tc>
          <w:tcPr>
            <w:tcW w:w="1652" w:type="dxa"/>
            <w:vAlign w:val="center"/>
          </w:tcPr>
          <w:p w:rsidRPr="00720BE0" w:rsidR="00720BE0" w:rsidP="00720BE0" w:rsidRDefault="00720BE0" w14:paraId="6A588DF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Autospacing="0"/>
              <w:jc w:val="center"/>
              <w:rPr>
                <w:rFonts w:asciiTheme="minorHAnsi" w:hAnsiTheme="minorHAnsi" w:cstheme="minorHAnsi"/>
                <w:b/>
                <w:bCs/>
                <w:color w:val="000000"/>
                <w:sz w:val="22"/>
              </w:rPr>
            </w:pPr>
            <w:r w:rsidRPr="00720BE0">
              <w:rPr>
                <w:rFonts w:asciiTheme="minorHAnsi" w:hAnsiTheme="minorHAnsi" w:cstheme="minorHAnsi"/>
                <w:b/>
                <w:bCs/>
                <w:color w:val="000000"/>
                <w:sz w:val="22"/>
              </w:rPr>
              <w:t>Form Name</w:t>
            </w:r>
          </w:p>
        </w:tc>
        <w:tc>
          <w:tcPr>
            <w:tcW w:w="1652" w:type="dxa"/>
            <w:vAlign w:val="center"/>
          </w:tcPr>
          <w:p w:rsidRPr="00720BE0" w:rsidR="00720BE0" w:rsidRDefault="00720BE0" w14:paraId="101C4048"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Autospacing="0" w:afterAutospacing="0"/>
              <w:jc w:val="center"/>
              <w:rPr>
                <w:rFonts w:asciiTheme="minorHAnsi" w:hAnsiTheme="minorHAnsi" w:cstheme="minorHAnsi"/>
                <w:b/>
                <w:bCs/>
                <w:color w:val="000000"/>
                <w:sz w:val="22"/>
              </w:rPr>
            </w:pPr>
            <w:r w:rsidRPr="00720BE0">
              <w:rPr>
                <w:rFonts w:asciiTheme="minorHAnsi" w:hAnsiTheme="minorHAnsi" w:cstheme="minorHAnsi"/>
                <w:b/>
                <w:bCs/>
                <w:color w:val="000000"/>
                <w:sz w:val="22"/>
              </w:rPr>
              <w:t>Number of</w:t>
            </w:r>
          </w:p>
          <w:p w:rsidRPr="00720BE0" w:rsidR="00720BE0" w:rsidRDefault="00720BE0" w14:paraId="26DAC221"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Autospacing="0" w:afterAutospacing="0"/>
              <w:jc w:val="center"/>
              <w:rPr>
                <w:rFonts w:asciiTheme="minorHAnsi" w:hAnsiTheme="minorHAnsi" w:cstheme="minorHAnsi"/>
                <w:b/>
                <w:bCs/>
                <w:color w:val="000000"/>
                <w:sz w:val="22"/>
              </w:rPr>
            </w:pPr>
            <w:r w:rsidRPr="00720BE0">
              <w:rPr>
                <w:rFonts w:asciiTheme="minorHAnsi" w:hAnsiTheme="minorHAnsi" w:cstheme="minorHAnsi"/>
                <w:b/>
                <w:bCs/>
                <w:color w:val="000000"/>
                <w:sz w:val="22"/>
              </w:rPr>
              <w:t>Respondents</w:t>
            </w:r>
          </w:p>
        </w:tc>
        <w:tc>
          <w:tcPr>
            <w:tcW w:w="1652" w:type="dxa"/>
            <w:vAlign w:val="center"/>
          </w:tcPr>
          <w:p w:rsidRPr="00720BE0" w:rsidR="00720BE0" w:rsidRDefault="00720BE0" w14:paraId="53F2DC82"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Autospacing="0" w:afterAutospacing="0"/>
              <w:jc w:val="center"/>
              <w:rPr>
                <w:rFonts w:asciiTheme="minorHAnsi" w:hAnsiTheme="minorHAnsi" w:cstheme="minorHAnsi"/>
                <w:b/>
                <w:bCs/>
                <w:color w:val="000000"/>
                <w:sz w:val="22"/>
              </w:rPr>
            </w:pPr>
            <w:r w:rsidRPr="00720BE0">
              <w:rPr>
                <w:rFonts w:asciiTheme="minorHAnsi" w:hAnsiTheme="minorHAnsi" w:cstheme="minorHAnsi"/>
                <w:b/>
                <w:bCs/>
                <w:color w:val="000000"/>
                <w:sz w:val="22"/>
              </w:rPr>
              <w:t>Number of</w:t>
            </w:r>
          </w:p>
          <w:p w:rsidRPr="00720BE0" w:rsidR="00720BE0" w:rsidP="00720BE0" w:rsidRDefault="00720BE0" w14:paraId="27024BEF"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Autospacing="0" w:afterAutospacing="0"/>
              <w:jc w:val="center"/>
              <w:rPr>
                <w:rFonts w:asciiTheme="minorHAnsi" w:hAnsiTheme="minorHAnsi" w:cstheme="minorHAnsi"/>
                <w:b/>
                <w:bCs/>
                <w:color w:val="000000"/>
                <w:sz w:val="22"/>
              </w:rPr>
            </w:pPr>
            <w:r w:rsidRPr="00720BE0">
              <w:rPr>
                <w:rFonts w:asciiTheme="minorHAnsi" w:hAnsiTheme="minorHAnsi" w:cstheme="minorHAnsi"/>
                <w:b/>
                <w:bCs/>
                <w:color w:val="000000"/>
                <w:sz w:val="22"/>
              </w:rPr>
              <w:t>Responses per</w:t>
            </w:r>
          </w:p>
          <w:p w:rsidRPr="00720BE0" w:rsidR="00720BE0" w:rsidP="00720BE0" w:rsidRDefault="00720BE0" w14:paraId="1E27C819"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Autospacing="0" w:afterAutospacing="0"/>
              <w:jc w:val="center"/>
              <w:rPr>
                <w:rFonts w:asciiTheme="minorHAnsi" w:hAnsiTheme="minorHAnsi" w:cstheme="minorHAnsi"/>
                <w:b/>
                <w:bCs/>
                <w:color w:val="000000"/>
                <w:sz w:val="22"/>
              </w:rPr>
            </w:pPr>
            <w:r w:rsidRPr="00720BE0">
              <w:rPr>
                <w:rFonts w:asciiTheme="minorHAnsi" w:hAnsiTheme="minorHAnsi" w:cstheme="minorHAnsi"/>
                <w:b/>
                <w:bCs/>
                <w:color w:val="000000"/>
                <w:sz w:val="22"/>
              </w:rPr>
              <w:t>Respondent</w:t>
            </w:r>
          </w:p>
        </w:tc>
        <w:tc>
          <w:tcPr>
            <w:tcW w:w="1653" w:type="dxa"/>
            <w:vAlign w:val="center"/>
          </w:tcPr>
          <w:p w:rsidRPr="00720BE0" w:rsidR="00720BE0" w:rsidRDefault="00720BE0" w14:paraId="274A3656"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Autospacing="0" w:afterAutospacing="0"/>
              <w:jc w:val="center"/>
              <w:rPr>
                <w:rFonts w:asciiTheme="minorHAnsi" w:hAnsiTheme="minorHAnsi" w:cstheme="minorHAnsi"/>
                <w:b/>
                <w:bCs/>
                <w:color w:val="000000"/>
                <w:sz w:val="22"/>
              </w:rPr>
            </w:pPr>
            <w:r w:rsidRPr="00720BE0">
              <w:rPr>
                <w:rFonts w:asciiTheme="minorHAnsi" w:hAnsiTheme="minorHAnsi" w:cstheme="minorHAnsi"/>
                <w:b/>
                <w:bCs/>
                <w:color w:val="000000"/>
                <w:sz w:val="22"/>
              </w:rPr>
              <w:t>Average Hours</w:t>
            </w:r>
          </w:p>
          <w:p w:rsidRPr="00720BE0" w:rsidR="00720BE0" w:rsidP="00720BE0" w:rsidRDefault="00720BE0" w14:paraId="65134127"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Autospacing="0" w:afterAutospacing="0"/>
              <w:jc w:val="center"/>
              <w:rPr>
                <w:rFonts w:asciiTheme="minorHAnsi" w:hAnsiTheme="minorHAnsi" w:cstheme="minorHAnsi"/>
                <w:b/>
                <w:bCs/>
                <w:color w:val="000000"/>
                <w:sz w:val="22"/>
              </w:rPr>
            </w:pPr>
            <w:r w:rsidRPr="00720BE0">
              <w:rPr>
                <w:rFonts w:asciiTheme="minorHAnsi" w:hAnsiTheme="minorHAnsi" w:cstheme="minorHAnsi"/>
                <w:b/>
                <w:bCs/>
                <w:color w:val="000000"/>
                <w:sz w:val="22"/>
              </w:rPr>
              <w:t>Per Response</w:t>
            </w:r>
          </w:p>
        </w:tc>
        <w:tc>
          <w:tcPr>
            <w:tcW w:w="1653" w:type="dxa"/>
            <w:vAlign w:val="center"/>
          </w:tcPr>
          <w:p w:rsidRPr="00720BE0" w:rsidR="00720BE0" w:rsidRDefault="00720BE0" w14:paraId="4EC57331"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Autospacing="0" w:afterAutospacing="0"/>
              <w:jc w:val="center"/>
              <w:rPr>
                <w:rFonts w:asciiTheme="minorHAnsi" w:hAnsiTheme="minorHAnsi" w:cstheme="minorHAnsi"/>
                <w:b/>
                <w:bCs/>
                <w:color w:val="000000"/>
                <w:sz w:val="22"/>
              </w:rPr>
            </w:pPr>
            <w:r w:rsidRPr="00720BE0">
              <w:rPr>
                <w:rFonts w:asciiTheme="minorHAnsi" w:hAnsiTheme="minorHAnsi" w:cstheme="minorHAnsi"/>
                <w:b/>
                <w:bCs/>
                <w:color w:val="000000"/>
                <w:sz w:val="22"/>
              </w:rPr>
              <w:t>Total Response</w:t>
            </w:r>
          </w:p>
          <w:p w:rsidRPr="00720BE0" w:rsidR="00720BE0" w:rsidP="00720BE0" w:rsidRDefault="00720BE0" w14:paraId="07E104D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Autospacing="0" w:afterAutospacing="0"/>
              <w:jc w:val="center"/>
              <w:rPr>
                <w:rFonts w:asciiTheme="minorHAnsi" w:hAnsiTheme="minorHAnsi" w:cstheme="minorHAnsi"/>
                <w:b/>
                <w:bCs/>
                <w:color w:val="000000"/>
                <w:sz w:val="22"/>
              </w:rPr>
            </w:pPr>
            <w:r w:rsidRPr="00720BE0">
              <w:rPr>
                <w:rFonts w:asciiTheme="minorHAnsi" w:hAnsiTheme="minorHAnsi" w:cstheme="minorHAnsi"/>
                <w:b/>
                <w:bCs/>
                <w:color w:val="000000"/>
                <w:sz w:val="22"/>
              </w:rPr>
              <w:t>Burden</w:t>
            </w:r>
          </w:p>
          <w:p w:rsidRPr="00720BE0" w:rsidR="00720BE0" w:rsidP="00720BE0" w:rsidRDefault="00720BE0" w14:paraId="5E84082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Autospacing="0" w:afterAutospacing="0"/>
              <w:jc w:val="center"/>
              <w:rPr>
                <w:rFonts w:asciiTheme="minorHAnsi" w:hAnsiTheme="minorHAnsi" w:cstheme="minorHAnsi"/>
                <w:b/>
                <w:bCs/>
                <w:color w:val="000000"/>
                <w:sz w:val="22"/>
              </w:rPr>
            </w:pPr>
            <w:r w:rsidRPr="00720BE0">
              <w:rPr>
                <w:rFonts w:asciiTheme="minorHAnsi" w:hAnsiTheme="minorHAnsi" w:cstheme="minorHAnsi"/>
                <w:b/>
                <w:bCs/>
                <w:color w:val="000000"/>
                <w:sz w:val="22"/>
              </w:rPr>
              <w:t>(Hours)</w:t>
            </w:r>
          </w:p>
        </w:tc>
      </w:tr>
      <w:tr w:rsidRPr="00BA2612" w:rsidR="00720BE0" w:rsidTr="00720BE0" w14:paraId="2ADCDCDB" w14:textId="77777777">
        <w:trPr>
          <w:trHeight w:val="537"/>
        </w:trPr>
        <w:tc>
          <w:tcPr>
            <w:tcW w:w="1652" w:type="dxa"/>
          </w:tcPr>
          <w:p w:rsidRPr="00720BE0" w:rsidR="00720BE0" w:rsidP="00BC7B28" w:rsidRDefault="000F319B" w14:paraId="789547DA" w14:textId="7B0D14C7">
            <w:pPr>
              <w:keepNext/>
              <w:keepLines/>
              <w:rPr>
                <w:rFonts w:asciiTheme="minorHAnsi" w:hAnsiTheme="minorHAnsi" w:cstheme="minorHAnsi"/>
                <w:sz w:val="22"/>
              </w:rPr>
            </w:pPr>
            <w:r>
              <w:rPr>
                <w:rFonts w:asciiTheme="minorHAnsi" w:hAnsiTheme="minorHAnsi" w:cstheme="minorHAnsi"/>
                <w:color w:val="000000"/>
                <w:sz w:val="22"/>
              </w:rPr>
              <w:lastRenderedPageBreak/>
              <w:t xml:space="preserve">Spanish-speaking </w:t>
            </w:r>
            <w:r w:rsidR="000D5CEE">
              <w:rPr>
                <w:rFonts w:asciiTheme="minorHAnsi" w:hAnsiTheme="minorHAnsi" w:cstheme="minorHAnsi"/>
                <w:color w:val="000000"/>
                <w:sz w:val="22"/>
              </w:rPr>
              <w:t xml:space="preserve">Construction </w:t>
            </w:r>
            <w:r w:rsidRPr="00720BE0" w:rsidR="00720BE0">
              <w:rPr>
                <w:rFonts w:asciiTheme="minorHAnsi" w:hAnsiTheme="minorHAnsi" w:cstheme="minorHAnsi"/>
                <w:color w:val="000000"/>
                <w:sz w:val="22"/>
              </w:rPr>
              <w:t xml:space="preserve">Workers </w:t>
            </w:r>
          </w:p>
        </w:tc>
        <w:tc>
          <w:tcPr>
            <w:tcW w:w="1652" w:type="dxa"/>
          </w:tcPr>
          <w:p w:rsidRPr="00720BE0" w:rsidR="00720BE0" w:rsidP="00BC7B28" w:rsidRDefault="000D5CEE" w14:paraId="11F269BD" w14:textId="77777777">
            <w:pPr>
              <w:keepNext/>
              <w:keepLines/>
              <w:rPr>
                <w:rFonts w:asciiTheme="minorHAnsi" w:hAnsiTheme="minorHAnsi" w:cstheme="minorHAnsi"/>
                <w:sz w:val="22"/>
              </w:rPr>
            </w:pPr>
            <w:r>
              <w:rPr>
                <w:rFonts w:asciiTheme="minorHAnsi" w:hAnsiTheme="minorHAnsi" w:cstheme="minorHAnsi"/>
                <w:sz w:val="22"/>
              </w:rPr>
              <w:t>Focus group guide</w:t>
            </w:r>
            <w:r w:rsidRPr="00720BE0" w:rsidR="00720BE0">
              <w:rPr>
                <w:rFonts w:asciiTheme="minorHAnsi" w:hAnsiTheme="minorHAnsi" w:cstheme="minorHAnsi"/>
                <w:sz w:val="22"/>
              </w:rPr>
              <w:t xml:space="preserve"> </w:t>
            </w:r>
          </w:p>
        </w:tc>
        <w:tc>
          <w:tcPr>
            <w:tcW w:w="1652" w:type="dxa"/>
          </w:tcPr>
          <w:p w:rsidRPr="00720BE0" w:rsidR="00720BE0" w:rsidP="00BC7B28" w:rsidRDefault="000D5CEE" w14:paraId="1BCF2EBC" w14:textId="77777777">
            <w:pPr>
              <w:keepNext/>
              <w:keepLines/>
              <w:rPr>
                <w:rFonts w:asciiTheme="minorHAnsi" w:hAnsiTheme="minorHAnsi" w:cstheme="minorHAnsi"/>
                <w:sz w:val="22"/>
              </w:rPr>
            </w:pPr>
            <w:r>
              <w:rPr>
                <w:rFonts w:asciiTheme="minorHAnsi" w:hAnsiTheme="minorHAnsi" w:cstheme="minorHAnsi"/>
                <w:sz w:val="22"/>
              </w:rPr>
              <w:t>72</w:t>
            </w:r>
          </w:p>
        </w:tc>
        <w:tc>
          <w:tcPr>
            <w:tcW w:w="1652" w:type="dxa"/>
          </w:tcPr>
          <w:p w:rsidRPr="00720BE0" w:rsidR="00720BE0" w:rsidP="00BC7B28" w:rsidRDefault="00720BE0" w14:paraId="7640A92D" w14:textId="77777777">
            <w:pPr>
              <w:keepNext/>
              <w:keepLines/>
              <w:rPr>
                <w:rFonts w:asciiTheme="minorHAnsi" w:hAnsiTheme="minorHAnsi" w:cstheme="minorHAnsi"/>
                <w:sz w:val="22"/>
              </w:rPr>
            </w:pPr>
            <w:r w:rsidRPr="00720BE0">
              <w:rPr>
                <w:rFonts w:asciiTheme="minorHAnsi" w:hAnsiTheme="minorHAnsi" w:cstheme="minorHAnsi"/>
                <w:sz w:val="22"/>
              </w:rPr>
              <w:t>1</w:t>
            </w:r>
          </w:p>
        </w:tc>
        <w:tc>
          <w:tcPr>
            <w:tcW w:w="1653" w:type="dxa"/>
          </w:tcPr>
          <w:p w:rsidRPr="00720BE0" w:rsidR="00720BE0" w:rsidP="00BC7B28" w:rsidRDefault="00720BE0" w14:paraId="29A71D1C" w14:textId="77777777">
            <w:pPr>
              <w:keepNext/>
              <w:keepLines/>
              <w:rPr>
                <w:rFonts w:asciiTheme="minorHAnsi" w:hAnsiTheme="minorHAnsi" w:cstheme="minorHAnsi"/>
                <w:sz w:val="22"/>
              </w:rPr>
            </w:pPr>
            <w:r w:rsidRPr="00720BE0">
              <w:rPr>
                <w:rFonts w:asciiTheme="minorHAnsi" w:hAnsiTheme="minorHAnsi" w:cstheme="minorHAnsi"/>
                <w:sz w:val="22"/>
              </w:rPr>
              <w:t>1.5</w:t>
            </w:r>
          </w:p>
        </w:tc>
        <w:tc>
          <w:tcPr>
            <w:tcW w:w="1653" w:type="dxa"/>
          </w:tcPr>
          <w:p w:rsidRPr="00720BE0" w:rsidR="00720BE0" w:rsidP="00BC7B28" w:rsidRDefault="000D5CEE" w14:paraId="0B147518" w14:textId="77777777">
            <w:pPr>
              <w:keepNext/>
              <w:keepLines/>
              <w:rPr>
                <w:rFonts w:asciiTheme="minorHAnsi" w:hAnsiTheme="minorHAnsi" w:cstheme="minorHAnsi"/>
                <w:sz w:val="22"/>
              </w:rPr>
            </w:pPr>
            <w:r>
              <w:rPr>
                <w:rFonts w:asciiTheme="minorHAnsi" w:hAnsiTheme="minorHAnsi" w:cstheme="minorHAnsi"/>
                <w:sz w:val="22"/>
              </w:rPr>
              <w:t>108</w:t>
            </w:r>
          </w:p>
        </w:tc>
      </w:tr>
      <w:tr w:rsidRPr="00BA2612" w:rsidR="00720BE0" w:rsidTr="00720BE0" w14:paraId="716D4C2C" w14:textId="77777777">
        <w:trPr>
          <w:trHeight w:val="250"/>
        </w:trPr>
        <w:tc>
          <w:tcPr>
            <w:tcW w:w="1652" w:type="dxa"/>
          </w:tcPr>
          <w:p w:rsidRPr="00720BE0" w:rsidR="00720BE0" w:rsidP="00BC7B28" w:rsidRDefault="00720BE0" w14:paraId="76118DCE" w14:textId="77777777">
            <w:pPr>
              <w:keepNext/>
              <w:keepLines/>
              <w:rPr>
                <w:rFonts w:asciiTheme="minorHAnsi" w:hAnsiTheme="minorHAnsi" w:cstheme="minorHAnsi"/>
                <w:sz w:val="22"/>
              </w:rPr>
            </w:pPr>
            <w:r w:rsidRPr="00720BE0">
              <w:rPr>
                <w:rFonts w:asciiTheme="minorHAnsi" w:hAnsiTheme="minorHAnsi" w:cstheme="minorHAnsi"/>
                <w:sz w:val="22"/>
              </w:rPr>
              <w:t>Total</w:t>
            </w:r>
          </w:p>
        </w:tc>
        <w:tc>
          <w:tcPr>
            <w:tcW w:w="1652" w:type="dxa"/>
          </w:tcPr>
          <w:p w:rsidRPr="00720BE0" w:rsidR="00720BE0" w:rsidP="00BC7B28" w:rsidRDefault="00720BE0" w14:paraId="1A7A0648" w14:textId="77777777">
            <w:pPr>
              <w:keepNext/>
              <w:keepLines/>
              <w:rPr>
                <w:rFonts w:asciiTheme="minorHAnsi" w:hAnsiTheme="minorHAnsi" w:cstheme="minorHAnsi"/>
                <w:sz w:val="22"/>
              </w:rPr>
            </w:pPr>
          </w:p>
        </w:tc>
        <w:tc>
          <w:tcPr>
            <w:tcW w:w="1652" w:type="dxa"/>
          </w:tcPr>
          <w:p w:rsidRPr="00720BE0" w:rsidR="00720BE0" w:rsidP="00BC7B28" w:rsidRDefault="000D5CEE" w14:paraId="564FC81B" w14:textId="77777777">
            <w:pPr>
              <w:keepNext/>
              <w:keepLines/>
              <w:rPr>
                <w:rFonts w:asciiTheme="minorHAnsi" w:hAnsiTheme="minorHAnsi" w:cstheme="minorHAnsi"/>
                <w:sz w:val="22"/>
              </w:rPr>
            </w:pPr>
            <w:r>
              <w:rPr>
                <w:rFonts w:asciiTheme="minorHAnsi" w:hAnsiTheme="minorHAnsi" w:cstheme="minorHAnsi"/>
                <w:sz w:val="22"/>
              </w:rPr>
              <w:t>72</w:t>
            </w:r>
          </w:p>
        </w:tc>
        <w:tc>
          <w:tcPr>
            <w:tcW w:w="1652" w:type="dxa"/>
          </w:tcPr>
          <w:p w:rsidRPr="00720BE0" w:rsidR="00720BE0" w:rsidP="00BC7B28" w:rsidRDefault="00720BE0" w14:paraId="4DBC8661" w14:textId="77777777">
            <w:pPr>
              <w:keepNext/>
              <w:keepLines/>
              <w:rPr>
                <w:rFonts w:asciiTheme="minorHAnsi" w:hAnsiTheme="minorHAnsi" w:cstheme="minorHAnsi"/>
                <w:sz w:val="22"/>
              </w:rPr>
            </w:pPr>
          </w:p>
        </w:tc>
        <w:tc>
          <w:tcPr>
            <w:tcW w:w="1653" w:type="dxa"/>
          </w:tcPr>
          <w:p w:rsidRPr="00720BE0" w:rsidR="00720BE0" w:rsidP="00BC7B28" w:rsidRDefault="00720BE0" w14:paraId="547C1785" w14:textId="77777777">
            <w:pPr>
              <w:keepNext/>
              <w:keepLines/>
              <w:rPr>
                <w:rFonts w:asciiTheme="minorHAnsi" w:hAnsiTheme="minorHAnsi" w:cstheme="minorHAnsi"/>
                <w:sz w:val="22"/>
              </w:rPr>
            </w:pPr>
          </w:p>
        </w:tc>
        <w:tc>
          <w:tcPr>
            <w:tcW w:w="1653" w:type="dxa"/>
          </w:tcPr>
          <w:p w:rsidRPr="00720BE0" w:rsidR="00720BE0" w:rsidP="00BC7B28" w:rsidRDefault="000D5CEE" w14:paraId="379F32D1" w14:textId="77777777">
            <w:pPr>
              <w:keepNext/>
              <w:keepLines/>
              <w:rPr>
                <w:rFonts w:asciiTheme="minorHAnsi" w:hAnsiTheme="minorHAnsi" w:cstheme="minorHAnsi"/>
                <w:sz w:val="22"/>
              </w:rPr>
            </w:pPr>
            <w:r>
              <w:rPr>
                <w:rFonts w:asciiTheme="minorHAnsi" w:hAnsiTheme="minorHAnsi" w:cstheme="minorHAnsi"/>
                <w:sz w:val="22"/>
              </w:rPr>
              <w:t>108</w:t>
            </w:r>
          </w:p>
        </w:tc>
      </w:tr>
    </w:tbl>
    <w:p w:rsidR="00C704FD" w:rsidP="004E7F74" w:rsidRDefault="00C704FD" w14:paraId="0910226F" w14:textId="11E7226B">
      <w:pPr>
        <w:rPr>
          <w:bCs/>
        </w:rPr>
      </w:pPr>
    </w:p>
    <w:p w:rsidRPr="004E7F74" w:rsidR="00CC7727" w:rsidP="004E7F74" w:rsidRDefault="002A3D2E" w14:paraId="5BDBBB97" w14:textId="155EBDB0">
      <w:pPr>
        <w:rPr>
          <w:bCs/>
        </w:rPr>
      </w:pPr>
      <w:r>
        <w:rPr>
          <w:bCs/>
        </w:rPr>
        <w:t>Table A.12.B Annualized Cost</w:t>
      </w:r>
    </w:p>
    <w:tbl>
      <w:tblPr>
        <w:tblW w:w="987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037"/>
        <w:gridCol w:w="2481"/>
        <w:gridCol w:w="2006"/>
        <w:gridCol w:w="2353"/>
      </w:tblGrid>
      <w:tr w:rsidRPr="002B49B4" w:rsidR="004B4CCD" w:rsidTr="004C1DFD" w14:paraId="56E5435A" w14:textId="77777777">
        <w:trPr>
          <w:trHeight w:val="432"/>
        </w:trPr>
        <w:tc>
          <w:tcPr>
            <w:tcW w:w="3037" w:type="dxa"/>
          </w:tcPr>
          <w:p w:rsidRPr="002B49B4" w:rsidR="004B4CCD" w:rsidP="004C1DFD" w:rsidRDefault="004B4CCD" w14:paraId="4B05A5E9" w14:textId="77777777">
            <w:pPr>
              <w:widowControl w:val="0"/>
              <w:autoSpaceDE w:val="0"/>
              <w:autoSpaceDN w:val="0"/>
              <w:adjustRightInd w:val="0"/>
              <w:spacing w:after="0" w:line="240" w:lineRule="auto"/>
              <w:jc w:val="center"/>
              <w:rPr>
                <w:b/>
                <w:bCs/>
              </w:rPr>
            </w:pPr>
            <w:r w:rsidRPr="002B49B4">
              <w:rPr>
                <w:b/>
                <w:bCs/>
              </w:rPr>
              <w:t>Activity</w:t>
            </w:r>
          </w:p>
        </w:tc>
        <w:tc>
          <w:tcPr>
            <w:tcW w:w="2481" w:type="dxa"/>
          </w:tcPr>
          <w:p w:rsidRPr="002B49B4" w:rsidR="004B4CCD" w:rsidP="004C1DFD" w:rsidRDefault="004B4CCD" w14:paraId="32BAAE37" w14:textId="77777777">
            <w:pPr>
              <w:widowControl w:val="0"/>
              <w:autoSpaceDE w:val="0"/>
              <w:autoSpaceDN w:val="0"/>
              <w:adjustRightInd w:val="0"/>
              <w:spacing w:after="0" w:line="240" w:lineRule="auto"/>
              <w:jc w:val="center"/>
              <w:rPr>
                <w:b/>
                <w:bCs/>
              </w:rPr>
            </w:pPr>
            <w:r w:rsidRPr="002B49B4">
              <w:rPr>
                <w:b/>
                <w:bCs/>
              </w:rPr>
              <w:t>Total Burden Hours</w:t>
            </w:r>
          </w:p>
        </w:tc>
        <w:tc>
          <w:tcPr>
            <w:tcW w:w="2006" w:type="dxa"/>
          </w:tcPr>
          <w:p w:rsidRPr="002B49B4" w:rsidR="004B4CCD" w:rsidP="004C1DFD" w:rsidRDefault="004B4CCD" w14:paraId="3EBA5444" w14:textId="77777777">
            <w:pPr>
              <w:widowControl w:val="0"/>
              <w:autoSpaceDE w:val="0"/>
              <w:autoSpaceDN w:val="0"/>
              <w:adjustRightInd w:val="0"/>
              <w:spacing w:after="0" w:line="240" w:lineRule="auto"/>
              <w:jc w:val="center"/>
              <w:rPr>
                <w:b/>
                <w:bCs/>
              </w:rPr>
            </w:pPr>
            <w:r w:rsidRPr="002B49B4">
              <w:rPr>
                <w:b/>
                <w:bCs/>
              </w:rPr>
              <w:t>Hourly Wage Rate</w:t>
            </w:r>
          </w:p>
        </w:tc>
        <w:tc>
          <w:tcPr>
            <w:tcW w:w="2353" w:type="dxa"/>
          </w:tcPr>
          <w:p w:rsidRPr="002B49B4" w:rsidR="004B4CCD" w:rsidP="004C1DFD" w:rsidRDefault="004B4CCD" w14:paraId="0D3F77D8" w14:textId="77777777">
            <w:pPr>
              <w:widowControl w:val="0"/>
              <w:autoSpaceDE w:val="0"/>
              <w:autoSpaceDN w:val="0"/>
              <w:adjustRightInd w:val="0"/>
              <w:spacing w:after="0" w:line="240" w:lineRule="auto"/>
              <w:jc w:val="center"/>
              <w:rPr>
                <w:b/>
                <w:bCs/>
              </w:rPr>
            </w:pPr>
            <w:r w:rsidRPr="002B49B4">
              <w:rPr>
                <w:b/>
                <w:bCs/>
              </w:rPr>
              <w:t>Total Respondent Cost</w:t>
            </w:r>
          </w:p>
        </w:tc>
      </w:tr>
      <w:tr w:rsidRPr="002B49B4" w:rsidR="004B4CCD" w:rsidTr="004C1DFD" w14:paraId="3F807505" w14:textId="77777777">
        <w:trPr>
          <w:trHeight w:val="432"/>
        </w:trPr>
        <w:tc>
          <w:tcPr>
            <w:tcW w:w="3037" w:type="dxa"/>
          </w:tcPr>
          <w:p w:rsidRPr="002B49B4" w:rsidR="004B4CCD" w:rsidP="00BE275B" w:rsidRDefault="004E7F74" w14:paraId="3455C224" w14:textId="48372F51">
            <w:pPr>
              <w:autoSpaceDE w:val="0"/>
              <w:autoSpaceDN w:val="0"/>
              <w:adjustRightInd w:val="0"/>
              <w:spacing w:after="58"/>
              <w:rPr>
                <w:color w:val="000000"/>
              </w:rPr>
            </w:pPr>
            <w:r>
              <w:rPr>
                <w:color w:val="000000"/>
              </w:rPr>
              <w:t xml:space="preserve">Focus </w:t>
            </w:r>
            <w:r w:rsidR="00791C2E">
              <w:rPr>
                <w:color w:val="000000"/>
              </w:rPr>
              <w:t>g</w:t>
            </w:r>
            <w:r>
              <w:rPr>
                <w:color w:val="000000"/>
              </w:rPr>
              <w:t>roup</w:t>
            </w:r>
            <w:r w:rsidR="000D5CEE">
              <w:rPr>
                <w:color w:val="000000"/>
              </w:rPr>
              <w:t>s/</w:t>
            </w:r>
            <w:r w:rsidR="00791C2E">
              <w:rPr>
                <w:color w:val="000000"/>
              </w:rPr>
              <w:t>c</w:t>
            </w:r>
            <w:r w:rsidR="000D5CEE">
              <w:rPr>
                <w:color w:val="000000"/>
              </w:rPr>
              <w:t>ognitive testing</w:t>
            </w:r>
          </w:p>
        </w:tc>
        <w:tc>
          <w:tcPr>
            <w:tcW w:w="2481" w:type="dxa"/>
          </w:tcPr>
          <w:p w:rsidRPr="002B49B4" w:rsidR="004B4CCD" w:rsidP="00BE275B" w:rsidRDefault="000D5CEE" w14:paraId="5905AEE0"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jc w:val="right"/>
              <w:rPr>
                <w:color w:val="000000"/>
              </w:rPr>
            </w:pPr>
            <w:r>
              <w:rPr>
                <w:color w:val="000000"/>
              </w:rPr>
              <w:t>108</w:t>
            </w:r>
          </w:p>
        </w:tc>
        <w:tc>
          <w:tcPr>
            <w:tcW w:w="2006" w:type="dxa"/>
          </w:tcPr>
          <w:p w:rsidRPr="002B49B4" w:rsidR="004B4CCD" w:rsidP="004E7F74" w:rsidRDefault="004B4CCD" w14:paraId="4A12B25F" w14:textId="77777777">
            <w:pPr>
              <w:widowControl w:val="0"/>
              <w:autoSpaceDE w:val="0"/>
              <w:autoSpaceDN w:val="0"/>
              <w:adjustRightInd w:val="0"/>
              <w:spacing w:after="0"/>
              <w:jc w:val="right"/>
            </w:pPr>
            <w:r w:rsidRPr="002B49B4">
              <w:t>$</w:t>
            </w:r>
            <w:r w:rsidR="000D5CEE">
              <w:t>16.74</w:t>
            </w:r>
          </w:p>
        </w:tc>
        <w:tc>
          <w:tcPr>
            <w:tcW w:w="2353" w:type="dxa"/>
          </w:tcPr>
          <w:p w:rsidRPr="002B49B4" w:rsidR="004B4CCD" w:rsidP="009971ED" w:rsidRDefault="004B4CCD" w14:paraId="4A51CF09" w14:textId="77777777">
            <w:pPr>
              <w:widowControl w:val="0"/>
              <w:autoSpaceDE w:val="0"/>
              <w:autoSpaceDN w:val="0"/>
              <w:adjustRightInd w:val="0"/>
              <w:spacing w:after="0" w:line="480" w:lineRule="auto"/>
              <w:jc w:val="right"/>
            </w:pPr>
            <w:r>
              <w:t>$</w:t>
            </w:r>
            <w:r w:rsidR="000D5CEE">
              <w:t>1807.92</w:t>
            </w:r>
          </w:p>
        </w:tc>
      </w:tr>
    </w:tbl>
    <w:p w:rsidRPr="001A6DB3" w:rsidR="001A6DB3" w:rsidP="001A6DB3" w:rsidRDefault="001A6DB3" w14:paraId="70A7B519" w14:textId="77777777">
      <w:pPr>
        <w:rPr>
          <w:bCs/>
        </w:rPr>
      </w:pPr>
    </w:p>
    <w:p w:rsidRPr="004C1DFD" w:rsidR="009971ED" w:rsidP="004C1DFD" w:rsidRDefault="009971ED" w14:paraId="6CDB727F" w14:textId="555137B9">
      <w:pPr>
        <w:pStyle w:val="ListParagraph"/>
        <w:numPr>
          <w:ilvl w:val="0"/>
          <w:numId w:val="25"/>
        </w:numPr>
        <w:ind w:left="720" w:hanging="720"/>
        <w:rPr>
          <w:b/>
        </w:rPr>
      </w:pPr>
      <w:bookmarkStart w:name="_Toc9946262" w:id="13"/>
      <w:r w:rsidRPr="004C1DFD">
        <w:rPr>
          <w:b/>
        </w:rPr>
        <w:t>Estimates of Other Total Annual Cost Burden to Respondents and Record Keeping</w:t>
      </w:r>
      <w:bookmarkEnd w:id="13"/>
    </w:p>
    <w:p w:rsidRPr="00542C7E" w:rsidR="008C72C3" w:rsidRDefault="009971ED" w14:paraId="5E15D627" w14:textId="72F03D36">
      <w:r w:rsidRPr="009971ED">
        <w:t>There ar</w:t>
      </w:r>
      <w:r>
        <w:t xml:space="preserve">e no other costs to focus group participants </w:t>
      </w:r>
      <w:r w:rsidRPr="009971ED">
        <w:t xml:space="preserve">or record keepers. </w:t>
      </w:r>
      <w:r>
        <w:t xml:space="preserve">There will be no direct cost to the focus group participants other than their time to participate in </w:t>
      </w:r>
      <w:r w:rsidR="00BC3B1E">
        <w:t>the data collection activity.</w:t>
      </w:r>
    </w:p>
    <w:p w:rsidRPr="004C1DFD" w:rsidR="009971ED" w:rsidP="004C1DFD" w:rsidRDefault="009971ED" w14:paraId="2A4A697B" w14:textId="57505982">
      <w:pPr>
        <w:pStyle w:val="ListParagraph"/>
        <w:numPr>
          <w:ilvl w:val="0"/>
          <w:numId w:val="25"/>
        </w:numPr>
        <w:ind w:left="720" w:hanging="720"/>
        <w:rPr>
          <w:b/>
        </w:rPr>
      </w:pPr>
      <w:bookmarkStart w:name="_Toc9946263" w:id="14"/>
      <w:r w:rsidRPr="004C1DFD">
        <w:rPr>
          <w:b/>
        </w:rPr>
        <w:t>Annualized Cost to the Government</w:t>
      </w:r>
      <w:bookmarkEnd w:id="14"/>
    </w:p>
    <w:tbl>
      <w:tblPr>
        <w:tblW w:w="9977"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2124"/>
        <w:gridCol w:w="5944"/>
        <w:gridCol w:w="1909"/>
      </w:tblGrid>
      <w:tr w:rsidRPr="00022A54" w:rsidR="009971ED" w:rsidTr="004C1DFD" w14:paraId="4C144C9C" w14:textId="77777777">
        <w:trPr>
          <w:trHeight w:val="720"/>
        </w:trPr>
        <w:tc>
          <w:tcPr>
            <w:tcW w:w="2124" w:type="dxa"/>
          </w:tcPr>
          <w:p w:rsidRPr="00022A54" w:rsidR="009971ED" w:rsidP="00BE275B" w:rsidRDefault="009971ED" w14:paraId="03BD57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r w:rsidRPr="00022A54">
              <w:rPr>
                <w:b/>
                <w:bCs/>
                <w:color w:val="000000"/>
              </w:rPr>
              <w:t>Expense Type</w:t>
            </w:r>
          </w:p>
        </w:tc>
        <w:tc>
          <w:tcPr>
            <w:tcW w:w="5944" w:type="dxa"/>
          </w:tcPr>
          <w:p w:rsidRPr="00022A54" w:rsidR="009971ED" w:rsidP="00BE275B" w:rsidRDefault="009971ED" w14:paraId="11D265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highlight w:val="yellow"/>
              </w:rPr>
            </w:pPr>
            <w:r w:rsidRPr="00022A54">
              <w:rPr>
                <w:b/>
                <w:bCs/>
                <w:color w:val="000000"/>
              </w:rPr>
              <w:t>Expense Explanation</w:t>
            </w:r>
          </w:p>
        </w:tc>
        <w:tc>
          <w:tcPr>
            <w:tcW w:w="1909" w:type="dxa"/>
          </w:tcPr>
          <w:p w:rsidRPr="00022A54" w:rsidR="009971ED" w:rsidP="00BE275B" w:rsidRDefault="009971ED" w14:paraId="2A3EF3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color w:val="000000"/>
              </w:rPr>
            </w:pPr>
            <w:r w:rsidRPr="00022A54">
              <w:rPr>
                <w:b/>
                <w:bCs/>
                <w:color w:val="000000"/>
              </w:rPr>
              <w:t>Annual Costs (dollars)</w:t>
            </w:r>
          </w:p>
        </w:tc>
      </w:tr>
      <w:tr w:rsidRPr="00022A54" w:rsidR="00952BF1" w:rsidTr="004C1DFD" w14:paraId="6F7BCD22" w14:textId="77777777">
        <w:trPr>
          <w:trHeight w:val="432"/>
        </w:trPr>
        <w:tc>
          <w:tcPr>
            <w:tcW w:w="2124" w:type="dxa"/>
            <w:vMerge w:val="restart"/>
          </w:tcPr>
          <w:p w:rsidRPr="00022A54" w:rsidR="00952BF1" w:rsidP="00952BF1" w:rsidRDefault="00952BF1" w14:paraId="41CBEB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022A54">
              <w:rPr>
                <w:color w:val="000000"/>
              </w:rPr>
              <w:t>Direct Costs to the Federal Government</w:t>
            </w:r>
          </w:p>
        </w:tc>
        <w:tc>
          <w:tcPr>
            <w:tcW w:w="5944" w:type="dxa"/>
            <w:vAlign w:val="center"/>
          </w:tcPr>
          <w:p w:rsidRPr="00022A54" w:rsidR="00952BF1" w:rsidP="004C1DFD" w:rsidRDefault="00952BF1" w14:paraId="4718ECEC" w14:textId="327769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color w:val="000000"/>
              </w:rPr>
            </w:pPr>
            <w:r>
              <w:rPr>
                <w:color w:val="000000"/>
              </w:rPr>
              <w:t>CDC Project Officer (GS-11, 0.10 FTE)</w:t>
            </w:r>
          </w:p>
        </w:tc>
        <w:tc>
          <w:tcPr>
            <w:tcW w:w="1909" w:type="dxa"/>
            <w:vAlign w:val="center"/>
          </w:tcPr>
          <w:p w:rsidRPr="00022A54" w:rsidR="00952BF1" w:rsidP="004C1DFD" w:rsidRDefault="00952BF1" w14:paraId="2245EC02" w14:textId="2A187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Pr>
                <w:color w:val="000000"/>
              </w:rPr>
              <w:t>$8,720</w:t>
            </w:r>
          </w:p>
        </w:tc>
      </w:tr>
      <w:tr w:rsidRPr="00022A54" w:rsidR="00952BF1" w:rsidTr="004C1DFD" w14:paraId="4792E26A" w14:textId="77777777">
        <w:trPr>
          <w:trHeight w:val="432"/>
        </w:trPr>
        <w:tc>
          <w:tcPr>
            <w:tcW w:w="2124" w:type="dxa"/>
            <w:vMerge/>
          </w:tcPr>
          <w:p w:rsidRPr="00022A54" w:rsidR="00952BF1" w:rsidP="00952BF1" w:rsidRDefault="00952BF1" w14:paraId="7B798B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c>
          <w:tcPr>
            <w:tcW w:w="5944" w:type="dxa"/>
            <w:vAlign w:val="center"/>
          </w:tcPr>
          <w:p w:rsidRPr="00022A54" w:rsidR="00952BF1" w:rsidP="00952BF1" w:rsidRDefault="00952BF1" w14:paraId="00E330FF" w14:textId="22CC70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CDC Project Officer (GS-14, 0.10 FTE)</w:t>
            </w:r>
          </w:p>
        </w:tc>
        <w:tc>
          <w:tcPr>
            <w:tcW w:w="1909" w:type="dxa"/>
            <w:vAlign w:val="center"/>
          </w:tcPr>
          <w:p w:rsidRPr="00022A54" w:rsidR="00952BF1" w:rsidP="00952BF1" w:rsidRDefault="00952BF1" w14:paraId="26DB5685" w14:textId="1801F5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Pr>
                <w:color w:val="000000"/>
              </w:rPr>
              <w:t>$18,327</w:t>
            </w:r>
          </w:p>
        </w:tc>
      </w:tr>
      <w:tr w:rsidRPr="00022A54" w:rsidR="00952BF1" w:rsidTr="004C1DFD" w14:paraId="678A6E7C" w14:textId="77777777">
        <w:trPr>
          <w:trHeight w:val="432"/>
        </w:trPr>
        <w:tc>
          <w:tcPr>
            <w:tcW w:w="2124" w:type="dxa"/>
            <w:vMerge/>
          </w:tcPr>
          <w:p w:rsidRPr="00022A54" w:rsidR="00952BF1" w:rsidP="00952BF1" w:rsidRDefault="00952BF1" w14:paraId="6904E7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c>
          <w:tcPr>
            <w:tcW w:w="5944" w:type="dxa"/>
            <w:vAlign w:val="center"/>
          </w:tcPr>
          <w:p w:rsidRPr="00022A54" w:rsidR="00952BF1" w:rsidP="00952BF1" w:rsidRDefault="00952BF1" w14:paraId="7C2DD89E" w14:textId="3E237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7B6EE4">
              <w:rPr>
                <w:color w:val="000000"/>
              </w:rPr>
              <w:t>Subtotal, Direct costs</w:t>
            </w:r>
          </w:p>
        </w:tc>
        <w:tc>
          <w:tcPr>
            <w:tcW w:w="1909" w:type="dxa"/>
            <w:vAlign w:val="center"/>
          </w:tcPr>
          <w:p w:rsidRPr="00022A54" w:rsidR="00952BF1" w:rsidP="00952BF1" w:rsidRDefault="00952BF1" w14:paraId="05DC17D1" w14:textId="71219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Pr>
                <w:color w:val="000000"/>
              </w:rPr>
              <w:t>$27,047</w:t>
            </w:r>
          </w:p>
        </w:tc>
      </w:tr>
      <w:tr w:rsidRPr="00022A54" w:rsidR="00952BF1" w:rsidTr="004C1DFD" w14:paraId="2E700F32" w14:textId="77777777">
        <w:trPr>
          <w:trHeight w:val="1008"/>
        </w:trPr>
        <w:tc>
          <w:tcPr>
            <w:tcW w:w="2124" w:type="dxa"/>
          </w:tcPr>
          <w:p w:rsidRPr="00022A54" w:rsidR="00952BF1" w:rsidP="00952BF1" w:rsidRDefault="00952BF1" w14:paraId="2F5DFA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022A54">
              <w:rPr>
                <w:color w:val="000000"/>
              </w:rPr>
              <w:t>Cooperative Agreement or Contract</w:t>
            </w:r>
          </w:p>
        </w:tc>
        <w:tc>
          <w:tcPr>
            <w:tcW w:w="5944" w:type="dxa"/>
          </w:tcPr>
          <w:p w:rsidRPr="00022A54" w:rsidR="00952BF1" w:rsidP="004C1DFD" w:rsidRDefault="00952BF1" w14:paraId="436A3F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Contracts </w:t>
            </w:r>
          </w:p>
        </w:tc>
        <w:tc>
          <w:tcPr>
            <w:tcW w:w="1909" w:type="dxa"/>
          </w:tcPr>
          <w:p w:rsidRPr="002D3EDE" w:rsidR="00952BF1" w:rsidP="00952BF1" w:rsidRDefault="00952BF1" w14:paraId="5E0CDC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r w:rsidRPr="002D3EDE">
              <w:rPr>
                <w:color w:val="000000"/>
              </w:rPr>
              <w:t>$</w:t>
            </w:r>
            <w:r>
              <w:rPr>
                <w:color w:val="000000"/>
              </w:rPr>
              <w:t>48,024</w:t>
            </w:r>
          </w:p>
        </w:tc>
      </w:tr>
      <w:tr w:rsidRPr="00022A54" w:rsidR="00F3647B" w:rsidTr="004C1DFD" w14:paraId="0171F823" w14:textId="77777777">
        <w:trPr>
          <w:trHeight w:val="432"/>
        </w:trPr>
        <w:tc>
          <w:tcPr>
            <w:tcW w:w="8068" w:type="dxa"/>
            <w:gridSpan w:val="2"/>
          </w:tcPr>
          <w:p w:rsidRPr="007B6EE4" w:rsidR="00F3647B" w:rsidP="004C1DFD" w:rsidRDefault="00F3647B" w14:paraId="55C3F7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7B6EE4">
              <w:rPr>
                <w:color w:val="000000"/>
              </w:rPr>
              <w:t>TOTAL COST TO THE GOVERNMENT</w:t>
            </w:r>
          </w:p>
        </w:tc>
        <w:tc>
          <w:tcPr>
            <w:tcW w:w="1909" w:type="dxa"/>
          </w:tcPr>
          <w:p w:rsidRPr="007B6EE4" w:rsidR="00F3647B" w:rsidP="00952BF1" w:rsidRDefault="00F3647B" w14:paraId="59F0AE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rPr>
            </w:pPr>
            <w:bookmarkStart w:name="_Hlk31631586" w:id="15"/>
            <w:r>
              <w:rPr>
                <w:color w:val="000000"/>
              </w:rPr>
              <w:t>$</w:t>
            </w:r>
            <w:r w:rsidRPr="00CC5405">
              <w:rPr>
                <w:color w:val="000000"/>
              </w:rPr>
              <w:t>75,071</w:t>
            </w:r>
            <w:bookmarkEnd w:id="15"/>
          </w:p>
        </w:tc>
      </w:tr>
    </w:tbl>
    <w:p w:rsidR="00775346" w:rsidP="009971ED" w:rsidRDefault="00775346" w14:paraId="662A8D3A" w14:textId="77777777"/>
    <w:p w:rsidRPr="004C1DFD" w:rsidR="00775346" w:rsidP="004C1DFD" w:rsidRDefault="00775346" w14:paraId="0978D063" w14:textId="5D96CEE6">
      <w:pPr>
        <w:pStyle w:val="ListParagraph"/>
        <w:numPr>
          <w:ilvl w:val="0"/>
          <w:numId w:val="25"/>
        </w:numPr>
        <w:ind w:left="720" w:hanging="720"/>
        <w:rPr>
          <w:b/>
        </w:rPr>
      </w:pPr>
      <w:bookmarkStart w:name="_Toc9946264" w:id="16"/>
      <w:r w:rsidRPr="004C1DFD">
        <w:rPr>
          <w:b/>
        </w:rPr>
        <w:t>Explanation for Program Changes or Adjustments</w:t>
      </w:r>
      <w:bookmarkEnd w:id="16"/>
    </w:p>
    <w:p w:rsidR="00775346" w:rsidRDefault="00775346" w14:paraId="7ADF2DBE" w14:textId="1A714DD0">
      <w:r w:rsidRPr="00775346">
        <w:t xml:space="preserve">This is a new information collection </w:t>
      </w:r>
      <w:r w:rsidRPr="00775346" w:rsidR="00D60A79">
        <w:t>request;</w:t>
      </w:r>
      <w:r w:rsidRPr="00775346">
        <w:t xml:space="preserve"> </w:t>
      </w:r>
      <w:r w:rsidRPr="00775346" w:rsidR="00D15ACD">
        <w:t>therefore,</w:t>
      </w:r>
      <w:r w:rsidRPr="00775346">
        <w:t xml:space="preserve"> program changes and adjustments do not apply.</w:t>
      </w:r>
    </w:p>
    <w:p w:rsidRPr="004C1DFD" w:rsidR="00775346" w:rsidP="004C1DFD" w:rsidRDefault="00775346" w14:paraId="5EEAD2AC" w14:textId="3D34DE90">
      <w:pPr>
        <w:pStyle w:val="ListParagraph"/>
        <w:numPr>
          <w:ilvl w:val="0"/>
          <w:numId w:val="25"/>
        </w:numPr>
        <w:ind w:left="720" w:hanging="720"/>
        <w:rPr>
          <w:b/>
        </w:rPr>
      </w:pPr>
      <w:bookmarkStart w:name="_Toc9946265" w:id="17"/>
      <w:r w:rsidRPr="004C1DFD">
        <w:rPr>
          <w:b/>
        </w:rPr>
        <w:t>Plans for Tabulation and Publication and Project Time Schedule</w:t>
      </w:r>
      <w:bookmarkEnd w:id="17"/>
    </w:p>
    <w:tbl>
      <w:tblPr>
        <w:tblStyle w:val="TableGrid"/>
        <w:tblW w:w="0" w:type="auto"/>
        <w:tblInd w:w="360" w:type="dxa"/>
        <w:tblLook w:val="04A0" w:firstRow="1" w:lastRow="0" w:firstColumn="1" w:lastColumn="0" w:noHBand="0" w:noVBand="1"/>
      </w:tblPr>
      <w:tblGrid>
        <w:gridCol w:w="4314"/>
        <w:gridCol w:w="5396"/>
      </w:tblGrid>
      <w:tr w:rsidRPr="006048FF" w:rsidR="00542C7E" w:rsidTr="004C1DFD" w14:paraId="24DEF1D8" w14:textId="77777777">
        <w:trPr>
          <w:trHeight w:val="432"/>
        </w:trPr>
        <w:tc>
          <w:tcPr>
            <w:tcW w:w="4314" w:type="dxa"/>
          </w:tcPr>
          <w:p w:rsidRPr="004C1DFD" w:rsidR="00542C7E" w:rsidP="004C1DFD" w:rsidRDefault="00542C7E" w14:paraId="71A10C0A" w14:textId="77777777">
            <w:pPr>
              <w:rPr>
                <w:rFonts w:asciiTheme="minorHAnsi" w:hAnsiTheme="minorHAnsi" w:cstheme="minorHAnsi"/>
                <w:b/>
                <w:sz w:val="22"/>
              </w:rPr>
            </w:pPr>
            <w:r w:rsidRPr="004C1DFD">
              <w:rPr>
                <w:rFonts w:cstheme="minorHAnsi"/>
                <w:b/>
              </w:rPr>
              <w:t>Date</w:t>
            </w:r>
          </w:p>
        </w:tc>
        <w:tc>
          <w:tcPr>
            <w:tcW w:w="5396" w:type="dxa"/>
          </w:tcPr>
          <w:p w:rsidRPr="006048FF" w:rsidR="00542C7E" w:rsidP="004C1DFD" w:rsidRDefault="00542C7E" w14:paraId="4A57C9A1" w14:textId="77777777">
            <w:pPr>
              <w:rPr>
                <w:rFonts w:asciiTheme="minorHAnsi" w:hAnsiTheme="minorHAnsi" w:cstheme="minorHAnsi"/>
                <w:b/>
                <w:sz w:val="22"/>
              </w:rPr>
            </w:pPr>
            <w:r w:rsidRPr="006048FF">
              <w:rPr>
                <w:rFonts w:cstheme="minorHAnsi"/>
                <w:b/>
              </w:rPr>
              <w:t>Item Description</w:t>
            </w:r>
          </w:p>
        </w:tc>
      </w:tr>
      <w:tr w:rsidRPr="006048FF" w:rsidR="00542C7E" w:rsidTr="004C1DFD" w14:paraId="3E861FDB" w14:textId="77777777">
        <w:trPr>
          <w:trHeight w:val="432"/>
        </w:trPr>
        <w:tc>
          <w:tcPr>
            <w:tcW w:w="4314" w:type="dxa"/>
          </w:tcPr>
          <w:p w:rsidRPr="004C1DFD" w:rsidR="00542C7E" w:rsidP="004C1DFD" w:rsidRDefault="00DA7C6A" w14:paraId="17F0A278" w14:textId="6A1369C2">
            <w:pPr>
              <w:pStyle w:val="ListParagraph"/>
              <w:ind w:left="0"/>
              <w:rPr>
                <w:rFonts w:asciiTheme="minorHAnsi" w:hAnsiTheme="minorHAnsi" w:cstheme="minorHAnsi"/>
                <w:sz w:val="22"/>
              </w:rPr>
            </w:pPr>
            <w:r>
              <w:rPr>
                <w:rFonts w:cstheme="minorHAnsi"/>
              </w:rPr>
              <w:t>April</w:t>
            </w:r>
            <w:bookmarkStart w:name="_GoBack" w:id="18"/>
            <w:bookmarkEnd w:id="18"/>
            <w:r w:rsidRPr="006048FF" w:rsidR="00A6298B">
              <w:rPr>
                <w:rFonts w:cstheme="minorHAnsi"/>
              </w:rPr>
              <w:t>, 2020</w:t>
            </w:r>
          </w:p>
        </w:tc>
        <w:tc>
          <w:tcPr>
            <w:tcW w:w="5396" w:type="dxa"/>
          </w:tcPr>
          <w:p w:rsidRPr="004C1DFD" w:rsidR="00542C7E" w:rsidP="004C1DFD" w:rsidRDefault="00542C7E" w14:paraId="569573BE" w14:textId="77777777">
            <w:pPr>
              <w:rPr>
                <w:rFonts w:asciiTheme="minorHAnsi" w:hAnsiTheme="minorHAnsi" w:cstheme="minorHAnsi"/>
                <w:sz w:val="22"/>
              </w:rPr>
            </w:pPr>
            <w:r w:rsidRPr="006048FF">
              <w:rPr>
                <w:rFonts w:cstheme="minorHAnsi"/>
              </w:rPr>
              <w:t xml:space="preserve">Receive OMB approval </w:t>
            </w:r>
          </w:p>
        </w:tc>
      </w:tr>
      <w:tr w:rsidRPr="006048FF" w:rsidR="00542C7E" w:rsidTr="004C1DFD" w14:paraId="08007524" w14:textId="77777777">
        <w:trPr>
          <w:trHeight w:val="432"/>
        </w:trPr>
        <w:tc>
          <w:tcPr>
            <w:tcW w:w="4314" w:type="dxa"/>
          </w:tcPr>
          <w:p w:rsidRPr="006048FF" w:rsidR="00542C7E" w:rsidP="004C1DFD" w:rsidRDefault="000F319B" w14:paraId="3A80FA9D" w14:textId="112AE875">
            <w:pPr>
              <w:pStyle w:val="ListParagraph"/>
              <w:ind w:left="0"/>
              <w:rPr>
                <w:rFonts w:asciiTheme="minorHAnsi" w:hAnsiTheme="minorHAnsi" w:cstheme="minorHAnsi"/>
                <w:sz w:val="22"/>
              </w:rPr>
            </w:pPr>
            <w:r w:rsidRPr="006048FF">
              <w:rPr>
                <w:rFonts w:cstheme="minorHAnsi"/>
              </w:rPr>
              <w:t>May</w:t>
            </w:r>
            <w:r w:rsidRPr="006048FF" w:rsidR="006D3636">
              <w:rPr>
                <w:rFonts w:cstheme="minorHAnsi"/>
              </w:rPr>
              <w:t>, 2020</w:t>
            </w:r>
          </w:p>
        </w:tc>
        <w:tc>
          <w:tcPr>
            <w:tcW w:w="5396" w:type="dxa"/>
          </w:tcPr>
          <w:p w:rsidRPr="004C1DFD" w:rsidR="00542C7E" w:rsidP="004C1DFD" w:rsidRDefault="00542C7E" w14:paraId="011B1BA7" w14:textId="468AA250">
            <w:pPr>
              <w:pStyle w:val="ListParagraph"/>
              <w:ind w:left="0"/>
              <w:rPr>
                <w:rFonts w:asciiTheme="minorHAnsi" w:hAnsiTheme="minorHAnsi" w:cstheme="minorHAnsi"/>
                <w:sz w:val="22"/>
              </w:rPr>
            </w:pPr>
            <w:r w:rsidRPr="006048FF">
              <w:rPr>
                <w:rFonts w:cstheme="minorHAnsi"/>
              </w:rPr>
              <w:t>Task 1:</w:t>
            </w:r>
            <w:r w:rsidRPr="004C1DFD">
              <w:rPr>
                <w:rFonts w:cstheme="minorHAnsi"/>
                <w:sz w:val="22"/>
              </w:rPr>
              <w:t xml:space="preserve"> </w:t>
            </w:r>
            <w:r w:rsidRPr="006048FF">
              <w:rPr>
                <w:rFonts w:cstheme="minorHAnsi"/>
              </w:rPr>
              <w:t>Develop project plan and recruit</w:t>
            </w:r>
            <w:r w:rsidR="006F636A">
              <w:rPr>
                <w:rFonts w:asciiTheme="minorHAnsi" w:hAnsiTheme="minorHAnsi" w:cstheme="minorHAnsi"/>
                <w:sz w:val="22"/>
              </w:rPr>
              <w:t xml:space="preserve"> for</w:t>
            </w:r>
            <w:r w:rsidRPr="006048FF">
              <w:rPr>
                <w:rFonts w:cstheme="minorHAnsi"/>
              </w:rPr>
              <w:t xml:space="preserve"> focus groups </w:t>
            </w:r>
          </w:p>
        </w:tc>
      </w:tr>
      <w:tr w:rsidRPr="006048FF" w:rsidR="00542C7E" w:rsidTr="004C1DFD" w14:paraId="3FF56755" w14:textId="77777777">
        <w:trPr>
          <w:trHeight w:val="720"/>
        </w:trPr>
        <w:tc>
          <w:tcPr>
            <w:tcW w:w="4314" w:type="dxa"/>
          </w:tcPr>
          <w:p w:rsidRPr="006048FF" w:rsidR="00542C7E" w:rsidP="004C1DFD" w:rsidRDefault="006D3636" w14:paraId="149AA4A6" w14:textId="4F81B47F">
            <w:pPr>
              <w:pStyle w:val="ListParagraph"/>
              <w:ind w:left="0"/>
              <w:rPr>
                <w:rFonts w:asciiTheme="minorHAnsi" w:hAnsiTheme="minorHAnsi" w:cstheme="minorHAnsi"/>
                <w:sz w:val="22"/>
              </w:rPr>
            </w:pPr>
            <w:r w:rsidRPr="006048FF">
              <w:rPr>
                <w:rFonts w:cstheme="minorHAnsi"/>
              </w:rPr>
              <w:t>Ju</w:t>
            </w:r>
            <w:r w:rsidRPr="006048FF" w:rsidR="000F319B">
              <w:rPr>
                <w:rFonts w:cstheme="minorHAnsi"/>
              </w:rPr>
              <w:t>ly</w:t>
            </w:r>
            <w:r w:rsidRPr="006048FF">
              <w:rPr>
                <w:rFonts w:cstheme="minorHAnsi"/>
              </w:rPr>
              <w:t>,</w:t>
            </w:r>
            <w:r w:rsidRPr="006048FF" w:rsidR="00542C7E">
              <w:rPr>
                <w:rFonts w:cstheme="minorHAnsi"/>
              </w:rPr>
              <w:t xml:space="preserve"> 2019</w:t>
            </w:r>
          </w:p>
        </w:tc>
        <w:tc>
          <w:tcPr>
            <w:tcW w:w="5396" w:type="dxa"/>
          </w:tcPr>
          <w:p w:rsidRPr="006048FF" w:rsidR="00542C7E" w:rsidP="004C1DFD" w:rsidRDefault="00542C7E" w14:paraId="0BAB269F" w14:textId="3DF65962">
            <w:pPr>
              <w:pStyle w:val="ListParagraph"/>
              <w:ind w:left="0"/>
              <w:rPr>
                <w:rFonts w:asciiTheme="minorHAnsi" w:hAnsiTheme="minorHAnsi" w:cstheme="minorHAnsi"/>
                <w:sz w:val="22"/>
              </w:rPr>
            </w:pPr>
            <w:r w:rsidRPr="006048FF">
              <w:rPr>
                <w:rFonts w:cstheme="minorHAnsi"/>
              </w:rPr>
              <w:t xml:space="preserve">Task 2: </w:t>
            </w:r>
            <w:r w:rsidRPr="006048FF" w:rsidR="000F6E5B">
              <w:rPr>
                <w:rFonts w:cstheme="minorHAnsi"/>
              </w:rPr>
              <w:t>Conduct cognitive testing focus groups</w:t>
            </w:r>
            <w:r w:rsidRPr="006048FF" w:rsidR="006E4353">
              <w:rPr>
                <w:rFonts w:cstheme="minorHAnsi"/>
              </w:rPr>
              <w:t xml:space="preserve"> with Spanish-speaking construction workers</w:t>
            </w:r>
          </w:p>
        </w:tc>
      </w:tr>
      <w:tr w:rsidRPr="006048FF" w:rsidR="00542C7E" w:rsidTr="004C1DFD" w14:paraId="3A52C6D3" w14:textId="77777777">
        <w:trPr>
          <w:trHeight w:val="720"/>
        </w:trPr>
        <w:tc>
          <w:tcPr>
            <w:tcW w:w="4314" w:type="dxa"/>
          </w:tcPr>
          <w:p w:rsidRPr="006048FF" w:rsidR="00542C7E" w:rsidP="004C1DFD" w:rsidRDefault="006D3636" w14:paraId="448A079A" w14:textId="77777777">
            <w:pPr>
              <w:pStyle w:val="ListParagraph"/>
              <w:ind w:left="0"/>
              <w:rPr>
                <w:rFonts w:asciiTheme="minorHAnsi" w:hAnsiTheme="minorHAnsi" w:cstheme="minorHAnsi"/>
                <w:sz w:val="22"/>
              </w:rPr>
            </w:pPr>
            <w:r w:rsidRPr="006048FF">
              <w:rPr>
                <w:rFonts w:cstheme="minorHAnsi"/>
              </w:rPr>
              <w:lastRenderedPageBreak/>
              <w:t>August,</w:t>
            </w:r>
            <w:r w:rsidRPr="006048FF" w:rsidR="0042372B">
              <w:rPr>
                <w:rFonts w:cstheme="minorHAnsi"/>
              </w:rPr>
              <w:t xml:space="preserve"> </w:t>
            </w:r>
            <w:r w:rsidRPr="006048FF" w:rsidR="00542C7E">
              <w:rPr>
                <w:rFonts w:cstheme="minorHAnsi"/>
              </w:rPr>
              <w:t>2020</w:t>
            </w:r>
          </w:p>
        </w:tc>
        <w:tc>
          <w:tcPr>
            <w:tcW w:w="5396" w:type="dxa"/>
          </w:tcPr>
          <w:p w:rsidRPr="006048FF" w:rsidR="00542C7E" w:rsidP="004C1DFD" w:rsidRDefault="00542C7E" w14:paraId="7E526753" w14:textId="2ECFD800">
            <w:pPr>
              <w:pStyle w:val="ListParagraph"/>
              <w:ind w:left="0"/>
              <w:rPr>
                <w:rFonts w:asciiTheme="minorHAnsi" w:hAnsiTheme="minorHAnsi" w:cstheme="minorHAnsi"/>
                <w:sz w:val="22"/>
              </w:rPr>
            </w:pPr>
            <w:r w:rsidRPr="006048FF">
              <w:rPr>
                <w:rFonts w:cstheme="minorHAnsi"/>
              </w:rPr>
              <w:t xml:space="preserve">Task 3: </w:t>
            </w:r>
            <w:r w:rsidRPr="006048FF" w:rsidR="006E4353">
              <w:rPr>
                <w:rFonts w:cstheme="minorHAnsi"/>
              </w:rPr>
              <w:t>Generate summary report of findings from cognitive testing focus groups</w:t>
            </w:r>
          </w:p>
        </w:tc>
      </w:tr>
    </w:tbl>
    <w:p w:rsidRPr="007D096E" w:rsidR="00542C7E" w:rsidP="004C1DFD" w:rsidRDefault="00542C7E" w14:paraId="712F1741" w14:textId="77777777">
      <w:pPr>
        <w:rPr>
          <w:b/>
        </w:rPr>
      </w:pPr>
    </w:p>
    <w:p w:rsidRPr="007D096E" w:rsidR="00542C7E" w:rsidP="004C1DFD" w:rsidRDefault="00542C7E" w14:paraId="369BFCB8" w14:textId="631820CD">
      <w:pPr>
        <w:pStyle w:val="ListParagraph"/>
        <w:numPr>
          <w:ilvl w:val="0"/>
          <w:numId w:val="25"/>
        </w:numPr>
        <w:ind w:left="720" w:hanging="720"/>
      </w:pPr>
      <w:bookmarkStart w:name="_Toc9946266" w:id="19"/>
      <w:r w:rsidRPr="00174BD6">
        <w:rPr>
          <w:rStyle w:val="Heading1Char"/>
          <w:rFonts w:asciiTheme="minorHAnsi" w:hAnsiTheme="minorHAnsi" w:cstheme="minorHAnsi"/>
          <w:b/>
          <w:color w:val="000000" w:themeColor="text1"/>
          <w:sz w:val="22"/>
          <w:szCs w:val="22"/>
        </w:rPr>
        <w:t>Reason(s) Display of OMB Expiration Date is Inappropriate</w:t>
      </w:r>
      <w:bookmarkEnd w:id="19"/>
    </w:p>
    <w:p w:rsidRPr="00542C7E" w:rsidR="00542C7E" w:rsidRDefault="00174BD6" w14:paraId="193AEC19" w14:textId="262E3521">
      <w:r w:rsidRPr="00542C7E">
        <w:t>The OMB Expiration Date will be displayed.</w:t>
      </w:r>
      <w:r>
        <w:t xml:space="preserve"> </w:t>
      </w:r>
      <w:r w:rsidR="00542C7E">
        <w:t xml:space="preserve">        </w:t>
      </w:r>
    </w:p>
    <w:p w:rsidRPr="004C1DFD" w:rsidR="00542C7E" w:rsidP="004C1DFD" w:rsidRDefault="00542C7E" w14:paraId="048038FA" w14:textId="0152E62F">
      <w:pPr>
        <w:pStyle w:val="ListParagraph"/>
        <w:numPr>
          <w:ilvl w:val="0"/>
          <w:numId w:val="25"/>
        </w:numPr>
        <w:ind w:left="720" w:hanging="720"/>
        <w:rPr>
          <w:b/>
        </w:rPr>
      </w:pPr>
      <w:bookmarkStart w:name="_Toc9946267" w:id="20"/>
      <w:r w:rsidRPr="004C1DFD">
        <w:rPr>
          <w:b/>
        </w:rPr>
        <w:t>Exceptions to Certification for Paperwork Reduction Act Submissions</w:t>
      </w:r>
      <w:bookmarkEnd w:id="20"/>
    </w:p>
    <w:p w:rsidRPr="00542C7E" w:rsidR="00542C7E" w:rsidP="00542C7E" w:rsidRDefault="00542C7E" w14:paraId="68C52CF4" w14:textId="5C0486F7">
      <w:pPr>
        <w:rPr>
          <w:b/>
          <w:bCs/>
        </w:rPr>
      </w:pPr>
      <w:r w:rsidRPr="00542C7E">
        <w:rPr>
          <w:bCs/>
        </w:rPr>
        <w:t>There are no exceptions to the certification.  These activities comply with the requirements in 5 CFR 1320.9.</w:t>
      </w:r>
    </w:p>
    <w:p w:rsidRPr="006E4353" w:rsidR="006E4353" w:rsidP="006E4353" w:rsidRDefault="006E4353" w14:paraId="6F5A6893" w14:textId="77777777">
      <w:pPr>
        <w:jc w:val="center"/>
        <w:rPr>
          <w:b/>
        </w:rPr>
      </w:pPr>
      <w:r w:rsidRPr="006E4353">
        <w:rPr>
          <w:b/>
        </w:rPr>
        <w:t>References</w:t>
      </w:r>
    </w:p>
    <w:p w:rsidR="00067C47" w:rsidP="006E4353" w:rsidRDefault="00067C47" w14:paraId="24B15260" w14:textId="4BACA203">
      <w:r>
        <w:t>CPWR. (2013). The construction chart book: The U.S. construction industry and its workers, 5</w:t>
      </w:r>
      <w:r w:rsidRPr="004C1DFD">
        <w:rPr>
          <w:vertAlign w:val="superscript"/>
        </w:rPr>
        <w:t>th</w:t>
      </w:r>
      <w:r>
        <w:t xml:space="preserve"> ed. </w:t>
      </w:r>
      <w:hyperlink w:history="1" r:id="rId12">
        <w:r w:rsidRPr="00082237">
          <w:rPr>
            <w:rStyle w:val="Hyperlink"/>
          </w:rPr>
          <w:t>http://www.cpwr.com/publications/construction-chart-book</w:t>
        </w:r>
      </w:hyperlink>
      <w:r>
        <w:t xml:space="preserve"> </w:t>
      </w:r>
    </w:p>
    <w:p w:rsidR="006E4353" w:rsidP="006E4353" w:rsidRDefault="006E4353" w14:paraId="3AC0D97F" w14:textId="77777777">
      <w:r>
        <w:t>Dong, X.S., Wang, X., &amp; Daw, C. (2010). Fatal and nonfatal injuries among Hispanic construction workers, 1992-2008. CPWR Data Brief, 2(2):1–19.</w:t>
      </w:r>
    </w:p>
    <w:p w:rsidR="006E4353" w:rsidP="006E4353" w:rsidRDefault="006E4353" w14:paraId="264920F4" w14:textId="77777777">
      <w:r>
        <w:t xml:space="preserve">NIOSH, &amp; ASSE. (2015). Overlapping vulnerabilities: the occupational safety and health of young workers in small construction firms. By Flynn, M.A., Cunningham, T.R., Guerin, R.J., Keller, B., Chapman, L.J., Hudson, D., Salgado, C. Cincinnati, OH: U.S. Department of Health and Human Services, Centers for Disease Control and Prevention, National Institute for Occupational Safety and Health, DHHS (NIOSH) Publication No. 2015- 178. </w:t>
      </w:r>
    </w:p>
    <w:p w:rsidR="001A5121" w:rsidP="00775346" w:rsidRDefault="001A5121" w14:paraId="037D246C" w14:textId="77777777"/>
    <w:sectPr w:rsidR="001A5121" w:rsidSect="00856203">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720DA" w14:textId="77777777" w:rsidR="00941054" w:rsidRDefault="00941054" w:rsidP="00513385">
      <w:pPr>
        <w:spacing w:after="0" w:line="240" w:lineRule="auto"/>
      </w:pPr>
      <w:r>
        <w:separator/>
      </w:r>
    </w:p>
  </w:endnote>
  <w:endnote w:type="continuationSeparator" w:id="0">
    <w:p w14:paraId="4E6180DF" w14:textId="77777777" w:rsidR="00941054" w:rsidRDefault="00941054" w:rsidP="00513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952412"/>
      <w:docPartObj>
        <w:docPartGallery w:val="Page Numbers (Bottom of Page)"/>
        <w:docPartUnique/>
      </w:docPartObj>
    </w:sdtPr>
    <w:sdtEndPr>
      <w:rPr>
        <w:noProof/>
      </w:rPr>
    </w:sdtEndPr>
    <w:sdtContent>
      <w:p w14:paraId="0524FBB1" w14:textId="662A381F" w:rsidR="006C5C0E" w:rsidRDefault="006C5C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9A8271" w14:textId="77777777" w:rsidR="006C5C0E" w:rsidRDefault="006C5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D4F48" w14:textId="77777777" w:rsidR="00941054" w:rsidRDefault="00941054" w:rsidP="00513385">
      <w:pPr>
        <w:spacing w:after="0" w:line="240" w:lineRule="auto"/>
      </w:pPr>
      <w:r>
        <w:separator/>
      </w:r>
    </w:p>
  </w:footnote>
  <w:footnote w:type="continuationSeparator" w:id="0">
    <w:p w14:paraId="23878895" w14:textId="77777777" w:rsidR="00941054" w:rsidRDefault="00941054" w:rsidP="00513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1BA0"/>
    <w:multiLevelType w:val="hybridMultilevel"/>
    <w:tmpl w:val="1AB296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041312"/>
    <w:multiLevelType w:val="hybridMultilevel"/>
    <w:tmpl w:val="753E37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513B2"/>
    <w:multiLevelType w:val="hybridMultilevel"/>
    <w:tmpl w:val="715C58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A6502"/>
    <w:multiLevelType w:val="hybridMultilevel"/>
    <w:tmpl w:val="04FEC3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8225D3"/>
    <w:multiLevelType w:val="hybridMultilevel"/>
    <w:tmpl w:val="91AE47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D03E6"/>
    <w:multiLevelType w:val="hybridMultilevel"/>
    <w:tmpl w:val="77DA7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C06B9"/>
    <w:multiLevelType w:val="hybridMultilevel"/>
    <w:tmpl w:val="2A242CE2"/>
    <w:lvl w:ilvl="0" w:tplc="22AEC736">
      <w:start w:val="1"/>
      <w:numFmt w:val="decimal"/>
      <w:lvlText w:val="%1."/>
      <w:lvlJc w:val="left"/>
      <w:pPr>
        <w:ind w:left="72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1451B4"/>
    <w:multiLevelType w:val="hybridMultilevel"/>
    <w:tmpl w:val="E50821C6"/>
    <w:lvl w:ilvl="0" w:tplc="3E98D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C032E7"/>
    <w:multiLevelType w:val="hybridMultilevel"/>
    <w:tmpl w:val="3C2E35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B027C"/>
    <w:multiLevelType w:val="hybridMultilevel"/>
    <w:tmpl w:val="055C1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0F0FA1"/>
    <w:multiLevelType w:val="hybridMultilevel"/>
    <w:tmpl w:val="EB6298B8"/>
    <w:lvl w:ilvl="0" w:tplc="7C18286A">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330027"/>
    <w:multiLevelType w:val="hybridMultilevel"/>
    <w:tmpl w:val="FA7027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E6EDD"/>
    <w:multiLevelType w:val="hybridMultilevel"/>
    <w:tmpl w:val="74149342"/>
    <w:lvl w:ilvl="0" w:tplc="3E98D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0B0639"/>
    <w:multiLevelType w:val="hybridMultilevel"/>
    <w:tmpl w:val="ACE446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B4451D"/>
    <w:multiLevelType w:val="hybridMultilevel"/>
    <w:tmpl w:val="3F503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68468E"/>
    <w:multiLevelType w:val="hybridMultilevel"/>
    <w:tmpl w:val="3440F204"/>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829BC"/>
    <w:multiLevelType w:val="hybridMultilevel"/>
    <w:tmpl w:val="83942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340B67"/>
    <w:multiLevelType w:val="hybridMultilevel"/>
    <w:tmpl w:val="3CD042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C62E2E"/>
    <w:multiLevelType w:val="hybridMultilevel"/>
    <w:tmpl w:val="9678F0E2"/>
    <w:lvl w:ilvl="0" w:tplc="0409000F">
      <w:start w:val="1"/>
      <w:numFmt w:val="decimal"/>
      <w:lvlText w:val="%1."/>
      <w:lvlJc w:val="left"/>
      <w:pPr>
        <w:ind w:left="5130" w:hanging="360"/>
      </w:pPr>
      <w:rPr>
        <w:rFonts w:hint="default"/>
      </w:rPr>
    </w:lvl>
    <w:lvl w:ilvl="1" w:tplc="04090019">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19" w15:restartNumberingAfterBreak="0">
    <w:nsid w:val="50EC384B"/>
    <w:multiLevelType w:val="hybridMultilevel"/>
    <w:tmpl w:val="00226E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034CFA"/>
    <w:multiLevelType w:val="hybridMultilevel"/>
    <w:tmpl w:val="94C836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FD2101"/>
    <w:multiLevelType w:val="hybridMultilevel"/>
    <w:tmpl w:val="ABBAA8C8"/>
    <w:lvl w:ilvl="0" w:tplc="86D65B08">
      <w:start w:val="1"/>
      <w:numFmt w:val="decimal"/>
      <w:lvlText w:val="%1."/>
      <w:lvlJc w:val="left"/>
      <w:pPr>
        <w:ind w:left="2160" w:hanging="360"/>
      </w:pPr>
      <w:rPr>
        <w:rFonts w:asciiTheme="minorHAnsi" w:hAnsiTheme="minorHAnsi" w:cstheme="minorHAnsi" w:hint="default"/>
        <w:b/>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C461A"/>
    <w:multiLevelType w:val="hybridMultilevel"/>
    <w:tmpl w:val="36BC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7329CE"/>
    <w:multiLevelType w:val="hybridMultilevel"/>
    <w:tmpl w:val="55B8FACC"/>
    <w:lvl w:ilvl="0" w:tplc="E764A93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C15FEA"/>
    <w:multiLevelType w:val="hybridMultilevel"/>
    <w:tmpl w:val="98268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5"/>
  </w:num>
  <w:num w:numId="4">
    <w:abstractNumId w:val="22"/>
  </w:num>
  <w:num w:numId="5">
    <w:abstractNumId w:val="10"/>
  </w:num>
  <w:num w:numId="6">
    <w:abstractNumId w:val="16"/>
  </w:num>
  <w:num w:numId="7">
    <w:abstractNumId w:val="6"/>
  </w:num>
  <w:num w:numId="8">
    <w:abstractNumId w:val="7"/>
  </w:num>
  <w:num w:numId="9">
    <w:abstractNumId w:val="17"/>
  </w:num>
  <w:num w:numId="10">
    <w:abstractNumId w:val="0"/>
  </w:num>
  <w:num w:numId="11">
    <w:abstractNumId w:val="14"/>
  </w:num>
  <w:num w:numId="12">
    <w:abstractNumId w:val="23"/>
  </w:num>
  <w:num w:numId="13">
    <w:abstractNumId w:val="19"/>
  </w:num>
  <w:num w:numId="14">
    <w:abstractNumId w:val="8"/>
  </w:num>
  <w:num w:numId="15">
    <w:abstractNumId w:val="9"/>
  </w:num>
  <w:num w:numId="16">
    <w:abstractNumId w:val="15"/>
  </w:num>
  <w:num w:numId="17">
    <w:abstractNumId w:val="20"/>
  </w:num>
  <w:num w:numId="18">
    <w:abstractNumId w:val="18"/>
  </w:num>
  <w:num w:numId="19">
    <w:abstractNumId w:val="24"/>
  </w:num>
  <w:num w:numId="20">
    <w:abstractNumId w:val="13"/>
  </w:num>
  <w:num w:numId="21">
    <w:abstractNumId w:val="4"/>
  </w:num>
  <w:num w:numId="22">
    <w:abstractNumId w:val="2"/>
  </w:num>
  <w:num w:numId="23">
    <w:abstractNumId w:val="1"/>
  </w:num>
  <w:num w:numId="24">
    <w:abstractNumId w:val="1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rpdtx02zt9fr1eze5cp5p9nrexptdr20pet&quot;&gt;My EndNote Library&lt;record-ids&gt;&lt;item&gt;1485&lt;/item&gt;&lt;item&gt;1489&lt;/item&gt;&lt;item&gt;1512&lt;/item&gt;&lt;item&gt;1520&lt;/item&gt;&lt;item&gt;1522&lt;/item&gt;&lt;item&gt;1523&lt;/item&gt;&lt;item&gt;1524&lt;/item&gt;&lt;item&gt;1525&lt;/item&gt;&lt;item&gt;1526&lt;/item&gt;&lt;item&gt;1635&lt;/item&gt;&lt;/record-ids&gt;&lt;/item&gt;&lt;/Libraries&gt;"/>
  </w:docVars>
  <w:rsids>
    <w:rsidRoot w:val="00856203"/>
    <w:rsid w:val="00004A9F"/>
    <w:rsid w:val="00022085"/>
    <w:rsid w:val="000311CA"/>
    <w:rsid w:val="00036A0F"/>
    <w:rsid w:val="00043B5A"/>
    <w:rsid w:val="000559A6"/>
    <w:rsid w:val="00067C47"/>
    <w:rsid w:val="000774F3"/>
    <w:rsid w:val="0009132A"/>
    <w:rsid w:val="00095252"/>
    <w:rsid w:val="000B435F"/>
    <w:rsid w:val="000C74A8"/>
    <w:rsid w:val="000D5CEE"/>
    <w:rsid w:val="000F319B"/>
    <w:rsid w:val="000F69D5"/>
    <w:rsid w:val="000F6E5B"/>
    <w:rsid w:val="001059F9"/>
    <w:rsid w:val="00113CE5"/>
    <w:rsid w:val="00114AF4"/>
    <w:rsid w:val="00123B3F"/>
    <w:rsid w:val="00124C3C"/>
    <w:rsid w:val="001411AF"/>
    <w:rsid w:val="00174BD6"/>
    <w:rsid w:val="00180810"/>
    <w:rsid w:val="00187677"/>
    <w:rsid w:val="00194050"/>
    <w:rsid w:val="001A3D8E"/>
    <w:rsid w:val="001A5121"/>
    <w:rsid w:val="001A6DB3"/>
    <w:rsid w:val="001D35DF"/>
    <w:rsid w:val="001D6264"/>
    <w:rsid w:val="001F5943"/>
    <w:rsid w:val="0021087D"/>
    <w:rsid w:val="00224879"/>
    <w:rsid w:val="00263CFE"/>
    <w:rsid w:val="002645D2"/>
    <w:rsid w:val="002735EE"/>
    <w:rsid w:val="002A3D2E"/>
    <w:rsid w:val="002B68FD"/>
    <w:rsid w:val="002B6D42"/>
    <w:rsid w:val="002C5DB3"/>
    <w:rsid w:val="002E1189"/>
    <w:rsid w:val="002E431E"/>
    <w:rsid w:val="002E7AB8"/>
    <w:rsid w:val="002F7419"/>
    <w:rsid w:val="002F7B37"/>
    <w:rsid w:val="003047A1"/>
    <w:rsid w:val="00330072"/>
    <w:rsid w:val="00334CC9"/>
    <w:rsid w:val="00347F7D"/>
    <w:rsid w:val="003717F7"/>
    <w:rsid w:val="0037541A"/>
    <w:rsid w:val="00385EA9"/>
    <w:rsid w:val="003977E2"/>
    <w:rsid w:val="003B28BC"/>
    <w:rsid w:val="003F455A"/>
    <w:rsid w:val="00405C1B"/>
    <w:rsid w:val="0042372B"/>
    <w:rsid w:val="0042680C"/>
    <w:rsid w:val="0044782E"/>
    <w:rsid w:val="00451EB1"/>
    <w:rsid w:val="00462C9B"/>
    <w:rsid w:val="00472EF1"/>
    <w:rsid w:val="00475333"/>
    <w:rsid w:val="00492861"/>
    <w:rsid w:val="004A029A"/>
    <w:rsid w:val="004A074B"/>
    <w:rsid w:val="004B028F"/>
    <w:rsid w:val="004B4CCD"/>
    <w:rsid w:val="004C1A47"/>
    <w:rsid w:val="004C1DFD"/>
    <w:rsid w:val="004D375B"/>
    <w:rsid w:val="004E3A6C"/>
    <w:rsid w:val="004E7F74"/>
    <w:rsid w:val="004F205C"/>
    <w:rsid w:val="00503220"/>
    <w:rsid w:val="00513385"/>
    <w:rsid w:val="0052085A"/>
    <w:rsid w:val="005347F3"/>
    <w:rsid w:val="0053580E"/>
    <w:rsid w:val="0054270B"/>
    <w:rsid w:val="00542C7E"/>
    <w:rsid w:val="00551F8F"/>
    <w:rsid w:val="00573130"/>
    <w:rsid w:val="00584092"/>
    <w:rsid w:val="005B3AF1"/>
    <w:rsid w:val="005B3F98"/>
    <w:rsid w:val="005D23DC"/>
    <w:rsid w:val="005D510E"/>
    <w:rsid w:val="005D6B63"/>
    <w:rsid w:val="005E1E70"/>
    <w:rsid w:val="006048FF"/>
    <w:rsid w:val="00612F04"/>
    <w:rsid w:val="00656C03"/>
    <w:rsid w:val="006623DB"/>
    <w:rsid w:val="006736EA"/>
    <w:rsid w:val="006931B9"/>
    <w:rsid w:val="006C501B"/>
    <w:rsid w:val="006C585F"/>
    <w:rsid w:val="006C5C0E"/>
    <w:rsid w:val="006D3636"/>
    <w:rsid w:val="006D4B20"/>
    <w:rsid w:val="006E4353"/>
    <w:rsid w:val="006E575D"/>
    <w:rsid w:val="006F636A"/>
    <w:rsid w:val="00713C3F"/>
    <w:rsid w:val="00720BE0"/>
    <w:rsid w:val="00746C0B"/>
    <w:rsid w:val="0076668C"/>
    <w:rsid w:val="00767944"/>
    <w:rsid w:val="00775346"/>
    <w:rsid w:val="00784E40"/>
    <w:rsid w:val="00791C2E"/>
    <w:rsid w:val="007B7C23"/>
    <w:rsid w:val="007C2B9D"/>
    <w:rsid w:val="007C4F19"/>
    <w:rsid w:val="007D096E"/>
    <w:rsid w:val="007E5494"/>
    <w:rsid w:val="007E6ABC"/>
    <w:rsid w:val="007F60D5"/>
    <w:rsid w:val="008148EB"/>
    <w:rsid w:val="00823756"/>
    <w:rsid w:val="00832957"/>
    <w:rsid w:val="00856203"/>
    <w:rsid w:val="0086697F"/>
    <w:rsid w:val="00893C2F"/>
    <w:rsid w:val="008C0F03"/>
    <w:rsid w:val="008C72C3"/>
    <w:rsid w:val="008D1FA1"/>
    <w:rsid w:val="008D3EDD"/>
    <w:rsid w:val="008D5CEE"/>
    <w:rsid w:val="008E0301"/>
    <w:rsid w:val="009033E1"/>
    <w:rsid w:val="00904233"/>
    <w:rsid w:val="00941054"/>
    <w:rsid w:val="00952BF1"/>
    <w:rsid w:val="00961EA7"/>
    <w:rsid w:val="00972E71"/>
    <w:rsid w:val="00975A42"/>
    <w:rsid w:val="00976DA0"/>
    <w:rsid w:val="00987C49"/>
    <w:rsid w:val="009971ED"/>
    <w:rsid w:val="009A2B21"/>
    <w:rsid w:val="009A2D81"/>
    <w:rsid w:val="009A5D38"/>
    <w:rsid w:val="009C169E"/>
    <w:rsid w:val="009C3E48"/>
    <w:rsid w:val="009C505A"/>
    <w:rsid w:val="00A45546"/>
    <w:rsid w:val="00A57A58"/>
    <w:rsid w:val="00A60CA0"/>
    <w:rsid w:val="00A6298B"/>
    <w:rsid w:val="00A83B69"/>
    <w:rsid w:val="00A959E6"/>
    <w:rsid w:val="00A9744C"/>
    <w:rsid w:val="00AA73F6"/>
    <w:rsid w:val="00AB019A"/>
    <w:rsid w:val="00AB455D"/>
    <w:rsid w:val="00AB492B"/>
    <w:rsid w:val="00AC4236"/>
    <w:rsid w:val="00AC5E89"/>
    <w:rsid w:val="00AD5B09"/>
    <w:rsid w:val="00AF46BC"/>
    <w:rsid w:val="00AF6E8C"/>
    <w:rsid w:val="00B12B44"/>
    <w:rsid w:val="00B33AA2"/>
    <w:rsid w:val="00B4217E"/>
    <w:rsid w:val="00B64A15"/>
    <w:rsid w:val="00B67968"/>
    <w:rsid w:val="00BB0694"/>
    <w:rsid w:val="00BB09EA"/>
    <w:rsid w:val="00BB1B9D"/>
    <w:rsid w:val="00BB6648"/>
    <w:rsid w:val="00BC34D0"/>
    <w:rsid w:val="00BC3B1E"/>
    <w:rsid w:val="00BF7591"/>
    <w:rsid w:val="00C0455A"/>
    <w:rsid w:val="00C17693"/>
    <w:rsid w:val="00C25847"/>
    <w:rsid w:val="00C35E15"/>
    <w:rsid w:val="00C704FD"/>
    <w:rsid w:val="00C8057D"/>
    <w:rsid w:val="00C879B5"/>
    <w:rsid w:val="00CA0ED8"/>
    <w:rsid w:val="00CB0DFE"/>
    <w:rsid w:val="00CC013F"/>
    <w:rsid w:val="00CC5405"/>
    <w:rsid w:val="00CC7727"/>
    <w:rsid w:val="00D06652"/>
    <w:rsid w:val="00D15ACD"/>
    <w:rsid w:val="00D16687"/>
    <w:rsid w:val="00D26908"/>
    <w:rsid w:val="00D322A6"/>
    <w:rsid w:val="00D341E5"/>
    <w:rsid w:val="00D4612A"/>
    <w:rsid w:val="00D510E0"/>
    <w:rsid w:val="00D57A32"/>
    <w:rsid w:val="00D60A79"/>
    <w:rsid w:val="00D80F08"/>
    <w:rsid w:val="00DA6D68"/>
    <w:rsid w:val="00DA7C6A"/>
    <w:rsid w:val="00DC2A83"/>
    <w:rsid w:val="00DF23EB"/>
    <w:rsid w:val="00DF4463"/>
    <w:rsid w:val="00E04F83"/>
    <w:rsid w:val="00E117D2"/>
    <w:rsid w:val="00E24416"/>
    <w:rsid w:val="00E34D17"/>
    <w:rsid w:val="00E612EC"/>
    <w:rsid w:val="00E641C8"/>
    <w:rsid w:val="00EB04EB"/>
    <w:rsid w:val="00EB1DC5"/>
    <w:rsid w:val="00EC3362"/>
    <w:rsid w:val="00ED6388"/>
    <w:rsid w:val="00EE4102"/>
    <w:rsid w:val="00EF677F"/>
    <w:rsid w:val="00F14F36"/>
    <w:rsid w:val="00F327F6"/>
    <w:rsid w:val="00F3647B"/>
    <w:rsid w:val="00F625A0"/>
    <w:rsid w:val="00F65C29"/>
    <w:rsid w:val="00F67C77"/>
    <w:rsid w:val="00F9118A"/>
    <w:rsid w:val="00FB5168"/>
    <w:rsid w:val="00FC70C6"/>
    <w:rsid w:val="00FE7244"/>
    <w:rsid w:val="00FF2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A2EC6"/>
  <w15:chartTrackingRefBased/>
  <w15:docId w15:val="{EE092332-3463-4C7B-9DF5-F0327116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5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203"/>
    <w:pPr>
      <w:ind w:left="720"/>
      <w:contextualSpacing/>
    </w:pPr>
  </w:style>
  <w:style w:type="paragraph" w:styleId="Header">
    <w:name w:val="header"/>
    <w:basedOn w:val="Normal"/>
    <w:link w:val="HeaderChar"/>
    <w:uiPriority w:val="99"/>
    <w:unhideWhenUsed/>
    <w:rsid w:val="00124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C3C"/>
  </w:style>
  <w:style w:type="character" w:styleId="CommentReference">
    <w:name w:val="annotation reference"/>
    <w:basedOn w:val="DefaultParagraphFont"/>
    <w:uiPriority w:val="99"/>
    <w:semiHidden/>
    <w:unhideWhenUsed/>
    <w:rsid w:val="00D16687"/>
    <w:rPr>
      <w:sz w:val="16"/>
      <w:szCs w:val="16"/>
    </w:rPr>
  </w:style>
  <w:style w:type="paragraph" w:styleId="CommentText">
    <w:name w:val="annotation text"/>
    <w:basedOn w:val="Normal"/>
    <w:link w:val="CommentTextChar"/>
    <w:uiPriority w:val="99"/>
    <w:semiHidden/>
    <w:unhideWhenUsed/>
    <w:rsid w:val="00D16687"/>
    <w:pPr>
      <w:spacing w:line="240" w:lineRule="auto"/>
    </w:pPr>
    <w:rPr>
      <w:sz w:val="20"/>
      <w:szCs w:val="20"/>
    </w:rPr>
  </w:style>
  <w:style w:type="character" w:customStyle="1" w:styleId="CommentTextChar">
    <w:name w:val="Comment Text Char"/>
    <w:basedOn w:val="DefaultParagraphFont"/>
    <w:link w:val="CommentText"/>
    <w:uiPriority w:val="99"/>
    <w:semiHidden/>
    <w:rsid w:val="00D16687"/>
    <w:rPr>
      <w:sz w:val="20"/>
      <w:szCs w:val="20"/>
    </w:rPr>
  </w:style>
  <w:style w:type="paragraph" w:styleId="CommentSubject">
    <w:name w:val="annotation subject"/>
    <w:basedOn w:val="CommentText"/>
    <w:next w:val="CommentText"/>
    <w:link w:val="CommentSubjectChar"/>
    <w:uiPriority w:val="99"/>
    <w:semiHidden/>
    <w:unhideWhenUsed/>
    <w:rsid w:val="00D16687"/>
    <w:rPr>
      <w:b/>
      <w:bCs/>
    </w:rPr>
  </w:style>
  <w:style w:type="character" w:customStyle="1" w:styleId="CommentSubjectChar">
    <w:name w:val="Comment Subject Char"/>
    <w:basedOn w:val="CommentTextChar"/>
    <w:link w:val="CommentSubject"/>
    <w:uiPriority w:val="99"/>
    <w:semiHidden/>
    <w:rsid w:val="00D16687"/>
    <w:rPr>
      <w:b/>
      <w:bCs/>
      <w:sz w:val="20"/>
      <w:szCs w:val="20"/>
    </w:rPr>
  </w:style>
  <w:style w:type="paragraph" w:styleId="BalloonText">
    <w:name w:val="Balloon Text"/>
    <w:basedOn w:val="Normal"/>
    <w:link w:val="BalloonTextChar"/>
    <w:uiPriority w:val="99"/>
    <w:semiHidden/>
    <w:unhideWhenUsed/>
    <w:rsid w:val="00D16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687"/>
    <w:rPr>
      <w:rFonts w:ascii="Segoe UI" w:hAnsi="Segoe UI" w:cs="Segoe UI"/>
      <w:sz w:val="18"/>
      <w:szCs w:val="18"/>
    </w:rPr>
  </w:style>
  <w:style w:type="character" w:styleId="Hyperlink">
    <w:name w:val="Hyperlink"/>
    <w:basedOn w:val="DefaultParagraphFont"/>
    <w:uiPriority w:val="99"/>
    <w:unhideWhenUsed/>
    <w:rsid w:val="002E431E"/>
    <w:rPr>
      <w:color w:val="0563C1" w:themeColor="hyperlink"/>
      <w:u w:val="single"/>
    </w:rPr>
  </w:style>
  <w:style w:type="table" w:styleId="TableGrid">
    <w:name w:val="Table Grid"/>
    <w:basedOn w:val="TableNormal"/>
    <w:uiPriority w:val="99"/>
    <w:rsid w:val="00542C7E"/>
    <w:pPr>
      <w:spacing w:beforeAutospacing="1" w:after="0" w:afterAutospacing="1"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1A512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A5121"/>
    <w:rPr>
      <w:rFonts w:ascii="Calibri" w:hAnsi="Calibri" w:cs="Calibri"/>
      <w:noProof/>
    </w:rPr>
  </w:style>
  <w:style w:type="paragraph" w:customStyle="1" w:styleId="EndNoteBibliography">
    <w:name w:val="EndNote Bibliography"/>
    <w:basedOn w:val="Normal"/>
    <w:link w:val="EndNoteBibliographyChar"/>
    <w:rsid w:val="001A5121"/>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1A5121"/>
    <w:rPr>
      <w:rFonts w:ascii="Calibri" w:hAnsi="Calibri" w:cs="Calibri"/>
      <w:noProof/>
    </w:rPr>
  </w:style>
  <w:style w:type="character" w:customStyle="1" w:styleId="Heading1Char">
    <w:name w:val="Heading 1 Char"/>
    <w:basedOn w:val="DefaultParagraphFont"/>
    <w:link w:val="Heading1"/>
    <w:uiPriority w:val="9"/>
    <w:rsid w:val="00C8057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8057D"/>
    <w:pPr>
      <w:outlineLvl w:val="9"/>
    </w:pPr>
  </w:style>
  <w:style w:type="paragraph" w:styleId="TOC1">
    <w:name w:val="toc 1"/>
    <w:basedOn w:val="Normal"/>
    <w:next w:val="Normal"/>
    <w:autoRedefine/>
    <w:uiPriority w:val="39"/>
    <w:unhideWhenUsed/>
    <w:rsid w:val="00784E40"/>
    <w:pPr>
      <w:tabs>
        <w:tab w:val="left" w:pos="440"/>
        <w:tab w:val="right" w:leader="dot" w:pos="10070"/>
      </w:tabs>
      <w:spacing w:after="100"/>
      <w:ind w:right="144"/>
    </w:pPr>
  </w:style>
  <w:style w:type="paragraph" w:styleId="Revision">
    <w:name w:val="Revision"/>
    <w:hidden/>
    <w:uiPriority w:val="99"/>
    <w:semiHidden/>
    <w:rsid w:val="0037541A"/>
    <w:pPr>
      <w:spacing w:after="0" w:line="240" w:lineRule="auto"/>
    </w:pPr>
  </w:style>
  <w:style w:type="paragraph" w:styleId="Footer">
    <w:name w:val="footer"/>
    <w:basedOn w:val="Normal"/>
    <w:link w:val="FooterChar"/>
    <w:uiPriority w:val="99"/>
    <w:unhideWhenUsed/>
    <w:rsid w:val="00513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385"/>
  </w:style>
  <w:style w:type="table" w:customStyle="1" w:styleId="TableGrid1">
    <w:name w:val="Table Grid1"/>
    <w:basedOn w:val="TableNormal"/>
    <w:next w:val="TableGrid"/>
    <w:uiPriority w:val="59"/>
    <w:rsid w:val="00C35E1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879B5"/>
    <w:rPr>
      <w:color w:val="954F72" w:themeColor="followedHyperlink"/>
      <w:u w:val="single"/>
    </w:rPr>
  </w:style>
  <w:style w:type="character" w:styleId="UnresolvedMention">
    <w:name w:val="Unresolved Mention"/>
    <w:basedOn w:val="DefaultParagraphFont"/>
    <w:uiPriority w:val="99"/>
    <w:semiHidden/>
    <w:unhideWhenUsed/>
    <w:rsid w:val="000F3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gy5@cdc.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wr.com/publications/construction-chart-boo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ooh/construction-and-extraction/construction-laborers-and-helpers.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ul6@cdc.gov" TargetMode="External"/><Relationship Id="rId4" Type="http://schemas.openxmlformats.org/officeDocument/2006/relationships/settings" Target="settings.xml"/><Relationship Id="rId9" Type="http://schemas.openxmlformats.org/officeDocument/2006/relationships/hyperlink" Target="mailto:dfe0@cdc.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FB0AA-6E23-4B10-819D-662B9CA25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2435</Words>
  <Characters>13884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 Harpriya (CDC/NIOSH/DART/OSHFB)</dc:creator>
  <cp:keywords/>
  <dc:description/>
  <cp:lastModifiedBy>Foley, Tamekia (CDC/NIOSH/OD/ODDM)</cp:lastModifiedBy>
  <cp:revision>4</cp:revision>
  <cp:lastPrinted>2020-01-07T18:14:00Z</cp:lastPrinted>
  <dcterms:created xsi:type="dcterms:W3CDTF">2020-02-05T15:15:00Z</dcterms:created>
  <dcterms:modified xsi:type="dcterms:W3CDTF">2020-03-10T19:11:00Z</dcterms:modified>
</cp:coreProperties>
</file>