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D5E19" w14:textId="48EBF120" w:rsidR="004846A6" w:rsidRPr="00D31468" w:rsidRDefault="000B6E4E" w:rsidP="00913D82">
      <w:pPr>
        <w:pStyle w:val="Title"/>
        <w:spacing w:after="240" w:line="240" w:lineRule="auto"/>
        <w:rPr>
          <w:szCs w:val="24"/>
        </w:rPr>
      </w:pPr>
      <w:bookmarkStart w:id="0" w:name="_GoBack"/>
      <w:bookmarkEnd w:id="0"/>
      <w:r w:rsidRPr="00D31468">
        <w:rPr>
          <w:szCs w:val="24"/>
        </w:rPr>
        <w:t xml:space="preserve">“Talk. </w:t>
      </w:r>
      <w:r w:rsidR="00EA529E" w:rsidRPr="00D31468">
        <w:rPr>
          <w:szCs w:val="24"/>
        </w:rPr>
        <w:t xml:space="preserve"> </w:t>
      </w:r>
      <w:r w:rsidRPr="00D31468">
        <w:rPr>
          <w:szCs w:val="24"/>
        </w:rPr>
        <w:t>They Hear You.”</w:t>
      </w:r>
      <w:r w:rsidR="00986B92" w:rsidRPr="00D31468">
        <w:rPr>
          <w:szCs w:val="24"/>
        </w:rPr>
        <w:t>®</w:t>
      </w:r>
      <w:r w:rsidRPr="00D31468">
        <w:rPr>
          <w:szCs w:val="24"/>
        </w:rPr>
        <w:t xml:space="preserve"> Campaign Evaluation: Case Stud</w:t>
      </w:r>
      <w:r w:rsidR="007628FB" w:rsidRPr="00D31468">
        <w:rPr>
          <w:szCs w:val="24"/>
        </w:rPr>
        <w:t>y</w:t>
      </w:r>
    </w:p>
    <w:p w14:paraId="42EFBE8C" w14:textId="77777777" w:rsidR="000B6E4E" w:rsidRPr="00D31468" w:rsidRDefault="000B6E4E" w:rsidP="00913D82">
      <w:pPr>
        <w:pStyle w:val="Title"/>
        <w:spacing w:after="240" w:line="240" w:lineRule="auto"/>
        <w:rPr>
          <w:szCs w:val="24"/>
        </w:rPr>
      </w:pPr>
      <w:r w:rsidRPr="00D31468">
        <w:rPr>
          <w:szCs w:val="24"/>
        </w:rPr>
        <w:t>Supporting Statement</w:t>
      </w:r>
    </w:p>
    <w:p w14:paraId="026DD60F" w14:textId="77777777" w:rsidR="000B6E4E" w:rsidRPr="00D31468" w:rsidRDefault="000B6E4E" w:rsidP="00913D82">
      <w:pPr>
        <w:pStyle w:val="Heading1"/>
        <w:spacing w:after="240" w:line="240" w:lineRule="auto"/>
        <w:rPr>
          <w:sz w:val="24"/>
          <w:szCs w:val="24"/>
        </w:rPr>
      </w:pPr>
      <w:r w:rsidRPr="00D31468">
        <w:rPr>
          <w:sz w:val="24"/>
          <w:szCs w:val="24"/>
        </w:rPr>
        <w:t>Justification</w:t>
      </w:r>
    </w:p>
    <w:p w14:paraId="4AB99EB8" w14:textId="77777777" w:rsidR="000B6E4E" w:rsidRPr="00D31468" w:rsidRDefault="000B6E4E" w:rsidP="00913D82">
      <w:pPr>
        <w:pStyle w:val="Heading2"/>
        <w:spacing w:after="240" w:line="240" w:lineRule="auto"/>
        <w:rPr>
          <w:szCs w:val="24"/>
        </w:rPr>
      </w:pPr>
      <w:r w:rsidRPr="00D31468">
        <w:rPr>
          <w:szCs w:val="24"/>
        </w:rPr>
        <w:t>1. Circumstances of Information Collection</w:t>
      </w:r>
    </w:p>
    <w:p w14:paraId="4DC086B9" w14:textId="61E3EB7B" w:rsidR="00E02A7A" w:rsidRPr="00D31468" w:rsidRDefault="000B6E4E" w:rsidP="00913D82">
      <w:pPr>
        <w:spacing w:after="240" w:line="240" w:lineRule="auto"/>
        <w:rPr>
          <w:szCs w:val="24"/>
        </w:rPr>
      </w:pPr>
      <w:r w:rsidRPr="00D31468">
        <w:rPr>
          <w:szCs w:val="24"/>
        </w:rPr>
        <w:t xml:space="preserve">The Substance Abuse and Mental Health Services Administration (SAMHSA) </w:t>
      </w:r>
      <w:r w:rsidR="00252F55" w:rsidRPr="00D31468">
        <w:rPr>
          <w:szCs w:val="24"/>
        </w:rPr>
        <w:t xml:space="preserve">Center for Substance Abuse Prevention </w:t>
      </w:r>
      <w:r w:rsidR="00B602AE" w:rsidRPr="00D31468">
        <w:rPr>
          <w:szCs w:val="24"/>
        </w:rPr>
        <w:t xml:space="preserve">(CSAP) </w:t>
      </w:r>
      <w:r w:rsidRPr="00D31468">
        <w:rPr>
          <w:szCs w:val="24"/>
        </w:rPr>
        <w:t xml:space="preserve">is requesting approval from the Office of </w:t>
      </w:r>
      <w:r w:rsidR="00F41F9A" w:rsidRPr="00D31468">
        <w:rPr>
          <w:szCs w:val="24"/>
        </w:rPr>
        <w:t xml:space="preserve">Management and Budget (OMB) for </w:t>
      </w:r>
      <w:r w:rsidR="007E7193" w:rsidRPr="00D31468">
        <w:rPr>
          <w:szCs w:val="24"/>
        </w:rPr>
        <w:t>a</w:t>
      </w:r>
      <w:r w:rsidR="00352239" w:rsidRPr="00D31468">
        <w:rPr>
          <w:szCs w:val="24"/>
        </w:rPr>
        <w:t xml:space="preserve">n extension of the </w:t>
      </w:r>
      <w:r w:rsidR="00F41F9A" w:rsidRPr="00D31468">
        <w:rPr>
          <w:szCs w:val="24"/>
        </w:rPr>
        <w:t xml:space="preserve">data collection for </w:t>
      </w:r>
      <w:r w:rsidRPr="00D31468">
        <w:rPr>
          <w:szCs w:val="24"/>
        </w:rPr>
        <w:t xml:space="preserve">the </w:t>
      </w:r>
      <w:r w:rsidRPr="00D31468">
        <w:rPr>
          <w:szCs w:val="24"/>
          <w:u w:val="single"/>
        </w:rPr>
        <w:t xml:space="preserve">“Talk. </w:t>
      </w:r>
      <w:r w:rsidR="00EA529E" w:rsidRPr="00D31468">
        <w:rPr>
          <w:szCs w:val="24"/>
          <w:u w:val="single"/>
        </w:rPr>
        <w:t xml:space="preserve"> </w:t>
      </w:r>
      <w:r w:rsidRPr="00D31468">
        <w:rPr>
          <w:szCs w:val="24"/>
          <w:u w:val="single"/>
        </w:rPr>
        <w:t>They Hear You.”</w:t>
      </w:r>
      <w:r w:rsidR="009E45EF" w:rsidRPr="00D31468">
        <w:rPr>
          <w:szCs w:val="24"/>
          <w:u w:val="single"/>
        </w:rPr>
        <w:t>®</w:t>
      </w:r>
      <w:r w:rsidRPr="00D31468">
        <w:rPr>
          <w:szCs w:val="24"/>
          <w:u w:val="single"/>
        </w:rPr>
        <w:t xml:space="preserve"> Campaign Evaluation: Case Stud</w:t>
      </w:r>
      <w:r w:rsidR="00EA529E" w:rsidRPr="00D31468">
        <w:rPr>
          <w:szCs w:val="24"/>
          <w:u w:val="single"/>
        </w:rPr>
        <w:t>y</w:t>
      </w:r>
      <w:r w:rsidRPr="00D31468">
        <w:rPr>
          <w:szCs w:val="24"/>
        </w:rPr>
        <w:t xml:space="preserve"> (the “</w:t>
      </w:r>
      <w:r w:rsidR="00FE0261" w:rsidRPr="00D31468">
        <w:rPr>
          <w:szCs w:val="24"/>
        </w:rPr>
        <w:t>case s</w:t>
      </w:r>
      <w:r w:rsidRPr="00D31468">
        <w:rPr>
          <w:szCs w:val="24"/>
        </w:rPr>
        <w:t>tud</w:t>
      </w:r>
      <w:r w:rsidR="00EA529E" w:rsidRPr="00D31468">
        <w:rPr>
          <w:szCs w:val="24"/>
        </w:rPr>
        <w:t>y</w:t>
      </w:r>
      <w:r w:rsidRPr="00D31468">
        <w:rPr>
          <w:szCs w:val="24"/>
        </w:rPr>
        <w:t xml:space="preserve">”). </w:t>
      </w:r>
      <w:r w:rsidR="003B19B9" w:rsidRPr="00D31468">
        <w:rPr>
          <w:szCs w:val="24"/>
        </w:rPr>
        <w:t xml:space="preserve">This </w:t>
      </w:r>
      <w:r w:rsidR="00352239" w:rsidRPr="00D31468">
        <w:rPr>
          <w:szCs w:val="24"/>
        </w:rPr>
        <w:t xml:space="preserve">data </w:t>
      </w:r>
      <w:r w:rsidR="003B19B9" w:rsidRPr="00D31468">
        <w:rPr>
          <w:szCs w:val="24"/>
        </w:rPr>
        <w:t xml:space="preserve">collection </w:t>
      </w:r>
      <w:r w:rsidR="00352239" w:rsidRPr="00D31468">
        <w:rPr>
          <w:szCs w:val="24"/>
        </w:rPr>
        <w:t xml:space="preserve">is approved under OMB No. 0930-0373, expiring on May 31, 2020, and </w:t>
      </w:r>
      <w:r w:rsidR="003B19B9" w:rsidRPr="00D31468">
        <w:rPr>
          <w:szCs w:val="24"/>
        </w:rPr>
        <w:t xml:space="preserve">includes </w:t>
      </w:r>
      <w:r w:rsidR="00E02A7A" w:rsidRPr="00D31468">
        <w:rPr>
          <w:szCs w:val="24"/>
        </w:rPr>
        <w:t>three instruments:</w:t>
      </w:r>
    </w:p>
    <w:p w14:paraId="61050B5A" w14:textId="2560CED5" w:rsidR="00E02A7A" w:rsidRPr="00D31468" w:rsidRDefault="00E02A7A" w:rsidP="00FD62F1">
      <w:pPr>
        <w:pStyle w:val="ListParagraph"/>
        <w:numPr>
          <w:ilvl w:val="0"/>
          <w:numId w:val="25"/>
        </w:numPr>
        <w:spacing w:after="240" w:line="240" w:lineRule="auto"/>
        <w:ind w:left="720"/>
        <w:rPr>
          <w:b/>
          <w:szCs w:val="24"/>
        </w:rPr>
      </w:pPr>
      <w:r w:rsidRPr="00D31468">
        <w:rPr>
          <w:b/>
          <w:szCs w:val="24"/>
        </w:rPr>
        <w:t>Parent/Caregiver Pre-</w:t>
      </w:r>
      <w:r w:rsidR="009E45EF" w:rsidRPr="00D31468">
        <w:rPr>
          <w:b/>
          <w:szCs w:val="24"/>
        </w:rPr>
        <w:t>T</w:t>
      </w:r>
      <w:r w:rsidRPr="00D31468">
        <w:rPr>
          <w:b/>
          <w:szCs w:val="24"/>
        </w:rPr>
        <w:t>est/Post-</w:t>
      </w:r>
      <w:r w:rsidR="009E45EF" w:rsidRPr="00D31468">
        <w:rPr>
          <w:b/>
          <w:szCs w:val="24"/>
        </w:rPr>
        <w:t>T</w:t>
      </w:r>
      <w:r w:rsidRPr="00D31468">
        <w:rPr>
          <w:b/>
          <w:szCs w:val="24"/>
        </w:rPr>
        <w:t>est Survey</w:t>
      </w:r>
    </w:p>
    <w:p w14:paraId="29F32D62" w14:textId="135ED173" w:rsidR="00E02A7A" w:rsidRPr="00D31468" w:rsidRDefault="00E02A7A" w:rsidP="00FD62F1">
      <w:pPr>
        <w:pStyle w:val="ListParagraph"/>
        <w:numPr>
          <w:ilvl w:val="0"/>
          <w:numId w:val="25"/>
        </w:numPr>
        <w:spacing w:after="240" w:line="240" w:lineRule="auto"/>
        <w:ind w:left="720"/>
        <w:rPr>
          <w:b/>
          <w:szCs w:val="24"/>
        </w:rPr>
      </w:pPr>
      <w:r w:rsidRPr="00D31468">
        <w:rPr>
          <w:b/>
          <w:szCs w:val="24"/>
        </w:rPr>
        <w:t>Youth Pre-</w:t>
      </w:r>
      <w:r w:rsidR="00554F28" w:rsidRPr="00D31468">
        <w:rPr>
          <w:b/>
          <w:szCs w:val="24"/>
        </w:rPr>
        <w:t>T</w:t>
      </w:r>
      <w:r w:rsidRPr="00D31468">
        <w:rPr>
          <w:b/>
          <w:szCs w:val="24"/>
        </w:rPr>
        <w:t>est and Post-</w:t>
      </w:r>
      <w:r w:rsidR="00554F28" w:rsidRPr="00D31468">
        <w:rPr>
          <w:b/>
          <w:szCs w:val="24"/>
        </w:rPr>
        <w:t>T</w:t>
      </w:r>
      <w:r w:rsidRPr="00D31468">
        <w:rPr>
          <w:b/>
          <w:szCs w:val="24"/>
        </w:rPr>
        <w:t>est Survey</w:t>
      </w:r>
    </w:p>
    <w:p w14:paraId="5BE48573" w14:textId="77777777" w:rsidR="00E02A7A" w:rsidRPr="00D31468" w:rsidRDefault="00E02A7A" w:rsidP="00FD62F1">
      <w:pPr>
        <w:pStyle w:val="ListParagraph"/>
        <w:numPr>
          <w:ilvl w:val="0"/>
          <w:numId w:val="25"/>
        </w:numPr>
        <w:spacing w:after="240" w:line="240" w:lineRule="auto"/>
        <w:ind w:left="720"/>
        <w:rPr>
          <w:b/>
          <w:szCs w:val="24"/>
        </w:rPr>
      </w:pPr>
      <w:r w:rsidRPr="00D31468">
        <w:rPr>
          <w:b/>
          <w:szCs w:val="24"/>
        </w:rPr>
        <w:t>Parent/Caregiver Interview Guide</w:t>
      </w:r>
    </w:p>
    <w:p w14:paraId="4E0AC533" w14:textId="72736FB6" w:rsidR="000B6E4E" w:rsidRPr="00D31468" w:rsidRDefault="00C2777F" w:rsidP="00E02A7A">
      <w:pPr>
        <w:spacing w:after="240" w:line="240" w:lineRule="auto"/>
        <w:rPr>
          <w:szCs w:val="24"/>
        </w:rPr>
      </w:pPr>
      <w:r w:rsidRPr="00D31468">
        <w:rPr>
          <w:szCs w:val="24"/>
        </w:rPr>
        <w:t>The case stu</w:t>
      </w:r>
      <w:r w:rsidR="0068171C" w:rsidRPr="00D31468">
        <w:rPr>
          <w:szCs w:val="24"/>
        </w:rPr>
        <w:t>dy data</w:t>
      </w:r>
      <w:r w:rsidRPr="00D31468">
        <w:rPr>
          <w:szCs w:val="24"/>
        </w:rPr>
        <w:t xml:space="preserve"> collection is part of a larger effort to evaluate the impact of the “Talk. </w:t>
      </w:r>
      <w:r w:rsidR="005E0B9E" w:rsidRPr="00D31468">
        <w:rPr>
          <w:szCs w:val="24"/>
        </w:rPr>
        <w:t xml:space="preserve"> </w:t>
      </w:r>
      <w:r w:rsidRPr="00D31468">
        <w:rPr>
          <w:szCs w:val="24"/>
        </w:rPr>
        <w:t xml:space="preserve">They Hear You.” </w:t>
      </w:r>
      <w:r w:rsidR="005E0B9E" w:rsidRPr="00D31468">
        <w:rPr>
          <w:szCs w:val="24"/>
        </w:rPr>
        <w:t>c</w:t>
      </w:r>
      <w:r w:rsidRPr="00D31468">
        <w:rPr>
          <w:szCs w:val="24"/>
        </w:rPr>
        <w:t xml:space="preserve">ampaign. The overall evaluation includes a </w:t>
      </w:r>
      <w:r w:rsidR="0068171C" w:rsidRPr="00D31468">
        <w:rPr>
          <w:szCs w:val="24"/>
        </w:rPr>
        <w:t>parent questionnaire</w:t>
      </w:r>
      <w:r w:rsidRPr="00D31468">
        <w:rPr>
          <w:szCs w:val="24"/>
        </w:rPr>
        <w:t xml:space="preserve"> that </w:t>
      </w:r>
      <w:r w:rsidR="0068171C" w:rsidRPr="00D31468">
        <w:rPr>
          <w:szCs w:val="24"/>
        </w:rPr>
        <w:t>is currently being executed under a separate</w:t>
      </w:r>
      <w:r w:rsidRPr="00D31468">
        <w:rPr>
          <w:szCs w:val="24"/>
        </w:rPr>
        <w:t xml:space="preserve"> OMB </w:t>
      </w:r>
      <w:r w:rsidR="00534229" w:rsidRPr="00D31468">
        <w:rPr>
          <w:szCs w:val="24"/>
        </w:rPr>
        <w:t>control number</w:t>
      </w:r>
      <w:r w:rsidRPr="00D31468">
        <w:rPr>
          <w:szCs w:val="24"/>
        </w:rPr>
        <w:t>.</w:t>
      </w:r>
    </w:p>
    <w:p w14:paraId="22296EF6" w14:textId="1E6AE88E" w:rsidR="00BF6BFB" w:rsidRPr="00D31468" w:rsidRDefault="003E0CAE" w:rsidP="00913D82">
      <w:pPr>
        <w:spacing w:after="240" w:line="240" w:lineRule="auto"/>
        <w:rPr>
          <w:szCs w:val="24"/>
        </w:rPr>
      </w:pPr>
      <w:r w:rsidRPr="00D31468">
        <w:rPr>
          <w:szCs w:val="24"/>
        </w:rPr>
        <w:t xml:space="preserve">Despite laws prohibiting the consumption of alcohol by individuals under 21 years of age in all 50 states, underage drinking in the United States remains a </w:t>
      </w:r>
      <w:r w:rsidR="00AB4AB3" w:rsidRPr="00D31468">
        <w:rPr>
          <w:szCs w:val="24"/>
        </w:rPr>
        <w:t>serious public health and safety problem, undermining the well-being of America’s youth</w:t>
      </w:r>
      <w:r w:rsidR="001C435E" w:rsidRPr="00D31468">
        <w:rPr>
          <w:szCs w:val="24"/>
        </w:rPr>
        <w:t>s</w:t>
      </w:r>
      <w:r w:rsidRPr="00D31468">
        <w:rPr>
          <w:szCs w:val="24"/>
        </w:rPr>
        <w:t xml:space="preserve">. Alcohol </w:t>
      </w:r>
      <w:r w:rsidR="00CE6E1A" w:rsidRPr="00D31468">
        <w:rPr>
          <w:szCs w:val="24"/>
        </w:rPr>
        <w:t>continues to be</w:t>
      </w:r>
      <w:r w:rsidRPr="00D31468">
        <w:rPr>
          <w:szCs w:val="24"/>
        </w:rPr>
        <w:t xml:space="preserve"> the most widely </w:t>
      </w:r>
      <w:r w:rsidR="00AB4AB3" w:rsidRPr="00D31468">
        <w:rPr>
          <w:szCs w:val="24"/>
        </w:rPr>
        <w:t>mis</w:t>
      </w:r>
      <w:r w:rsidRPr="00D31468">
        <w:rPr>
          <w:szCs w:val="24"/>
        </w:rPr>
        <w:t xml:space="preserve">used substance among </w:t>
      </w:r>
      <w:r w:rsidR="00AB4AB3" w:rsidRPr="00D31468">
        <w:rPr>
          <w:szCs w:val="24"/>
        </w:rPr>
        <w:t>America’s</w:t>
      </w:r>
      <w:r w:rsidR="00511CFC" w:rsidRPr="00D31468">
        <w:rPr>
          <w:szCs w:val="24"/>
        </w:rPr>
        <w:t xml:space="preserve"> </w:t>
      </w:r>
      <w:r w:rsidRPr="00D31468">
        <w:rPr>
          <w:szCs w:val="24"/>
        </w:rPr>
        <w:t>youth</w:t>
      </w:r>
      <w:r w:rsidR="001C435E" w:rsidRPr="00D31468">
        <w:rPr>
          <w:szCs w:val="24"/>
        </w:rPr>
        <w:t>s</w:t>
      </w:r>
      <w:r w:rsidR="00AA7F72" w:rsidRPr="00D31468">
        <w:rPr>
          <w:szCs w:val="24"/>
        </w:rPr>
        <w:t>,</w:t>
      </w:r>
      <w:r w:rsidR="00B70AEA" w:rsidRPr="00D31468">
        <w:rPr>
          <w:szCs w:val="24"/>
          <w:vertAlign w:val="superscript"/>
        </w:rPr>
        <w:t xml:space="preserve"> </w:t>
      </w:r>
      <w:r w:rsidR="00AB4AB3" w:rsidRPr="00D31468">
        <w:rPr>
          <w:szCs w:val="24"/>
        </w:rPr>
        <w:t>with an estimated 7.4 million people younger than the age of 21 drinking alcohol in the past month</w:t>
      </w:r>
      <w:r w:rsidRPr="00D31468">
        <w:rPr>
          <w:szCs w:val="24"/>
        </w:rPr>
        <w:t>.</w:t>
      </w:r>
    </w:p>
    <w:p w14:paraId="131E9644" w14:textId="5B9DC613" w:rsidR="004C4104" w:rsidRPr="00D31468" w:rsidRDefault="00BF6BFB" w:rsidP="00913D82">
      <w:pPr>
        <w:spacing w:after="240" w:line="240" w:lineRule="auto"/>
        <w:rPr>
          <w:szCs w:val="24"/>
        </w:rPr>
      </w:pPr>
      <w:r w:rsidRPr="00D31468">
        <w:rPr>
          <w:szCs w:val="24"/>
        </w:rPr>
        <w:t>Alcohol use is responsible for approximately 4,300 deaths annually among youth</w:t>
      </w:r>
      <w:r w:rsidR="00501136" w:rsidRPr="00D31468">
        <w:rPr>
          <w:szCs w:val="24"/>
        </w:rPr>
        <w:t>s</w:t>
      </w:r>
      <w:r w:rsidRPr="00D31468">
        <w:rPr>
          <w:szCs w:val="24"/>
        </w:rPr>
        <w:t xml:space="preserve"> under age 21 in the United States, shortening their lives by an average of 60 years</w:t>
      </w:r>
      <w:r w:rsidR="006A6185" w:rsidRPr="00D31468">
        <w:rPr>
          <w:szCs w:val="24"/>
        </w:rPr>
        <w:t>.</w:t>
      </w:r>
      <w:r w:rsidR="006A6185" w:rsidRPr="00D31468">
        <w:rPr>
          <w:rStyle w:val="FootnoteReference"/>
          <w:szCs w:val="24"/>
        </w:rPr>
        <w:footnoteReference w:id="1"/>
      </w:r>
      <w:r w:rsidR="006A6185" w:rsidRPr="00D31468">
        <w:rPr>
          <w:szCs w:val="24"/>
        </w:rPr>
        <w:t xml:space="preserve"> </w:t>
      </w:r>
      <w:r w:rsidRPr="00D31468">
        <w:rPr>
          <w:szCs w:val="24"/>
        </w:rPr>
        <w:t>Underage drinking also contributes to a wide range of costly health and social problems, including motor vehicle crashes (the greatest single mortality risk for underage drinkers); suicide; interpersonal violence (including homicides and sexual and other assaults); unintentional injuries (such as burns, falls, and drownings); cognitive impairment; alcohol use disorders;</w:t>
      </w:r>
      <w:r w:rsidR="00B70AEA" w:rsidRPr="00D31468">
        <w:rPr>
          <w:szCs w:val="24"/>
        </w:rPr>
        <w:t xml:space="preserve"> </w:t>
      </w:r>
      <w:r w:rsidRPr="00D31468">
        <w:rPr>
          <w:szCs w:val="24"/>
        </w:rPr>
        <w:t>risky sexual activity; poor school performance; and alcohol and other drug overdoses.</w:t>
      </w:r>
      <w:r w:rsidR="004262BD" w:rsidRPr="00D31468">
        <w:rPr>
          <w:szCs w:val="24"/>
        </w:rPr>
        <w:t xml:space="preserve"> </w:t>
      </w:r>
      <w:r w:rsidR="00501136" w:rsidRPr="00D31468">
        <w:rPr>
          <w:szCs w:val="24"/>
        </w:rPr>
        <w:t>Additionally</w:t>
      </w:r>
      <w:r w:rsidR="00511CFC" w:rsidRPr="00D31468">
        <w:rPr>
          <w:szCs w:val="24"/>
        </w:rPr>
        <w:t>, b</w:t>
      </w:r>
      <w:r w:rsidR="004262BD" w:rsidRPr="00D31468">
        <w:rPr>
          <w:szCs w:val="24"/>
        </w:rPr>
        <w:t>inge drinking (</w:t>
      </w:r>
      <w:r w:rsidR="00501136" w:rsidRPr="00D31468">
        <w:rPr>
          <w:szCs w:val="24"/>
        </w:rPr>
        <w:t xml:space="preserve">i.e., consuming </w:t>
      </w:r>
      <w:r w:rsidR="004262BD" w:rsidRPr="00D31468">
        <w:rPr>
          <w:szCs w:val="24"/>
        </w:rPr>
        <w:t>four drinks in a row for a female or five for a male) exacerbates underage drinking’s harmful consequences and increases with age:</w:t>
      </w:r>
      <w:r w:rsidR="00177C72" w:rsidRPr="00D31468">
        <w:rPr>
          <w:szCs w:val="24"/>
        </w:rPr>
        <w:t xml:space="preserve"> </w:t>
      </w:r>
      <w:r w:rsidR="004262BD" w:rsidRPr="00D31468">
        <w:rPr>
          <w:szCs w:val="24"/>
        </w:rPr>
        <w:t>by age 20, 29 percent of young people report binge drinking at least once in the past month (</w:t>
      </w:r>
      <w:r w:rsidR="00FD62F1" w:rsidRPr="00D31468">
        <w:rPr>
          <w:szCs w:val="24"/>
        </w:rPr>
        <w:t>Center for Behavioral Health Statistics and Quality</w:t>
      </w:r>
      <w:r w:rsidR="004262BD" w:rsidRPr="00D31468">
        <w:rPr>
          <w:szCs w:val="24"/>
        </w:rPr>
        <w:t xml:space="preserve"> 2018a).</w:t>
      </w:r>
    </w:p>
    <w:p w14:paraId="3E1EAE19" w14:textId="77777777" w:rsidR="00FD62F1" w:rsidRPr="00D31468" w:rsidRDefault="00FD62F1" w:rsidP="00913D82">
      <w:pPr>
        <w:spacing w:after="240" w:line="240" w:lineRule="auto"/>
        <w:rPr>
          <w:szCs w:val="24"/>
        </w:rPr>
      </w:pPr>
    </w:p>
    <w:p w14:paraId="2F602F41" w14:textId="2CC8A440" w:rsidR="003E0CAE" w:rsidRPr="00D31468" w:rsidRDefault="003E0CAE" w:rsidP="00913D82">
      <w:pPr>
        <w:spacing w:after="240" w:line="240" w:lineRule="auto"/>
        <w:rPr>
          <w:szCs w:val="24"/>
        </w:rPr>
      </w:pPr>
      <w:r w:rsidRPr="00D31468">
        <w:rPr>
          <w:szCs w:val="24"/>
        </w:rPr>
        <w:lastRenderedPageBreak/>
        <w:t>Parental attitudes toward drinking, as well as parental communication, have a significant influence on adolescent alcohol use, particularly among younger adolescents</w:t>
      </w:r>
      <w:r w:rsidR="002652D6" w:rsidRPr="00D31468">
        <w:rPr>
          <w:szCs w:val="24"/>
        </w:rPr>
        <w:t>.</w:t>
      </w:r>
      <w:r w:rsidRPr="00D31468">
        <w:rPr>
          <w:szCs w:val="24"/>
          <w:vertAlign w:val="superscript"/>
        </w:rPr>
        <w:footnoteReference w:id="2"/>
      </w:r>
      <w:r w:rsidR="002652D6" w:rsidRPr="00D31468">
        <w:rPr>
          <w:szCs w:val="24"/>
          <w:vertAlign w:val="superscript"/>
        </w:rPr>
        <w:t>,</w:t>
      </w:r>
      <w:r w:rsidR="00601277" w:rsidRPr="00D31468">
        <w:rPr>
          <w:rStyle w:val="FootnoteReference"/>
          <w:szCs w:val="24"/>
        </w:rPr>
        <w:footnoteReference w:id="3"/>
      </w:r>
      <w:r w:rsidR="002652D6" w:rsidRPr="00D31468">
        <w:rPr>
          <w:szCs w:val="24"/>
        </w:rPr>
        <w:t xml:space="preserve"> </w:t>
      </w:r>
      <w:r w:rsidRPr="00D31468">
        <w:rPr>
          <w:szCs w:val="24"/>
        </w:rPr>
        <w:t xml:space="preserve">Through a direct association with adolescent perceptions and cognition, parental beliefs and communication about the acceptability of underage drinking may positively impact use of alcohol </w:t>
      </w:r>
      <w:r w:rsidR="000D0C55" w:rsidRPr="00D31468">
        <w:rPr>
          <w:szCs w:val="24"/>
        </w:rPr>
        <w:t xml:space="preserve">by </w:t>
      </w:r>
      <w:r w:rsidRPr="00D31468">
        <w:rPr>
          <w:szCs w:val="24"/>
        </w:rPr>
        <w:t>youth</w:t>
      </w:r>
      <w:r w:rsidR="00442BA5" w:rsidRPr="00D31468">
        <w:rPr>
          <w:szCs w:val="24"/>
        </w:rPr>
        <w:t>s</w:t>
      </w:r>
      <w:r w:rsidR="002652D6" w:rsidRPr="00D31468">
        <w:rPr>
          <w:szCs w:val="24"/>
        </w:rPr>
        <w:t>.</w:t>
      </w:r>
      <w:r w:rsidRPr="00D31468">
        <w:rPr>
          <w:szCs w:val="24"/>
          <w:vertAlign w:val="superscript"/>
        </w:rPr>
        <w:footnoteReference w:id="4"/>
      </w:r>
      <w:r w:rsidRPr="00D31468">
        <w:rPr>
          <w:szCs w:val="24"/>
        </w:rPr>
        <w:t xml:space="preserve"> </w:t>
      </w:r>
      <w:r w:rsidR="00CC6B3D" w:rsidRPr="00D31468">
        <w:rPr>
          <w:szCs w:val="24"/>
        </w:rPr>
        <w:t xml:space="preserve">This research </w:t>
      </w:r>
      <w:r w:rsidRPr="00D31468">
        <w:rPr>
          <w:szCs w:val="24"/>
        </w:rPr>
        <w:t>suggest</w:t>
      </w:r>
      <w:r w:rsidR="00CC6B3D" w:rsidRPr="00D31468">
        <w:rPr>
          <w:szCs w:val="24"/>
        </w:rPr>
        <w:t>s</w:t>
      </w:r>
      <w:r w:rsidRPr="00D31468">
        <w:rPr>
          <w:szCs w:val="24"/>
        </w:rPr>
        <w:t xml:space="preserve"> that parental interaction with youth</w:t>
      </w:r>
      <w:r w:rsidR="00442BA5" w:rsidRPr="00D31468">
        <w:rPr>
          <w:szCs w:val="24"/>
        </w:rPr>
        <w:t>s</w:t>
      </w:r>
      <w:r w:rsidRPr="00D31468">
        <w:rPr>
          <w:szCs w:val="24"/>
        </w:rPr>
        <w:t xml:space="preserve"> regarding underage drinking may provide a unique opportunity for early intervention and prevention.</w:t>
      </w:r>
    </w:p>
    <w:p w14:paraId="1801A8F5" w14:textId="65741621" w:rsidR="003E0CAE" w:rsidRPr="00D31468" w:rsidRDefault="003E0CAE" w:rsidP="00913D82">
      <w:pPr>
        <w:spacing w:after="240" w:line="240" w:lineRule="auto"/>
        <w:rPr>
          <w:szCs w:val="24"/>
        </w:rPr>
      </w:pPr>
      <w:r w:rsidRPr="00D31468">
        <w:rPr>
          <w:szCs w:val="24"/>
        </w:rPr>
        <w:t xml:space="preserve">In </w:t>
      </w:r>
      <w:r w:rsidR="000A5222" w:rsidRPr="00D31468">
        <w:rPr>
          <w:szCs w:val="24"/>
        </w:rPr>
        <w:t xml:space="preserve">December </w:t>
      </w:r>
      <w:r w:rsidRPr="00D31468">
        <w:rPr>
          <w:szCs w:val="24"/>
        </w:rPr>
        <w:t xml:space="preserve">2006, Congress passed the Sober Truth on Preventing Underage Drinking Act (STOP Act), the first comprehensive national legislation addressing the problem of underage drinking. The act mandates a coordinated, multifaceted approach to addressing the prevention and reduction of underage drinking through the modification </w:t>
      </w:r>
      <w:r w:rsidR="00442BA5" w:rsidRPr="00D31468">
        <w:rPr>
          <w:szCs w:val="24"/>
        </w:rPr>
        <w:t>in</w:t>
      </w:r>
      <w:r w:rsidRPr="00D31468">
        <w:rPr>
          <w:szCs w:val="24"/>
        </w:rPr>
        <w:t xml:space="preserve"> enforcement of drinking laws, reduction of alcohol availability to adolescents, increased research and resources for state and local efforts, and an adult-oriented media campaign. Under section 2(d), the STOP Act directs the Secretary of the U.S. Department of Health and Human Services to fund and oversee a national</w:t>
      </w:r>
      <w:r w:rsidR="00CC6B3D" w:rsidRPr="00D31468">
        <w:rPr>
          <w:szCs w:val="24"/>
        </w:rPr>
        <w:t>,</w:t>
      </w:r>
      <w:r w:rsidRPr="00D31468">
        <w:rPr>
          <w:szCs w:val="24"/>
        </w:rPr>
        <w:t xml:space="preserve"> adult-oriented media public service campaign and to report annually on the production, broadcasting, and evaluation of this campaign.</w:t>
      </w:r>
    </w:p>
    <w:p w14:paraId="12BB7867" w14:textId="2CDAB595" w:rsidR="003E0CAE" w:rsidRPr="00D31468" w:rsidRDefault="003E0CAE" w:rsidP="00913D82">
      <w:pPr>
        <w:spacing w:after="240" w:line="240" w:lineRule="auto"/>
        <w:rPr>
          <w:szCs w:val="24"/>
        </w:rPr>
      </w:pPr>
      <w:r w:rsidRPr="00D31468">
        <w:rPr>
          <w:szCs w:val="24"/>
        </w:rPr>
        <w:t>In response to the directives set forth in the STOP Act of 2006, SAMHSA</w:t>
      </w:r>
      <w:r w:rsidR="00B602AE" w:rsidRPr="00D31468">
        <w:rPr>
          <w:szCs w:val="24"/>
        </w:rPr>
        <w:t xml:space="preserve"> </w:t>
      </w:r>
      <w:r w:rsidRPr="00D31468">
        <w:rPr>
          <w:szCs w:val="24"/>
        </w:rPr>
        <w:t xml:space="preserve">CSAP created </w:t>
      </w:r>
      <w:r w:rsidR="00442BA5" w:rsidRPr="00D31468">
        <w:rPr>
          <w:szCs w:val="24"/>
        </w:rPr>
        <w:t xml:space="preserve">the Underage Drinking Prevention National Media Campaign titled </w:t>
      </w:r>
      <w:r w:rsidRPr="00D31468">
        <w:rPr>
          <w:szCs w:val="24"/>
        </w:rPr>
        <w:t xml:space="preserve">“Talk. </w:t>
      </w:r>
      <w:r w:rsidR="005E0B9E" w:rsidRPr="00D31468">
        <w:rPr>
          <w:szCs w:val="24"/>
        </w:rPr>
        <w:t xml:space="preserve"> </w:t>
      </w:r>
      <w:r w:rsidRPr="00D31468">
        <w:rPr>
          <w:szCs w:val="24"/>
        </w:rPr>
        <w:t>They Hear You.”</w:t>
      </w:r>
      <w:r w:rsidR="00CC6B3D" w:rsidRPr="00D31468">
        <w:rPr>
          <w:szCs w:val="24"/>
        </w:rPr>
        <w:t xml:space="preserve"> The </w:t>
      </w:r>
      <w:r w:rsidR="005E0B9E" w:rsidRPr="00D31468">
        <w:rPr>
          <w:szCs w:val="24"/>
        </w:rPr>
        <w:t>c</w:t>
      </w:r>
      <w:r w:rsidR="00CC6B3D" w:rsidRPr="00D31468">
        <w:rPr>
          <w:szCs w:val="24"/>
        </w:rPr>
        <w:t xml:space="preserve">ampaign </w:t>
      </w:r>
      <w:r w:rsidR="00A537C3" w:rsidRPr="00D31468">
        <w:rPr>
          <w:szCs w:val="24"/>
        </w:rPr>
        <w:t>was originally</w:t>
      </w:r>
      <w:r w:rsidR="00CC6B3D" w:rsidRPr="00D31468">
        <w:rPr>
          <w:szCs w:val="24"/>
        </w:rPr>
        <w:t xml:space="preserve"> designed</w:t>
      </w:r>
      <w:r w:rsidRPr="00D31468">
        <w:rPr>
          <w:szCs w:val="24"/>
        </w:rPr>
        <w:t xml:space="preserve"> to educate and empower parents and caregivers to talk with children about alcohol. To prevent initiation of underage drinking, the campaign target</w:t>
      </w:r>
      <w:r w:rsidR="00442BA5" w:rsidRPr="00D31468">
        <w:rPr>
          <w:szCs w:val="24"/>
        </w:rPr>
        <w:t>ed</w:t>
      </w:r>
      <w:r w:rsidRPr="00D31468">
        <w:rPr>
          <w:szCs w:val="24"/>
        </w:rPr>
        <w:t xml:space="preserve"> parents and caregivers of children aged 9</w:t>
      </w:r>
      <w:r w:rsidR="00442BA5" w:rsidRPr="00D31468">
        <w:rPr>
          <w:szCs w:val="24"/>
        </w:rPr>
        <w:t>–</w:t>
      </w:r>
      <w:r w:rsidRPr="00D31468">
        <w:rPr>
          <w:szCs w:val="24"/>
        </w:rPr>
        <w:t>15</w:t>
      </w:r>
      <w:r w:rsidR="00A537C3" w:rsidRPr="00D31468">
        <w:rPr>
          <w:szCs w:val="24"/>
        </w:rPr>
        <w:t xml:space="preserve">. However, through </w:t>
      </w:r>
      <w:r w:rsidR="00FC0F59" w:rsidRPr="00D31468">
        <w:rPr>
          <w:szCs w:val="24"/>
        </w:rPr>
        <w:t>separate</w:t>
      </w:r>
      <w:r w:rsidR="00B70AEA" w:rsidRPr="00D31468">
        <w:rPr>
          <w:szCs w:val="24"/>
        </w:rPr>
        <w:t xml:space="preserve"> funding and </w:t>
      </w:r>
      <w:r w:rsidR="00A537C3" w:rsidRPr="00D31468">
        <w:rPr>
          <w:szCs w:val="24"/>
        </w:rPr>
        <w:t xml:space="preserve">strategic expansion, “Talk.  They Hear You.” now </w:t>
      </w:r>
      <w:r w:rsidR="00B70AEA" w:rsidRPr="00D31468">
        <w:rPr>
          <w:szCs w:val="24"/>
        </w:rPr>
        <w:t>targets parents and caregivers of children</w:t>
      </w:r>
      <w:r w:rsidR="00CE0A92" w:rsidRPr="00D31468">
        <w:rPr>
          <w:szCs w:val="24"/>
        </w:rPr>
        <w:t xml:space="preserve"> under the age of 21 a</w:t>
      </w:r>
      <w:r w:rsidR="00B70AEA" w:rsidRPr="00D31468">
        <w:rPr>
          <w:szCs w:val="24"/>
        </w:rPr>
        <w:t xml:space="preserve">nd </w:t>
      </w:r>
      <w:r w:rsidR="00A537C3" w:rsidRPr="00D31468">
        <w:rPr>
          <w:szCs w:val="24"/>
        </w:rPr>
        <w:t>supports SAMHSA’s efforts to reduce both underage drinking and substance use by aiming to</w:t>
      </w:r>
      <w:r w:rsidRPr="00D31468">
        <w:rPr>
          <w:szCs w:val="24"/>
        </w:rPr>
        <w:t>:</w:t>
      </w:r>
    </w:p>
    <w:p w14:paraId="3D06C024" w14:textId="65FE903E" w:rsidR="003E0CAE" w:rsidRPr="00D31468" w:rsidRDefault="003E0CAE" w:rsidP="00913D82">
      <w:pPr>
        <w:numPr>
          <w:ilvl w:val="0"/>
          <w:numId w:val="7"/>
        </w:numPr>
        <w:spacing w:after="0" w:line="240" w:lineRule="auto"/>
        <w:rPr>
          <w:szCs w:val="24"/>
        </w:rPr>
      </w:pPr>
      <w:r w:rsidRPr="00D31468">
        <w:rPr>
          <w:szCs w:val="24"/>
        </w:rPr>
        <w:t>Incr</w:t>
      </w:r>
      <w:r w:rsidR="00442BA5" w:rsidRPr="00D31468">
        <w:rPr>
          <w:szCs w:val="24"/>
        </w:rPr>
        <w:t>ease</w:t>
      </w:r>
      <w:r w:rsidRPr="00D31468">
        <w:rPr>
          <w:szCs w:val="24"/>
        </w:rPr>
        <w:t xml:space="preserve"> parents’ </w:t>
      </w:r>
      <w:r w:rsidRPr="00D31468">
        <w:rPr>
          <w:b/>
          <w:bCs/>
          <w:szCs w:val="24"/>
        </w:rPr>
        <w:t>awareness of the prevalence and risk</w:t>
      </w:r>
      <w:r w:rsidR="00BB1B7F" w:rsidRPr="00D31468">
        <w:rPr>
          <w:szCs w:val="24"/>
        </w:rPr>
        <w:t xml:space="preserve"> </w:t>
      </w:r>
      <w:r w:rsidRPr="00D31468">
        <w:rPr>
          <w:szCs w:val="24"/>
        </w:rPr>
        <w:t>of underage drinking</w:t>
      </w:r>
      <w:r w:rsidR="00A537C3" w:rsidRPr="00D31468">
        <w:rPr>
          <w:szCs w:val="24"/>
        </w:rPr>
        <w:t xml:space="preserve"> and substance use;</w:t>
      </w:r>
    </w:p>
    <w:p w14:paraId="4705EBCF" w14:textId="4FBDB82F" w:rsidR="003E0CAE" w:rsidRPr="00D31468" w:rsidRDefault="003E0CAE" w:rsidP="00913D82">
      <w:pPr>
        <w:numPr>
          <w:ilvl w:val="0"/>
          <w:numId w:val="7"/>
        </w:numPr>
        <w:spacing w:after="0" w:line="240" w:lineRule="auto"/>
        <w:rPr>
          <w:szCs w:val="24"/>
        </w:rPr>
      </w:pPr>
      <w:r w:rsidRPr="00D31468">
        <w:rPr>
          <w:szCs w:val="24"/>
        </w:rPr>
        <w:t>Equip parents with the</w:t>
      </w:r>
      <w:r w:rsidR="00BB1B7F" w:rsidRPr="00D31468">
        <w:rPr>
          <w:szCs w:val="24"/>
        </w:rPr>
        <w:t xml:space="preserve"> </w:t>
      </w:r>
      <w:r w:rsidRPr="00D31468">
        <w:rPr>
          <w:b/>
          <w:bCs/>
          <w:szCs w:val="24"/>
        </w:rPr>
        <w:t>knowledge, skills, and confidence</w:t>
      </w:r>
      <w:r w:rsidR="00BB1B7F" w:rsidRPr="00D31468">
        <w:rPr>
          <w:szCs w:val="24"/>
        </w:rPr>
        <w:t xml:space="preserve"> </w:t>
      </w:r>
      <w:r w:rsidRPr="00D31468">
        <w:rPr>
          <w:szCs w:val="24"/>
        </w:rPr>
        <w:t>to prevent underage drinking</w:t>
      </w:r>
      <w:r w:rsidR="00A537C3" w:rsidRPr="00D31468">
        <w:rPr>
          <w:szCs w:val="24"/>
        </w:rPr>
        <w:t xml:space="preserve"> and substance use; and</w:t>
      </w:r>
    </w:p>
    <w:p w14:paraId="49345005" w14:textId="596B560D" w:rsidR="003E0CAE" w:rsidRPr="00D31468" w:rsidRDefault="003E0CAE" w:rsidP="00913D82">
      <w:pPr>
        <w:numPr>
          <w:ilvl w:val="0"/>
          <w:numId w:val="7"/>
        </w:numPr>
        <w:spacing w:after="240" w:line="240" w:lineRule="auto"/>
        <w:rPr>
          <w:szCs w:val="24"/>
        </w:rPr>
      </w:pPr>
      <w:r w:rsidRPr="00D31468">
        <w:rPr>
          <w:szCs w:val="24"/>
        </w:rPr>
        <w:t>Increas</w:t>
      </w:r>
      <w:r w:rsidR="00442BA5" w:rsidRPr="00D31468">
        <w:rPr>
          <w:szCs w:val="24"/>
        </w:rPr>
        <w:t>e</w:t>
      </w:r>
      <w:r w:rsidRPr="00D31468">
        <w:rPr>
          <w:szCs w:val="24"/>
        </w:rPr>
        <w:t xml:space="preserve"> parents’</w:t>
      </w:r>
      <w:r w:rsidR="00BB1B7F" w:rsidRPr="00D31468">
        <w:rPr>
          <w:szCs w:val="24"/>
        </w:rPr>
        <w:t xml:space="preserve"> </w:t>
      </w:r>
      <w:r w:rsidRPr="00D31468">
        <w:rPr>
          <w:b/>
          <w:bCs/>
          <w:szCs w:val="24"/>
        </w:rPr>
        <w:t>actions to prevent underage drinking</w:t>
      </w:r>
      <w:r w:rsidR="00A537C3" w:rsidRPr="00D31468">
        <w:rPr>
          <w:b/>
          <w:bCs/>
          <w:szCs w:val="24"/>
        </w:rPr>
        <w:t xml:space="preserve"> and substance use</w:t>
      </w:r>
      <w:r w:rsidRPr="00D31468">
        <w:rPr>
          <w:bCs/>
          <w:szCs w:val="24"/>
        </w:rPr>
        <w:t>.</w:t>
      </w:r>
    </w:p>
    <w:p w14:paraId="76EEB843" w14:textId="3EC400E9" w:rsidR="00987EE9" w:rsidRPr="00D31468" w:rsidRDefault="00410B78" w:rsidP="00913D82">
      <w:pPr>
        <w:spacing w:after="240" w:line="240" w:lineRule="auto"/>
        <w:rPr>
          <w:szCs w:val="24"/>
        </w:rPr>
      </w:pPr>
      <w:r w:rsidRPr="00D31468">
        <w:rPr>
          <w:szCs w:val="24"/>
        </w:rPr>
        <w:t xml:space="preserve">The “Talk. </w:t>
      </w:r>
      <w:r w:rsidR="003A17E7" w:rsidRPr="00D31468">
        <w:rPr>
          <w:szCs w:val="24"/>
        </w:rPr>
        <w:t xml:space="preserve"> </w:t>
      </w:r>
      <w:r w:rsidRPr="00D31468">
        <w:rPr>
          <w:szCs w:val="24"/>
        </w:rPr>
        <w:t xml:space="preserve">They Hear You.” campaign adds to </w:t>
      </w:r>
      <w:r w:rsidR="00CC6B3D" w:rsidRPr="00D31468">
        <w:rPr>
          <w:szCs w:val="24"/>
        </w:rPr>
        <w:t>parents’</w:t>
      </w:r>
      <w:r w:rsidR="0030229C" w:rsidRPr="00D31468">
        <w:rPr>
          <w:szCs w:val="24"/>
        </w:rPr>
        <w:t xml:space="preserve"> and caregivers’ </w:t>
      </w:r>
      <w:r w:rsidRPr="00D31468">
        <w:rPr>
          <w:szCs w:val="24"/>
        </w:rPr>
        <w:t xml:space="preserve">current knowledge base about underage drinking </w:t>
      </w:r>
      <w:r w:rsidR="003A17E7" w:rsidRPr="00D31468">
        <w:rPr>
          <w:szCs w:val="24"/>
        </w:rPr>
        <w:t xml:space="preserve">and substance use </w:t>
      </w:r>
      <w:r w:rsidRPr="00D31468">
        <w:rPr>
          <w:szCs w:val="24"/>
        </w:rPr>
        <w:t>prevention</w:t>
      </w:r>
      <w:r w:rsidR="00442BA5" w:rsidRPr="00D31468">
        <w:rPr>
          <w:szCs w:val="24"/>
        </w:rPr>
        <w:t>,</w:t>
      </w:r>
      <w:r w:rsidR="0068171C" w:rsidRPr="00D31468">
        <w:rPr>
          <w:szCs w:val="24"/>
        </w:rPr>
        <w:t xml:space="preserve"> </w:t>
      </w:r>
      <w:r w:rsidRPr="00D31468">
        <w:rPr>
          <w:szCs w:val="24"/>
        </w:rPr>
        <w:t xml:space="preserve">and empowers </w:t>
      </w:r>
      <w:r w:rsidR="0030229C" w:rsidRPr="00D31468">
        <w:rPr>
          <w:szCs w:val="24"/>
        </w:rPr>
        <w:t xml:space="preserve">them </w:t>
      </w:r>
      <w:r w:rsidRPr="00D31468">
        <w:rPr>
          <w:szCs w:val="24"/>
        </w:rPr>
        <w:t>to address the</w:t>
      </w:r>
      <w:r w:rsidR="0068171C" w:rsidRPr="00D31468">
        <w:rPr>
          <w:szCs w:val="24"/>
        </w:rPr>
        <w:t>se</w:t>
      </w:r>
      <w:r w:rsidRPr="00D31468">
        <w:rPr>
          <w:szCs w:val="24"/>
        </w:rPr>
        <w:t xml:space="preserve"> issue</w:t>
      </w:r>
      <w:r w:rsidR="0068171C" w:rsidRPr="00D31468">
        <w:rPr>
          <w:szCs w:val="24"/>
        </w:rPr>
        <w:t>s</w:t>
      </w:r>
      <w:r w:rsidRPr="00D31468">
        <w:rPr>
          <w:szCs w:val="24"/>
        </w:rPr>
        <w:t xml:space="preserve"> by increasing their level of comfort with the</w:t>
      </w:r>
      <w:r w:rsidR="0068171C" w:rsidRPr="00D31468">
        <w:rPr>
          <w:szCs w:val="24"/>
        </w:rPr>
        <w:t>se</w:t>
      </w:r>
      <w:r w:rsidRPr="00D31468">
        <w:rPr>
          <w:szCs w:val="24"/>
        </w:rPr>
        <w:t xml:space="preserve"> topic</w:t>
      </w:r>
      <w:r w:rsidR="0068171C" w:rsidRPr="00D31468">
        <w:rPr>
          <w:szCs w:val="24"/>
        </w:rPr>
        <w:t>s</w:t>
      </w:r>
      <w:r w:rsidRPr="00D31468">
        <w:rPr>
          <w:szCs w:val="24"/>
        </w:rPr>
        <w:t xml:space="preserve"> and encouraging open communication between them and their children. During campaign development, parents</w:t>
      </w:r>
      <w:r w:rsidR="0030229C" w:rsidRPr="00D31468">
        <w:rPr>
          <w:szCs w:val="24"/>
        </w:rPr>
        <w:t>/car</w:t>
      </w:r>
      <w:r w:rsidR="00CC58DA" w:rsidRPr="00D31468">
        <w:rPr>
          <w:szCs w:val="24"/>
        </w:rPr>
        <w:t>egivers</w:t>
      </w:r>
      <w:r w:rsidRPr="00D31468">
        <w:rPr>
          <w:szCs w:val="24"/>
        </w:rPr>
        <w:t>, youth</w:t>
      </w:r>
      <w:r w:rsidR="00442BA5" w:rsidRPr="00D31468">
        <w:rPr>
          <w:szCs w:val="24"/>
        </w:rPr>
        <w:t>s</w:t>
      </w:r>
      <w:r w:rsidRPr="00D31468">
        <w:rPr>
          <w:szCs w:val="24"/>
        </w:rPr>
        <w:t>, and stakeholders provided feedback on all aspects of concept and message development. In 2012, SAMHSA conducted a national pilot program to test and refine campaign cr</w:t>
      </w:r>
      <w:r w:rsidR="00611624" w:rsidRPr="00D31468">
        <w:rPr>
          <w:szCs w:val="24"/>
        </w:rPr>
        <w:t>eative materials and objectives. Then, i</w:t>
      </w:r>
      <w:r w:rsidR="00987EE9" w:rsidRPr="00D31468">
        <w:rPr>
          <w:szCs w:val="24"/>
        </w:rPr>
        <w:t xml:space="preserve">n 2013, SAMHSA launched the “Talk. </w:t>
      </w:r>
      <w:r w:rsidR="005E0B9E" w:rsidRPr="00D31468">
        <w:rPr>
          <w:szCs w:val="24"/>
        </w:rPr>
        <w:t xml:space="preserve"> </w:t>
      </w:r>
      <w:r w:rsidR="00987EE9" w:rsidRPr="00D31468">
        <w:rPr>
          <w:szCs w:val="24"/>
        </w:rPr>
        <w:t xml:space="preserve">They </w:t>
      </w:r>
      <w:r w:rsidR="00987EE9" w:rsidRPr="00D31468">
        <w:rPr>
          <w:szCs w:val="24"/>
        </w:rPr>
        <w:lastRenderedPageBreak/>
        <w:t xml:space="preserve">Hear You.” </w:t>
      </w:r>
      <w:r w:rsidR="00BC5EBE" w:rsidRPr="00D31468">
        <w:rPr>
          <w:szCs w:val="24"/>
        </w:rPr>
        <w:t>c</w:t>
      </w:r>
      <w:r w:rsidR="00987EE9" w:rsidRPr="00D31468">
        <w:rPr>
          <w:szCs w:val="24"/>
        </w:rPr>
        <w:t>ampaign designed to help parents</w:t>
      </w:r>
      <w:r w:rsidR="00CC58DA" w:rsidRPr="00D31468">
        <w:rPr>
          <w:szCs w:val="24"/>
        </w:rPr>
        <w:t xml:space="preserve"> and caregivers</w:t>
      </w:r>
      <w:r w:rsidR="00987EE9" w:rsidRPr="00D31468">
        <w:rPr>
          <w:szCs w:val="24"/>
        </w:rPr>
        <w:t xml:space="preserve"> talk to children age</w:t>
      </w:r>
      <w:r w:rsidR="00BB1B7F" w:rsidRPr="00D31468">
        <w:rPr>
          <w:szCs w:val="24"/>
        </w:rPr>
        <w:t>d</w:t>
      </w:r>
      <w:r w:rsidR="00987EE9" w:rsidRPr="00D31468">
        <w:rPr>
          <w:szCs w:val="24"/>
        </w:rPr>
        <w:t xml:space="preserve"> 9–15 about the consequences of underage drinking and introduce skills to help </w:t>
      </w:r>
      <w:r w:rsidR="00CC6B3D" w:rsidRPr="00D31468">
        <w:rPr>
          <w:szCs w:val="24"/>
        </w:rPr>
        <w:t>their children</w:t>
      </w:r>
      <w:r w:rsidR="00987EE9" w:rsidRPr="00D31468">
        <w:rPr>
          <w:szCs w:val="24"/>
        </w:rPr>
        <w:t xml:space="preserve"> avoid situations that result in </w:t>
      </w:r>
      <w:r w:rsidR="00C30F26" w:rsidRPr="00D31468">
        <w:rPr>
          <w:szCs w:val="24"/>
        </w:rPr>
        <w:t>these behaviors</w:t>
      </w:r>
      <w:r w:rsidR="00987EE9" w:rsidRPr="00D31468">
        <w:rPr>
          <w:szCs w:val="24"/>
        </w:rPr>
        <w:t xml:space="preserve">. </w:t>
      </w:r>
      <w:r w:rsidR="005807FD" w:rsidRPr="00D31468">
        <w:rPr>
          <w:szCs w:val="24"/>
        </w:rPr>
        <w:t xml:space="preserve">In 2017, </w:t>
      </w:r>
      <w:r w:rsidR="00BC075E" w:rsidRPr="00D31468">
        <w:rPr>
          <w:szCs w:val="24"/>
        </w:rPr>
        <w:t xml:space="preserve">the campaign </w:t>
      </w:r>
      <w:r w:rsidR="005807FD" w:rsidRPr="00D31468">
        <w:rPr>
          <w:szCs w:val="24"/>
        </w:rPr>
        <w:t xml:space="preserve">received separate funding to expand its content to include information </w:t>
      </w:r>
      <w:r w:rsidR="00BC075E" w:rsidRPr="00D31468">
        <w:rPr>
          <w:szCs w:val="24"/>
        </w:rPr>
        <w:t xml:space="preserve">to help prepare parents and caregivers </w:t>
      </w:r>
      <w:r w:rsidR="00E90B5C" w:rsidRPr="00D31468">
        <w:rPr>
          <w:szCs w:val="24"/>
        </w:rPr>
        <w:t xml:space="preserve">to </w:t>
      </w:r>
      <w:r w:rsidR="00BC075E" w:rsidRPr="00D31468">
        <w:rPr>
          <w:szCs w:val="24"/>
        </w:rPr>
        <w:t>talk to their children about alcohol and other drugs, including prescription pain medications and marijuana. Then, in 2018, the campaign expanded its age range beyond 9</w:t>
      </w:r>
      <w:r w:rsidR="00E90B5C" w:rsidRPr="00D31468">
        <w:rPr>
          <w:szCs w:val="24"/>
        </w:rPr>
        <w:t>–</w:t>
      </w:r>
      <w:r w:rsidR="00BC075E" w:rsidRPr="00D31468">
        <w:rPr>
          <w:szCs w:val="24"/>
        </w:rPr>
        <w:t>15 to include resources for parents and caregivers of children under the age of 21.</w:t>
      </w:r>
      <w:r w:rsidR="005807FD" w:rsidRPr="00D31468">
        <w:rPr>
          <w:szCs w:val="24"/>
        </w:rPr>
        <w:t xml:space="preserve"> </w:t>
      </w:r>
      <w:r w:rsidR="00987EE9" w:rsidRPr="00D31468">
        <w:rPr>
          <w:szCs w:val="24"/>
        </w:rPr>
        <w:t>This is a national campaign with an ongoing rollout period.</w:t>
      </w:r>
    </w:p>
    <w:p w14:paraId="3F1FEA7C" w14:textId="0E6989BA" w:rsidR="00987EE9" w:rsidRPr="00D31468" w:rsidRDefault="00987EE9" w:rsidP="00913D82">
      <w:pPr>
        <w:spacing w:after="240" w:line="240" w:lineRule="auto"/>
        <w:rPr>
          <w:szCs w:val="24"/>
        </w:rPr>
      </w:pPr>
      <w:r w:rsidRPr="00D31468">
        <w:rPr>
          <w:szCs w:val="24"/>
        </w:rPr>
        <w:t xml:space="preserve">The “Talk. </w:t>
      </w:r>
      <w:r w:rsidR="005E0B9E" w:rsidRPr="00D31468">
        <w:rPr>
          <w:szCs w:val="24"/>
        </w:rPr>
        <w:t xml:space="preserve"> </w:t>
      </w:r>
      <w:r w:rsidRPr="00D31468">
        <w:rPr>
          <w:szCs w:val="24"/>
        </w:rPr>
        <w:t>They Hear You.” materials consist of public service announcements, infographics, and a mobile application. These materials show parents</w:t>
      </w:r>
      <w:r w:rsidR="00665E80" w:rsidRPr="00D31468">
        <w:rPr>
          <w:szCs w:val="24"/>
        </w:rPr>
        <w:t xml:space="preserve"> and caregivers</w:t>
      </w:r>
      <w:r w:rsidRPr="00D31468">
        <w:rPr>
          <w:szCs w:val="24"/>
        </w:rPr>
        <w:t xml:space="preserve"> using everyday opportunities to talk with their children about alcohol</w:t>
      </w:r>
      <w:r w:rsidR="0068171C" w:rsidRPr="00D31468">
        <w:rPr>
          <w:szCs w:val="24"/>
        </w:rPr>
        <w:t xml:space="preserve"> and other substances</w:t>
      </w:r>
      <w:r w:rsidRPr="00D31468">
        <w:rPr>
          <w:szCs w:val="24"/>
        </w:rPr>
        <w:t>, and reinforce the importan</w:t>
      </w:r>
      <w:r w:rsidR="001002D0" w:rsidRPr="00D31468">
        <w:rPr>
          <w:szCs w:val="24"/>
        </w:rPr>
        <w:t>ce</w:t>
      </w:r>
      <w:r w:rsidRPr="00D31468">
        <w:rPr>
          <w:szCs w:val="24"/>
        </w:rPr>
        <w:t xml:space="preserve"> of starting the </w:t>
      </w:r>
      <w:r w:rsidR="0068171C" w:rsidRPr="00D31468">
        <w:rPr>
          <w:szCs w:val="24"/>
        </w:rPr>
        <w:t xml:space="preserve">prevention </w:t>
      </w:r>
      <w:r w:rsidRPr="00D31468">
        <w:rPr>
          <w:szCs w:val="24"/>
        </w:rPr>
        <w:t>conversation at an early age. They were created and provided to partners to display and distribute to parents</w:t>
      </w:r>
      <w:r w:rsidR="00665E80" w:rsidRPr="00D31468">
        <w:rPr>
          <w:szCs w:val="24"/>
        </w:rPr>
        <w:t>/caregivers</w:t>
      </w:r>
      <w:r w:rsidRPr="00D31468">
        <w:rPr>
          <w:szCs w:val="24"/>
        </w:rPr>
        <w:t xml:space="preserve"> and community members</w:t>
      </w:r>
      <w:r w:rsidR="00CC6B3D" w:rsidRPr="00D31468">
        <w:rPr>
          <w:szCs w:val="24"/>
        </w:rPr>
        <w:t>. The partners</w:t>
      </w:r>
      <w:r w:rsidRPr="00D31468">
        <w:rPr>
          <w:szCs w:val="24"/>
        </w:rPr>
        <w:t>, in turn, generated feedback on campaign successes</w:t>
      </w:r>
      <w:r w:rsidR="00601277" w:rsidRPr="00D31468">
        <w:rPr>
          <w:szCs w:val="24"/>
        </w:rPr>
        <w:t>,</w:t>
      </w:r>
      <w:r w:rsidRPr="00D31468">
        <w:rPr>
          <w:szCs w:val="24"/>
        </w:rPr>
        <w:t xml:space="preserve"> such as </w:t>
      </w:r>
      <w:r w:rsidR="00CC6B3D" w:rsidRPr="00D31468">
        <w:rPr>
          <w:szCs w:val="24"/>
        </w:rPr>
        <w:t xml:space="preserve">reach and volume of </w:t>
      </w:r>
      <w:r w:rsidRPr="00D31468">
        <w:rPr>
          <w:szCs w:val="24"/>
        </w:rPr>
        <w:t>social media and blog posts, newsletter articles, and direct distribution of campaign materials.</w:t>
      </w:r>
    </w:p>
    <w:p w14:paraId="6062DBF6" w14:textId="137ADD4D" w:rsidR="009363D1" w:rsidRPr="00D31468" w:rsidRDefault="00BC5EBE" w:rsidP="00913D82">
      <w:pPr>
        <w:spacing w:after="240" w:line="240" w:lineRule="auto"/>
        <w:rPr>
          <w:szCs w:val="24"/>
        </w:rPr>
      </w:pPr>
      <w:r w:rsidRPr="00D31468">
        <w:rPr>
          <w:szCs w:val="24"/>
        </w:rPr>
        <w:t xml:space="preserve">In addition to developing and disseminating the “Talk. </w:t>
      </w:r>
      <w:r w:rsidR="005E0B9E" w:rsidRPr="00D31468">
        <w:rPr>
          <w:szCs w:val="24"/>
        </w:rPr>
        <w:t xml:space="preserve"> </w:t>
      </w:r>
      <w:r w:rsidRPr="00D31468">
        <w:rPr>
          <w:szCs w:val="24"/>
        </w:rPr>
        <w:t xml:space="preserve">They Hear You.” campaign components, SAMHSA is also </w:t>
      </w:r>
      <w:r w:rsidR="003B1DBB" w:rsidRPr="00D31468">
        <w:rPr>
          <w:szCs w:val="24"/>
        </w:rPr>
        <w:t>char</w:t>
      </w:r>
      <w:r w:rsidR="00913D82" w:rsidRPr="00D31468">
        <w:rPr>
          <w:szCs w:val="24"/>
        </w:rPr>
        <w:t>ged with</w:t>
      </w:r>
      <w:r w:rsidRPr="00D31468">
        <w:rPr>
          <w:szCs w:val="24"/>
        </w:rPr>
        <w:t xml:space="preserve"> </w:t>
      </w:r>
      <w:r w:rsidR="00F03B51" w:rsidRPr="00D31468">
        <w:rPr>
          <w:szCs w:val="24"/>
        </w:rPr>
        <w:t xml:space="preserve">evaluating the campaign. </w:t>
      </w:r>
      <w:r w:rsidR="00EE3146" w:rsidRPr="00D31468">
        <w:rPr>
          <w:szCs w:val="24"/>
        </w:rPr>
        <w:t xml:space="preserve">While message testing during development indicated the potential impact of the materials, and media measures from partner distribution of materials indicate the reach of the campaign, there also needs to be an evaluation of the impact of the campaign as it has been implemented in the general population. </w:t>
      </w:r>
      <w:r w:rsidR="00F03B51" w:rsidRPr="00D31468">
        <w:rPr>
          <w:szCs w:val="24"/>
        </w:rPr>
        <w:t>SAMHSA’s evaluation design consists</w:t>
      </w:r>
      <w:r w:rsidRPr="00D31468">
        <w:rPr>
          <w:szCs w:val="24"/>
        </w:rPr>
        <w:t xml:space="preserve"> </w:t>
      </w:r>
      <w:r w:rsidR="00F03B51" w:rsidRPr="00D31468">
        <w:rPr>
          <w:szCs w:val="24"/>
        </w:rPr>
        <w:t xml:space="preserve">of </w:t>
      </w:r>
      <w:r w:rsidRPr="00D31468">
        <w:rPr>
          <w:szCs w:val="24"/>
        </w:rPr>
        <w:t>a two-part evaluation mechanism</w:t>
      </w:r>
      <w:r w:rsidR="00F03B51" w:rsidRPr="00D31468">
        <w:rPr>
          <w:szCs w:val="24"/>
        </w:rPr>
        <w:t xml:space="preserve">—a </w:t>
      </w:r>
      <w:r w:rsidR="0068171C" w:rsidRPr="00D31468">
        <w:rPr>
          <w:szCs w:val="24"/>
        </w:rPr>
        <w:t>parent questionnaire</w:t>
      </w:r>
      <w:r w:rsidRPr="00D31468">
        <w:rPr>
          <w:szCs w:val="24"/>
        </w:rPr>
        <w:t xml:space="preserve"> and </w:t>
      </w:r>
      <w:r w:rsidR="00C2777F" w:rsidRPr="00D31468">
        <w:rPr>
          <w:szCs w:val="24"/>
        </w:rPr>
        <w:t xml:space="preserve">the </w:t>
      </w:r>
      <w:r w:rsidR="00913D82" w:rsidRPr="00D31468">
        <w:rPr>
          <w:szCs w:val="24"/>
        </w:rPr>
        <w:t xml:space="preserve">supplemental </w:t>
      </w:r>
      <w:r w:rsidRPr="00D31468">
        <w:rPr>
          <w:szCs w:val="24"/>
        </w:rPr>
        <w:t>case stud</w:t>
      </w:r>
      <w:r w:rsidR="0068171C" w:rsidRPr="00D31468">
        <w:rPr>
          <w:szCs w:val="24"/>
        </w:rPr>
        <w:t>y</w:t>
      </w:r>
      <w:r w:rsidR="001002D0" w:rsidRPr="00D31468">
        <w:rPr>
          <w:szCs w:val="24"/>
        </w:rPr>
        <w:t>.</w:t>
      </w:r>
      <w:r w:rsidRPr="00D31468">
        <w:rPr>
          <w:szCs w:val="24"/>
        </w:rPr>
        <w:t xml:space="preserve"> The </w:t>
      </w:r>
      <w:r w:rsidR="00C30F26" w:rsidRPr="00D31468">
        <w:rPr>
          <w:szCs w:val="24"/>
        </w:rPr>
        <w:t xml:space="preserve">annual </w:t>
      </w:r>
      <w:r w:rsidR="0068171C" w:rsidRPr="00D31468">
        <w:rPr>
          <w:szCs w:val="24"/>
        </w:rPr>
        <w:t>questionnaire</w:t>
      </w:r>
      <w:r w:rsidRPr="00D31468">
        <w:rPr>
          <w:szCs w:val="24"/>
        </w:rPr>
        <w:t xml:space="preserve"> of parents/caregivers of 9-</w:t>
      </w:r>
      <w:r w:rsidR="00E90B5C" w:rsidRPr="00D31468">
        <w:rPr>
          <w:szCs w:val="24"/>
        </w:rPr>
        <w:t xml:space="preserve"> to </w:t>
      </w:r>
      <w:r w:rsidR="004A05B4" w:rsidRPr="00D31468">
        <w:rPr>
          <w:szCs w:val="24"/>
        </w:rPr>
        <w:t>20</w:t>
      </w:r>
      <w:r w:rsidR="00E90B5C" w:rsidRPr="00D31468">
        <w:rPr>
          <w:szCs w:val="24"/>
        </w:rPr>
        <w:t>-</w:t>
      </w:r>
      <w:r w:rsidRPr="00D31468">
        <w:rPr>
          <w:szCs w:val="24"/>
        </w:rPr>
        <w:t>year</w:t>
      </w:r>
      <w:r w:rsidR="00E90B5C" w:rsidRPr="00D31468">
        <w:rPr>
          <w:szCs w:val="24"/>
        </w:rPr>
        <w:t>-</w:t>
      </w:r>
      <w:r w:rsidRPr="00D31468">
        <w:rPr>
          <w:szCs w:val="24"/>
        </w:rPr>
        <w:t>old children will</w:t>
      </w:r>
      <w:r w:rsidR="00913D82" w:rsidRPr="00D31468">
        <w:rPr>
          <w:szCs w:val="24"/>
        </w:rPr>
        <w:t xml:space="preserve"> </w:t>
      </w:r>
      <w:r w:rsidR="00A54214" w:rsidRPr="00D31468">
        <w:rPr>
          <w:szCs w:val="24"/>
        </w:rPr>
        <w:t>e</w:t>
      </w:r>
      <w:r w:rsidRPr="00D31468">
        <w:rPr>
          <w:szCs w:val="24"/>
        </w:rPr>
        <w:t xml:space="preserve">xamine </w:t>
      </w:r>
      <w:r w:rsidR="00C30F26" w:rsidRPr="00D31468">
        <w:rPr>
          <w:szCs w:val="24"/>
        </w:rPr>
        <w:t>how campaign products are viewed by our target audience, as well as the potential impact</w:t>
      </w:r>
      <w:r w:rsidRPr="00D31468">
        <w:rPr>
          <w:szCs w:val="24"/>
        </w:rPr>
        <w:t xml:space="preserve"> </w:t>
      </w:r>
      <w:r w:rsidR="00C30F26" w:rsidRPr="00D31468">
        <w:rPr>
          <w:szCs w:val="24"/>
        </w:rPr>
        <w:t>they may have on parents’</w:t>
      </w:r>
      <w:r w:rsidR="00A54214" w:rsidRPr="00D31468">
        <w:rPr>
          <w:szCs w:val="24"/>
        </w:rPr>
        <w:t xml:space="preserve"> </w:t>
      </w:r>
      <w:r w:rsidR="00665E80" w:rsidRPr="00D31468">
        <w:rPr>
          <w:szCs w:val="24"/>
        </w:rPr>
        <w:t xml:space="preserve">and </w:t>
      </w:r>
      <w:r w:rsidR="004A05B4" w:rsidRPr="00D31468">
        <w:rPr>
          <w:szCs w:val="24"/>
        </w:rPr>
        <w:t xml:space="preserve">caregivers’ </w:t>
      </w:r>
      <w:r w:rsidR="00A54214" w:rsidRPr="00D31468">
        <w:rPr>
          <w:szCs w:val="24"/>
        </w:rPr>
        <w:t>attitudes</w:t>
      </w:r>
      <w:r w:rsidRPr="00D31468">
        <w:rPr>
          <w:szCs w:val="24"/>
        </w:rPr>
        <w:t xml:space="preserve"> and/or behavior</w:t>
      </w:r>
      <w:r w:rsidR="00C30F26" w:rsidRPr="00D31468">
        <w:rPr>
          <w:szCs w:val="24"/>
        </w:rPr>
        <w:t xml:space="preserve"> </w:t>
      </w:r>
      <w:r w:rsidRPr="00D31468">
        <w:rPr>
          <w:szCs w:val="24"/>
        </w:rPr>
        <w:t>regarding talking</w:t>
      </w:r>
      <w:r w:rsidR="00A54214" w:rsidRPr="00D31468">
        <w:rPr>
          <w:szCs w:val="24"/>
        </w:rPr>
        <w:t xml:space="preserve"> to their children about underage drinking</w:t>
      </w:r>
      <w:r w:rsidR="00352F35" w:rsidRPr="00D31468">
        <w:rPr>
          <w:szCs w:val="24"/>
        </w:rPr>
        <w:t xml:space="preserve"> and other substance use</w:t>
      </w:r>
      <w:r w:rsidR="00C30F26" w:rsidRPr="00D31468">
        <w:rPr>
          <w:szCs w:val="24"/>
        </w:rPr>
        <w:t xml:space="preserve"> </w:t>
      </w:r>
      <w:r w:rsidR="00A54214" w:rsidRPr="00D31468">
        <w:rPr>
          <w:szCs w:val="24"/>
        </w:rPr>
        <w:t xml:space="preserve">after </w:t>
      </w:r>
      <w:r w:rsidRPr="00D31468">
        <w:rPr>
          <w:szCs w:val="24"/>
        </w:rPr>
        <w:t>seeing the materials.</w:t>
      </w:r>
    </w:p>
    <w:p w14:paraId="55FDC34A" w14:textId="344F22A7" w:rsidR="00D814F8" w:rsidRPr="00D31468" w:rsidRDefault="00BC5EBE" w:rsidP="00913D82">
      <w:pPr>
        <w:spacing w:after="240" w:line="240" w:lineRule="auto"/>
        <w:rPr>
          <w:szCs w:val="24"/>
        </w:rPr>
      </w:pPr>
      <w:r w:rsidRPr="00D31468">
        <w:rPr>
          <w:szCs w:val="24"/>
        </w:rPr>
        <w:t xml:space="preserve">To supplement findings from </w:t>
      </w:r>
      <w:r w:rsidR="00C30F26" w:rsidRPr="00D31468">
        <w:rPr>
          <w:szCs w:val="24"/>
        </w:rPr>
        <w:t>th</w:t>
      </w:r>
      <w:r w:rsidR="009363D1" w:rsidRPr="00D31468">
        <w:rPr>
          <w:szCs w:val="24"/>
        </w:rPr>
        <w:t>e parent questionnaire</w:t>
      </w:r>
      <w:r w:rsidR="00C30F26" w:rsidRPr="00D31468">
        <w:rPr>
          <w:szCs w:val="24"/>
        </w:rPr>
        <w:t xml:space="preserve"> effort</w:t>
      </w:r>
      <w:r w:rsidRPr="00D31468">
        <w:rPr>
          <w:szCs w:val="24"/>
        </w:rPr>
        <w:t xml:space="preserve">, SAMHSA </w:t>
      </w:r>
      <w:r w:rsidR="00611624" w:rsidRPr="00D31468">
        <w:rPr>
          <w:szCs w:val="24"/>
        </w:rPr>
        <w:t xml:space="preserve">intends to </w:t>
      </w:r>
      <w:r w:rsidRPr="00D31468">
        <w:rPr>
          <w:szCs w:val="24"/>
        </w:rPr>
        <w:t xml:space="preserve">conduct </w:t>
      </w:r>
      <w:r w:rsidR="00C30F26" w:rsidRPr="00D31468">
        <w:rPr>
          <w:szCs w:val="24"/>
        </w:rPr>
        <w:t xml:space="preserve">a </w:t>
      </w:r>
      <w:r w:rsidRPr="00D31468">
        <w:rPr>
          <w:szCs w:val="24"/>
        </w:rPr>
        <w:t>forced-exposure case stud</w:t>
      </w:r>
      <w:r w:rsidR="00C30F26" w:rsidRPr="00D31468">
        <w:rPr>
          <w:szCs w:val="24"/>
        </w:rPr>
        <w:t>y</w:t>
      </w:r>
      <w:r w:rsidRPr="00D31468">
        <w:rPr>
          <w:szCs w:val="24"/>
        </w:rPr>
        <w:t xml:space="preserve"> in </w:t>
      </w:r>
      <w:r w:rsidR="00C30F26" w:rsidRPr="00D31468">
        <w:rPr>
          <w:szCs w:val="24"/>
        </w:rPr>
        <w:t xml:space="preserve">a </w:t>
      </w:r>
      <w:r w:rsidRPr="00D31468">
        <w:rPr>
          <w:szCs w:val="24"/>
        </w:rPr>
        <w:t>selected school site that currently ha</w:t>
      </w:r>
      <w:r w:rsidR="00C30F26" w:rsidRPr="00D31468">
        <w:rPr>
          <w:szCs w:val="24"/>
        </w:rPr>
        <w:t>s</w:t>
      </w:r>
      <w:r w:rsidRPr="00D31468">
        <w:rPr>
          <w:szCs w:val="24"/>
        </w:rPr>
        <w:t xml:space="preserve"> limited campaign </w:t>
      </w:r>
      <w:r w:rsidR="00665E80" w:rsidRPr="00D31468">
        <w:rPr>
          <w:szCs w:val="24"/>
        </w:rPr>
        <w:t>exposure</w:t>
      </w:r>
      <w:r w:rsidR="00C03465" w:rsidRPr="00D31468">
        <w:rPr>
          <w:szCs w:val="24"/>
        </w:rPr>
        <w:t xml:space="preserve">. This </w:t>
      </w:r>
      <w:r w:rsidR="00C30F26" w:rsidRPr="00D31468">
        <w:rPr>
          <w:szCs w:val="24"/>
        </w:rPr>
        <w:t>is the</w:t>
      </w:r>
      <w:r w:rsidR="00D814F8" w:rsidRPr="00D31468">
        <w:rPr>
          <w:szCs w:val="24"/>
        </w:rPr>
        <w:t xml:space="preserve"> current focus of th</w:t>
      </w:r>
      <w:r w:rsidR="00C30F26" w:rsidRPr="00D31468">
        <w:rPr>
          <w:szCs w:val="24"/>
        </w:rPr>
        <w:t>is</w:t>
      </w:r>
      <w:r w:rsidR="00D814F8" w:rsidRPr="00D31468">
        <w:rPr>
          <w:szCs w:val="24"/>
        </w:rPr>
        <w:t xml:space="preserve"> OMB application package. </w:t>
      </w:r>
      <w:r w:rsidR="00EE3146" w:rsidRPr="00D31468">
        <w:rPr>
          <w:szCs w:val="24"/>
        </w:rPr>
        <w:t>Because we intend to measure knowledge and attitudes before and after a focused campaign outreach</w:t>
      </w:r>
      <w:r w:rsidR="00032994" w:rsidRPr="00D31468">
        <w:rPr>
          <w:szCs w:val="24"/>
        </w:rPr>
        <w:t xml:space="preserve"> effort in </w:t>
      </w:r>
      <w:r w:rsidR="00A01385" w:rsidRPr="00D31468">
        <w:rPr>
          <w:szCs w:val="24"/>
        </w:rPr>
        <w:t xml:space="preserve">an </w:t>
      </w:r>
      <w:r w:rsidR="00032994" w:rsidRPr="00D31468">
        <w:rPr>
          <w:szCs w:val="24"/>
        </w:rPr>
        <w:t>area that ha</w:t>
      </w:r>
      <w:r w:rsidR="00A01385" w:rsidRPr="00D31468">
        <w:rPr>
          <w:szCs w:val="24"/>
        </w:rPr>
        <w:t>s</w:t>
      </w:r>
      <w:r w:rsidR="00032994" w:rsidRPr="00D31468">
        <w:rPr>
          <w:szCs w:val="24"/>
        </w:rPr>
        <w:t xml:space="preserve"> not had significant exposure to the campaign</w:t>
      </w:r>
      <w:r w:rsidR="00EE3146" w:rsidRPr="00D31468">
        <w:rPr>
          <w:szCs w:val="24"/>
        </w:rPr>
        <w:t xml:space="preserve">, this </w:t>
      </w:r>
      <w:r w:rsidR="00032994" w:rsidRPr="00D31468">
        <w:rPr>
          <w:szCs w:val="24"/>
        </w:rPr>
        <w:t xml:space="preserve">component of the evaluation </w:t>
      </w:r>
      <w:r w:rsidR="009363D1" w:rsidRPr="00D31468">
        <w:rPr>
          <w:szCs w:val="24"/>
        </w:rPr>
        <w:t>requires a pre-/post-test study design</w:t>
      </w:r>
      <w:r w:rsidR="00032994" w:rsidRPr="00D31468">
        <w:rPr>
          <w:szCs w:val="24"/>
        </w:rPr>
        <w:t>.</w:t>
      </w:r>
      <w:r w:rsidR="009363D1" w:rsidRPr="00D31468">
        <w:rPr>
          <w:szCs w:val="24"/>
        </w:rPr>
        <w:t xml:space="preserve"> The case study will include baseline surveys of both parents/caregivers and children aged 9</w:t>
      </w:r>
      <w:r w:rsidR="00E90B5C" w:rsidRPr="00D31468">
        <w:rPr>
          <w:szCs w:val="24"/>
        </w:rPr>
        <w:t>–</w:t>
      </w:r>
      <w:r w:rsidR="004A05B4" w:rsidRPr="00D31468">
        <w:rPr>
          <w:szCs w:val="24"/>
        </w:rPr>
        <w:t>15</w:t>
      </w:r>
      <w:r w:rsidR="009363D1" w:rsidRPr="00D31468">
        <w:rPr>
          <w:szCs w:val="24"/>
        </w:rPr>
        <w:t>, followed by exposure to campaign materials, and post-exposure surveys of both parents</w:t>
      </w:r>
      <w:r w:rsidR="004A05B4" w:rsidRPr="00D31468">
        <w:rPr>
          <w:szCs w:val="24"/>
        </w:rPr>
        <w:t>/care</w:t>
      </w:r>
      <w:r w:rsidR="00665E80" w:rsidRPr="00D31468">
        <w:rPr>
          <w:szCs w:val="24"/>
        </w:rPr>
        <w:t>givers</w:t>
      </w:r>
      <w:r w:rsidR="009363D1" w:rsidRPr="00D31468">
        <w:rPr>
          <w:szCs w:val="24"/>
        </w:rPr>
        <w:t xml:space="preserve"> and children. SAMHSA will additionally conduct interviews with parents and caregivers following the post-exposure survey to obtain more detailed information about the impact of the campaign.</w:t>
      </w:r>
    </w:p>
    <w:p w14:paraId="0339DFB4" w14:textId="03E1CCAA" w:rsidR="00D814F8" w:rsidRPr="00D31468" w:rsidRDefault="00D814F8" w:rsidP="00913D82">
      <w:pPr>
        <w:spacing w:after="240" w:line="240" w:lineRule="auto"/>
        <w:rPr>
          <w:szCs w:val="24"/>
        </w:rPr>
      </w:pPr>
      <w:r w:rsidRPr="00D31468">
        <w:rPr>
          <w:szCs w:val="24"/>
        </w:rPr>
        <w:t>The unit of analysis for the case stud</w:t>
      </w:r>
      <w:r w:rsidR="009363D1" w:rsidRPr="00D31468">
        <w:rPr>
          <w:szCs w:val="24"/>
        </w:rPr>
        <w:t>y</w:t>
      </w:r>
      <w:r w:rsidRPr="00D31468">
        <w:rPr>
          <w:szCs w:val="24"/>
        </w:rPr>
        <w:t xml:space="preserve"> will be a middle school community, which will involve students</w:t>
      </w:r>
      <w:r w:rsidR="00C17A16" w:rsidRPr="00D31468">
        <w:rPr>
          <w:szCs w:val="24"/>
        </w:rPr>
        <w:t>;</w:t>
      </w:r>
      <w:r w:rsidRPr="00D31468">
        <w:rPr>
          <w:szCs w:val="24"/>
        </w:rPr>
        <w:t xml:space="preserve"> parents</w:t>
      </w:r>
      <w:r w:rsidR="004A05B4" w:rsidRPr="00D31468">
        <w:rPr>
          <w:szCs w:val="24"/>
        </w:rPr>
        <w:t>/care</w:t>
      </w:r>
      <w:r w:rsidR="000455E9" w:rsidRPr="00D31468">
        <w:rPr>
          <w:szCs w:val="24"/>
        </w:rPr>
        <w:t>givers</w:t>
      </w:r>
      <w:r w:rsidR="00C17A16" w:rsidRPr="00D31468">
        <w:rPr>
          <w:szCs w:val="24"/>
        </w:rPr>
        <w:t>;</w:t>
      </w:r>
      <w:r w:rsidRPr="00D31468">
        <w:rPr>
          <w:szCs w:val="24"/>
        </w:rPr>
        <w:t xml:space="preserve"> school administrators</w:t>
      </w:r>
      <w:r w:rsidR="00C17A16" w:rsidRPr="00D31468">
        <w:rPr>
          <w:szCs w:val="24"/>
        </w:rPr>
        <w:t>;</w:t>
      </w:r>
      <w:r w:rsidRPr="00D31468">
        <w:rPr>
          <w:szCs w:val="24"/>
        </w:rPr>
        <w:t xml:space="preserve"> </w:t>
      </w:r>
      <w:r w:rsidR="00C17A16" w:rsidRPr="00D31468">
        <w:rPr>
          <w:szCs w:val="24"/>
        </w:rPr>
        <w:t xml:space="preserve">and </w:t>
      </w:r>
      <w:r w:rsidRPr="00D31468">
        <w:rPr>
          <w:szCs w:val="24"/>
        </w:rPr>
        <w:t>partnering organization</w:t>
      </w:r>
      <w:r w:rsidR="00C17A16" w:rsidRPr="00D31468">
        <w:rPr>
          <w:szCs w:val="24"/>
        </w:rPr>
        <w:t>(s), such as parent</w:t>
      </w:r>
      <w:r w:rsidR="000455E9" w:rsidRPr="00D31468">
        <w:rPr>
          <w:szCs w:val="24"/>
        </w:rPr>
        <w:t>/caregiver</w:t>
      </w:r>
      <w:r w:rsidR="00C17A16" w:rsidRPr="00D31468">
        <w:rPr>
          <w:szCs w:val="24"/>
        </w:rPr>
        <w:t xml:space="preserve"> organizations and/or local prevention organizations. </w:t>
      </w:r>
      <w:r w:rsidRPr="00D31468">
        <w:rPr>
          <w:szCs w:val="24"/>
        </w:rPr>
        <w:t>There will be two sites selected for the case stud</w:t>
      </w:r>
      <w:r w:rsidR="009363D1" w:rsidRPr="00D31468">
        <w:rPr>
          <w:szCs w:val="24"/>
        </w:rPr>
        <w:t>y</w:t>
      </w:r>
      <w:r w:rsidRPr="00D31468">
        <w:rPr>
          <w:szCs w:val="24"/>
        </w:rPr>
        <w:t xml:space="preserve">—one site will serve as the </w:t>
      </w:r>
      <w:r w:rsidR="006726AF" w:rsidRPr="00D31468">
        <w:rPr>
          <w:szCs w:val="24"/>
        </w:rPr>
        <w:t>intervention</w:t>
      </w:r>
      <w:r w:rsidRPr="00D31468">
        <w:rPr>
          <w:szCs w:val="24"/>
        </w:rPr>
        <w:t xml:space="preserve"> group</w:t>
      </w:r>
      <w:r w:rsidR="007371B6" w:rsidRPr="00D31468">
        <w:rPr>
          <w:szCs w:val="24"/>
        </w:rPr>
        <w:t>,</w:t>
      </w:r>
      <w:r w:rsidRPr="00D31468">
        <w:rPr>
          <w:szCs w:val="24"/>
        </w:rPr>
        <w:t xml:space="preserve"> and the other site will serve as the control group. The </w:t>
      </w:r>
      <w:r w:rsidR="00D3750B" w:rsidRPr="00D31468">
        <w:rPr>
          <w:szCs w:val="24"/>
        </w:rPr>
        <w:t>intervention</w:t>
      </w:r>
      <w:r w:rsidRPr="00D31468">
        <w:rPr>
          <w:szCs w:val="24"/>
        </w:rPr>
        <w:t xml:space="preserve"> group will be exposed to the “Talk. </w:t>
      </w:r>
      <w:r w:rsidR="005E0B9E" w:rsidRPr="00D31468">
        <w:rPr>
          <w:szCs w:val="24"/>
        </w:rPr>
        <w:t xml:space="preserve"> </w:t>
      </w:r>
      <w:r w:rsidRPr="00D31468">
        <w:rPr>
          <w:szCs w:val="24"/>
        </w:rPr>
        <w:t xml:space="preserve">They Hear You.” campaign materials using standard campaign materials and dissemination strategies, which will be coordinated </w:t>
      </w:r>
      <w:r w:rsidR="009363D1" w:rsidRPr="00D31468">
        <w:rPr>
          <w:szCs w:val="24"/>
        </w:rPr>
        <w:t xml:space="preserve">directly with the participating school site as well as any </w:t>
      </w:r>
      <w:r w:rsidRPr="00D31468">
        <w:rPr>
          <w:szCs w:val="24"/>
        </w:rPr>
        <w:t>local partner organization</w:t>
      </w:r>
      <w:r w:rsidR="009363D1" w:rsidRPr="00D31468">
        <w:rPr>
          <w:szCs w:val="24"/>
        </w:rPr>
        <w:t>s recruited for this purpose.</w:t>
      </w:r>
      <w:r w:rsidRPr="00D31468">
        <w:rPr>
          <w:szCs w:val="24"/>
        </w:rPr>
        <w:t xml:space="preserve"> The control group will not be intentionally exposed to the campaign materials.</w:t>
      </w:r>
    </w:p>
    <w:p w14:paraId="5E47AC7E" w14:textId="48B7D2AA" w:rsidR="007F4799" w:rsidRPr="00D31468" w:rsidRDefault="007F4799" w:rsidP="00913D82">
      <w:pPr>
        <w:spacing w:after="240" w:line="240" w:lineRule="auto"/>
        <w:rPr>
          <w:szCs w:val="24"/>
        </w:rPr>
      </w:pPr>
      <w:r w:rsidRPr="00D31468">
        <w:rPr>
          <w:szCs w:val="24"/>
        </w:rPr>
        <w:t>In total</w:t>
      </w:r>
      <w:r w:rsidR="00E90B5C" w:rsidRPr="00D31468">
        <w:rPr>
          <w:szCs w:val="24"/>
        </w:rPr>
        <w:t>,</w:t>
      </w:r>
      <w:r w:rsidRPr="00D31468">
        <w:rPr>
          <w:szCs w:val="24"/>
        </w:rPr>
        <w:t xml:space="preserve"> there will be </w:t>
      </w:r>
      <w:r w:rsidR="00F41F9A" w:rsidRPr="00D31468">
        <w:rPr>
          <w:szCs w:val="24"/>
        </w:rPr>
        <w:t>three</w:t>
      </w:r>
      <w:r w:rsidRPr="00D31468">
        <w:rPr>
          <w:szCs w:val="24"/>
        </w:rPr>
        <w:t xml:space="preserve"> data collection instruments used in the case stud</w:t>
      </w:r>
      <w:r w:rsidR="009D5A26" w:rsidRPr="00D31468">
        <w:rPr>
          <w:szCs w:val="24"/>
        </w:rPr>
        <w:t>y</w:t>
      </w:r>
      <w:r w:rsidRPr="00D31468">
        <w:rPr>
          <w:szCs w:val="24"/>
        </w:rPr>
        <w:t>:</w:t>
      </w:r>
    </w:p>
    <w:p w14:paraId="7EB14F24" w14:textId="4439FFDD" w:rsidR="007F4799" w:rsidRPr="00D31468" w:rsidRDefault="00F41F9A" w:rsidP="00AD63C5">
      <w:pPr>
        <w:pStyle w:val="ListParagraph"/>
        <w:numPr>
          <w:ilvl w:val="0"/>
          <w:numId w:val="26"/>
        </w:numPr>
        <w:spacing w:after="240" w:line="240" w:lineRule="auto"/>
        <w:rPr>
          <w:b/>
          <w:szCs w:val="24"/>
        </w:rPr>
      </w:pPr>
      <w:r w:rsidRPr="00D31468">
        <w:rPr>
          <w:b/>
          <w:szCs w:val="24"/>
        </w:rPr>
        <w:t>Parent/Caregiver Pre-</w:t>
      </w:r>
      <w:r w:rsidR="007371B6" w:rsidRPr="00D31468">
        <w:rPr>
          <w:b/>
          <w:szCs w:val="24"/>
        </w:rPr>
        <w:t>T</w:t>
      </w:r>
      <w:r w:rsidRPr="00D31468">
        <w:rPr>
          <w:b/>
          <w:szCs w:val="24"/>
        </w:rPr>
        <w:t>est/Post-</w:t>
      </w:r>
      <w:r w:rsidR="007371B6" w:rsidRPr="00D31468">
        <w:rPr>
          <w:b/>
          <w:szCs w:val="24"/>
        </w:rPr>
        <w:t>T</w:t>
      </w:r>
      <w:r w:rsidRPr="00D31468">
        <w:rPr>
          <w:b/>
          <w:szCs w:val="24"/>
        </w:rPr>
        <w:t>est Survey</w:t>
      </w:r>
      <w:r w:rsidR="00E90B5C" w:rsidRPr="00D31468">
        <w:rPr>
          <w:szCs w:val="24"/>
        </w:rPr>
        <w:t>—</w:t>
      </w:r>
      <w:r w:rsidR="007F4799" w:rsidRPr="00D31468">
        <w:rPr>
          <w:szCs w:val="24"/>
        </w:rPr>
        <w:t>Pre- and post-test survey for use with parents and caregivers of children who are 9</w:t>
      </w:r>
      <w:r w:rsidR="00E90B5C" w:rsidRPr="00D31468">
        <w:rPr>
          <w:szCs w:val="24"/>
        </w:rPr>
        <w:t>–</w:t>
      </w:r>
      <w:r w:rsidR="004A05B4" w:rsidRPr="00D31468">
        <w:rPr>
          <w:szCs w:val="24"/>
        </w:rPr>
        <w:t>15</w:t>
      </w:r>
      <w:r w:rsidR="007F4799" w:rsidRPr="00D31468">
        <w:rPr>
          <w:szCs w:val="24"/>
        </w:rPr>
        <w:t xml:space="preserve"> years of age. This survey will include questions about respondents’ attitudes and behaviors regarding underage drinking and awareness of the “Talk. </w:t>
      </w:r>
      <w:r w:rsidR="005E0B9E" w:rsidRPr="00D31468">
        <w:rPr>
          <w:szCs w:val="24"/>
        </w:rPr>
        <w:t xml:space="preserve"> </w:t>
      </w:r>
      <w:r w:rsidR="007F4799" w:rsidRPr="00D31468">
        <w:rPr>
          <w:szCs w:val="24"/>
        </w:rPr>
        <w:t xml:space="preserve">They Hear You.” campaign. This survey will be administered electronically and </w:t>
      </w:r>
      <w:r w:rsidR="0095366F" w:rsidRPr="00D31468">
        <w:rPr>
          <w:szCs w:val="24"/>
        </w:rPr>
        <w:t>on</w:t>
      </w:r>
      <w:r w:rsidR="007F4799" w:rsidRPr="00D31468">
        <w:rPr>
          <w:szCs w:val="24"/>
        </w:rPr>
        <w:t xml:space="preserve"> paper.</w:t>
      </w:r>
    </w:p>
    <w:p w14:paraId="73360219" w14:textId="78B3DC27" w:rsidR="007F4799" w:rsidRPr="00D31468" w:rsidRDefault="00F41F9A" w:rsidP="00AD63C5">
      <w:pPr>
        <w:pStyle w:val="ListParagraph"/>
        <w:numPr>
          <w:ilvl w:val="0"/>
          <w:numId w:val="26"/>
        </w:numPr>
        <w:spacing w:after="240" w:line="240" w:lineRule="auto"/>
        <w:rPr>
          <w:b/>
          <w:szCs w:val="24"/>
        </w:rPr>
      </w:pPr>
      <w:r w:rsidRPr="00D31468">
        <w:rPr>
          <w:b/>
          <w:szCs w:val="24"/>
        </w:rPr>
        <w:t>Youth Pre-Test and Post-Test Survey</w:t>
      </w:r>
      <w:r w:rsidR="00E90B5C" w:rsidRPr="00D31468">
        <w:rPr>
          <w:szCs w:val="24"/>
        </w:rPr>
        <w:t>—</w:t>
      </w:r>
      <w:r w:rsidR="007F4799" w:rsidRPr="00D31468">
        <w:rPr>
          <w:szCs w:val="24"/>
        </w:rPr>
        <w:t>Pre- and post-test survey for use with youth</w:t>
      </w:r>
      <w:r w:rsidR="00E90B5C" w:rsidRPr="00D31468">
        <w:rPr>
          <w:szCs w:val="24"/>
        </w:rPr>
        <w:t>s</w:t>
      </w:r>
      <w:r w:rsidR="007F4799" w:rsidRPr="00D31468">
        <w:rPr>
          <w:szCs w:val="24"/>
        </w:rPr>
        <w:t xml:space="preserve"> who are</w:t>
      </w:r>
      <w:r w:rsidR="00F34470" w:rsidRPr="00D31468">
        <w:rPr>
          <w:szCs w:val="24"/>
        </w:rPr>
        <w:t xml:space="preserve"> in 6</w:t>
      </w:r>
      <w:r w:rsidR="00E90B5C" w:rsidRPr="00D31468">
        <w:rPr>
          <w:szCs w:val="24"/>
        </w:rPr>
        <w:t>th</w:t>
      </w:r>
      <w:r w:rsidR="00F34470" w:rsidRPr="00D31468">
        <w:rPr>
          <w:szCs w:val="24"/>
        </w:rPr>
        <w:t xml:space="preserve"> through 8</w:t>
      </w:r>
      <w:r w:rsidR="00E90B5C" w:rsidRPr="00D31468">
        <w:rPr>
          <w:szCs w:val="24"/>
        </w:rPr>
        <w:t>th</w:t>
      </w:r>
      <w:r w:rsidR="00F34470" w:rsidRPr="00D31468">
        <w:rPr>
          <w:szCs w:val="24"/>
        </w:rPr>
        <w:t xml:space="preserve"> grade.</w:t>
      </w:r>
      <w:r w:rsidR="007F4799" w:rsidRPr="00D31468">
        <w:rPr>
          <w:szCs w:val="24"/>
        </w:rPr>
        <w:t xml:space="preserve"> This survey will include questions about respondents</w:t>
      </w:r>
      <w:r w:rsidR="00E90B5C" w:rsidRPr="00D31468">
        <w:rPr>
          <w:szCs w:val="24"/>
        </w:rPr>
        <w:t>’</w:t>
      </w:r>
      <w:r w:rsidR="007F4799" w:rsidRPr="00D31468">
        <w:rPr>
          <w:szCs w:val="24"/>
        </w:rPr>
        <w:t xml:space="preserve"> attitudes and behaviors regarding underage drinking. This survey will be administered on paper.</w:t>
      </w:r>
    </w:p>
    <w:p w14:paraId="0D5868E3" w14:textId="2FE59B6E" w:rsidR="00455F54" w:rsidRPr="00D31468" w:rsidRDefault="00F41F9A" w:rsidP="00AD63C5">
      <w:pPr>
        <w:pStyle w:val="ListParagraph"/>
        <w:numPr>
          <w:ilvl w:val="0"/>
          <w:numId w:val="26"/>
        </w:numPr>
        <w:spacing w:after="240" w:line="240" w:lineRule="auto"/>
        <w:rPr>
          <w:b/>
          <w:szCs w:val="24"/>
        </w:rPr>
      </w:pPr>
      <w:r w:rsidRPr="00D31468">
        <w:rPr>
          <w:b/>
          <w:szCs w:val="24"/>
        </w:rPr>
        <w:t>Parent/Caregiver Interview Guide</w:t>
      </w:r>
      <w:r w:rsidR="00E90B5C" w:rsidRPr="00D31468">
        <w:rPr>
          <w:szCs w:val="24"/>
        </w:rPr>
        <w:t>—</w:t>
      </w:r>
      <w:r w:rsidR="007F4799" w:rsidRPr="00D31468">
        <w:rPr>
          <w:szCs w:val="24"/>
        </w:rPr>
        <w:t>Interview guide for use with parents and caregivers of children who are 9</w:t>
      </w:r>
      <w:r w:rsidR="00E90B5C" w:rsidRPr="00D31468">
        <w:rPr>
          <w:szCs w:val="24"/>
        </w:rPr>
        <w:t>–</w:t>
      </w:r>
      <w:r w:rsidR="004A05B4" w:rsidRPr="00D31468">
        <w:rPr>
          <w:szCs w:val="24"/>
        </w:rPr>
        <w:t>15</w:t>
      </w:r>
      <w:r w:rsidR="007F4799" w:rsidRPr="00D31468">
        <w:rPr>
          <w:szCs w:val="24"/>
        </w:rPr>
        <w:t xml:space="preserve"> years of age. Parents and caregivers who respond to the post-test survey, described above, will be invited to participate in an individual follow-up interview to discuss, in greater detail, the effect—if any—of the “Talk. </w:t>
      </w:r>
      <w:r w:rsidR="005E0B9E" w:rsidRPr="00D31468">
        <w:rPr>
          <w:szCs w:val="24"/>
        </w:rPr>
        <w:t xml:space="preserve"> </w:t>
      </w:r>
      <w:r w:rsidR="007F4799" w:rsidRPr="00D31468">
        <w:rPr>
          <w:szCs w:val="24"/>
        </w:rPr>
        <w:t>They Hear You.” campaign on their attitudes and behaviors regarding underage drinking. The individual interviews will be conducted over the phone.</w:t>
      </w:r>
    </w:p>
    <w:p w14:paraId="5A9882D3" w14:textId="77777777" w:rsidR="000B6E4E" w:rsidRPr="00D31468" w:rsidRDefault="000B6E4E" w:rsidP="00913D82">
      <w:pPr>
        <w:pStyle w:val="Heading2"/>
        <w:spacing w:after="240" w:line="240" w:lineRule="auto"/>
        <w:rPr>
          <w:szCs w:val="24"/>
        </w:rPr>
      </w:pPr>
      <w:r w:rsidRPr="00D31468">
        <w:rPr>
          <w:szCs w:val="24"/>
        </w:rPr>
        <w:t>2. Purpose and Use of Information</w:t>
      </w:r>
    </w:p>
    <w:p w14:paraId="27DFAE39" w14:textId="44826CEE" w:rsidR="00F03B51" w:rsidRPr="00D31468" w:rsidRDefault="00F03B51" w:rsidP="00F03B51">
      <w:pPr>
        <w:spacing w:after="240" w:line="240" w:lineRule="auto"/>
        <w:rPr>
          <w:szCs w:val="24"/>
        </w:rPr>
      </w:pPr>
      <w:r w:rsidRPr="00D31468">
        <w:rPr>
          <w:szCs w:val="24"/>
        </w:rPr>
        <w:t>The purpose of the case stud</w:t>
      </w:r>
      <w:r w:rsidR="009D5A26" w:rsidRPr="00D31468">
        <w:rPr>
          <w:szCs w:val="24"/>
        </w:rPr>
        <w:t>y</w:t>
      </w:r>
      <w:r w:rsidRPr="00D31468">
        <w:rPr>
          <w:szCs w:val="24"/>
        </w:rPr>
        <w:t xml:space="preserve"> component of the campaign evaluation is </w:t>
      </w:r>
      <w:r w:rsidR="008373D1" w:rsidRPr="00D31468">
        <w:rPr>
          <w:szCs w:val="24"/>
        </w:rPr>
        <w:t>twofold</w:t>
      </w:r>
      <w:r w:rsidRPr="00D31468">
        <w:rPr>
          <w:szCs w:val="24"/>
        </w:rPr>
        <w:t>:</w:t>
      </w:r>
    </w:p>
    <w:p w14:paraId="55BE13A1" w14:textId="02542098" w:rsidR="008373D1" w:rsidRPr="00D31468" w:rsidRDefault="008373D1" w:rsidP="00F03B51">
      <w:pPr>
        <w:pStyle w:val="ListParagraph"/>
        <w:numPr>
          <w:ilvl w:val="0"/>
          <w:numId w:val="11"/>
        </w:numPr>
        <w:spacing w:after="240" w:line="240" w:lineRule="auto"/>
        <w:rPr>
          <w:szCs w:val="24"/>
        </w:rPr>
      </w:pPr>
      <w:r w:rsidRPr="00D31468">
        <w:rPr>
          <w:szCs w:val="24"/>
        </w:rPr>
        <w:t>To identify evidence regarding the relationship between campaign exposure and changes in parents’</w:t>
      </w:r>
      <w:r w:rsidR="0069769F" w:rsidRPr="00D31468">
        <w:rPr>
          <w:szCs w:val="24"/>
        </w:rPr>
        <w:t xml:space="preserve"> and </w:t>
      </w:r>
      <w:r w:rsidR="004A05B4" w:rsidRPr="00D31468">
        <w:rPr>
          <w:szCs w:val="24"/>
        </w:rPr>
        <w:t>care</w:t>
      </w:r>
      <w:r w:rsidR="0069769F" w:rsidRPr="00D31468">
        <w:rPr>
          <w:szCs w:val="24"/>
        </w:rPr>
        <w:t xml:space="preserve">givers’ </w:t>
      </w:r>
      <w:r w:rsidRPr="00D31468">
        <w:rPr>
          <w:szCs w:val="24"/>
        </w:rPr>
        <w:t>attitudes and behavior regarding underage drinking in the selected sites;</w:t>
      </w:r>
      <w:r w:rsidR="00922E05" w:rsidRPr="00D31468">
        <w:rPr>
          <w:szCs w:val="24"/>
        </w:rPr>
        <w:t xml:space="preserve"> and</w:t>
      </w:r>
    </w:p>
    <w:p w14:paraId="2ADA4C81" w14:textId="6A3C74B3" w:rsidR="00F03B51" w:rsidRPr="00D31468" w:rsidRDefault="00F03B51" w:rsidP="00F03B51">
      <w:pPr>
        <w:pStyle w:val="ListParagraph"/>
        <w:numPr>
          <w:ilvl w:val="0"/>
          <w:numId w:val="11"/>
        </w:numPr>
        <w:spacing w:after="240" w:line="240" w:lineRule="auto"/>
        <w:rPr>
          <w:szCs w:val="24"/>
        </w:rPr>
      </w:pPr>
      <w:r w:rsidRPr="00D31468">
        <w:rPr>
          <w:szCs w:val="24"/>
        </w:rPr>
        <w:t xml:space="preserve">To collect information on whether changes in parent/caregiver attitudes and/or behaviors </w:t>
      </w:r>
      <w:r w:rsidR="006F0ACD" w:rsidRPr="00D31468">
        <w:rPr>
          <w:szCs w:val="24"/>
        </w:rPr>
        <w:t xml:space="preserve">identified </w:t>
      </w:r>
      <w:r w:rsidRPr="00D31468">
        <w:rPr>
          <w:szCs w:val="24"/>
        </w:rPr>
        <w:t xml:space="preserve">align with </w:t>
      </w:r>
      <w:r w:rsidR="006F0ACD" w:rsidRPr="00D31468">
        <w:rPr>
          <w:szCs w:val="24"/>
        </w:rPr>
        <w:t xml:space="preserve">measurable </w:t>
      </w:r>
      <w:r w:rsidRPr="00D31468">
        <w:rPr>
          <w:szCs w:val="24"/>
        </w:rPr>
        <w:t>changes in youth attitudes and/or behaviors on underage drinking</w:t>
      </w:r>
      <w:r w:rsidR="006F0ACD" w:rsidRPr="00D31468">
        <w:rPr>
          <w:szCs w:val="24"/>
        </w:rPr>
        <w:t xml:space="preserve"> during the same period</w:t>
      </w:r>
      <w:r w:rsidRPr="00D31468">
        <w:rPr>
          <w:szCs w:val="24"/>
        </w:rPr>
        <w:t>.</w:t>
      </w:r>
    </w:p>
    <w:p w14:paraId="13B5C589" w14:textId="0E444E35" w:rsidR="00BC67F2" w:rsidRPr="00D31468" w:rsidRDefault="00F03B51" w:rsidP="00F03B51">
      <w:pPr>
        <w:spacing w:after="240" w:line="240" w:lineRule="auto"/>
        <w:rPr>
          <w:szCs w:val="24"/>
        </w:rPr>
      </w:pPr>
      <w:r w:rsidRPr="00D31468">
        <w:rPr>
          <w:szCs w:val="24"/>
        </w:rPr>
        <w:t xml:space="preserve">Whereas </w:t>
      </w:r>
      <w:r w:rsidR="009D5A26" w:rsidRPr="00D31468">
        <w:rPr>
          <w:szCs w:val="24"/>
        </w:rPr>
        <w:t xml:space="preserve">the </w:t>
      </w:r>
      <w:r w:rsidR="00273714" w:rsidRPr="00D31468">
        <w:rPr>
          <w:szCs w:val="24"/>
        </w:rPr>
        <w:t xml:space="preserve">parent questionnaire </w:t>
      </w:r>
      <w:r w:rsidRPr="00D31468">
        <w:rPr>
          <w:szCs w:val="24"/>
        </w:rPr>
        <w:t xml:space="preserve">data will provide an evaluation of overall campaign </w:t>
      </w:r>
      <w:r w:rsidR="00273714" w:rsidRPr="00D31468">
        <w:rPr>
          <w:szCs w:val="24"/>
        </w:rPr>
        <w:t>materials</w:t>
      </w:r>
      <w:r w:rsidRPr="00D31468">
        <w:rPr>
          <w:szCs w:val="24"/>
        </w:rPr>
        <w:t xml:space="preserve">, </w:t>
      </w:r>
      <w:r w:rsidR="007F6DB9" w:rsidRPr="00D31468">
        <w:rPr>
          <w:szCs w:val="24"/>
        </w:rPr>
        <w:t>th</w:t>
      </w:r>
      <w:r w:rsidR="009D5A26" w:rsidRPr="00D31468">
        <w:rPr>
          <w:szCs w:val="24"/>
        </w:rPr>
        <w:t>is</w:t>
      </w:r>
      <w:r w:rsidR="007F6DB9" w:rsidRPr="00D31468">
        <w:rPr>
          <w:szCs w:val="24"/>
        </w:rPr>
        <w:t xml:space="preserve"> </w:t>
      </w:r>
      <w:r w:rsidRPr="00D31468">
        <w:rPr>
          <w:szCs w:val="24"/>
        </w:rPr>
        <w:t>case stud</w:t>
      </w:r>
      <w:r w:rsidR="009D5A26" w:rsidRPr="00D31468">
        <w:rPr>
          <w:szCs w:val="24"/>
        </w:rPr>
        <w:t>y</w:t>
      </w:r>
      <w:r w:rsidRPr="00D31468">
        <w:rPr>
          <w:szCs w:val="24"/>
        </w:rPr>
        <w:t xml:space="preserve"> will explore details of </w:t>
      </w:r>
      <w:r w:rsidR="00273714" w:rsidRPr="00D31468">
        <w:rPr>
          <w:i/>
          <w:szCs w:val="24"/>
        </w:rPr>
        <w:t xml:space="preserve">if </w:t>
      </w:r>
      <w:r w:rsidR="00273714" w:rsidRPr="00D31468">
        <w:rPr>
          <w:szCs w:val="24"/>
        </w:rPr>
        <w:t xml:space="preserve">and </w:t>
      </w:r>
      <w:r w:rsidRPr="00D31468">
        <w:rPr>
          <w:i/>
          <w:szCs w:val="24"/>
        </w:rPr>
        <w:t>how</w:t>
      </w:r>
      <w:r w:rsidRPr="00D31468">
        <w:rPr>
          <w:szCs w:val="24"/>
        </w:rPr>
        <w:t xml:space="preserve"> exposure to the “Talk. </w:t>
      </w:r>
      <w:r w:rsidR="005E0B9E" w:rsidRPr="00D31468">
        <w:rPr>
          <w:szCs w:val="24"/>
        </w:rPr>
        <w:t xml:space="preserve"> </w:t>
      </w:r>
      <w:r w:rsidRPr="00D31468">
        <w:rPr>
          <w:szCs w:val="24"/>
        </w:rPr>
        <w:t xml:space="preserve">They Hear You.” campaign </w:t>
      </w:r>
      <w:r w:rsidR="00922E05" w:rsidRPr="00D31468">
        <w:rPr>
          <w:szCs w:val="24"/>
        </w:rPr>
        <w:t xml:space="preserve">affects </w:t>
      </w:r>
      <w:r w:rsidR="007F6DB9" w:rsidRPr="00D31468">
        <w:rPr>
          <w:szCs w:val="24"/>
        </w:rPr>
        <w:t>adult</w:t>
      </w:r>
      <w:r w:rsidRPr="00D31468">
        <w:rPr>
          <w:szCs w:val="24"/>
        </w:rPr>
        <w:t xml:space="preserve"> and student attitudes and behaviors </w:t>
      </w:r>
      <w:r w:rsidR="007F6DB9" w:rsidRPr="00D31468">
        <w:rPr>
          <w:szCs w:val="24"/>
        </w:rPr>
        <w:t>in the selected district</w:t>
      </w:r>
      <w:r w:rsidRPr="00D31468">
        <w:rPr>
          <w:szCs w:val="24"/>
        </w:rPr>
        <w:t>. Together, the</w:t>
      </w:r>
      <w:r w:rsidR="00913F20" w:rsidRPr="00D31468">
        <w:rPr>
          <w:szCs w:val="24"/>
        </w:rPr>
        <w:t xml:space="preserve"> results from </w:t>
      </w:r>
      <w:r w:rsidR="00A56323" w:rsidRPr="00D31468">
        <w:rPr>
          <w:szCs w:val="24"/>
        </w:rPr>
        <w:t xml:space="preserve">both components of the evaluation—the </w:t>
      </w:r>
      <w:r w:rsidR="00273714" w:rsidRPr="00D31468">
        <w:rPr>
          <w:szCs w:val="24"/>
        </w:rPr>
        <w:t>parent questionnaire</w:t>
      </w:r>
      <w:r w:rsidR="00A56323" w:rsidRPr="00D31468">
        <w:rPr>
          <w:szCs w:val="24"/>
        </w:rPr>
        <w:t xml:space="preserve"> and the case stud</w:t>
      </w:r>
      <w:r w:rsidR="00273714" w:rsidRPr="00D31468">
        <w:rPr>
          <w:szCs w:val="24"/>
        </w:rPr>
        <w:t>y</w:t>
      </w:r>
      <w:r w:rsidR="00A56323" w:rsidRPr="00D31468">
        <w:rPr>
          <w:szCs w:val="24"/>
        </w:rPr>
        <w:t>—</w:t>
      </w:r>
      <w:r w:rsidRPr="00D31468">
        <w:rPr>
          <w:szCs w:val="24"/>
        </w:rPr>
        <w:t>will allow an estimation of overall campaign impact</w:t>
      </w:r>
      <w:r w:rsidR="00A56323" w:rsidRPr="00D31468">
        <w:rPr>
          <w:szCs w:val="24"/>
        </w:rPr>
        <w:t xml:space="preserve"> in reaching parents</w:t>
      </w:r>
      <w:r w:rsidR="00105FD8" w:rsidRPr="00D31468">
        <w:rPr>
          <w:szCs w:val="24"/>
        </w:rPr>
        <w:t xml:space="preserve"> and </w:t>
      </w:r>
      <w:r w:rsidR="00A56323" w:rsidRPr="00D31468">
        <w:rPr>
          <w:szCs w:val="24"/>
        </w:rPr>
        <w:t>caregivers of 9-</w:t>
      </w:r>
      <w:r w:rsidR="00922E05" w:rsidRPr="00D31468">
        <w:rPr>
          <w:szCs w:val="24"/>
        </w:rPr>
        <w:t xml:space="preserve"> to </w:t>
      </w:r>
      <w:r w:rsidR="00273714" w:rsidRPr="00D31468">
        <w:rPr>
          <w:szCs w:val="24"/>
        </w:rPr>
        <w:t>2</w:t>
      </w:r>
      <w:r w:rsidR="001D2E36" w:rsidRPr="00D31468">
        <w:rPr>
          <w:szCs w:val="24"/>
        </w:rPr>
        <w:t>0</w:t>
      </w:r>
      <w:r w:rsidR="00922E05" w:rsidRPr="00D31468">
        <w:rPr>
          <w:szCs w:val="24"/>
        </w:rPr>
        <w:t>-</w:t>
      </w:r>
      <w:r w:rsidR="00A56323" w:rsidRPr="00D31468">
        <w:rPr>
          <w:szCs w:val="24"/>
        </w:rPr>
        <w:t>year</w:t>
      </w:r>
      <w:r w:rsidR="00922E05" w:rsidRPr="00D31468">
        <w:rPr>
          <w:szCs w:val="24"/>
        </w:rPr>
        <w:t>-</w:t>
      </w:r>
      <w:r w:rsidR="00A56323" w:rsidRPr="00D31468">
        <w:rPr>
          <w:szCs w:val="24"/>
        </w:rPr>
        <w:t>old youth</w:t>
      </w:r>
      <w:r w:rsidR="00922E05" w:rsidRPr="00D31468">
        <w:rPr>
          <w:szCs w:val="24"/>
        </w:rPr>
        <w:t>s</w:t>
      </w:r>
      <w:r w:rsidR="00A56323" w:rsidRPr="00D31468">
        <w:rPr>
          <w:szCs w:val="24"/>
        </w:rPr>
        <w:t xml:space="preserve"> and</w:t>
      </w:r>
      <w:r w:rsidR="002E2EC2" w:rsidRPr="00D31468">
        <w:rPr>
          <w:szCs w:val="24"/>
        </w:rPr>
        <w:t>,</w:t>
      </w:r>
      <w:r w:rsidR="00A56323" w:rsidRPr="00D31468">
        <w:rPr>
          <w:szCs w:val="24"/>
        </w:rPr>
        <w:t xml:space="preserve"> ultimately</w:t>
      </w:r>
      <w:r w:rsidR="002E2EC2" w:rsidRPr="00D31468">
        <w:rPr>
          <w:szCs w:val="24"/>
        </w:rPr>
        <w:t>,</w:t>
      </w:r>
      <w:r w:rsidR="00A56323" w:rsidRPr="00D31468">
        <w:rPr>
          <w:szCs w:val="24"/>
        </w:rPr>
        <w:t xml:space="preserve"> </w:t>
      </w:r>
      <w:r w:rsidR="002E2EC2" w:rsidRPr="00D31468">
        <w:rPr>
          <w:szCs w:val="24"/>
        </w:rPr>
        <w:t>in</w:t>
      </w:r>
      <w:r w:rsidR="00A56323" w:rsidRPr="00D31468">
        <w:rPr>
          <w:szCs w:val="24"/>
        </w:rPr>
        <w:t xml:space="preserve"> </w:t>
      </w:r>
      <w:r w:rsidR="00105FD8" w:rsidRPr="00D31468">
        <w:rPr>
          <w:szCs w:val="24"/>
        </w:rPr>
        <w:t xml:space="preserve">preventing and </w:t>
      </w:r>
      <w:r w:rsidR="00A56323" w:rsidRPr="00D31468">
        <w:rPr>
          <w:szCs w:val="24"/>
        </w:rPr>
        <w:t xml:space="preserve">reducing underage drinking. This campaign evaluation will additionally satisfy </w:t>
      </w:r>
      <w:r w:rsidR="00BC67F2" w:rsidRPr="00D31468">
        <w:rPr>
          <w:szCs w:val="24"/>
        </w:rPr>
        <w:t>section 2(d) of the STOP Act</w:t>
      </w:r>
      <w:r w:rsidR="00A56323" w:rsidRPr="00D31468">
        <w:rPr>
          <w:szCs w:val="24"/>
        </w:rPr>
        <w:t xml:space="preserve">, which </w:t>
      </w:r>
      <w:r w:rsidR="003943DE" w:rsidRPr="00D31468">
        <w:rPr>
          <w:szCs w:val="24"/>
        </w:rPr>
        <w:t>requires</w:t>
      </w:r>
      <w:r w:rsidR="00A56323" w:rsidRPr="00D31468">
        <w:rPr>
          <w:szCs w:val="24"/>
        </w:rPr>
        <w:t xml:space="preserve"> the national</w:t>
      </w:r>
      <w:r w:rsidR="007F6DB9" w:rsidRPr="00D31468">
        <w:rPr>
          <w:szCs w:val="24"/>
        </w:rPr>
        <w:t>,</w:t>
      </w:r>
      <w:r w:rsidR="00A56323" w:rsidRPr="00D31468">
        <w:rPr>
          <w:szCs w:val="24"/>
        </w:rPr>
        <w:t xml:space="preserve"> adult-oriented media public service campaign </w:t>
      </w:r>
      <w:r w:rsidR="003943DE" w:rsidRPr="00D31468">
        <w:rPr>
          <w:szCs w:val="24"/>
        </w:rPr>
        <w:t>to be</w:t>
      </w:r>
      <w:r w:rsidR="00A56323" w:rsidRPr="00D31468">
        <w:rPr>
          <w:szCs w:val="24"/>
        </w:rPr>
        <w:t xml:space="preserve"> evaluated</w:t>
      </w:r>
      <w:r w:rsidR="00BC67F2" w:rsidRPr="00D31468">
        <w:rPr>
          <w:szCs w:val="24"/>
        </w:rPr>
        <w:t>.</w:t>
      </w:r>
    </w:p>
    <w:p w14:paraId="3F67D5FC" w14:textId="7F46A260" w:rsidR="00A56323" w:rsidRPr="00D31468" w:rsidRDefault="00BC67F2" w:rsidP="00F03B51">
      <w:pPr>
        <w:spacing w:after="240" w:line="240" w:lineRule="auto"/>
        <w:rPr>
          <w:szCs w:val="24"/>
        </w:rPr>
      </w:pPr>
      <w:r w:rsidRPr="00D31468">
        <w:rPr>
          <w:szCs w:val="24"/>
        </w:rPr>
        <w:t>The results of the campaign evaluation</w:t>
      </w:r>
      <w:r w:rsidR="00913F20" w:rsidRPr="00D31468">
        <w:rPr>
          <w:szCs w:val="24"/>
        </w:rPr>
        <w:t xml:space="preserve">—as well as progress </w:t>
      </w:r>
      <w:r w:rsidR="007F6DB9" w:rsidRPr="00D31468">
        <w:rPr>
          <w:szCs w:val="24"/>
        </w:rPr>
        <w:t>on implementation of</w:t>
      </w:r>
      <w:r w:rsidR="00913F20" w:rsidRPr="00D31468">
        <w:rPr>
          <w:szCs w:val="24"/>
        </w:rPr>
        <w:t xml:space="preserve"> the evaluation—</w:t>
      </w:r>
      <w:r w:rsidRPr="00D31468">
        <w:rPr>
          <w:szCs w:val="24"/>
        </w:rPr>
        <w:t>will be reported in an annual report to Congress</w:t>
      </w:r>
      <w:r w:rsidR="00913F20" w:rsidRPr="00D31468">
        <w:rPr>
          <w:szCs w:val="24"/>
        </w:rPr>
        <w:t xml:space="preserve">. </w:t>
      </w:r>
      <w:r w:rsidR="00A56323" w:rsidRPr="00D31468">
        <w:rPr>
          <w:szCs w:val="24"/>
        </w:rPr>
        <w:t xml:space="preserve">Section 2(d) of the STOP Act requires </w:t>
      </w:r>
      <w:r w:rsidR="001B7FBB" w:rsidRPr="00D31468">
        <w:rPr>
          <w:szCs w:val="24"/>
        </w:rPr>
        <w:t xml:space="preserve">the </w:t>
      </w:r>
      <w:r w:rsidR="00A56323" w:rsidRPr="00D31468">
        <w:rPr>
          <w:szCs w:val="24"/>
        </w:rPr>
        <w:t xml:space="preserve">Secretary of the U.S. Department of Health and Human Services to annually report on the </w:t>
      </w:r>
      <w:r w:rsidR="00913F20" w:rsidRPr="00D31468">
        <w:rPr>
          <w:szCs w:val="24"/>
        </w:rPr>
        <w:t xml:space="preserve">production, broadcasting, and evaluation of the “Talk. </w:t>
      </w:r>
      <w:r w:rsidR="005E0B9E" w:rsidRPr="00D31468">
        <w:rPr>
          <w:szCs w:val="24"/>
        </w:rPr>
        <w:t xml:space="preserve"> </w:t>
      </w:r>
      <w:r w:rsidR="00913F20" w:rsidRPr="00D31468">
        <w:rPr>
          <w:szCs w:val="24"/>
        </w:rPr>
        <w:t xml:space="preserve">They Hear You.” </w:t>
      </w:r>
      <w:r w:rsidR="001B7FBB" w:rsidRPr="00D31468">
        <w:rPr>
          <w:szCs w:val="24"/>
        </w:rPr>
        <w:t xml:space="preserve">campaign. </w:t>
      </w:r>
      <w:r w:rsidR="00A56323" w:rsidRPr="00D31468">
        <w:rPr>
          <w:szCs w:val="24"/>
        </w:rPr>
        <w:t>Since the STOP Act went into effect, SAMHSA has reported</w:t>
      </w:r>
      <w:r w:rsidR="00601277" w:rsidRPr="00D31468">
        <w:rPr>
          <w:szCs w:val="24"/>
        </w:rPr>
        <w:t xml:space="preserve"> annually</w:t>
      </w:r>
      <w:r w:rsidR="00A56323" w:rsidRPr="00D31468">
        <w:rPr>
          <w:szCs w:val="24"/>
        </w:rPr>
        <w:t xml:space="preserve"> on the progress of the campaign and campaign</w:t>
      </w:r>
      <w:r w:rsidR="007F6DB9" w:rsidRPr="00D31468">
        <w:rPr>
          <w:szCs w:val="24"/>
        </w:rPr>
        <w:t xml:space="preserve"> </w:t>
      </w:r>
      <w:r w:rsidR="00A56323" w:rsidRPr="00D31468">
        <w:rPr>
          <w:szCs w:val="24"/>
        </w:rPr>
        <w:t xml:space="preserve">evaluation in fulfillment of this act. </w:t>
      </w:r>
      <w:r w:rsidR="00913F20" w:rsidRPr="00D31468">
        <w:rPr>
          <w:szCs w:val="24"/>
        </w:rPr>
        <w:t xml:space="preserve">SAMHSA will </w:t>
      </w:r>
      <w:r w:rsidR="00A56323" w:rsidRPr="00D31468">
        <w:rPr>
          <w:szCs w:val="24"/>
        </w:rPr>
        <w:t>continue to document the progress of the campaign evaluation—and the case study findings, in particular—in future reports to Congress in fulfillment of this law.</w:t>
      </w:r>
    </w:p>
    <w:p w14:paraId="0D890DC0" w14:textId="77777777" w:rsidR="000B6E4E" w:rsidRPr="00D31468" w:rsidRDefault="000B6E4E" w:rsidP="00913D82">
      <w:pPr>
        <w:pStyle w:val="Heading2"/>
        <w:spacing w:after="240" w:line="240" w:lineRule="auto"/>
        <w:rPr>
          <w:szCs w:val="24"/>
        </w:rPr>
      </w:pPr>
      <w:r w:rsidRPr="00D31468">
        <w:rPr>
          <w:szCs w:val="24"/>
        </w:rPr>
        <w:t>3. Use of Technology</w:t>
      </w:r>
    </w:p>
    <w:p w14:paraId="5DE13320" w14:textId="29F1C453" w:rsidR="00CB68D2" w:rsidRPr="00D31468" w:rsidRDefault="00CB68D2" w:rsidP="00CB68D2">
      <w:pPr>
        <w:widowControl w:val="0"/>
        <w:spacing w:after="240" w:line="240" w:lineRule="auto"/>
        <w:rPr>
          <w:szCs w:val="24"/>
        </w:rPr>
      </w:pPr>
      <w:r w:rsidRPr="00D31468">
        <w:rPr>
          <w:szCs w:val="24"/>
        </w:rPr>
        <w:t>SAMHSA will disseminate</w:t>
      </w:r>
      <w:r w:rsidR="001E78F0" w:rsidRPr="00D31468">
        <w:rPr>
          <w:szCs w:val="24"/>
        </w:rPr>
        <w:t xml:space="preserve"> one</w:t>
      </w:r>
      <w:r w:rsidRPr="00D31468">
        <w:rPr>
          <w:szCs w:val="24"/>
        </w:rPr>
        <w:t xml:space="preserve"> of the </w:t>
      </w:r>
      <w:r w:rsidR="001E78F0" w:rsidRPr="00D31468">
        <w:rPr>
          <w:szCs w:val="24"/>
        </w:rPr>
        <w:t>three</w:t>
      </w:r>
      <w:r w:rsidRPr="00D31468">
        <w:rPr>
          <w:szCs w:val="24"/>
        </w:rPr>
        <w:t xml:space="preserve"> case study instruments—the parent and caregiver pre- and post-test survey—electronically. Th</w:t>
      </w:r>
      <w:r w:rsidR="00D13AEC" w:rsidRPr="00D31468">
        <w:rPr>
          <w:szCs w:val="24"/>
        </w:rPr>
        <w:t xml:space="preserve">e parent and caregiver pre-test and post-test survey </w:t>
      </w:r>
      <w:r w:rsidRPr="00D31468">
        <w:rPr>
          <w:szCs w:val="24"/>
        </w:rPr>
        <w:t xml:space="preserve">will also be available on paper to accommodate </w:t>
      </w:r>
      <w:r w:rsidR="002D29EF" w:rsidRPr="00D31468">
        <w:rPr>
          <w:szCs w:val="24"/>
        </w:rPr>
        <w:t>the</w:t>
      </w:r>
      <w:r w:rsidRPr="00D31468">
        <w:rPr>
          <w:szCs w:val="24"/>
        </w:rPr>
        <w:t xml:space="preserve"> needs and preferences of the parent/caregiver populations at both the </w:t>
      </w:r>
      <w:r w:rsidR="00FC7FD0" w:rsidRPr="00D31468">
        <w:rPr>
          <w:szCs w:val="24"/>
        </w:rPr>
        <w:t>intervention</w:t>
      </w:r>
      <w:r w:rsidRPr="00D31468">
        <w:rPr>
          <w:szCs w:val="24"/>
        </w:rPr>
        <w:t xml:space="preserve"> site and the control site. The electronic surveys will be disseminated via email</w:t>
      </w:r>
      <w:r w:rsidR="001B7FBB" w:rsidRPr="00D31468">
        <w:rPr>
          <w:szCs w:val="24"/>
        </w:rPr>
        <w:t>,</w:t>
      </w:r>
      <w:r w:rsidRPr="00D31468">
        <w:rPr>
          <w:szCs w:val="24"/>
        </w:rPr>
        <w:t xml:space="preserve"> and the paper surveys will </w:t>
      </w:r>
      <w:r w:rsidR="001B7FBB" w:rsidRPr="00D31468">
        <w:rPr>
          <w:szCs w:val="24"/>
        </w:rPr>
        <w:t xml:space="preserve">be </w:t>
      </w:r>
      <w:r w:rsidR="003B416E" w:rsidRPr="00D31468">
        <w:rPr>
          <w:szCs w:val="24"/>
        </w:rPr>
        <w:t xml:space="preserve">sent home with students by the case study middle school sites. </w:t>
      </w:r>
    </w:p>
    <w:p w14:paraId="144CC51B" w14:textId="15CE23A7" w:rsidR="00995DFF" w:rsidRPr="00D31468" w:rsidRDefault="003943DE" w:rsidP="00913D82">
      <w:pPr>
        <w:widowControl w:val="0"/>
        <w:spacing w:after="240" w:line="240" w:lineRule="auto"/>
        <w:rPr>
          <w:szCs w:val="24"/>
        </w:rPr>
      </w:pPr>
      <w:r w:rsidRPr="00D31468">
        <w:rPr>
          <w:szCs w:val="24"/>
        </w:rPr>
        <w:t xml:space="preserve">SAMHSA will use the Qualtrics© Survey Suite to develop and disseminate </w:t>
      </w:r>
      <w:r w:rsidR="00CB68D2" w:rsidRPr="00D31468">
        <w:rPr>
          <w:szCs w:val="24"/>
        </w:rPr>
        <w:t xml:space="preserve">the </w:t>
      </w:r>
      <w:r w:rsidR="003B416E" w:rsidRPr="00D31468">
        <w:rPr>
          <w:szCs w:val="24"/>
        </w:rPr>
        <w:t xml:space="preserve">electronic version of the survey. </w:t>
      </w:r>
      <w:r w:rsidR="00995DFF" w:rsidRPr="00D31468">
        <w:rPr>
          <w:szCs w:val="24"/>
        </w:rPr>
        <w:t xml:space="preserve">The use of the Qualtrics© Survey Suite will enable SAMHSA to use branching logic in the electronic survey that provides respondents with different questions based on their responses to previous questions (and effectively enables respondents to skip over the questions that do not apply to them). Such branching logic will reduce the average time of the survey for respondents, thereby reducing overall burden. The use of Qualtrics© also provides SAMHSA with the ability to randomize response options in order to mitigate response option bias. Qualtrics© also includes built-in </w:t>
      </w:r>
      <w:r w:rsidR="007371B6" w:rsidRPr="00D31468">
        <w:rPr>
          <w:szCs w:val="24"/>
        </w:rPr>
        <w:t xml:space="preserve">Section </w:t>
      </w:r>
      <w:r w:rsidR="00995DFF" w:rsidRPr="00D31468">
        <w:rPr>
          <w:szCs w:val="24"/>
        </w:rPr>
        <w:t xml:space="preserve">508 compliance systems to accommodate respondents with vision impairments and built-in mobile accessibility to accommodate respondents </w:t>
      </w:r>
      <w:r w:rsidR="001F6606" w:rsidRPr="00D31468">
        <w:rPr>
          <w:szCs w:val="24"/>
        </w:rPr>
        <w:t>using</w:t>
      </w:r>
      <w:r w:rsidR="00995DFF" w:rsidRPr="00D31468">
        <w:rPr>
          <w:szCs w:val="24"/>
        </w:rPr>
        <w:t xml:space="preserve"> a range of electronic devices.</w:t>
      </w:r>
      <w:r w:rsidR="004F1A73" w:rsidRPr="00D31468">
        <w:rPr>
          <w:szCs w:val="24"/>
        </w:rPr>
        <w:t xml:space="preserve"> </w:t>
      </w:r>
      <w:r w:rsidR="001F6606" w:rsidRPr="00D31468">
        <w:rPr>
          <w:szCs w:val="24"/>
        </w:rPr>
        <w:t>SAMHSA owns and controls all data collected using Qualtrics©, and the data maintained in the Qualtrics© database will be kept confidential. Qualtrics© uses industry best practices to maintain data security and privacy</w:t>
      </w:r>
      <w:r w:rsidR="000A67CA" w:rsidRPr="00D31468">
        <w:rPr>
          <w:szCs w:val="24"/>
        </w:rPr>
        <w:t>,</w:t>
      </w:r>
      <w:r w:rsidR="001F6606" w:rsidRPr="00D31468">
        <w:rPr>
          <w:szCs w:val="24"/>
        </w:rPr>
        <w:t xml:space="preserve"> and ha</w:t>
      </w:r>
      <w:r w:rsidR="000A67CA" w:rsidRPr="00D31468">
        <w:rPr>
          <w:szCs w:val="24"/>
        </w:rPr>
        <w:t>s</w:t>
      </w:r>
      <w:r w:rsidR="001F6606" w:rsidRPr="00D31468">
        <w:rPr>
          <w:szCs w:val="24"/>
        </w:rPr>
        <w:t xml:space="preserve"> devised proprietary methods to prevent disclosing data to the wrong requester due to programming errors.</w:t>
      </w:r>
    </w:p>
    <w:p w14:paraId="6032492A" w14:textId="77777777" w:rsidR="000B6E4E" w:rsidRPr="00D31468" w:rsidRDefault="000B6E4E" w:rsidP="00913D82">
      <w:pPr>
        <w:pStyle w:val="Heading2"/>
        <w:spacing w:after="240" w:line="240" w:lineRule="auto"/>
        <w:rPr>
          <w:szCs w:val="24"/>
        </w:rPr>
      </w:pPr>
      <w:r w:rsidRPr="00D31468">
        <w:rPr>
          <w:szCs w:val="24"/>
        </w:rPr>
        <w:t>4. Efforts to Identify Duplication</w:t>
      </w:r>
    </w:p>
    <w:p w14:paraId="042DBE7B" w14:textId="35A135F3" w:rsidR="00680075" w:rsidRPr="00D31468" w:rsidRDefault="000B6E4E" w:rsidP="00913D82">
      <w:pPr>
        <w:spacing w:after="240" w:line="240" w:lineRule="auto"/>
        <w:rPr>
          <w:szCs w:val="24"/>
        </w:rPr>
      </w:pPr>
      <w:r w:rsidRPr="00D31468">
        <w:rPr>
          <w:szCs w:val="24"/>
        </w:rPr>
        <w:t>The STOP Act require</w:t>
      </w:r>
      <w:r w:rsidR="005C634E" w:rsidRPr="00D31468">
        <w:rPr>
          <w:szCs w:val="24"/>
        </w:rPr>
        <w:t xml:space="preserve">d the development and dissemination of a new, adult-oriented media public service campaign and an evaluation of that campaign. The data collection efforts outlined in this document are specific to the campaign evaluation and </w:t>
      </w:r>
      <w:r w:rsidR="00024F2C" w:rsidRPr="00D31468">
        <w:rPr>
          <w:szCs w:val="24"/>
        </w:rPr>
        <w:t xml:space="preserve">are </w:t>
      </w:r>
      <w:r w:rsidR="005C634E" w:rsidRPr="00D31468">
        <w:rPr>
          <w:szCs w:val="24"/>
        </w:rPr>
        <w:t xml:space="preserve">not </w:t>
      </w:r>
      <w:r w:rsidR="009116C6" w:rsidRPr="00D31468">
        <w:rPr>
          <w:szCs w:val="24"/>
        </w:rPr>
        <w:t>duplicated</w:t>
      </w:r>
      <w:r w:rsidR="005C634E" w:rsidRPr="00D31468">
        <w:rPr>
          <w:szCs w:val="24"/>
        </w:rPr>
        <w:t xml:space="preserve"> elsewhere.</w:t>
      </w:r>
    </w:p>
    <w:p w14:paraId="69F12F93" w14:textId="77777777" w:rsidR="000B6E4E" w:rsidRPr="00D31468" w:rsidRDefault="000B6E4E" w:rsidP="00913D82">
      <w:pPr>
        <w:pStyle w:val="Heading2"/>
        <w:spacing w:after="240" w:line="240" w:lineRule="auto"/>
        <w:rPr>
          <w:color w:val="FF0000"/>
          <w:szCs w:val="24"/>
        </w:rPr>
      </w:pPr>
      <w:r w:rsidRPr="00D31468">
        <w:rPr>
          <w:szCs w:val="24"/>
        </w:rPr>
        <w:t>5. Involvement of Small Entities</w:t>
      </w:r>
    </w:p>
    <w:p w14:paraId="64BB11C3" w14:textId="2D58BD25" w:rsidR="00024F2C" w:rsidRPr="00D31468" w:rsidRDefault="000B6E4E" w:rsidP="00913D82">
      <w:pPr>
        <w:spacing w:after="240" w:line="240" w:lineRule="auto"/>
        <w:rPr>
          <w:szCs w:val="24"/>
        </w:rPr>
      </w:pPr>
      <w:r w:rsidRPr="00D31468">
        <w:rPr>
          <w:szCs w:val="24"/>
        </w:rPr>
        <w:t xml:space="preserve">This data collection will </w:t>
      </w:r>
      <w:r w:rsidR="00680075" w:rsidRPr="00D31468">
        <w:rPr>
          <w:szCs w:val="24"/>
        </w:rPr>
        <w:t xml:space="preserve">involve </w:t>
      </w:r>
      <w:r w:rsidR="00CB2089" w:rsidRPr="00D31468">
        <w:rPr>
          <w:szCs w:val="24"/>
        </w:rPr>
        <w:t xml:space="preserve">the participation of </w:t>
      </w:r>
      <w:r w:rsidR="004D2DF4" w:rsidRPr="00D31468">
        <w:rPr>
          <w:szCs w:val="24"/>
        </w:rPr>
        <w:t xml:space="preserve">up to </w:t>
      </w:r>
      <w:r w:rsidR="00680075" w:rsidRPr="00D31468">
        <w:rPr>
          <w:szCs w:val="24"/>
        </w:rPr>
        <w:t>two school districts</w:t>
      </w:r>
      <w:r w:rsidR="004D2DF4" w:rsidRPr="00D31468">
        <w:rPr>
          <w:szCs w:val="24"/>
        </w:rPr>
        <w:t>.</w:t>
      </w:r>
      <w:r w:rsidR="00680075" w:rsidRPr="00D31468">
        <w:rPr>
          <w:szCs w:val="24"/>
        </w:rPr>
        <w:t xml:space="preserve"> </w:t>
      </w:r>
      <w:r w:rsidR="00CB2089" w:rsidRPr="00D31468">
        <w:rPr>
          <w:szCs w:val="24"/>
        </w:rPr>
        <w:t xml:space="preserve">Involvement will be voluntary </w:t>
      </w:r>
      <w:r w:rsidR="004D2DF4" w:rsidRPr="00D31468">
        <w:rPr>
          <w:szCs w:val="24"/>
        </w:rPr>
        <w:t>and</w:t>
      </w:r>
      <w:r w:rsidR="00CB2089" w:rsidRPr="00D31468">
        <w:rPr>
          <w:szCs w:val="24"/>
        </w:rPr>
        <w:t xml:space="preserve"> </w:t>
      </w:r>
      <w:r w:rsidR="009D7D28" w:rsidRPr="00D31468">
        <w:rPr>
          <w:szCs w:val="24"/>
        </w:rPr>
        <w:t xml:space="preserve">will </w:t>
      </w:r>
      <w:r w:rsidR="00CB2089" w:rsidRPr="00D31468">
        <w:rPr>
          <w:szCs w:val="24"/>
        </w:rPr>
        <w:t>align with their respective missions</w:t>
      </w:r>
      <w:r w:rsidR="00607F26" w:rsidRPr="00D31468">
        <w:rPr>
          <w:szCs w:val="24"/>
        </w:rPr>
        <w:t xml:space="preserve"> to prevent </w:t>
      </w:r>
      <w:r w:rsidR="004D2DF4" w:rsidRPr="00D31468">
        <w:rPr>
          <w:szCs w:val="24"/>
        </w:rPr>
        <w:t>the use of alcohol among youth</w:t>
      </w:r>
      <w:r w:rsidR="009D7D28" w:rsidRPr="00D31468">
        <w:rPr>
          <w:szCs w:val="24"/>
        </w:rPr>
        <w:t>s</w:t>
      </w:r>
      <w:r w:rsidR="004D2DF4" w:rsidRPr="00D31468">
        <w:rPr>
          <w:szCs w:val="24"/>
        </w:rPr>
        <w:t>.</w:t>
      </w:r>
      <w:r w:rsidR="00607F26" w:rsidRPr="00D31468">
        <w:rPr>
          <w:szCs w:val="24"/>
        </w:rPr>
        <w:t xml:space="preserve"> </w:t>
      </w:r>
      <w:r w:rsidR="005A002E" w:rsidRPr="00D31468">
        <w:rPr>
          <w:szCs w:val="24"/>
        </w:rPr>
        <w:t>Further</w:t>
      </w:r>
      <w:r w:rsidR="002D29EF" w:rsidRPr="00D31468">
        <w:rPr>
          <w:szCs w:val="24"/>
        </w:rPr>
        <w:t>, t</w:t>
      </w:r>
      <w:r w:rsidR="00607F26" w:rsidRPr="00D31468">
        <w:rPr>
          <w:szCs w:val="24"/>
        </w:rPr>
        <w:t xml:space="preserve">he </w:t>
      </w:r>
      <w:r w:rsidR="002D29EF" w:rsidRPr="00D31468">
        <w:rPr>
          <w:szCs w:val="24"/>
        </w:rPr>
        <w:t xml:space="preserve">summary information from the </w:t>
      </w:r>
      <w:r w:rsidR="005A002E" w:rsidRPr="00D31468">
        <w:rPr>
          <w:szCs w:val="24"/>
        </w:rPr>
        <w:t>data collected will be</w:t>
      </w:r>
      <w:r w:rsidR="00607F26" w:rsidRPr="00D31468">
        <w:rPr>
          <w:szCs w:val="24"/>
        </w:rPr>
        <w:t xml:space="preserve"> useful to the </w:t>
      </w:r>
      <w:r w:rsidR="00E02A7A" w:rsidRPr="00D31468">
        <w:rPr>
          <w:szCs w:val="24"/>
        </w:rPr>
        <w:t>districts</w:t>
      </w:r>
      <w:r w:rsidR="00607F26" w:rsidRPr="00D31468">
        <w:rPr>
          <w:szCs w:val="24"/>
        </w:rPr>
        <w:t xml:space="preserve"> </w:t>
      </w:r>
      <w:r w:rsidR="00132AF7" w:rsidRPr="00D31468">
        <w:rPr>
          <w:szCs w:val="24"/>
        </w:rPr>
        <w:t xml:space="preserve">that </w:t>
      </w:r>
      <w:r w:rsidR="00607F26" w:rsidRPr="00D31468">
        <w:rPr>
          <w:szCs w:val="24"/>
        </w:rPr>
        <w:t>will be involved in the data collection.</w:t>
      </w:r>
    </w:p>
    <w:p w14:paraId="77A54D3D" w14:textId="77777777" w:rsidR="000B6E4E" w:rsidRPr="00D31468" w:rsidRDefault="000B6E4E" w:rsidP="00913D82">
      <w:pPr>
        <w:pStyle w:val="Heading2"/>
        <w:spacing w:after="240" w:line="240" w:lineRule="auto"/>
        <w:rPr>
          <w:color w:val="FF0000"/>
          <w:szCs w:val="24"/>
        </w:rPr>
      </w:pPr>
      <w:r w:rsidRPr="00D31468">
        <w:rPr>
          <w:szCs w:val="24"/>
        </w:rPr>
        <w:t>6. Consequences if Information Collected Less Frequently</w:t>
      </w:r>
    </w:p>
    <w:p w14:paraId="1B91107A" w14:textId="1147CB0A" w:rsidR="000B6E4E" w:rsidRPr="00D31468" w:rsidRDefault="00C16235" w:rsidP="00913D82">
      <w:pPr>
        <w:spacing w:after="240" w:line="240" w:lineRule="auto"/>
        <w:rPr>
          <w:szCs w:val="24"/>
        </w:rPr>
      </w:pPr>
      <w:r w:rsidRPr="00D31468">
        <w:rPr>
          <w:szCs w:val="24"/>
        </w:rPr>
        <w:t xml:space="preserve">SAMHSA </w:t>
      </w:r>
      <w:r w:rsidR="005075A2" w:rsidRPr="00D31468">
        <w:rPr>
          <w:szCs w:val="24"/>
        </w:rPr>
        <w:t>plans</w:t>
      </w:r>
      <w:r w:rsidRPr="00D31468">
        <w:rPr>
          <w:szCs w:val="24"/>
        </w:rPr>
        <w:t xml:space="preserve"> to </w:t>
      </w:r>
      <w:r w:rsidR="005075A2" w:rsidRPr="00D31468">
        <w:rPr>
          <w:szCs w:val="24"/>
        </w:rPr>
        <w:t>c</w:t>
      </w:r>
      <w:r w:rsidRPr="00D31468">
        <w:rPr>
          <w:szCs w:val="24"/>
        </w:rPr>
        <w:t>onduct</w:t>
      </w:r>
      <w:r w:rsidR="005075A2" w:rsidRPr="00D31468">
        <w:rPr>
          <w:szCs w:val="24"/>
        </w:rPr>
        <w:t xml:space="preserve"> the case study every </w:t>
      </w:r>
      <w:r w:rsidR="00A207EA" w:rsidRPr="00D31468">
        <w:rPr>
          <w:szCs w:val="24"/>
        </w:rPr>
        <w:t xml:space="preserve">3 </w:t>
      </w:r>
      <w:r w:rsidR="005075A2" w:rsidRPr="00D31468">
        <w:rPr>
          <w:szCs w:val="24"/>
        </w:rPr>
        <w:t>years</w:t>
      </w:r>
      <w:r w:rsidRPr="00D31468">
        <w:rPr>
          <w:szCs w:val="24"/>
        </w:rPr>
        <w:t>.</w:t>
      </w:r>
    </w:p>
    <w:p w14:paraId="2731E0C7" w14:textId="4242ECC3" w:rsidR="000B6E4E" w:rsidRPr="00D31468" w:rsidRDefault="000B6E4E" w:rsidP="00913D82">
      <w:pPr>
        <w:pStyle w:val="Heading2"/>
        <w:spacing w:after="240" w:line="240" w:lineRule="auto"/>
        <w:rPr>
          <w:color w:val="FF0000"/>
          <w:szCs w:val="24"/>
        </w:rPr>
      </w:pPr>
      <w:r w:rsidRPr="00D31468">
        <w:rPr>
          <w:szCs w:val="24"/>
        </w:rPr>
        <w:t xml:space="preserve">7. Consistency </w:t>
      </w:r>
      <w:r w:rsidR="005075A2" w:rsidRPr="00D31468">
        <w:rPr>
          <w:szCs w:val="24"/>
        </w:rPr>
        <w:t>w</w:t>
      </w:r>
      <w:r w:rsidRPr="00D31468">
        <w:rPr>
          <w:szCs w:val="24"/>
        </w:rPr>
        <w:t>ith the Guidelines in 5 CFR 1320.5(d)(2)</w:t>
      </w:r>
    </w:p>
    <w:p w14:paraId="3F88FE92" w14:textId="77777777" w:rsidR="000B6E4E" w:rsidRPr="00D31468" w:rsidRDefault="000B6E4E" w:rsidP="00913D82">
      <w:pPr>
        <w:spacing w:after="240" w:line="240" w:lineRule="auto"/>
        <w:rPr>
          <w:szCs w:val="24"/>
        </w:rPr>
      </w:pPr>
      <w:r w:rsidRPr="00D31468">
        <w:rPr>
          <w:szCs w:val="24"/>
        </w:rPr>
        <w:t>This information collection fully complies with 5 CFR 1320.5(d)(2).</w:t>
      </w:r>
    </w:p>
    <w:p w14:paraId="059AFD6F" w14:textId="77777777" w:rsidR="000B6E4E" w:rsidRPr="00D31468" w:rsidRDefault="000B6E4E" w:rsidP="00913D82">
      <w:pPr>
        <w:pStyle w:val="Heading2"/>
        <w:spacing w:after="240" w:line="240" w:lineRule="auto"/>
        <w:rPr>
          <w:szCs w:val="24"/>
        </w:rPr>
      </w:pPr>
      <w:r w:rsidRPr="00D31468">
        <w:rPr>
          <w:szCs w:val="24"/>
        </w:rPr>
        <w:t>8. Consultation Outside the Agency</w:t>
      </w:r>
    </w:p>
    <w:p w14:paraId="25F94F5C" w14:textId="232FCB64" w:rsidR="000B6E4E" w:rsidRPr="00D31468" w:rsidRDefault="000B6E4E" w:rsidP="00913D82">
      <w:pPr>
        <w:pStyle w:val="Heading3"/>
        <w:spacing w:after="240" w:line="240" w:lineRule="auto"/>
        <w:rPr>
          <w:szCs w:val="24"/>
        </w:rPr>
      </w:pPr>
      <w:r w:rsidRPr="00D31468">
        <w:rPr>
          <w:szCs w:val="24"/>
        </w:rPr>
        <w:t xml:space="preserve">a. </w:t>
      </w:r>
      <w:r w:rsidRPr="00D31468">
        <w:rPr>
          <w:i/>
          <w:iCs/>
          <w:szCs w:val="24"/>
        </w:rPr>
        <w:t>Federal Register</w:t>
      </w:r>
      <w:r w:rsidRPr="00D31468">
        <w:rPr>
          <w:szCs w:val="24"/>
        </w:rPr>
        <w:t xml:space="preserve"> Notice</w:t>
      </w:r>
    </w:p>
    <w:p w14:paraId="68665390" w14:textId="069D154B" w:rsidR="000B6E4E" w:rsidRPr="00D31468" w:rsidRDefault="000B6E4E" w:rsidP="00913D82">
      <w:pPr>
        <w:spacing w:after="240" w:line="240" w:lineRule="auto"/>
        <w:rPr>
          <w:b/>
          <w:color w:val="000000"/>
          <w:szCs w:val="24"/>
        </w:rPr>
      </w:pPr>
      <w:r w:rsidRPr="00D31468">
        <w:rPr>
          <w:szCs w:val="24"/>
        </w:rPr>
        <w:t xml:space="preserve">The notice required in 5 CFR 1320.8(d) was published in the </w:t>
      </w:r>
      <w:r w:rsidRPr="00D31468">
        <w:rPr>
          <w:i/>
          <w:szCs w:val="24"/>
        </w:rPr>
        <w:t>Federal Register</w:t>
      </w:r>
      <w:r w:rsidRPr="00D31468">
        <w:rPr>
          <w:szCs w:val="24"/>
        </w:rPr>
        <w:t xml:space="preserve"> on </w:t>
      </w:r>
      <w:r w:rsidR="00B52F92">
        <w:rPr>
          <w:szCs w:val="24"/>
        </w:rPr>
        <w:t>November 29,</w:t>
      </w:r>
      <w:r w:rsidR="00C16235" w:rsidRPr="00D31468">
        <w:rPr>
          <w:szCs w:val="24"/>
        </w:rPr>
        <w:t xml:space="preserve"> 2019 </w:t>
      </w:r>
      <w:r w:rsidR="00AE5592" w:rsidRPr="00D31468">
        <w:rPr>
          <w:szCs w:val="24"/>
        </w:rPr>
        <w:t>(</w:t>
      </w:r>
      <w:r w:rsidR="00252F55" w:rsidRPr="00D31468">
        <w:rPr>
          <w:szCs w:val="24"/>
        </w:rPr>
        <w:t>8</w:t>
      </w:r>
      <w:r w:rsidR="000A4620" w:rsidRPr="00D31468">
        <w:rPr>
          <w:szCs w:val="24"/>
        </w:rPr>
        <w:t>4</w:t>
      </w:r>
      <w:r w:rsidR="004D7661" w:rsidRPr="00D31468">
        <w:rPr>
          <w:szCs w:val="24"/>
        </w:rPr>
        <w:t xml:space="preserve"> FR</w:t>
      </w:r>
      <w:r w:rsidR="00AE5592" w:rsidRPr="00D31468">
        <w:rPr>
          <w:szCs w:val="24"/>
        </w:rPr>
        <w:t xml:space="preserve"> </w:t>
      </w:r>
      <w:r w:rsidR="00B52F92">
        <w:rPr>
          <w:szCs w:val="24"/>
        </w:rPr>
        <w:t>65829</w:t>
      </w:r>
      <w:r w:rsidRPr="00D31468">
        <w:rPr>
          <w:szCs w:val="24"/>
        </w:rPr>
        <w:t xml:space="preserve">). </w:t>
      </w:r>
      <w:r w:rsidRPr="00D31468">
        <w:rPr>
          <w:color w:val="000000"/>
          <w:szCs w:val="24"/>
        </w:rPr>
        <w:t xml:space="preserve">SAMHSA </w:t>
      </w:r>
      <w:r w:rsidR="00CB2089" w:rsidRPr="00D31468">
        <w:rPr>
          <w:color w:val="000000"/>
          <w:szCs w:val="24"/>
        </w:rPr>
        <w:t>did</w:t>
      </w:r>
      <w:r w:rsidRPr="00D31468">
        <w:rPr>
          <w:color w:val="000000"/>
          <w:szCs w:val="24"/>
        </w:rPr>
        <w:t xml:space="preserve"> not receive any comments.</w:t>
      </w:r>
    </w:p>
    <w:p w14:paraId="38A09EAB" w14:textId="77777777" w:rsidR="000B6E4E" w:rsidRPr="00D31468" w:rsidRDefault="000B6E4E" w:rsidP="00913D82">
      <w:pPr>
        <w:pStyle w:val="Heading3"/>
        <w:spacing w:after="240" w:line="240" w:lineRule="auto"/>
        <w:rPr>
          <w:szCs w:val="24"/>
        </w:rPr>
      </w:pPr>
      <w:r w:rsidRPr="00D31468">
        <w:rPr>
          <w:szCs w:val="24"/>
        </w:rPr>
        <w:t>b. Consultations Outside of the Agency</w:t>
      </w:r>
    </w:p>
    <w:p w14:paraId="08BF1E7B" w14:textId="623D4435" w:rsidR="00F134BD" w:rsidRPr="00D31468" w:rsidRDefault="00F134BD" w:rsidP="00F134BD">
      <w:pPr>
        <w:rPr>
          <w:color w:val="000000"/>
          <w:szCs w:val="24"/>
        </w:rPr>
      </w:pPr>
      <w:r w:rsidRPr="00D31468">
        <w:rPr>
          <w:color w:val="000000"/>
          <w:szCs w:val="24"/>
        </w:rPr>
        <w:t>The Interagency Coordinating Committee to Prevent Underage Drinking (ICCPUD) coordinates federal efforts to reduce underage drinking, guide policy and program development across the federal government as well as serve as a resource for the development of the Comprehensive Plan for Preventing Underage Drinking.  ICCPUD has received input from experts and organizations representing a wide range of parties, including public health advocacy groups, the alcohol industry, ICCPUD member agencies, U.S. Congress, and subject matter experts, which has been instrumental in the development of the national media campaign—TTHY.</w:t>
      </w:r>
    </w:p>
    <w:p w14:paraId="6B6F77E9" w14:textId="2831B311" w:rsidR="00F134BD" w:rsidRPr="00D31468" w:rsidRDefault="00F134BD" w:rsidP="00F134BD">
      <w:pPr>
        <w:rPr>
          <w:color w:val="000000"/>
          <w:szCs w:val="24"/>
        </w:rPr>
      </w:pPr>
      <w:r w:rsidRPr="00D31468">
        <w:rPr>
          <w:color w:val="000000"/>
          <w:szCs w:val="24"/>
        </w:rPr>
        <w:t>The ICCPUD will continue to guide the development process of the national media campaign, TTHY, over the period of this contract.  The annual evaluation regarding the implementation and outcomes of “Talk.  They Hear You.” is provided in Chapter 5, of the “</w:t>
      </w:r>
      <w:r w:rsidRPr="00D31468">
        <w:rPr>
          <w:i/>
          <w:color w:val="000000"/>
          <w:szCs w:val="24"/>
        </w:rPr>
        <w:t>Report to Congress on the Prevention and Reduction of Underage Drinking</w:t>
      </w:r>
      <w:r w:rsidRPr="00D31468">
        <w:rPr>
          <w:color w:val="000000"/>
          <w:szCs w:val="24"/>
        </w:rPr>
        <w:t xml:space="preserve">” and can be found at </w:t>
      </w:r>
      <w:hyperlink r:id="rId12" w:history="1">
        <w:r w:rsidRPr="00D31468">
          <w:rPr>
            <w:rStyle w:val="Hyperlink"/>
            <w:szCs w:val="24"/>
          </w:rPr>
          <w:t>www.stopalcoholabuse.gov</w:t>
        </w:r>
      </w:hyperlink>
      <w:r w:rsidRPr="00D31468">
        <w:rPr>
          <w:color w:val="000000"/>
          <w:szCs w:val="24"/>
        </w:rPr>
        <w:t xml:space="preserve">. </w:t>
      </w:r>
    </w:p>
    <w:p w14:paraId="1A0EFB9D" w14:textId="707E1763" w:rsidR="000B6E4E" w:rsidRPr="00D31468" w:rsidRDefault="000B6E4E" w:rsidP="00CB2089">
      <w:pPr>
        <w:pStyle w:val="Heading2"/>
        <w:spacing w:after="240" w:line="240" w:lineRule="auto"/>
        <w:rPr>
          <w:color w:val="FF0000"/>
          <w:szCs w:val="24"/>
        </w:rPr>
      </w:pPr>
      <w:r w:rsidRPr="00D31468">
        <w:rPr>
          <w:szCs w:val="24"/>
        </w:rPr>
        <w:t>9. Payment to Respondents</w:t>
      </w:r>
    </w:p>
    <w:p w14:paraId="0C2FB63E" w14:textId="3CCBEAD3" w:rsidR="0087648D" w:rsidRPr="00D31468" w:rsidRDefault="000B6E4E" w:rsidP="00913D82">
      <w:pPr>
        <w:spacing w:after="240" w:line="240" w:lineRule="auto"/>
        <w:rPr>
          <w:szCs w:val="24"/>
        </w:rPr>
      </w:pPr>
      <w:r w:rsidRPr="00D31468">
        <w:rPr>
          <w:szCs w:val="24"/>
        </w:rPr>
        <w:t xml:space="preserve">No payments will be made to </w:t>
      </w:r>
      <w:r w:rsidR="00022BE0" w:rsidRPr="00D31468">
        <w:rPr>
          <w:szCs w:val="24"/>
        </w:rPr>
        <w:t xml:space="preserve">respondents </w:t>
      </w:r>
      <w:r w:rsidRPr="00D31468">
        <w:rPr>
          <w:szCs w:val="24"/>
        </w:rPr>
        <w:t>for completing the surveys.</w:t>
      </w:r>
    </w:p>
    <w:p w14:paraId="4BD7671D" w14:textId="5A01A0AE" w:rsidR="000B6E4E" w:rsidRPr="00D31468" w:rsidRDefault="00022BE0" w:rsidP="00913D82">
      <w:pPr>
        <w:spacing w:after="240" w:line="240" w:lineRule="auto"/>
        <w:rPr>
          <w:szCs w:val="24"/>
        </w:rPr>
      </w:pPr>
      <w:r w:rsidRPr="00D31468">
        <w:rPr>
          <w:szCs w:val="24"/>
        </w:rPr>
        <w:t>Payments</w:t>
      </w:r>
      <w:r w:rsidR="0087648D" w:rsidRPr="00D31468">
        <w:rPr>
          <w:szCs w:val="24"/>
        </w:rPr>
        <w:t xml:space="preserve"> will be made to participants for completing the individual </w:t>
      </w:r>
      <w:r w:rsidR="005075A2" w:rsidRPr="00D31468">
        <w:rPr>
          <w:szCs w:val="24"/>
        </w:rPr>
        <w:t>parent</w:t>
      </w:r>
      <w:r w:rsidR="0018751F" w:rsidRPr="00D31468">
        <w:rPr>
          <w:szCs w:val="24"/>
        </w:rPr>
        <w:t>/care</w:t>
      </w:r>
      <w:r w:rsidR="007E2C19" w:rsidRPr="00D31468">
        <w:rPr>
          <w:szCs w:val="24"/>
        </w:rPr>
        <w:t>giver</w:t>
      </w:r>
      <w:r w:rsidR="0018751F" w:rsidRPr="00D31468">
        <w:rPr>
          <w:szCs w:val="24"/>
        </w:rPr>
        <w:t xml:space="preserve"> </w:t>
      </w:r>
      <w:r w:rsidR="005075A2" w:rsidRPr="00D31468">
        <w:rPr>
          <w:szCs w:val="24"/>
        </w:rPr>
        <w:t>i</w:t>
      </w:r>
      <w:r w:rsidR="0087648D" w:rsidRPr="00D31468">
        <w:rPr>
          <w:szCs w:val="24"/>
        </w:rPr>
        <w:t>nterviews</w:t>
      </w:r>
      <w:r w:rsidRPr="00D31468">
        <w:rPr>
          <w:szCs w:val="24"/>
        </w:rPr>
        <w:t>, in the form of gift cards, at a rate of $35.00 per hour.</w:t>
      </w:r>
    </w:p>
    <w:p w14:paraId="3079247B" w14:textId="693D0405" w:rsidR="000F3D89" w:rsidRPr="00D31468" w:rsidRDefault="000B6E4E" w:rsidP="00A93EEB">
      <w:pPr>
        <w:pStyle w:val="Heading2"/>
        <w:spacing w:after="240" w:line="240" w:lineRule="auto"/>
        <w:rPr>
          <w:szCs w:val="24"/>
        </w:rPr>
      </w:pPr>
      <w:r w:rsidRPr="00D31468">
        <w:rPr>
          <w:szCs w:val="24"/>
        </w:rPr>
        <w:t>10. Assurance of Confidentiality</w:t>
      </w:r>
    </w:p>
    <w:p w14:paraId="69CBDF3A" w14:textId="1CF2A834" w:rsidR="002D29EF" w:rsidRPr="00D31468" w:rsidRDefault="002D29EF" w:rsidP="002D29EF">
      <w:pPr>
        <w:widowControl w:val="0"/>
        <w:spacing w:after="240" w:line="240" w:lineRule="auto"/>
        <w:rPr>
          <w:szCs w:val="24"/>
        </w:rPr>
      </w:pPr>
      <w:r w:rsidRPr="00D31468">
        <w:rPr>
          <w:szCs w:val="24"/>
        </w:rPr>
        <w:t>Both email and paper distributions will be controlled by the schools</w:t>
      </w:r>
      <w:r w:rsidR="00AF6A02" w:rsidRPr="00D31468">
        <w:rPr>
          <w:szCs w:val="24"/>
        </w:rPr>
        <w:t>,</w:t>
      </w:r>
      <w:r w:rsidRPr="00D31468">
        <w:rPr>
          <w:szCs w:val="24"/>
        </w:rPr>
        <w:t xml:space="preserve"> and no email or student contact information will be shared by the schools with SAMHSA. Only information provided voluntarily by the respondents will be collected by the system as outlined here.</w:t>
      </w:r>
    </w:p>
    <w:p w14:paraId="4D3F9CAB" w14:textId="51707C24" w:rsidR="000B6E4E" w:rsidRPr="00D31468" w:rsidRDefault="00A62EE9" w:rsidP="00913D82">
      <w:pPr>
        <w:spacing w:after="240" w:line="240" w:lineRule="auto"/>
        <w:rPr>
          <w:szCs w:val="24"/>
        </w:rPr>
      </w:pPr>
      <w:r w:rsidRPr="00D31468">
        <w:rPr>
          <w:szCs w:val="24"/>
        </w:rPr>
        <w:t xml:space="preserve">Contact information from a subset of the adults participating in the survey is necessary to identify participants for the interview portion of the study. </w:t>
      </w:r>
      <w:r w:rsidR="00933D89" w:rsidRPr="00D31468">
        <w:rPr>
          <w:szCs w:val="24"/>
        </w:rPr>
        <w:t xml:space="preserve">The parent/caregiver post-test survey includes a question prompting respondents to share contact information—first name and a phone number or email address—if they would be willing to be contacted for a follow-up interview. The survey requests this contact information </w:t>
      </w:r>
      <w:r w:rsidR="000B6E4E" w:rsidRPr="00D31468">
        <w:rPr>
          <w:szCs w:val="24"/>
        </w:rPr>
        <w:t>with the following instructions:</w:t>
      </w:r>
    </w:p>
    <w:p w14:paraId="1C6A3BD7" w14:textId="0C0B3FAC" w:rsidR="000B6E4E" w:rsidRPr="00D31468" w:rsidRDefault="0097331D" w:rsidP="00913D82">
      <w:pPr>
        <w:spacing w:after="240" w:line="240" w:lineRule="auto"/>
        <w:ind w:left="720"/>
        <w:rPr>
          <w:szCs w:val="24"/>
        </w:rPr>
      </w:pPr>
      <w:r w:rsidRPr="00D31468">
        <w:rPr>
          <w:szCs w:val="24"/>
        </w:rPr>
        <w:t xml:space="preserve">Would you </w:t>
      </w:r>
      <w:r w:rsidR="00A62EE9" w:rsidRPr="00D31468">
        <w:rPr>
          <w:szCs w:val="24"/>
        </w:rPr>
        <w:t>be willing to provide more information on your responses to this survey</w:t>
      </w:r>
      <w:r w:rsidR="005A002E" w:rsidRPr="00D31468">
        <w:rPr>
          <w:szCs w:val="24"/>
        </w:rPr>
        <w:t xml:space="preserve"> in </w:t>
      </w:r>
      <w:r w:rsidRPr="00D31468">
        <w:rPr>
          <w:szCs w:val="24"/>
        </w:rPr>
        <w:t>a follow-up interview on th</w:t>
      </w:r>
      <w:r w:rsidR="00A62EE9" w:rsidRPr="00D31468">
        <w:rPr>
          <w:szCs w:val="24"/>
        </w:rPr>
        <w:t>e</w:t>
      </w:r>
      <w:r w:rsidRPr="00D31468">
        <w:rPr>
          <w:szCs w:val="24"/>
        </w:rPr>
        <w:t xml:space="preserve"> topic</w:t>
      </w:r>
      <w:r w:rsidR="00A62EE9" w:rsidRPr="00D31468">
        <w:rPr>
          <w:szCs w:val="24"/>
        </w:rPr>
        <w:t xml:space="preserve"> of underage drinking</w:t>
      </w:r>
      <w:r w:rsidR="005A002E" w:rsidRPr="00D31468">
        <w:rPr>
          <w:szCs w:val="24"/>
        </w:rPr>
        <w:t>?</w:t>
      </w:r>
      <w:r w:rsidRPr="00D31468">
        <w:rPr>
          <w:szCs w:val="24"/>
        </w:rPr>
        <w:t xml:space="preserve"> </w:t>
      </w:r>
      <w:r w:rsidR="005A002E" w:rsidRPr="00D31468">
        <w:rPr>
          <w:szCs w:val="24"/>
        </w:rPr>
        <w:t xml:space="preserve">Interviews will take no more than </w:t>
      </w:r>
      <w:r w:rsidR="00A207EA" w:rsidRPr="00D31468">
        <w:rPr>
          <w:szCs w:val="24"/>
        </w:rPr>
        <w:t xml:space="preserve">1 </w:t>
      </w:r>
      <w:r w:rsidR="005A002E" w:rsidRPr="00D31468">
        <w:rPr>
          <w:szCs w:val="24"/>
        </w:rPr>
        <w:t xml:space="preserve">hour and will be conducted by phone. </w:t>
      </w:r>
      <w:r w:rsidRPr="00D31468">
        <w:rPr>
          <w:szCs w:val="24"/>
        </w:rPr>
        <w:t xml:space="preserve">For your </w:t>
      </w:r>
      <w:r w:rsidR="00933D89" w:rsidRPr="00D31468">
        <w:rPr>
          <w:szCs w:val="24"/>
        </w:rPr>
        <w:t>participation</w:t>
      </w:r>
      <w:r w:rsidRPr="00D31468">
        <w:rPr>
          <w:szCs w:val="24"/>
        </w:rPr>
        <w:t xml:space="preserve">, you will receive </w:t>
      </w:r>
      <w:r w:rsidR="00933D89" w:rsidRPr="00D31468">
        <w:rPr>
          <w:szCs w:val="24"/>
        </w:rPr>
        <w:t xml:space="preserve">a </w:t>
      </w:r>
      <w:r w:rsidRPr="00D31468">
        <w:rPr>
          <w:szCs w:val="24"/>
        </w:rPr>
        <w:t xml:space="preserve">$35 </w:t>
      </w:r>
      <w:r w:rsidR="00252F55" w:rsidRPr="00D31468">
        <w:rPr>
          <w:szCs w:val="24"/>
        </w:rPr>
        <w:t xml:space="preserve">gift card from </w:t>
      </w:r>
      <w:r w:rsidR="000824A1" w:rsidRPr="00D31468">
        <w:rPr>
          <w:szCs w:val="24"/>
        </w:rPr>
        <w:t xml:space="preserve">a </w:t>
      </w:r>
      <w:r w:rsidR="00252F55" w:rsidRPr="00D31468">
        <w:rPr>
          <w:szCs w:val="24"/>
        </w:rPr>
        <w:t>local store</w:t>
      </w:r>
      <w:r w:rsidR="00B50D39" w:rsidRPr="00D31468">
        <w:rPr>
          <w:szCs w:val="24"/>
        </w:rPr>
        <w:t>.</w:t>
      </w:r>
      <w:r w:rsidR="00933D89" w:rsidRPr="00D31468">
        <w:rPr>
          <w:szCs w:val="24"/>
        </w:rPr>
        <w:t xml:space="preserve"> </w:t>
      </w:r>
      <w:r w:rsidRPr="00D31468">
        <w:rPr>
          <w:szCs w:val="24"/>
        </w:rPr>
        <w:t>If you are interested in learning more about the interview or scheduling a time to participate, please share your first name and either a phone number or email address below so we may contact you.</w:t>
      </w:r>
    </w:p>
    <w:p w14:paraId="32867A47" w14:textId="77777777" w:rsidR="000B6E4E" w:rsidRPr="00D31468" w:rsidRDefault="0097331D" w:rsidP="00CB2089">
      <w:pPr>
        <w:spacing w:after="240" w:line="240" w:lineRule="auto"/>
        <w:ind w:left="720"/>
        <w:rPr>
          <w:szCs w:val="24"/>
        </w:rPr>
      </w:pPr>
      <w:r w:rsidRPr="00D31468">
        <w:rPr>
          <w:szCs w:val="24"/>
        </w:rPr>
        <w:t xml:space="preserve">Your name and contact information </w:t>
      </w:r>
      <w:r w:rsidR="000B6E4E" w:rsidRPr="00D31468">
        <w:rPr>
          <w:szCs w:val="24"/>
        </w:rPr>
        <w:t>will NOT BE IDENTIFIED in any reports that result from this survey.</w:t>
      </w:r>
    </w:p>
    <w:p w14:paraId="5177ABAE" w14:textId="4F26840E" w:rsidR="000824A1" w:rsidRPr="00D31468" w:rsidRDefault="000B6E4E" w:rsidP="00913D82">
      <w:pPr>
        <w:spacing w:after="240" w:line="240" w:lineRule="auto"/>
        <w:rPr>
          <w:szCs w:val="24"/>
        </w:rPr>
      </w:pPr>
      <w:r w:rsidRPr="00D31468">
        <w:rPr>
          <w:szCs w:val="24"/>
        </w:rPr>
        <w:t>The sole purpose of requesting th</w:t>
      </w:r>
      <w:r w:rsidR="0097331D" w:rsidRPr="00D31468">
        <w:rPr>
          <w:szCs w:val="24"/>
        </w:rPr>
        <w:t xml:space="preserve">is contact information is to </w:t>
      </w:r>
      <w:r w:rsidR="00A62EE9" w:rsidRPr="00D31468">
        <w:rPr>
          <w:szCs w:val="24"/>
        </w:rPr>
        <w:t>identify</w:t>
      </w:r>
      <w:r w:rsidR="0097331D" w:rsidRPr="00D31468">
        <w:rPr>
          <w:szCs w:val="24"/>
        </w:rPr>
        <w:t xml:space="preserve"> subjects </w:t>
      </w:r>
      <w:r w:rsidR="00A62EE9" w:rsidRPr="00D31468">
        <w:rPr>
          <w:szCs w:val="24"/>
        </w:rPr>
        <w:t xml:space="preserve">willing </w:t>
      </w:r>
      <w:r w:rsidR="0097331D" w:rsidRPr="00D31468">
        <w:rPr>
          <w:szCs w:val="24"/>
        </w:rPr>
        <w:t>to participate in the interview component of the case stud</w:t>
      </w:r>
      <w:r w:rsidR="009D5A26" w:rsidRPr="00D31468">
        <w:rPr>
          <w:szCs w:val="24"/>
        </w:rPr>
        <w:t>y</w:t>
      </w:r>
      <w:r w:rsidRPr="00D31468">
        <w:rPr>
          <w:szCs w:val="24"/>
        </w:rPr>
        <w:t xml:space="preserve">; no names will appear in the </w:t>
      </w:r>
      <w:r w:rsidR="00AD5B19" w:rsidRPr="00D31468">
        <w:rPr>
          <w:i/>
          <w:iCs/>
          <w:szCs w:val="24"/>
        </w:rPr>
        <w:t>Report to Congress on the Prevention and Reduction of Underage Drinking</w:t>
      </w:r>
      <w:r w:rsidR="0097331D" w:rsidRPr="00D31468">
        <w:rPr>
          <w:szCs w:val="24"/>
        </w:rPr>
        <w:t xml:space="preserve"> or any other report</w:t>
      </w:r>
      <w:r w:rsidRPr="00D31468">
        <w:rPr>
          <w:szCs w:val="24"/>
        </w:rPr>
        <w:t>.</w:t>
      </w:r>
    </w:p>
    <w:p w14:paraId="66B5A49C" w14:textId="785BBE05" w:rsidR="000B6E4E" w:rsidRPr="00D31468" w:rsidRDefault="000B6E4E" w:rsidP="00913D82">
      <w:pPr>
        <w:spacing w:after="240" w:line="240" w:lineRule="auto"/>
        <w:rPr>
          <w:szCs w:val="24"/>
        </w:rPr>
      </w:pPr>
      <w:r w:rsidRPr="00D31468">
        <w:rPr>
          <w:szCs w:val="24"/>
        </w:rPr>
        <w:t xml:space="preserve">Survey data will be stored in password-protected, encrypted files. Access to these files will be limited to the data analyst and supervisor. Upon completion of data collection </w:t>
      </w:r>
      <w:r w:rsidR="0097331D" w:rsidRPr="00D31468">
        <w:rPr>
          <w:szCs w:val="24"/>
        </w:rPr>
        <w:t xml:space="preserve">through the parent/caregiver post-test survey </w:t>
      </w:r>
      <w:r w:rsidRPr="00D31468">
        <w:rPr>
          <w:szCs w:val="24"/>
        </w:rPr>
        <w:t xml:space="preserve">and </w:t>
      </w:r>
      <w:r w:rsidR="0097331D" w:rsidRPr="00D31468">
        <w:rPr>
          <w:szCs w:val="24"/>
        </w:rPr>
        <w:t xml:space="preserve">the follow-up interviews, </w:t>
      </w:r>
      <w:r w:rsidR="00A62EE9" w:rsidRPr="00D31468">
        <w:rPr>
          <w:szCs w:val="24"/>
        </w:rPr>
        <w:t>any identifying</w:t>
      </w:r>
      <w:r w:rsidR="0097331D" w:rsidRPr="00D31468">
        <w:rPr>
          <w:szCs w:val="24"/>
        </w:rPr>
        <w:t xml:space="preserve"> information for participants </w:t>
      </w:r>
      <w:r w:rsidRPr="00D31468">
        <w:rPr>
          <w:szCs w:val="24"/>
        </w:rPr>
        <w:t>will be purged from the data files.</w:t>
      </w:r>
    </w:p>
    <w:p w14:paraId="6178EE47" w14:textId="77777777" w:rsidR="000B6E4E" w:rsidRPr="00D31468" w:rsidRDefault="000B6E4E" w:rsidP="00913D82">
      <w:pPr>
        <w:pStyle w:val="Heading2"/>
        <w:spacing w:after="240" w:line="240" w:lineRule="auto"/>
        <w:rPr>
          <w:color w:val="FF0000"/>
          <w:szCs w:val="24"/>
        </w:rPr>
      </w:pPr>
      <w:r w:rsidRPr="00D31468">
        <w:rPr>
          <w:szCs w:val="24"/>
        </w:rPr>
        <w:t>11. Questions of a Sensitive Nature</w:t>
      </w:r>
    </w:p>
    <w:p w14:paraId="27FBB03A" w14:textId="796A39C5" w:rsidR="000824A1" w:rsidRPr="00D31468" w:rsidRDefault="00096EC6" w:rsidP="00913D82">
      <w:pPr>
        <w:spacing w:after="240" w:line="240" w:lineRule="auto"/>
        <w:rPr>
          <w:szCs w:val="24"/>
        </w:rPr>
      </w:pPr>
      <w:r w:rsidRPr="00D31468">
        <w:rPr>
          <w:szCs w:val="24"/>
        </w:rPr>
        <w:t xml:space="preserve">Our procedures ensure </w:t>
      </w:r>
      <w:r w:rsidR="00CF2D08" w:rsidRPr="00D31468">
        <w:rPr>
          <w:szCs w:val="24"/>
        </w:rPr>
        <w:t xml:space="preserve">that </w:t>
      </w:r>
      <w:r w:rsidRPr="00D31468">
        <w:rPr>
          <w:szCs w:val="24"/>
        </w:rPr>
        <w:t>student</w:t>
      </w:r>
      <w:r w:rsidR="00CF2D08" w:rsidRPr="00D31468">
        <w:rPr>
          <w:szCs w:val="24"/>
        </w:rPr>
        <w:t>s can</w:t>
      </w:r>
      <w:r w:rsidRPr="00D31468">
        <w:rPr>
          <w:szCs w:val="24"/>
        </w:rPr>
        <w:t xml:space="preserve"> op</w:t>
      </w:r>
      <w:r w:rsidR="00CF2D08" w:rsidRPr="00D31468">
        <w:rPr>
          <w:szCs w:val="24"/>
        </w:rPr>
        <w:t xml:space="preserve">t </w:t>
      </w:r>
      <w:r w:rsidRPr="00D31468">
        <w:rPr>
          <w:szCs w:val="24"/>
        </w:rPr>
        <w:t xml:space="preserve">out from the study, should they desire. </w:t>
      </w:r>
      <w:r w:rsidR="000824A1" w:rsidRPr="00D31468">
        <w:rPr>
          <w:szCs w:val="24"/>
        </w:rPr>
        <w:t xml:space="preserve">Before administering the student survey, the teacher from each participating classroom will read </w:t>
      </w:r>
      <w:r w:rsidR="006175F3" w:rsidRPr="00D31468">
        <w:rPr>
          <w:szCs w:val="24"/>
        </w:rPr>
        <w:t>the following</w:t>
      </w:r>
      <w:r w:rsidR="000824A1" w:rsidRPr="00D31468">
        <w:rPr>
          <w:szCs w:val="24"/>
        </w:rPr>
        <w:t xml:space="preserve"> script</w:t>
      </w:r>
      <w:r w:rsidR="006175F3" w:rsidRPr="00D31468">
        <w:rPr>
          <w:szCs w:val="24"/>
        </w:rPr>
        <w:t>: “Shortly, I will be passing out a brief survey. This survey is part of a larger initiative to address underage drinking</w:t>
      </w:r>
      <w:r w:rsidR="00D737A5" w:rsidRPr="00D31468">
        <w:rPr>
          <w:szCs w:val="24"/>
        </w:rPr>
        <w:t xml:space="preserve"> </w:t>
      </w:r>
      <w:r w:rsidR="0052700C" w:rsidRPr="00D31468">
        <w:rPr>
          <w:szCs w:val="24"/>
        </w:rPr>
        <w:t>prevention</w:t>
      </w:r>
      <w:r w:rsidR="006175F3" w:rsidRPr="00D31468">
        <w:rPr>
          <w:szCs w:val="24"/>
        </w:rPr>
        <w:t>. The questions are anonymous, so please do not put your name on this survey. Your participation is voluntary. Therefore, if for any reason, before, during, or upon survey completion, you choose to withdraw from the study</w:t>
      </w:r>
      <w:r w:rsidR="006A5BD1" w:rsidRPr="00D31468">
        <w:rPr>
          <w:szCs w:val="24"/>
        </w:rPr>
        <w:t>,</w:t>
      </w:r>
      <w:r w:rsidR="006175F3" w:rsidRPr="00D31468">
        <w:rPr>
          <w:szCs w:val="24"/>
        </w:rPr>
        <w:t xml:space="preserve"> your answers will not be included. If you have any questions or concerns about the survey or find that the survey topic triggers feelings or concerns, please let me know and I will connect you with appropriate supports.”</w:t>
      </w:r>
    </w:p>
    <w:p w14:paraId="775A126D" w14:textId="77777777" w:rsidR="0097331D" w:rsidRPr="00D31468" w:rsidRDefault="0097331D" w:rsidP="00913D82">
      <w:pPr>
        <w:spacing w:after="240" w:line="240" w:lineRule="auto"/>
        <w:rPr>
          <w:szCs w:val="24"/>
        </w:rPr>
      </w:pPr>
      <w:r w:rsidRPr="00D31468">
        <w:rPr>
          <w:szCs w:val="24"/>
        </w:rPr>
        <w:t>Questions of a sensitive nature for each of the data collection instruments are detailed in the table below:</w:t>
      </w:r>
    </w:p>
    <w:p w14:paraId="5581CA5F" w14:textId="77777777" w:rsidR="00E550FD" w:rsidRPr="00D31468" w:rsidRDefault="00E550FD" w:rsidP="00E550FD">
      <w:pPr>
        <w:spacing w:after="240" w:line="240" w:lineRule="auto"/>
        <w:rPr>
          <w:szCs w:val="24"/>
        </w:rPr>
      </w:pPr>
      <w:r w:rsidRPr="00D31468">
        <w:rPr>
          <w:b/>
          <w:szCs w:val="24"/>
        </w:rPr>
        <w:t>Table 1: Questions of a Sensitive Nature</w:t>
      </w:r>
    </w:p>
    <w:tbl>
      <w:tblPr>
        <w:tblStyle w:val="TableGrid"/>
        <w:tblW w:w="0" w:type="auto"/>
        <w:tblLook w:val="04A0" w:firstRow="1" w:lastRow="0" w:firstColumn="1" w:lastColumn="0" w:noHBand="0" w:noVBand="1"/>
      </w:tblPr>
      <w:tblGrid>
        <w:gridCol w:w="4675"/>
        <w:gridCol w:w="4675"/>
      </w:tblGrid>
      <w:tr w:rsidR="0097331D" w:rsidRPr="00D31468" w14:paraId="498A9281" w14:textId="77777777" w:rsidTr="0097331D">
        <w:tc>
          <w:tcPr>
            <w:tcW w:w="4675" w:type="dxa"/>
          </w:tcPr>
          <w:p w14:paraId="6F3D7234" w14:textId="77777777" w:rsidR="0097331D" w:rsidRPr="00D31468" w:rsidRDefault="0097331D" w:rsidP="00913D82">
            <w:pPr>
              <w:spacing w:after="240"/>
              <w:rPr>
                <w:b/>
                <w:szCs w:val="24"/>
              </w:rPr>
            </w:pPr>
            <w:r w:rsidRPr="00D31468">
              <w:rPr>
                <w:b/>
                <w:szCs w:val="24"/>
              </w:rPr>
              <w:t>Instrument</w:t>
            </w:r>
          </w:p>
        </w:tc>
        <w:tc>
          <w:tcPr>
            <w:tcW w:w="4675" w:type="dxa"/>
          </w:tcPr>
          <w:p w14:paraId="235330F9" w14:textId="77777777" w:rsidR="0097331D" w:rsidRPr="00D31468" w:rsidRDefault="0097331D" w:rsidP="00913D82">
            <w:pPr>
              <w:spacing w:after="240"/>
              <w:rPr>
                <w:b/>
                <w:szCs w:val="24"/>
              </w:rPr>
            </w:pPr>
            <w:r w:rsidRPr="00D31468">
              <w:rPr>
                <w:b/>
                <w:szCs w:val="24"/>
              </w:rPr>
              <w:t>Questions of a Sensitive Nature</w:t>
            </w:r>
          </w:p>
        </w:tc>
      </w:tr>
      <w:tr w:rsidR="0097331D" w:rsidRPr="00D31468" w14:paraId="741109FE" w14:textId="77777777" w:rsidTr="0097331D">
        <w:tc>
          <w:tcPr>
            <w:tcW w:w="4675" w:type="dxa"/>
          </w:tcPr>
          <w:p w14:paraId="642334BB" w14:textId="6312E623" w:rsidR="0097331D" w:rsidRPr="00D31468" w:rsidRDefault="0097331D" w:rsidP="00913D82">
            <w:pPr>
              <w:spacing w:after="240"/>
              <w:rPr>
                <w:szCs w:val="24"/>
              </w:rPr>
            </w:pPr>
            <w:r w:rsidRPr="00D31468">
              <w:rPr>
                <w:szCs w:val="24"/>
              </w:rPr>
              <w:t>Pre- and post-test survey for use with parents and caregivers of children who are 9</w:t>
            </w:r>
            <w:r w:rsidR="006A5BD1" w:rsidRPr="00D31468">
              <w:rPr>
                <w:szCs w:val="24"/>
              </w:rPr>
              <w:t>–</w:t>
            </w:r>
            <w:r w:rsidR="0018751F" w:rsidRPr="00D31468">
              <w:rPr>
                <w:szCs w:val="24"/>
              </w:rPr>
              <w:t>15</w:t>
            </w:r>
            <w:r w:rsidRPr="00D31468">
              <w:rPr>
                <w:szCs w:val="24"/>
              </w:rPr>
              <w:t xml:space="preserve"> years of age.</w:t>
            </w:r>
          </w:p>
        </w:tc>
        <w:tc>
          <w:tcPr>
            <w:tcW w:w="4675" w:type="dxa"/>
          </w:tcPr>
          <w:p w14:paraId="35AAC9EB" w14:textId="73DF73F7" w:rsidR="0097331D" w:rsidRPr="00D31468" w:rsidRDefault="0097331D" w:rsidP="00FD0C16">
            <w:pPr>
              <w:spacing w:after="240"/>
              <w:rPr>
                <w:szCs w:val="24"/>
              </w:rPr>
            </w:pPr>
            <w:r w:rsidRPr="00D31468">
              <w:rPr>
                <w:szCs w:val="24"/>
              </w:rPr>
              <w:t xml:space="preserve">Questions will include only those related to awareness of the “Talk. </w:t>
            </w:r>
            <w:r w:rsidR="005E0B9E" w:rsidRPr="00D31468">
              <w:rPr>
                <w:szCs w:val="24"/>
              </w:rPr>
              <w:t xml:space="preserve"> </w:t>
            </w:r>
            <w:r w:rsidRPr="00D31468">
              <w:rPr>
                <w:szCs w:val="24"/>
              </w:rPr>
              <w:t>They Hear You.” campaign</w:t>
            </w:r>
            <w:r w:rsidR="00FD0C16" w:rsidRPr="00D31468">
              <w:rPr>
                <w:szCs w:val="24"/>
              </w:rPr>
              <w:t xml:space="preserve"> as well as parent/caregiver attitudes and behaviors regarding underage drinking and, specifically, speaking with their children about alcohol use. </w:t>
            </w:r>
            <w:r w:rsidRPr="00D31468">
              <w:rPr>
                <w:szCs w:val="24"/>
              </w:rPr>
              <w:t>No questions relating to actual alcohol use, sexual behaviors, religious beliefs, or other matters commonly considered private or of a sensitive nature are asked.</w:t>
            </w:r>
          </w:p>
        </w:tc>
      </w:tr>
      <w:tr w:rsidR="0097331D" w:rsidRPr="00D31468" w14:paraId="30CAA97A" w14:textId="77777777" w:rsidTr="0097331D">
        <w:tc>
          <w:tcPr>
            <w:tcW w:w="4675" w:type="dxa"/>
          </w:tcPr>
          <w:p w14:paraId="4CB95C5E" w14:textId="093FED18" w:rsidR="0097331D" w:rsidRPr="00D31468" w:rsidRDefault="0097331D" w:rsidP="005A002E">
            <w:pPr>
              <w:spacing w:after="240"/>
              <w:rPr>
                <w:szCs w:val="24"/>
              </w:rPr>
            </w:pPr>
            <w:r w:rsidRPr="00D31468">
              <w:rPr>
                <w:szCs w:val="24"/>
              </w:rPr>
              <w:t>Pre- and post-test survey for use with youth</w:t>
            </w:r>
            <w:r w:rsidR="006A5BD1" w:rsidRPr="00D31468">
              <w:rPr>
                <w:szCs w:val="24"/>
              </w:rPr>
              <w:t>s</w:t>
            </w:r>
            <w:r w:rsidRPr="00D31468">
              <w:rPr>
                <w:szCs w:val="24"/>
              </w:rPr>
              <w:t xml:space="preserve"> who are</w:t>
            </w:r>
            <w:r w:rsidR="00F70C83" w:rsidRPr="00D31468">
              <w:rPr>
                <w:szCs w:val="24"/>
              </w:rPr>
              <w:t xml:space="preserve"> in 6</w:t>
            </w:r>
            <w:r w:rsidR="006A5BD1" w:rsidRPr="00D31468">
              <w:rPr>
                <w:szCs w:val="24"/>
              </w:rPr>
              <w:t>th</w:t>
            </w:r>
            <w:r w:rsidR="00F70C83" w:rsidRPr="00D31468">
              <w:rPr>
                <w:szCs w:val="24"/>
              </w:rPr>
              <w:t xml:space="preserve"> through 8th grade.</w:t>
            </w:r>
          </w:p>
        </w:tc>
        <w:tc>
          <w:tcPr>
            <w:tcW w:w="4675" w:type="dxa"/>
          </w:tcPr>
          <w:p w14:paraId="7E196F2A" w14:textId="40AC6D48" w:rsidR="0097331D" w:rsidRPr="00D31468" w:rsidRDefault="00FD0C16" w:rsidP="00E550FD">
            <w:pPr>
              <w:spacing w:after="240"/>
              <w:rPr>
                <w:szCs w:val="24"/>
              </w:rPr>
            </w:pPr>
            <w:r w:rsidRPr="00D31468">
              <w:rPr>
                <w:szCs w:val="24"/>
              </w:rPr>
              <w:t xml:space="preserve">This </w:t>
            </w:r>
            <w:r w:rsidR="00E550FD" w:rsidRPr="00D31468">
              <w:rPr>
                <w:szCs w:val="24"/>
              </w:rPr>
              <w:t xml:space="preserve">anonymous </w:t>
            </w:r>
            <w:r w:rsidRPr="00D31468">
              <w:rPr>
                <w:szCs w:val="24"/>
              </w:rPr>
              <w:t xml:space="preserve">survey includes three </w:t>
            </w:r>
            <w:r w:rsidR="0097331D" w:rsidRPr="00D31468">
              <w:rPr>
                <w:szCs w:val="24"/>
              </w:rPr>
              <w:t>questions related to</w:t>
            </w:r>
            <w:r w:rsidRPr="00D31468">
              <w:rPr>
                <w:szCs w:val="24"/>
              </w:rPr>
              <w:t xml:space="preserve"> alcohol use and another three questions about attitudes regarding alcohol use. The questions about behaviors and attitudes associated with alcohol use are not specific</w:t>
            </w:r>
            <w:r w:rsidR="006A5BD1" w:rsidRPr="00D31468">
              <w:rPr>
                <w:szCs w:val="24"/>
              </w:rPr>
              <w:t>. I</w:t>
            </w:r>
            <w:r w:rsidRPr="00D31468">
              <w:rPr>
                <w:szCs w:val="24"/>
              </w:rPr>
              <w:t>nstead</w:t>
            </w:r>
            <w:r w:rsidR="006A5BD1" w:rsidRPr="00D31468">
              <w:rPr>
                <w:szCs w:val="24"/>
              </w:rPr>
              <w:t>,</w:t>
            </w:r>
            <w:r w:rsidRPr="00D31468">
              <w:rPr>
                <w:szCs w:val="24"/>
              </w:rPr>
              <w:t xml:space="preserve"> respondents are prompted to select categories of </w:t>
            </w:r>
            <w:r w:rsidR="00E550FD" w:rsidRPr="00D31468">
              <w:rPr>
                <w:szCs w:val="24"/>
              </w:rPr>
              <w:t>alcohol use behaviors and attitudes.</w:t>
            </w:r>
            <w:r w:rsidRPr="00D31468">
              <w:rPr>
                <w:szCs w:val="24"/>
              </w:rPr>
              <w:t xml:space="preserve"> </w:t>
            </w:r>
            <w:r w:rsidR="00E550FD" w:rsidRPr="00D31468">
              <w:rPr>
                <w:szCs w:val="24"/>
              </w:rPr>
              <w:t xml:space="preserve">These six questions have been used previously in the Monitoring the Future survey, which is funded by </w:t>
            </w:r>
            <w:r w:rsidR="006A5BD1" w:rsidRPr="00D31468">
              <w:rPr>
                <w:szCs w:val="24"/>
              </w:rPr>
              <w:t xml:space="preserve">the </w:t>
            </w:r>
            <w:r w:rsidR="00E550FD" w:rsidRPr="00D31468">
              <w:rPr>
                <w:szCs w:val="24"/>
              </w:rPr>
              <w:t xml:space="preserve">National Institute on Drug Abuse, a part of the National Institutes of Health. The collection of this information about alcohol use behaviors and attitudes is necessary to investigate whether a relationship exists between changes in parent/caregiver attitudes and behaviors as a result of the “Talk. </w:t>
            </w:r>
            <w:r w:rsidR="005E0B9E" w:rsidRPr="00D31468">
              <w:rPr>
                <w:szCs w:val="24"/>
              </w:rPr>
              <w:t xml:space="preserve"> </w:t>
            </w:r>
            <w:r w:rsidR="00E550FD" w:rsidRPr="00D31468">
              <w:rPr>
                <w:szCs w:val="24"/>
              </w:rPr>
              <w:t>They Hear You.” campaign and changes in youth behavior regarding alcohol</w:t>
            </w:r>
            <w:r w:rsidR="003843FD" w:rsidRPr="00D31468">
              <w:rPr>
                <w:szCs w:val="24"/>
              </w:rPr>
              <w:t xml:space="preserve"> </w:t>
            </w:r>
            <w:r w:rsidR="00E550FD" w:rsidRPr="00D31468">
              <w:rPr>
                <w:szCs w:val="24"/>
              </w:rPr>
              <w:t>use attitudes and behaviors. Such a relationship will be one of the measures of the campaign evaluation.</w:t>
            </w:r>
          </w:p>
        </w:tc>
      </w:tr>
      <w:tr w:rsidR="0097331D" w:rsidRPr="00D31468" w14:paraId="7A8F657D" w14:textId="77777777" w:rsidTr="0097331D">
        <w:tc>
          <w:tcPr>
            <w:tcW w:w="4675" w:type="dxa"/>
          </w:tcPr>
          <w:p w14:paraId="69D473AD" w14:textId="4ABA2203" w:rsidR="0097331D" w:rsidRPr="00D31468" w:rsidRDefault="00FD0C16" w:rsidP="00913D82">
            <w:pPr>
              <w:spacing w:after="240"/>
              <w:rPr>
                <w:szCs w:val="24"/>
              </w:rPr>
            </w:pPr>
            <w:r w:rsidRPr="00D31468">
              <w:rPr>
                <w:szCs w:val="24"/>
              </w:rPr>
              <w:t>Interview guide for use with parents and caregivers of children who are 9</w:t>
            </w:r>
            <w:r w:rsidR="006A5BD1" w:rsidRPr="00D31468">
              <w:rPr>
                <w:szCs w:val="24"/>
              </w:rPr>
              <w:t>–</w:t>
            </w:r>
            <w:r w:rsidR="0018751F" w:rsidRPr="00D31468">
              <w:rPr>
                <w:szCs w:val="24"/>
              </w:rPr>
              <w:t>15</w:t>
            </w:r>
            <w:r w:rsidRPr="00D31468">
              <w:rPr>
                <w:szCs w:val="24"/>
              </w:rPr>
              <w:t xml:space="preserve"> years of age.</w:t>
            </w:r>
          </w:p>
        </w:tc>
        <w:tc>
          <w:tcPr>
            <w:tcW w:w="4675" w:type="dxa"/>
          </w:tcPr>
          <w:p w14:paraId="1666A332" w14:textId="5A01C860" w:rsidR="0097331D" w:rsidRPr="00D31468" w:rsidRDefault="00F70C83" w:rsidP="00091E57">
            <w:pPr>
              <w:spacing w:after="240"/>
              <w:rPr>
                <w:szCs w:val="24"/>
              </w:rPr>
            </w:pPr>
            <w:r w:rsidRPr="00D31468">
              <w:rPr>
                <w:szCs w:val="24"/>
              </w:rPr>
              <w:t>Interview q</w:t>
            </w:r>
            <w:r w:rsidR="00FD0C16" w:rsidRPr="00D31468">
              <w:rPr>
                <w:szCs w:val="24"/>
              </w:rPr>
              <w:t xml:space="preserve">uestions will include </w:t>
            </w:r>
            <w:r w:rsidRPr="00D31468">
              <w:rPr>
                <w:szCs w:val="24"/>
              </w:rPr>
              <w:t>topics</w:t>
            </w:r>
            <w:r w:rsidR="00FD0C16" w:rsidRPr="00D31468">
              <w:rPr>
                <w:szCs w:val="24"/>
              </w:rPr>
              <w:t xml:space="preserve"> related to awareness of the “Talk. </w:t>
            </w:r>
            <w:r w:rsidR="005E0B9E" w:rsidRPr="00D31468">
              <w:rPr>
                <w:szCs w:val="24"/>
              </w:rPr>
              <w:t xml:space="preserve"> </w:t>
            </w:r>
            <w:r w:rsidR="00FD0C16" w:rsidRPr="00D31468">
              <w:rPr>
                <w:szCs w:val="24"/>
              </w:rPr>
              <w:t xml:space="preserve">They Hear You.” campaign as well as parent/caregiver attitudes and behaviors regarding underage drinking and, specifically, speaking with their children about alcohol use. </w:t>
            </w:r>
            <w:r w:rsidRPr="00D31468">
              <w:rPr>
                <w:szCs w:val="24"/>
              </w:rPr>
              <w:t xml:space="preserve">There is one question on whether they believe their underage children </w:t>
            </w:r>
            <w:r w:rsidR="00091E57" w:rsidRPr="00D31468">
              <w:rPr>
                <w:szCs w:val="24"/>
              </w:rPr>
              <w:t xml:space="preserve">have tried alcohol, </w:t>
            </w:r>
            <w:r w:rsidR="005A002E" w:rsidRPr="00D31468">
              <w:rPr>
                <w:szCs w:val="24"/>
              </w:rPr>
              <w:t xml:space="preserve">which is </w:t>
            </w:r>
            <w:r w:rsidR="00091E57" w:rsidRPr="00D31468">
              <w:rPr>
                <w:szCs w:val="24"/>
              </w:rPr>
              <w:t>designed</w:t>
            </w:r>
            <w:r w:rsidRPr="00D31468">
              <w:rPr>
                <w:szCs w:val="24"/>
              </w:rPr>
              <w:t xml:space="preserve"> to gauge awareness of the problem of </w:t>
            </w:r>
            <w:r w:rsidR="00905A52" w:rsidRPr="00D31468">
              <w:rPr>
                <w:szCs w:val="24"/>
              </w:rPr>
              <w:t>underage drinking</w:t>
            </w:r>
            <w:r w:rsidRPr="00D31468">
              <w:rPr>
                <w:szCs w:val="24"/>
              </w:rPr>
              <w:t>. Parents</w:t>
            </w:r>
            <w:r w:rsidR="00122E36" w:rsidRPr="00D31468">
              <w:rPr>
                <w:szCs w:val="24"/>
              </w:rPr>
              <w:t xml:space="preserve"> and caregivers</w:t>
            </w:r>
            <w:r w:rsidRPr="00D31468">
              <w:rPr>
                <w:szCs w:val="24"/>
              </w:rPr>
              <w:t xml:space="preserve"> often underestimate youth access to alcohol. </w:t>
            </w:r>
            <w:r w:rsidR="00FD0C16" w:rsidRPr="00D31468">
              <w:rPr>
                <w:szCs w:val="24"/>
              </w:rPr>
              <w:t xml:space="preserve">No questions relating to </w:t>
            </w:r>
            <w:r w:rsidR="00091E57" w:rsidRPr="00D31468">
              <w:rPr>
                <w:szCs w:val="24"/>
              </w:rPr>
              <w:t>specific</w:t>
            </w:r>
            <w:r w:rsidR="00FD0C16" w:rsidRPr="00D31468">
              <w:rPr>
                <w:szCs w:val="24"/>
              </w:rPr>
              <w:t xml:space="preserve"> alcohol use</w:t>
            </w:r>
            <w:r w:rsidR="00091E57" w:rsidRPr="00D31468">
              <w:rPr>
                <w:szCs w:val="24"/>
              </w:rPr>
              <w:t xml:space="preserve"> among the respondent</w:t>
            </w:r>
            <w:r w:rsidR="00F30EFC" w:rsidRPr="00D31468">
              <w:rPr>
                <w:szCs w:val="24"/>
              </w:rPr>
              <w:t>s</w:t>
            </w:r>
            <w:r w:rsidR="00091E57" w:rsidRPr="00D31468">
              <w:rPr>
                <w:szCs w:val="24"/>
              </w:rPr>
              <w:t xml:space="preserve"> or their children</w:t>
            </w:r>
            <w:r w:rsidR="00FD0C16" w:rsidRPr="00D31468">
              <w:rPr>
                <w:szCs w:val="24"/>
              </w:rPr>
              <w:t>, sexual behaviors, religious beliefs, or other matters commonly considered private or of a sensitive nature are asked.</w:t>
            </w:r>
          </w:p>
        </w:tc>
      </w:tr>
    </w:tbl>
    <w:p w14:paraId="7C75DF61" w14:textId="77777777" w:rsidR="008373D1" w:rsidRPr="00D31468" w:rsidRDefault="008373D1" w:rsidP="00913D82">
      <w:pPr>
        <w:spacing w:after="240" w:line="240" w:lineRule="auto"/>
        <w:rPr>
          <w:szCs w:val="24"/>
        </w:rPr>
      </w:pPr>
    </w:p>
    <w:p w14:paraId="07A94AC4" w14:textId="77777777" w:rsidR="000B6E4E" w:rsidRPr="00D31468" w:rsidRDefault="000B6E4E" w:rsidP="00913D82">
      <w:pPr>
        <w:pStyle w:val="Heading2"/>
        <w:spacing w:after="240" w:line="240" w:lineRule="auto"/>
        <w:rPr>
          <w:szCs w:val="24"/>
        </w:rPr>
      </w:pPr>
      <w:r w:rsidRPr="00D31468">
        <w:rPr>
          <w:szCs w:val="24"/>
        </w:rPr>
        <w:t>12. Estimates of Annualized Hour Burden</w:t>
      </w:r>
    </w:p>
    <w:p w14:paraId="04A5F9C7" w14:textId="231348FF" w:rsidR="004F7BFC" w:rsidRPr="00D31468" w:rsidRDefault="004F7BFC" w:rsidP="004F7BFC">
      <w:pPr>
        <w:spacing w:after="240" w:line="240" w:lineRule="auto"/>
        <w:rPr>
          <w:szCs w:val="24"/>
        </w:rPr>
      </w:pPr>
      <w:r w:rsidRPr="00D31468">
        <w:rPr>
          <w:szCs w:val="24"/>
        </w:rPr>
        <w:t xml:space="preserve">Table 2 indicates the estimated total annual burden on each participant for each data collection activity associated with the “Talk. </w:t>
      </w:r>
      <w:r w:rsidR="005E0B9E" w:rsidRPr="00D31468">
        <w:rPr>
          <w:szCs w:val="24"/>
        </w:rPr>
        <w:t xml:space="preserve"> </w:t>
      </w:r>
      <w:r w:rsidRPr="00D31468">
        <w:rPr>
          <w:szCs w:val="24"/>
        </w:rPr>
        <w:t>They Hear You.” campaign evaluation case stud</w:t>
      </w:r>
      <w:r w:rsidR="009D5A26" w:rsidRPr="00D31468">
        <w:rPr>
          <w:szCs w:val="24"/>
        </w:rPr>
        <w:t>y</w:t>
      </w:r>
      <w:r w:rsidRPr="00D31468">
        <w:rPr>
          <w:szCs w:val="24"/>
        </w:rPr>
        <w:t>. Table 2 was calculated based on the following assumptions:</w:t>
      </w:r>
    </w:p>
    <w:p w14:paraId="6E6C0016" w14:textId="1BAF55FF" w:rsidR="00EB47FF" w:rsidRPr="00D31468" w:rsidRDefault="004F7BFC" w:rsidP="00A45308">
      <w:pPr>
        <w:pStyle w:val="ListParagraph"/>
        <w:numPr>
          <w:ilvl w:val="0"/>
          <w:numId w:val="15"/>
        </w:numPr>
        <w:spacing w:after="240" w:line="240" w:lineRule="auto"/>
        <w:rPr>
          <w:szCs w:val="24"/>
        </w:rPr>
      </w:pPr>
      <w:r w:rsidRPr="00D31468">
        <w:rPr>
          <w:szCs w:val="24"/>
        </w:rPr>
        <w:t xml:space="preserve">There are </w:t>
      </w:r>
      <w:r w:rsidR="003803FC" w:rsidRPr="00D31468">
        <w:rPr>
          <w:szCs w:val="24"/>
        </w:rPr>
        <w:t>575 st</w:t>
      </w:r>
      <w:r w:rsidR="00EB47FF" w:rsidRPr="00D31468">
        <w:rPr>
          <w:szCs w:val="24"/>
        </w:rPr>
        <w:t xml:space="preserve">udents, on average, </w:t>
      </w:r>
      <w:r w:rsidRPr="00D31468">
        <w:rPr>
          <w:szCs w:val="24"/>
        </w:rPr>
        <w:t>in U.S.</w:t>
      </w:r>
      <w:r w:rsidR="00EB47FF" w:rsidRPr="00D31468">
        <w:rPr>
          <w:szCs w:val="24"/>
        </w:rPr>
        <w:t xml:space="preserve"> </w:t>
      </w:r>
      <w:r w:rsidR="003803FC" w:rsidRPr="00D31468">
        <w:rPr>
          <w:szCs w:val="24"/>
        </w:rPr>
        <w:t xml:space="preserve">middle </w:t>
      </w:r>
      <w:r w:rsidR="00EB47FF" w:rsidRPr="00D31468">
        <w:rPr>
          <w:szCs w:val="24"/>
        </w:rPr>
        <w:t>school</w:t>
      </w:r>
      <w:r w:rsidRPr="00D31468">
        <w:rPr>
          <w:szCs w:val="24"/>
        </w:rPr>
        <w:t>s</w:t>
      </w:r>
      <w:r w:rsidR="00891696" w:rsidRPr="00D31468">
        <w:rPr>
          <w:szCs w:val="24"/>
        </w:rPr>
        <w:t>.</w:t>
      </w:r>
      <w:r w:rsidR="004846A6" w:rsidRPr="00D31468">
        <w:rPr>
          <w:rStyle w:val="FootnoteReference"/>
          <w:szCs w:val="24"/>
        </w:rPr>
        <w:footnoteReference w:id="5"/>
      </w:r>
      <w:r w:rsidRPr="00D31468">
        <w:rPr>
          <w:szCs w:val="24"/>
        </w:rPr>
        <w:t xml:space="preserve"> There will be two middle school sites included in the case stud</w:t>
      </w:r>
      <w:r w:rsidR="004971DB" w:rsidRPr="00D31468">
        <w:rPr>
          <w:szCs w:val="24"/>
        </w:rPr>
        <w:t>y</w:t>
      </w:r>
      <w:r w:rsidRPr="00D31468">
        <w:rPr>
          <w:szCs w:val="24"/>
        </w:rPr>
        <w:t xml:space="preserve"> (one control site and one </w:t>
      </w:r>
      <w:r w:rsidR="000C1CEE" w:rsidRPr="00D31468">
        <w:rPr>
          <w:szCs w:val="24"/>
        </w:rPr>
        <w:t>intervention</w:t>
      </w:r>
      <w:r w:rsidRPr="00D31468">
        <w:rPr>
          <w:szCs w:val="24"/>
        </w:rPr>
        <w:t xml:space="preserve"> site)</w:t>
      </w:r>
      <w:r w:rsidR="004846A6" w:rsidRPr="00D31468">
        <w:rPr>
          <w:szCs w:val="24"/>
        </w:rPr>
        <w:t>, so SAMHSA estimates approximately 1</w:t>
      </w:r>
      <w:r w:rsidR="005E5AF9" w:rsidRPr="00D31468">
        <w:rPr>
          <w:szCs w:val="24"/>
        </w:rPr>
        <w:t>,</w:t>
      </w:r>
      <w:r w:rsidR="004846A6" w:rsidRPr="00D31468">
        <w:rPr>
          <w:szCs w:val="24"/>
        </w:rPr>
        <w:t>150 middle school students to be respondents for the pre- and post-test survey</w:t>
      </w:r>
      <w:r w:rsidR="00582C98" w:rsidRPr="00D31468">
        <w:rPr>
          <w:szCs w:val="24"/>
        </w:rPr>
        <w:t>s</w:t>
      </w:r>
      <w:r w:rsidR="004846A6" w:rsidRPr="00D31468">
        <w:rPr>
          <w:szCs w:val="24"/>
        </w:rPr>
        <w:t xml:space="preserve"> for youth</w:t>
      </w:r>
      <w:r w:rsidR="0012234A" w:rsidRPr="00D31468">
        <w:rPr>
          <w:szCs w:val="24"/>
        </w:rPr>
        <w:t>s</w:t>
      </w:r>
      <w:r w:rsidR="004846A6" w:rsidRPr="00D31468">
        <w:rPr>
          <w:szCs w:val="24"/>
        </w:rPr>
        <w:t>.</w:t>
      </w:r>
      <w:r w:rsidR="00582C98" w:rsidRPr="00D31468">
        <w:rPr>
          <w:szCs w:val="24"/>
        </w:rPr>
        <w:t xml:space="preserve"> Since the survey for youth</w:t>
      </w:r>
      <w:r w:rsidR="0012234A" w:rsidRPr="00D31468">
        <w:rPr>
          <w:szCs w:val="24"/>
        </w:rPr>
        <w:t>s</w:t>
      </w:r>
      <w:r w:rsidR="00582C98" w:rsidRPr="00D31468">
        <w:rPr>
          <w:szCs w:val="24"/>
        </w:rPr>
        <w:t xml:space="preserve"> will be administered during class, SAMHSA estimates a </w:t>
      </w:r>
      <w:r w:rsidR="009A180C" w:rsidRPr="00D31468">
        <w:rPr>
          <w:szCs w:val="24"/>
        </w:rPr>
        <w:t>95</w:t>
      </w:r>
      <w:r w:rsidR="00891696" w:rsidRPr="00D31468">
        <w:rPr>
          <w:szCs w:val="24"/>
        </w:rPr>
        <w:t xml:space="preserve"> percent</w:t>
      </w:r>
      <w:r w:rsidR="00582C98" w:rsidRPr="00D31468">
        <w:rPr>
          <w:szCs w:val="24"/>
        </w:rPr>
        <w:t xml:space="preserve"> response rate</w:t>
      </w:r>
      <w:r w:rsidR="009A180C" w:rsidRPr="00D31468">
        <w:rPr>
          <w:szCs w:val="24"/>
        </w:rPr>
        <w:t xml:space="preserve"> (approximately 1</w:t>
      </w:r>
      <w:r w:rsidR="0012234A" w:rsidRPr="00D31468">
        <w:rPr>
          <w:szCs w:val="24"/>
        </w:rPr>
        <w:t>,</w:t>
      </w:r>
      <w:r w:rsidR="009A180C" w:rsidRPr="00D31468">
        <w:rPr>
          <w:szCs w:val="24"/>
        </w:rPr>
        <w:t>093 students)</w:t>
      </w:r>
      <w:r w:rsidR="00582C98" w:rsidRPr="00D31468">
        <w:rPr>
          <w:szCs w:val="24"/>
        </w:rPr>
        <w:t>.</w:t>
      </w:r>
      <w:r w:rsidR="00A45308" w:rsidRPr="00D31468">
        <w:rPr>
          <w:szCs w:val="24"/>
        </w:rPr>
        <w:t xml:space="preserve"> SAMHSA assumes that the pre-test survey and post-test survey will </w:t>
      </w:r>
      <w:r w:rsidR="00980CF7" w:rsidRPr="00D31468">
        <w:rPr>
          <w:szCs w:val="24"/>
        </w:rPr>
        <w:t xml:space="preserve">each </w:t>
      </w:r>
      <w:r w:rsidR="00A45308" w:rsidRPr="00D31468">
        <w:rPr>
          <w:szCs w:val="24"/>
        </w:rPr>
        <w:t xml:space="preserve">take approximately 10 minutes to complete. This estimate includes time for distributing the survey, reviewing the instructions, </w:t>
      </w:r>
      <w:r w:rsidR="00980CF7" w:rsidRPr="00D31468">
        <w:rPr>
          <w:szCs w:val="24"/>
        </w:rPr>
        <w:t xml:space="preserve">taking the survey, and </w:t>
      </w:r>
      <w:r w:rsidR="007326DA" w:rsidRPr="00D31468">
        <w:rPr>
          <w:szCs w:val="24"/>
        </w:rPr>
        <w:t>turning in the completed survey</w:t>
      </w:r>
      <w:r w:rsidR="00980CF7" w:rsidRPr="00D31468">
        <w:rPr>
          <w:szCs w:val="24"/>
        </w:rPr>
        <w:t>.</w:t>
      </w:r>
    </w:p>
    <w:p w14:paraId="404C400E" w14:textId="13667788" w:rsidR="00582C98" w:rsidRPr="00D31468" w:rsidRDefault="00582C98" w:rsidP="00242D18">
      <w:pPr>
        <w:pStyle w:val="ListParagraph"/>
        <w:numPr>
          <w:ilvl w:val="0"/>
          <w:numId w:val="15"/>
        </w:numPr>
        <w:spacing w:after="240" w:line="240" w:lineRule="auto"/>
        <w:rPr>
          <w:szCs w:val="24"/>
        </w:rPr>
      </w:pPr>
      <w:r w:rsidRPr="00D31468">
        <w:rPr>
          <w:szCs w:val="24"/>
        </w:rPr>
        <w:t>SAMHSA estimat</w:t>
      </w:r>
      <w:r w:rsidR="00242D18" w:rsidRPr="00D31468">
        <w:rPr>
          <w:szCs w:val="24"/>
        </w:rPr>
        <w:t>es</w:t>
      </w:r>
      <w:r w:rsidRPr="00D31468">
        <w:rPr>
          <w:szCs w:val="24"/>
        </w:rPr>
        <w:t xml:space="preserve"> one parent/caregiver per student as the base population for potential respondents for the parent/caregiver pre-test and post-test surveys</w:t>
      </w:r>
      <w:r w:rsidR="00242D18" w:rsidRPr="00D31468">
        <w:rPr>
          <w:szCs w:val="24"/>
        </w:rPr>
        <w:t>—or 575 parents/caregivers per site</w:t>
      </w:r>
      <w:r w:rsidRPr="00D31468">
        <w:rPr>
          <w:szCs w:val="24"/>
        </w:rPr>
        <w:t>. A</w:t>
      </w:r>
      <w:r w:rsidR="00242D18" w:rsidRPr="00D31468">
        <w:rPr>
          <w:szCs w:val="24"/>
        </w:rPr>
        <w:t>cross both sites—the control and</w:t>
      </w:r>
      <w:r w:rsidR="00105FD8" w:rsidRPr="00D31468">
        <w:rPr>
          <w:szCs w:val="24"/>
        </w:rPr>
        <w:t xml:space="preserve"> </w:t>
      </w:r>
      <w:r w:rsidR="00494B63" w:rsidRPr="00D31468">
        <w:rPr>
          <w:szCs w:val="24"/>
        </w:rPr>
        <w:t>intervention</w:t>
      </w:r>
      <w:r w:rsidR="00242D18" w:rsidRPr="00D31468">
        <w:rPr>
          <w:szCs w:val="24"/>
        </w:rPr>
        <w:t xml:space="preserve"> sites—SAMHSA estimates </w:t>
      </w:r>
      <w:r w:rsidR="004C7751" w:rsidRPr="00D31468">
        <w:rPr>
          <w:szCs w:val="24"/>
        </w:rPr>
        <w:t xml:space="preserve">a total of </w:t>
      </w:r>
      <w:r w:rsidRPr="00D31468">
        <w:rPr>
          <w:szCs w:val="24"/>
        </w:rPr>
        <w:t>1</w:t>
      </w:r>
      <w:r w:rsidR="0012234A" w:rsidRPr="00D31468">
        <w:rPr>
          <w:szCs w:val="24"/>
        </w:rPr>
        <w:t>,</w:t>
      </w:r>
      <w:r w:rsidRPr="00D31468">
        <w:rPr>
          <w:szCs w:val="24"/>
        </w:rPr>
        <w:t>150 parents/caregiver</w:t>
      </w:r>
      <w:r w:rsidR="00242D18" w:rsidRPr="00D31468">
        <w:rPr>
          <w:szCs w:val="24"/>
        </w:rPr>
        <w:t>s</w:t>
      </w:r>
      <w:r w:rsidR="004C7751" w:rsidRPr="00D31468">
        <w:rPr>
          <w:szCs w:val="24"/>
        </w:rPr>
        <w:t xml:space="preserve"> </w:t>
      </w:r>
      <w:r w:rsidR="00242D18" w:rsidRPr="00D31468">
        <w:rPr>
          <w:szCs w:val="24"/>
        </w:rPr>
        <w:t xml:space="preserve">as the base population. As the parent/caregiver pre-test and post-test surveys will be administered by the school administration, </w:t>
      </w:r>
      <w:r w:rsidRPr="00D31468">
        <w:rPr>
          <w:szCs w:val="24"/>
        </w:rPr>
        <w:t>SAMHSA estimates a response rate of approximately 60</w:t>
      </w:r>
      <w:r w:rsidR="001D3D12" w:rsidRPr="00D31468">
        <w:rPr>
          <w:szCs w:val="24"/>
        </w:rPr>
        <w:t xml:space="preserve"> percent</w:t>
      </w:r>
      <w:r w:rsidR="00242D18" w:rsidRPr="00D31468">
        <w:rPr>
          <w:szCs w:val="24"/>
        </w:rPr>
        <w:t>, which is in line with</w:t>
      </w:r>
      <w:r w:rsidRPr="00D31468">
        <w:rPr>
          <w:szCs w:val="24"/>
        </w:rPr>
        <w:t xml:space="preserve"> </w:t>
      </w:r>
      <w:r w:rsidR="00AF72DA" w:rsidRPr="00D31468">
        <w:rPr>
          <w:szCs w:val="24"/>
        </w:rPr>
        <w:t xml:space="preserve">average </w:t>
      </w:r>
      <w:r w:rsidRPr="00D31468">
        <w:rPr>
          <w:szCs w:val="24"/>
        </w:rPr>
        <w:t xml:space="preserve">response rates </w:t>
      </w:r>
      <w:r w:rsidR="00AF72DA" w:rsidRPr="00D31468">
        <w:rPr>
          <w:szCs w:val="24"/>
        </w:rPr>
        <w:t>found in a search for recent</w:t>
      </w:r>
      <w:r w:rsidRPr="00D31468">
        <w:rPr>
          <w:szCs w:val="24"/>
        </w:rPr>
        <w:t xml:space="preserve"> surveys administered to parents and caregivers by schools</w:t>
      </w:r>
      <w:r w:rsidR="00831C1D" w:rsidRPr="00D31468">
        <w:rPr>
          <w:szCs w:val="24"/>
        </w:rPr>
        <w:t>,</w:t>
      </w:r>
      <w:r w:rsidRPr="00D31468">
        <w:rPr>
          <w:rStyle w:val="FootnoteReference"/>
          <w:szCs w:val="24"/>
        </w:rPr>
        <w:footnoteReference w:id="6"/>
      </w:r>
      <w:r w:rsidR="006175F3" w:rsidRPr="00D31468">
        <w:rPr>
          <w:szCs w:val="24"/>
          <w:vertAlign w:val="superscript"/>
        </w:rPr>
        <w:t>,</w:t>
      </w:r>
      <w:r w:rsidRPr="00D31468">
        <w:rPr>
          <w:rStyle w:val="FootnoteReference"/>
          <w:szCs w:val="24"/>
        </w:rPr>
        <w:footnoteReference w:id="7"/>
      </w:r>
      <w:r w:rsidR="006175F3" w:rsidRPr="00D31468">
        <w:rPr>
          <w:szCs w:val="24"/>
          <w:vertAlign w:val="superscript"/>
        </w:rPr>
        <w:t>,</w:t>
      </w:r>
      <w:r w:rsidRPr="00D31468">
        <w:rPr>
          <w:rStyle w:val="FootnoteReference"/>
          <w:szCs w:val="24"/>
        </w:rPr>
        <w:footnoteReference w:id="8"/>
      </w:r>
      <w:r w:rsidRPr="00D31468">
        <w:rPr>
          <w:szCs w:val="24"/>
        </w:rPr>
        <w:t xml:space="preserve"> as well as a </w:t>
      </w:r>
      <w:r w:rsidR="00AF72DA" w:rsidRPr="00D31468">
        <w:rPr>
          <w:szCs w:val="24"/>
        </w:rPr>
        <w:t xml:space="preserve">2008 </w:t>
      </w:r>
      <w:r w:rsidRPr="00D31468">
        <w:rPr>
          <w:szCs w:val="24"/>
        </w:rPr>
        <w:t xml:space="preserve">meta-analysis of response rates of </w:t>
      </w:r>
      <w:r w:rsidR="00AF72DA" w:rsidRPr="00D31468">
        <w:rPr>
          <w:szCs w:val="24"/>
        </w:rPr>
        <w:t>individuals within</w:t>
      </w:r>
      <w:r w:rsidRPr="00D31468">
        <w:rPr>
          <w:szCs w:val="24"/>
        </w:rPr>
        <w:t xml:space="preserve"> organization</w:t>
      </w:r>
      <w:r w:rsidR="00AF72DA" w:rsidRPr="00D31468">
        <w:rPr>
          <w:szCs w:val="24"/>
        </w:rPr>
        <w:t>s</w:t>
      </w:r>
      <w:r w:rsidRPr="00D31468">
        <w:rPr>
          <w:szCs w:val="24"/>
        </w:rPr>
        <w:t xml:space="preserve"> </w:t>
      </w:r>
      <w:r w:rsidR="00AF72DA" w:rsidRPr="00D31468">
        <w:rPr>
          <w:szCs w:val="24"/>
        </w:rPr>
        <w:t xml:space="preserve">participating in </w:t>
      </w:r>
      <w:r w:rsidR="002B0F62" w:rsidRPr="00D31468">
        <w:rPr>
          <w:szCs w:val="24"/>
        </w:rPr>
        <w:t>evaluation</w:t>
      </w:r>
      <w:r w:rsidR="006175F3" w:rsidRPr="00D31468">
        <w:rPr>
          <w:szCs w:val="24"/>
        </w:rPr>
        <w:t>.</w:t>
      </w:r>
      <w:r w:rsidRPr="00D31468">
        <w:rPr>
          <w:rStyle w:val="FootnoteReference"/>
          <w:szCs w:val="24"/>
        </w:rPr>
        <w:footnoteReference w:id="9"/>
      </w:r>
      <w:r w:rsidR="00980CF7" w:rsidRPr="00D31468">
        <w:rPr>
          <w:szCs w:val="24"/>
        </w:rPr>
        <w:t xml:space="preserve"> SAMHSA assumes that the pre-test survey and post-test survey will each take approximately 10 minutes to complete. This estimate includes time for distributing the survey, reviewing the instructions, taking the survey, and turning in the completed survey.</w:t>
      </w:r>
    </w:p>
    <w:p w14:paraId="2A6E8F05" w14:textId="0B505653" w:rsidR="002F3B8B" w:rsidRPr="00D31468" w:rsidRDefault="007326DA" w:rsidP="00913D82">
      <w:pPr>
        <w:pStyle w:val="ListParagraph"/>
        <w:numPr>
          <w:ilvl w:val="0"/>
          <w:numId w:val="15"/>
        </w:numPr>
        <w:spacing w:after="240" w:line="240" w:lineRule="auto"/>
        <w:rPr>
          <w:szCs w:val="24"/>
        </w:rPr>
      </w:pPr>
      <w:r w:rsidRPr="00D31468">
        <w:rPr>
          <w:szCs w:val="24"/>
        </w:rPr>
        <w:t xml:space="preserve">SAMHSA aims to conduct hour-long individual interviews with approximately 30 parents and caregivers following the post-test survey. Participants in the interview will be compensated approximately </w:t>
      </w:r>
      <w:r w:rsidR="0043045B" w:rsidRPr="00D31468">
        <w:rPr>
          <w:szCs w:val="24"/>
        </w:rPr>
        <w:t>$</w:t>
      </w:r>
      <w:r w:rsidRPr="00D31468">
        <w:rPr>
          <w:szCs w:val="24"/>
        </w:rPr>
        <w:t>35</w:t>
      </w:r>
      <w:r w:rsidR="001D3D12" w:rsidRPr="00D31468">
        <w:rPr>
          <w:szCs w:val="24"/>
        </w:rPr>
        <w:t>.00</w:t>
      </w:r>
      <w:r w:rsidRPr="00D31468">
        <w:rPr>
          <w:szCs w:val="24"/>
        </w:rPr>
        <w:t xml:space="preserve"> per hour for their participation.</w:t>
      </w:r>
    </w:p>
    <w:p w14:paraId="1635E53A" w14:textId="77777777" w:rsidR="00247B53" w:rsidRPr="00D31468" w:rsidRDefault="00247B53">
      <w:pPr>
        <w:rPr>
          <w:szCs w:val="24"/>
        </w:rPr>
      </w:pPr>
      <w:r w:rsidRPr="00D31468">
        <w:rPr>
          <w:szCs w:val="24"/>
        </w:rPr>
        <w:br w:type="page"/>
      </w:r>
    </w:p>
    <w:p w14:paraId="3063719F" w14:textId="670A6E49" w:rsidR="000B6E4E" w:rsidRPr="00D31468" w:rsidRDefault="000B6E4E" w:rsidP="00913D82">
      <w:pPr>
        <w:spacing w:after="240" w:line="240" w:lineRule="auto"/>
        <w:rPr>
          <w:szCs w:val="24"/>
        </w:rPr>
      </w:pPr>
      <w:r w:rsidRPr="00D31468">
        <w:rPr>
          <w:b/>
          <w:szCs w:val="24"/>
        </w:rPr>
        <w:t xml:space="preserve">Table </w:t>
      </w:r>
      <w:r w:rsidR="00E550FD" w:rsidRPr="00D31468">
        <w:rPr>
          <w:b/>
          <w:szCs w:val="24"/>
        </w:rPr>
        <w:t>2</w:t>
      </w:r>
      <w:r w:rsidRPr="00D31468">
        <w:rPr>
          <w:b/>
          <w:szCs w:val="24"/>
        </w:rPr>
        <w:t>: Estimated Burden for Respondents</w:t>
      </w: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
        <w:gridCol w:w="1440"/>
        <w:gridCol w:w="1350"/>
        <w:gridCol w:w="1260"/>
        <w:gridCol w:w="1170"/>
        <w:gridCol w:w="990"/>
        <w:gridCol w:w="990"/>
        <w:gridCol w:w="1193"/>
      </w:tblGrid>
      <w:tr w:rsidR="000B6E4E" w:rsidRPr="00D31468" w14:paraId="027F4BC6" w14:textId="77777777" w:rsidTr="00D978DD">
        <w:tc>
          <w:tcPr>
            <w:tcW w:w="1507" w:type="dxa"/>
            <w:shd w:val="clear" w:color="auto" w:fill="D9D9D9"/>
          </w:tcPr>
          <w:p w14:paraId="720AA7F1" w14:textId="77777777" w:rsidR="000B6E4E" w:rsidRPr="00D31468" w:rsidRDefault="000B6E4E" w:rsidP="00913D82">
            <w:pPr>
              <w:spacing w:after="240" w:line="240" w:lineRule="auto"/>
              <w:rPr>
                <w:szCs w:val="24"/>
              </w:rPr>
            </w:pPr>
            <w:r w:rsidRPr="00D31468">
              <w:rPr>
                <w:szCs w:val="24"/>
              </w:rPr>
              <w:t>Instrument</w:t>
            </w:r>
          </w:p>
        </w:tc>
        <w:tc>
          <w:tcPr>
            <w:tcW w:w="1440" w:type="dxa"/>
            <w:shd w:val="clear" w:color="auto" w:fill="D9D9D9"/>
          </w:tcPr>
          <w:p w14:paraId="1DD9B7D2" w14:textId="61B1EC64" w:rsidR="000B6E4E" w:rsidRPr="00D31468" w:rsidRDefault="00252F55" w:rsidP="00913D82">
            <w:pPr>
              <w:spacing w:after="240" w:line="240" w:lineRule="auto"/>
              <w:jc w:val="center"/>
              <w:rPr>
                <w:szCs w:val="24"/>
              </w:rPr>
            </w:pPr>
            <w:r w:rsidRPr="00D31468">
              <w:rPr>
                <w:szCs w:val="24"/>
              </w:rPr>
              <w:t xml:space="preserve">Total </w:t>
            </w:r>
            <w:r w:rsidR="001D3D12" w:rsidRPr="00D31468">
              <w:rPr>
                <w:szCs w:val="24"/>
              </w:rPr>
              <w:t>number</w:t>
            </w:r>
            <w:r w:rsidR="000B6E4E" w:rsidRPr="00D31468">
              <w:rPr>
                <w:szCs w:val="24"/>
              </w:rPr>
              <w:t xml:space="preserve"> of respondents</w:t>
            </w:r>
          </w:p>
        </w:tc>
        <w:tc>
          <w:tcPr>
            <w:tcW w:w="1350" w:type="dxa"/>
            <w:shd w:val="clear" w:color="auto" w:fill="D9D9D9"/>
          </w:tcPr>
          <w:p w14:paraId="446DC316" w14:textId="0C30DBA1" w:rsidR="000B6E4E" w:rsidRPr="00D31468" w:rsidRDefault="00252F55" w:rsidP="00913D82">
            <w:pPr>
              <w:spacing w:after="240" w:line="240" w:lineRule="auto"/>
              <w:jc w:val="center"/>
              <w:rPr>
                <w:szCs w:val="24"/>
              </w:rPr>
            </w:pPr>
            <w:r w:rsidRPr="00D31468">
              <w:rPr>
                <w:szCs w:val="24"/>
              </w:rPr>
              <w:t xml:space="preserve">Total </w:t>
            </w:r>
            <w:r w:rsidR="0012234A" w:rsidRPr="00D31468">
              <w:rPr>
                <w:szCs w:val="24"/>
              </w:rPr>
              <w:t>r</w:t>
            </w:r>
            <w:r w:rsidR="000B6E4E" w:rsidRPr="00D31468">
              <w:rPr>
                <w:szCs w:val="24"/>
              </w:rPr>
              <w:t>esponses/ respondent</w:t>
            </w:r>
          </w:p>
        </w:tc>
        <w:tc>
          <w:tcPr>
            <w:tcW w:w="1260" w:type="dxa"/>
            <w:shd w:val="clear" w:color="auto" w:fill="D9D9D9"/>
          </w:tcPr>
          <w:p w14:paraId="41E20DFD" w14:textId="77777777" w:rsidR="000B6E4E" w:rsidRPr="00D31468" w:rsidRDefault="000B6E4E" w:rsidP="00913D82">
            <w:pPr>
              <w:spacing w:after="240" w:line="240" w:lineRule="auto"/>
              <w:jc w:val="center"/>
              <w:rPr>
                <w:szCs w:val="24"/>
              </w:rPr>
            </w:pPr>
            <w:r w:rsidRPr="00D31468">
              <w:rPr>
                <w:szCs w:val="24"/>
              </w:rPr>
              <w:t>Total responses</w:t>
            </w:r>
          </w:p>
        </w:tc>
        <w:tc>
          <w:tcPr>
            <w:tcW w:w="1170" w:type="dxa"/>
            <w:shd w:val="clear" w:color="auto" w:fill="D9D9D9"/>
          </w:tcPr>
          <w:p w14:paraId="183F8B70" w14:textId="6A96632B" w:rsidR="000B6E4E" w:rsidRPr="00D31468" w:rsidRDefault="000B6E4E" w:rsidP="00913D82">
            <w:pPr>
              <w:spacing w:after="240" w:line="240" w:lineRule="auto"/>
              <w:jc w:val="center"/>
              <w:rPr>
                <w:szCs w:val="24"/>
              </w:rPr>
            </w:pPr>
            <w:r w:rsidRPr="00D31468">
              <w:rPr>
                <w:szCs w:val="24"/>
              </w:rPr>
              <w:t>H</w:t>
            </w:r>
            <w:r w:rsidR="001D3D12" w:rsidRPr="00D31468">
              <w:rPr>
                <w:szCs w:val="24"/>
              </w:rPr>
              <w:t>ou</w:t>
            </w:r>
            <w:r w:rsidRPr="00D31468">
              <w:rPr>
                <w:szCs w:val="24"/>
              </w:rPr>
              <w:t>rs per response</w:t>
            </w:r>
          </w:p>
        </w:tc>
        <w:tc>
          <w:tcPr>
            <w:tcW w:w="990" w:type="dxa"/>
            <w:shd w:val="clear" w:color="auto" w:fill="D9D9D9"/>
          </w:tcPr>
          <w:p w14:paraId="58D50A13" w14:textId="77777777" w:rsidR="000B6E4E" w:rsidRPr="00D31468" w:rsidRDefault="000B6E4E" w:rsidP="00913D82">
            <w:pPr>
              <w:spacing w:after="240" w:line="240" w:lineRule="auto"/>
              <w:jc w:val="center"/>
              <w:rPr>
                <w:szCs w:val="24"/>
              </w:rPr>
            </w:pPr>
            <w:r w:rsidRPr="00D31468">
              <w:rPr>
                <w:szCs w:val="24"/>
              </w:rPr>
              <w:t>Total hour burden</w:t>
            </w:r>
          </w:p>
        </w:tc>
        <w:tc>
          <w:tcPr>
            <w:tcW w:w="990" w:type="dxa"/>
            <w:shd w:val="clear" w:color="auto" w:fill="D9D9D9"/>
          </w:tcPr>
          <w:p w14:paraId="7FF05231" w14:textId="77777777" w:rsidR="000B6E4E" w:rsidRPr="00D31468" w:rsidRDefault="000B6E4E" w:rsidP="00913D82">
            <w:pPr>
              <w:spacing w:after="240" w:line="240" w:lineRule="auto"/>
              <w:jc w:val="center"/>
              <w:rPr>
                <w:szCs w:val="24"/>
              </w:rPr>
            </w:pPr>
            <w:r w:rsidRPr="00D31468">
              <w:rPr>
                <w:szCs w:val="24"/>
              </w:rPr>
              <w:t>Wage rate</w:t>
            </w:r>
          </w:p>
        </w:tc>
        <w:tc>
          <w:tcPr>
            <w:tcW w:w="1193" w:type="dxa"/>
            <w:shd w:val="clear" w:color="auto" w:fill="D9D9D9"/>
          </w:tcPr>
          <w:p w14:paraId="418E1318" w14:textId="77777777" w:rsidR="000B6E4E" w:rsidRPr="00D31468" w:rsidRDefault="000B6E4E" w:rsidP="00913D82">
            <w:pPr>
              <w:spacing w:after="240" w:line="240" w:lineRule="auto"/>
              <w:jc w:val="center"/>
              <w:rPr>
                <w:szCs w:val="24"/>
              </w:rPr>
            </w:pPr>
            <w:r w:rsidRPr="00D31468">
              <w:rPr>
                <w:szCs w:val="24"/>
              </w:rPr>
              <w:t>Total hour cost</w:t>
            </w:r>
          </w:p>
        </w:tc>
      </w:tr>
      <w:tr w:rsidR="00342DAC" w:rsidRPr="00D31468" w14:paraId="32C66F72" w14:textId="77777777" w:rsidTr="00D978DD">
        <w:tc>
          <w:tcPr>
            <w:tcW w:w="1507" w:type="dxa"/>
          </w:tcPr>
          <w:p w14:paraId="688AAC6A" w14:textId="77FF48FC" w:rsidR="00342DAC" w:rsidRPr="00D31468" w:rsidRDefault="00342DAC" w:rsidP="006175F3">
            <w:pPr>
              <w:spacing w:after="240" w:line="240" w:lineRule="auto"/>
              <w:jc w:val="center"/>
              <w:rPr>
                <w:szCs w:val="24"/>
              </w:rPr>
            </w:pPr>
            <w:r w:rsidRPr="00D31468">
              <w:rPr>
                <w:szCs w:val="24"/>
              </w:rPr>
              <w:t xml:space="preserve">Pre-test survey for </w:t>
            </w:r>
            <w:r w:rsidR="006175F3" w:rsidRPr="00D31468">
              <w:rPr>
                <w:szCs w:val="24"/>
              </w:rPr>
              <w:t>6th</w:t>
            </w:r>
            <w:r w:rsidR="0012234A" w:rsidRPr="00D31468">
              <w:rPr>
                <w:szCs w:val="24"/>
              </w:rPr>
              <w:t>–</w:t>
            </w:r>
            <w:r w:rsidR="006175F3" w:rsidRPr="00D31468">
              <w:rPr>
                <w:szCs w:val="24"/>
              </w:rPr>
              <w:t>8th</w:t>
            </w:r>
            <w:r w:rsidRPr="00D31468">
              <w:rPr>
                <w:szCs w:val="24"/>
              </w:rPr>
              <w:t xml:space="preserve"> youth</w:t>
            </w:r>
            <w:r w:rsidR="0012234A" w:rsidRPr="00D31468">
              <w:rPr>
                <w:szCs w:val="24"/>
              </w:rPr>
              <w:t>s</w:t>
            </w:r>
          </w:p>
        </w:tc>
        <w:tc>
          <w:tcPr>
            <w:tcW w:w="1440" w:type="dxa"/>
          </w:tcPr>
          <w:p w14:paraId="2B055546" w14:textId="25A7CD34" w:rsidR="00342DAC" w:rsidRPr="00D31468" w:rsidRDefault="009A180C" w:rsidP="003803FC">
            <w:pPr>
              <w:spacing w:after="240" w:line="240" w:lineRule="auto"/>
              <w:jc w:val="center"/>
              <w:rPr>
                <w:szCs w:val="24"/>
              </w:rPr>
            </w:pPr>
            <w:r w:rsidRPr="00D31468">
              <w:rPr>
                <w:szCs w:val="24"/>
              </w:rPr>
              <w:t>1</w:t>
            </w:r>
            <w:r w:rsidR="00B647CE" w:rsidRPr="00D31468">
              <w:rPr>
                <w:szCs w:val="24"/>
              </w:rPr>
              <w:t>,</w:t>
            </w:r>
            <w:r w:rsidRPr="00D31468">
              <w:rPr>
                <w:szCs w:val="24"/>
              </w:rPr>
              <w:t>093</w:t>
            </w:r>
          </w:p>
        </w:tc>
        <w:tc>
          <w:tcPr>
            <w:tcW w:w="1350" w:type="dxa"/>
          </w:tcPr>
          <w:p w14:paraId="06A52517" w14:textId="77777777" w:rsidR="00342DAC" w:rsidRPr="00D31468" w:rsidRDefault="00342DAC" w:rsidP="00342DAC">
            <w:pPr>
              <w:spacing w:after="240" w:line="240" w:lineRule="auto"/>
              <w:jc w:val="center"/>
              <w:rPr>
                <w:szCs w:val="24"/>
              </w:rPr>
            </w:pPr>
            <w:r w:rsidRPr="00D31468">
              <w:rPr>
                <w:szCs w:val="24"/>
              </w:rPr>
              <w:t>1</w:t>
            </w:r>
          </w:p>
        </w:tc>
        <w:tc>
          <w:tcPr>
            <w:tcW w:w="1260" w:type="dxa"/>
          </w:tcPr>
          <w:p w14:paraId="088CA1D9" w14:textId="20320587" w:rsidR="00342DAC" w:rsidRPr="00D31468" w:rsidRDefault="009A180C" w:rsidP="00342DAC">
            <w:pPr>
              <w:spacing w:after="240" w:line="240" w:lineRule="auto"/>
              <w:jc w:val="center"/>
              <w:rPr>
                <w:szCs w:val="24"/>
              </w:rPr>
            </w:pPr>
            <w:r w:rsidRPr="00D31468">
              <w:rPr>
                <w:szCs w:val="24"/>
              </w:rPr>
              <w:t>1</w:t>
            </w:r>
            <w:r w:rsidR="00B647CE" w:rsidRPr="00D31468">
              <w:rPr>
                <w:szCs w:val="24"/>
              </w:rPr>
              <w:t>,</w:t>
            </w:r>
            <w:r w:rsidRPr="00D31468">
              <w:rPr>
                <w:szCs w:val="24"/>
              </w:rPr>
              <w:t>093</w:t>
            </w:r>
          </w:p>
        </w:tc>
        <w:tc>
          <w:tcPr>
            <w:tcW w:w="1170" w:type="dxa"/>
          </w:tcPr>
          <w:p w14:paraId="1629C80B" w14:textId="77777777" w:rsidR="00342DAC" w:rsidRPr="00D31468" w:rsidRDefault="00342DAC" w:rsidP="00242D18">
            <w:pPr>
              <w:spacing w:after="240" w:line="240" w:lineRule="auto"/>
              <w:jc w:val="center"/>
              <w:rPr>
                <w:szCs w:val="24"/>
              </w:rPr>
            </w:pPr>
            <w:r w:rsidRPr="00D31468">
              <w:rPr>
                <w:szCs w:val="24"/>
              </w:rPr>
              <w:t>0.</w:t>
            </w:r>
            <w:r w:rsidR="00242D18" w:rsidRPr="00D31468">
              <w:rPr>
                <w:szCs w:val="24"/>
              </w:rPr>
              <w:t>17</w:t>
            </w:r>
          </w:p>
        </w:tc>
        <w:tc>
          <w:tcPr>
            <w:tcW w:w="990" w:type="dxa"/>
          </w:tcPr>
          <w:p w14:paraId="5BEC090A" w14:textId="5290F0A3" w:rsidR="00342DAC" w:rsidRPr="00D31468" w:rsidRDefault="00242D18" w:rsidP="009A180C">
            <w:pPr>
              <w:spacing w:after="240" w:line="240" w:lineRule="auto"/>
              <w:jc w:val="center"/>
              <w:rPr>
                <w:szCs w:val="24"/>
              </w:rPr>
            </w:pPr>
            <w:r w:rsidRPr="00D31468">
              <w:rPr>
                <w:szCs w:val="24"/>
              </w:rPr>
              <w:t>1</w:t>
            </w:r>
            <w:r w:rsidR="009A180C" w:rsidRPr="00D31468">
              <w:rPr>
                <w:szCs w:val="24"/>
              </w:rPr>
              <w:t>85.8</w:t>
            </w:r>
          </w:p>
        </w:tc>
        <w:tc>
          <w:tcPr>
            <w:tcW w:w="990" w:type="dxa"/>
          </w:tcPr>
          <w:p w14:paraId="0923A392" w14:textId="2C969088" w:rsidR="00342DAC" w:rsidRPr="00D31468" w:rsidRDefault="00342DAC" w:rsidP="00342DAC">
            <w:pPr>
              <w:spacing w:after="240" w:line="240" w:lineRule="auto"/>
              <w:jc w:val="center"/>
              <w:rPr>
                <w:szCs w:val="24"/>
              </w:rPr>
            </w:pPr>
            <w:r w:rsidRPr="00D31468">
              <w:rPr>
                <w:szCs w:val="24"/>
              </w:rPr>
              <w:t>$</w:t>
            </w:r>
            <w:r w:rsidR="00856C98" w:rsidRPr="00D31468">
              <w:rPr>
                <w:szCs w:val="24"/>
              </w:rPr>
              <w:t>4.25*</w:t>
            </w:r>
          </w:p>
        </w:tc>
        <w:tc>
          <w:tcPr>
            <w:tcW w:w="1193" w:type="dxa"/>
          </w:tcPr>
          <w:p w14:paraId="3746D0D6" w14:textId="3ED21FE2" w:rsidR="00342DAC" w:rsidRPr="00D31468" w:rsidRDefault="00A0212C" w:rsidP="00342DAC">
            <w:pPr>
              <w:spacing w:after="240" w:line="240" w:lineRule="auto"/>
              <w:jc w:val="center"/>
              <w:rPr>
                <w:szCs w:val="24"/>
              </w:rPr>
            </w:pPr>
            <w:r w:rsidRPr="00D31468">
              <w:rPr>
                <w:szCs w:val="24"/>
              </w:rPr>
              <w:t>$789.65</w:t>
            </w:r>
          </w:p>
        </w:tc>
      </w:tr>
      <w:tr w:rsidR="00342DAC" w:rsidRPr="00D31468" w14:paraId="23674BE5" w14:textId="77777777" w:rsidTr="00D978DD">
        <w:trPr>
          <w:trHeight w:val="1700"/>
        </w:trPr>
        <w:tc>
          <w:tcPr>
            <w:tcW w:w="1507" w:type="dxa"/>
          </w:tcPr>
          <w:p w14:paraId="01AE29C1" w14:textId="275D6A01" w:rsidR="00342DAC" w:rsidRPr="00D31468" w:rsidRDefault="00342DAC" w:rsidP="00342DAC">
            <w:pPr>
              <w:spacing w:after="240" w:line="240" w:lineRule="auto"/>
              <w:jc w:val="center"/>
              <w:rPr>
                <w:szCs w:val="24"/>
              </w:rPr>
            </w:pPr>
            <w:r w:rsidRPr="00D31468">
              <w:rPr>
                <w:szCs w:val="24"/>
              </w:rPr>
              <w:t>Post-test survey for</w:t>
            </w:r>
            <w:r w:rsidR="00091E57" w:rsidRPr="00D31468">
              <w:rPr>
                <w:szCs w:val="24"/>
              </w:rPr>
              <w:t xml:space="preserve"> 6th</w:t>
            </w:r>
            <w:r w:rsidR="00E00C9A" w:rsidRPr="00D31468">
              <w:rPr>
                <w:szCs w:val="24"/>
              </w:rPr>
              <w:t>-</w:t>
            </w:r>
            <w:r w:rsidR="00091E57" w:rsidRPr="00D31468">
              <w:rPr>
                <w:szCs w:val="24"/>
              </w:rPr>
              <w:t xml:space="preserve"> </w:t>
            </w:r>
            <w:r w:rsidR="00E00C9A" w:rsidRPr="00D31468">
              <w:rPr>
                <w:szCs w:val="24"/>
              </w:rPr>
              <w:t xml:space="preserve">through </w:t>
            </w:r>
            <w:r w:rsidR="006175F3" w:rsidRPr="00D31468">
              <w:rPr>
                <w:szCs w:val="24"/>
              </w:rPr>
              <w:t>8</w:t>
            </w:r>
            <w:r w:rsidR="00091E57" w:rsidRPr="00D31468">
              <w:rPr>
                <w:szCs w:val="24"/>
              </w:rPr>
              <w:t>th</w:t>
            </w:r>
            <w:r w:rsidR="00E00C9A" w:rsidRPr="00D31468">
              <w:rPr>
                <w:szCs w:val="24"/>
              </w:rPr>
              <w:t>-</w:t>
            </w:r>
            <w:r w:rsidR="00091E57" w:rsidRPr="00D31468">
              <w:rPr>
                <w:szCs w:val="24"/>
              </w:rPr>
              <w:t>grade</w:t>
            </w:r>
            <w:r w:rsidRPr="00D31468">
              <w:rPr>
                <w:szCs w:val="24"/>
              </w:rPr>
              <w:t xml:space="preserve"> youth</w:t>
            </w:r>
            <w:r w:rsidR="0012234A" w:rsidRPr="00D31468">
              <w:rPr>
                <w:szCs w:val="24"/>
              </w:rPr>
              <w:t>s</w:t>
            </w:r>
          </w:p>
        </w:tc>
        <w:tc>
          <w:tcPr>
            <w:tcW w:w="1440" w:type="dxa"/>
          </w:tcPr>
          <w:p w14:paraId="11849394" w14:textId="5B2639B4" w:rsidR="00342DAC" w:rsidRPr="00D31468" w:rsidRDefault="009A180C" w:rsidP="00342DAC">
            <w:pPr>
              <w:spacing w:after="240" w:line="240" w:lineRule="auto"/>
              <w:jc w:val="center"/>
              <w:rPr>
                <w:szCs w:val="24"/>
              </w:rPr>
            </w:pPr>
            <w:r w:rsidRPr="00D31468">
              <w:rPr>
                <w:szCs w:val="24"/>
              </w:rPr>
              <w:t>1</w:t>
            </w:r>
            <w:r w:rsidR="00B647CE" w:rsidRPr="00D31468">
              <w:rPr>
                <w:szCs w:val="24"/>
              </w:rPr>
              <w:t>,</w:t>
            </w:r>
            <w:r w:rsidRPr="00D31468">
              <w:rPr>
                <w:szCs w:val="24"/>
              </w:rPr>
              <w:t>093</w:t>
            </w:r>
          </w:p>
        </w:tc>
        <w:tc>
          <w:tcPr>
            <w:tcW w:w="1350" w:type="dxa"/>
          </w:tcPr>
          <w:p w14:paraId="261E4CAB" w14:textId="77777777" w:rsidR="00342DAC" w:rsidRPr="00D31468" w:rsidRDefault="00342DAC" w:rsidP="00342DAC">
            <w:pPr>
              <w:spacing w:after="240" w:line="240" w:lineRule="auto"/>
              <w:jc w:val="center"/>
              <w:rPr>
                <w:szCs w:val="24"/>
              </w:rPr>
            </w:pPr>
            <w:r w:rsidRPr="00D31468">
              <w:rPr>
                <w:szCs w:val="24"/>
              </w:rPr>
              <w:t>1</w:t>
            </w:r>
          </w:p>
        </w:tc>
        <w:tc>
          <w:tcPr>
            <w:tcW w:w="1260" w:type="dxa"/>
          </w:tcPr>
          <w:p w14:paraId="736FF391" w14:textId="2CD8428A" w:rsidR="00342DAC" w:rsidRPr="00D31468" w:rsidRDefault="009A180C" w:rsidP="00342DAC">
            <w:pPr>
              <w:spacing w:after="240" w:line="240" w:lineRule="auto"/>
              <w:jc w:val="center"/>
              <w:rPr>
                <w:szCs w:val="24"/>
              </w:rPr>
            </w:pPr>
            <w:r w:rsidRPr="00D31468">
              <w:rPr>
                <w:szCs w:val="24"/>
              </w:rPr>
              <w:t>1</w:t>
            </w:r>
            <w:r w:rsidR="0096502D" w:rsidRPr="00D31468">
              <w:rPr>
                <w:szCs w:val="24"/>
              </w:rPr>
              <w:t>,</w:t>
            </w:r>
            <w:r w:rsidRPr="00D31468">
              <w:rPr>
                <w:szCs w:val="24"/>
              </w:rPr>
              <w:t>093</w:t>
            </w:r>
          </w:p>
        </w:tc>
        <w:tc>
          <w:tcPr>
            <w:tcW w:w="1170" w:type="dxa"/>
          </w:tcPr>
          <w:p w14:paraId="28DFEB67" w14:textId="77777777" w:rsidR="00342DAC" w:rsidRPr="00D31468" w:rsidRDefault="00342DAC" w:rsidP="00242D18">
            <w:pPr>
              <w:spacing w:after="240" w:line="240" w:lineRule="auto"/>
              <w:jc w:val="center"/>
              <w:rPr>
                <w:szCs w:val="24"/>
              </w:rPr>
            </w:pPr>
            <w:r w:rsidRPr="00D31468">
              <w:rPr>
                <w:szCs w:val="24"/>
              </w:rPr>
              <w:t>0.</w:t>
            </w:r>
            <w:r w:rsidR="00242D18" w:rsidRPr="00D31468">
              <w:rPr>
                <w:szCs w:val="24"/>
              </w:rPr>
              <w:t>17</w:t>
            </w:r>
          </w:p>
        </w:tc>
        <w:tc>
          <w:tcPr>
            <w:tcW w:w="990" w:type="dxa"/>
          </w:tcPr>
          <w:p w14:paraId="31568D49" w14:textId="09AFFFBE" w:rsidR="00342DAC" w:rsidRPr="00D31468" w:rsidRDefault="009A180C" w:rsidP="00342DAC">
            <w:pPr>
              <w:spacing w:after="240" w:line="240" w:lineRule="auto"/>
              <w:jc w:val="center"/>
              <w:rPr>
                <w:szCs w:val="24"/>
              </w:rPr>
            </w:pPr>
            <w:r w:rsidRPr="00D31468">
              <w:rPr>
                <w:szCs w:val="24"/>
              </w:rPr>
              <w:t>185.8</w:t>
            </w:r>
          </w:p>
        </w:tc>
        <w:tc>
          <w:tcPr>
            <w:tcW w:w="990" w:type="dxa"/>
          </w:tcPr>
          <w:p w14:paraId="6076EC34" w14:textId="596E877D" w:rsidR="00342DAC" w:rsidRPr="00D31468" w:rsidRDefault="00856C98" w:rsidP="00342DAC">
            <w:pPr>
              <w:spacing w:after="240" w:line="240" w:lineRule="auto"/>
              <w:jc w:val="center"/>
              <w:rPr>
                <w:szCs w:val="24"/>
              </w:rPr>
            </w:pPr>
            <w:r w:rsidRPr="00D31468">
              <w:rPr>
                <w:szCs w:val="24"/>
              </w:rPr>
              <w:t>$4.25*</w:t>
            </w:r>
          </w:p>
        </w:tc>
        <w:tc>
          <w:tcPr>
            <w:tcW w:w="1193" w:type="dxa"/>
          </w:tcPr>
          <w:p w14:paraId="4D507A0E" w14:textId="76FE5211" w:rsidR="00342DAC" w:rsidRPr="00D31468" w:rsidRDefault="00A0212C" w:rsidP="00342DAC">
            <w:pPr>
              <w:spacing w:after="240" w:line="240" w:lineRule="auto"/>
              <w:jc w:val="center"/>
              <w:rPr>
                <w:szCs w:val="24"/>
              </w:rPr>
            </w:pPr>
            <w:r w:rsidRPr="00D31468">
              <w:rPr>
                <w:szCs w:val="24"/>
              </w:rPr>
              <w:t>$789.65</w:t>
            </w:r>
          </w:p>
        </w:tc>
      </w:tr>
      <w:tr w:rsidR="00242D18" w:rsidRPr="00D31468" w14:paraId="04A63F86" w14:textId="77777777" w:rsidTr="00D978DD">
        <w:tc>
          <w:tcPr>
            <w:tcW w:w="1507" w:type="dxa"/>
          </w:tcPr>
          <w:p w14:paraId="4CD75DBE" w14:textId="77777777" w:rsidR="00242D18" w:rsidRPr="00D31468" w:rsidRDefault="00242D18" w:rsidP="00242D18">
            <w:pPr>
              <w:spacing w:after="240" w:line="240" w:lineRule="auto"/>
              <w:jc w:val="center"/>
              <w:rPr>
                <w:szCs w:val="24"/>
              </w:rPr>
            </w:pPr>
            <w:r w:rsidRPr="00D31468">
              <w:rPr>
                <w:szCs w:val="24"/>
              </w:rPr>
              <w:t>Pre-test survey for parents and caregivers</w:t>
            </w:r>
          </w:p>
        </w:tc>
        <w:tc>
          <w:tcPr>
            <w:tcW w:w="1440" w:type="dxa"/>
          </w:tcPr>
          <w:p w14:paraId="7D341BC9" w14:textId="77777777" w:rsidR="00242D18" w:rsidRPr="00D31468" w:rsidRDefault="00242D18" w:rsidP="00242D18">
            <w:pPr>
              <w:spacing w:after="240" w:line="240" w:lineRule="auto"/>
              <w:jc w:val="center"/>
              <w:rPr>
                <w:szCs w:val="24"/>
              </w:rPr>
            </w:pPr>
            <w:r w:rsidRPr="00D31468">
              <w:rPr>
                <w:szCs w:val="24"/>
              </w:rPr>
              <w:t>690</w:t>
            </w:r>
          </w:p>
        </w:tc>
        <w:tc>
          <w:tcPr>
            <w:tcW w:w="1350" w:type="dxa"/>
          </w:tcPr>
          <w:p w14:paraId="531ADF16" w14:textId="77777777" w:rsidR="00242D18" w:rsidRPr="00D31468" w:rsidRDefault="00242D18" w:rsidP="00242D18">
            <w:pPr>
              <w:spacing w:after="240" w:line="240" w:lineRule="auto"/>
              <w:jc w:val="center"/>
              <w:rPr>
                <w:szCs w:val="24"/>
              </w:rPr>
            </w:pPr>
            <w:r w:rsidRPr="00D31468">
              <w:rPr>
                <w:szCs w:val="24"/>
              </w:rPr>
              <w:t>1</w:t>
            </w:r>
          </w:p>
        </w:tc>
        <w:tc>
          <w:tcPr>
            <w:tcW w:w="1260" w:type="dxa"/>
          </w:tcPr>
          <w:p w14:paraId="48ED2C94" w14:textId="77777777" w:rsidR="00242D18" w:rsidRPr="00D31468" w:rsidRDefault="00242D18" w:rsidP="00242D18">
            <w:pPr>
              <w:spacing w:after="240" w:line="240" w:lineRule="auto"/>
              <w:jc w:val="center"/>
              <w:rPr>
                <w:szCs w:val="24"/>
              </w:rPr>
            </w:pPr>
            <w:r w:rsidRPr="00D31468">
              <w:rPr>
                <w:szCs w:val="24"/>
              </w:rPr>
              <w:t>690</w:t>
            </w:r>
          </w:p>
        </w:tc>
        <w:tc>
          <w:tcPr>
            <w:tcW w:w="1170" w:type="dxa"/>
          </w:tcPr>
          <w:p w14:paraId="4DD3FE95" w14:textId="77777777" w:rsidR="00242D18" w:rsidRPr="00D31468" w:rsidRDefault="00242D18" w:rsidP="00242D18">
            <w:pPr>
              <w:spacing w:after="240" w:line="240" w:lineRule="auto"/>
              <w:jc w:val="center"/>
              <w:rPr>
                <w:szCs w:val="24"/>
              </w:rPr>
            </w:pPr>
            <w:r w:rsidRPr="00D31468">
              <w:rPr>
                <w:szCs w:val="24"/>
              </w:rPr>
              <w:t>0.17</w:t>
            </w:r>
          </w:p>
        </w:tc>
        <w:tc>
          <w:tcPr>
            <w:tcW w:w="990" w:type="dxa"/>
          </w:tcPr>
          <w:p w14:paraId="58DA8BA5" w14:textId="77777777" w:rsidR="00242D18" w:rsidRPr="00D31468" w:rsidRDefault="00242D18" w:rsidP="00242D18">
            <w:pPr>
              <w:spacing w:after="240" w:line="240" w:lineRule="auto"/>
              <w:jc w:val="center"/>
              <w:rPr>
                <w:szCs w:val="24"/>
              </w:rPr>
            </w:pPr>
            <w:r w:rsidRPr="00D31468">
              <w:rPr>
                <w:szCs w:val="24"/>
              </w:rPr>
              <w:t>117.3</w:t>
            </w:r>
          </w:p>
        </w:tc>
        <w:tc>
          <w:tcPr>
            <w:tcW w:w="990" w:type="dxa"/>
          </w:tcPr>
          <w:p w14:paraId="532C19E6" w14:textId="1B6FBD06" w:rsidR="00242D18" w:rsidRPr="00D31468" w:rsidRDefault="00856C98" w:rsidP="00242D18">
            <w:pPr>
              <w:spacing w:after="240" w:line="240" w:lineRule="auto"/>
              <w:jc w:val="center"/>
              <w:rPr>
                <w:szCs w:val="24"/>
              </w:rPr>
            </w:pPr>
            <w:r w:rsidRPr="00D31468">
              <w:rPr>
                <w:szCs w:val="24"/>
              </w:rPr>
              <w:t>$7.25**</w:t>
            </w:r>
          </w:p>
        </w:tc>
        <w:tc>
          <w:tcPr>
            <w:tcW w:w="1193" w:type="dxa"/>
          </w:tcPr>
          <w:p w14:paraId="5DEA680A" w14:textId="778FDB1C" w:rsidR="00242D18" w:rsidRPr="00D31468" w:rsidRDefault="00A0212C" w:rsidP="00242D18">
            <w:pPr>
              <w:spacing w:after="240" w:line="240" w:lineRule="auto"/>
              <w:jc w:val="center"/>
              <w:rPr>
                <w:szCs w:val="24"/>
              </w:rPr>
            </w:pPr>
            <w:r w:rsidRPr="00D31468">
              <w:rPr>
                <w:szCs w:val="24"/>
              </w:rPr>
              <w:t>$850.42</w:t>
            </w:r>
          </w:p>
        </w:tc>
      </w:tr>
      <w:tr w:rsidR="00242D18" w:rsidRPr="00D31468" w14:paraId="34844FB5" w14:textId="77777777" w:rsidTr="00D978DD">
        <w:tc>
          <w:tcPr>
            <w:tcW w:w="1507" w:type="dxa"/>
          </w:tcPr>
          <w:p w14:paraId="78DF9CC4" w14:textId="77777777" w:rsidR="00242D18" w:rsidRPr="00D31468" w:rsidRDefault="00242D18" w:rsidP="00242D18">
            <w:pPr>
              <w:spacing w:after="240" w:line="240" w:lineRule="auto"/>
              <w:jc w:val="center"/>
              <w:rPr>
                <w:szCs w:val="24"/>
              </w:rPr>
            </w:pPr>
            <w:r w:rsidRPr="00D31468">
              <w:rPr>
                <w:szCs w:val="24"/>
              </w:rPr>
              <w:t>Post-test survey for parents and caregivers</w:t>
            </w:r>
          </w:p>
        </w:tc>
        <w:tc>
          <w:tcPr>
            <w:tcW w:w="1440" w:type="dxa"/>
          </w:tcPr>
          <w:p w14:paraId="358E0809" w14:textId="77777777" w:rsidR="00242D18" w:rsidRPr="00D31468" w:rsidRDefault="00242D18" w:rsidP="00242D18">
            <w:pPr>
              <w:spacing w:after="240" w:line="240" w:lineRule="auto"/>
              <w:jc w:val="center"/>
              <w:rPr>
                <w:szCs w:val="24"/>
              </w:rPr>
            </w:pPr>
            <w:r w:rsidRPr="00D31468">
              <w:rPr>
                <w:szCs w:val="24"/>
              </w:rPr>
              <w:t>690</w:t>
            </w:r>
          </w:p>
        </w:tc>
        <w:tc>
          <w:tcPr>
            <w:tcW w:w="1350" w:type="dxa"/>
          </w:tcPr>
          <w:p w14:paraId="24D70C6D" w14:textId="77777777" w:rsidR="00242D18" w:rsidRPr="00D31468" w:rsidRDefault="00242D18" w:rsidP="00242D18">
            <w:pPr>
              <w:spacing w:after="240" w:line="240" w:lineRule="auto"/>
              <w:jc w:val="center"/>
              <w:rPr>
                <w:szCs w:val="24"/>
              </w:rPr>
            </w:pPr>
            <w:r w:rsidRPr="00D31468">
              <w:rPr>
                <w:szCs w:val="24"/>
              </w:rPr>
              <w:t>1</w:t>
            </w:r>
          </w:p>
        </w:tc>
        <w:tc>
          <w:tcPr>
            <w:tcW w:w="1260" w:type="dxa"/>
          </w:tcPr>
          <w:p w14:paraId="69046C30" w14:textId="77777777" w:rsidR="00242D18" w:rsidRPr="00D31468" w:rsidRDefault="00242D18" w:rsidP="00242D18">
            <w:pPr>
              <w:spacing w:after="240" w:line="240" w:lineRule="auto"/>
              <w:jc w:val="center"/>
              <w:rPr>
                <w:szCs w:val="24"/>
              </w:rPr>
            </w:pPr>
            <w:r w:rsidRPr="00D31468">
              <w:rPr>
                <w:szCs w:val="24"/>
              </w:rPr>
              <w:t>690</w:t>
            </w:r>
          </w:p>
        </w:tc>
        <w:tc>
          <w:tcPr>
            <w:tcW w:w="1170" w:type="dxa"/>
          </w:tcPr>
          <w:p w14:paraId="69B76F49" w14:textId="77777777" w:rsidR="00242D18" w:rsidRPr="00D31468" w:rsidRDefault="00242D18" w:rsidP="00242D18">
            <w:pPr>
              <w:spacing w:after="240" w:line="240" w:lineRule="auto"/>
              <w:jc w:val="center"/>
              <w:rPr>
                <w:szCs w:val="24"/>
              </w:rPr>
            </w:pPr>
            <w:r w:rsidRPr="00D31468">
              <w:rPr>
                <w:szCs w:val="24"/>
              </w:rPr>
              <w:t>0.17</w:t>
            </w:r>
          </w:p>
        </w:tc>
        <w:tc>
          <w:tcPr>
            <w:tcW w:w="990" w:type="dxa"/>
          </w:tcPr>
          <w:p w14:paraId="3D353B68" w14:textId="77777777" w:rsidR="00242D18" w:rsidRPr="00D31468" w:rsidRDefault="00242D18" w:rsidP="00242D18">
            <w:pPr>
              <w:spacing w:after="240" w:line="240" w:lineRule="auto"/>
              <w:jc w:val="center"/>
              <w:rPr>
                <w:szCs w:val="24"/>
              </w:rPr>
            </w:pPr>
            <w:r w:rsidRPr="00D31468">
              <w:rPr>
                <w:szCs w:val="24"/>
              </w:rPr>
              <w:t>117.3</w:t>
            </w:r>
          </w:p>
        </w:tc>
        <w:tc>
          <w:tcPr>
            <w:tcW w:w="990" w:type="dxa"/>
          </w:tcPr>
          <w:p w14:paraId="3E34D03C" w14:textId="1F28C63B" w:rsidR="00242D18" w:rsidRPr="00D31468" w:rsidRDefault="00856C98" w:rsidP="00856C98">
            <w:pPr>
              <w:spacing w:after="240" w:line="240" w:lineRule="auto"/>
              <w:jc w:val="center"/>
              <w:rPr>
                <w:szCs w:val="24"/>
              </w:rPr>
            </w:pPr>
            <w:r w:rsidRPr="00D31468">
              <w:rPr>
                <w:szCs w:val="24"/>
              </w:rPr>
              <w:t>$7.25**</w:t>
            </w:r>
          </w:p>
        </w:tc>
        <w:tc>
          <w:tcPr>
            <w:tcW w:w="1193" w:type="dxa"/>
          </w:tcPr>
          <w:p w14:paraId="0B256445" w14:textId="35885F6D" w:rsidR="00242D18" w:rsidRPr="00D31468" w:rsidRDefault="00242D18" w:rsidP="00242D18">
            <w:pPr>
              <w:spacing w:after="240" w:line="240" w:lineRule="auto"/>
              <w:jc w:val="center"/>
              <w:rPr>
                <w:szCs w:val="24"/>
              </w:rPr>
            </w:pPr>
            <w:r w:rsidRPr="00D31468">
              <w:rPr>
                <w:szCs w:val="24"/>
              </w:rPr>
              <w:t>$</w:t>
            </w:r>
            <w:r w:rsidR="00A0212C" w:rsidRPr="00D31468">
              <w:rPr>
                <w:szCs w:val="24"/>
              </w:rPr>
              <w:t>850.42</w:t>
            </w:r>
          </w:p>
        </w:tc>
      </w:tr>
      <w:tr w:rsidR="00EB47FF" w:rsidRPr="00D31468" w14:paraId="1A1BE07E" w14:textId="77777777" w:rsidTr="00D978DD">
        <w:tc>
          <w:tcPr>
            <w:tcW w:w="1507" w:type="dxa"/>
          </w:tcPr>
          <w:p w14:paraId="52F2A5C6" w14:textId="77777777" w:rsidR="00EB47FF" w:rsidRPr="00D31468" w:rsidRDefault="00EB47FF" w:rsidP="00913D82">
            <w:pPr>
              <w:spacing w:after="240" w:line="240" w:lineRule="auto"/>
              <w:jc w:val="center"/>
              <w:rPr>
                <w:szCs w:val="24"/>
              </w:rPr>
            </w:pPr>
            <w:r w:rsidRPr="00D31468">
              <w:rPr>
                <w:szCs w:val="24"/>
              </w:rPr>
              <w:t>Individual interviews with parents and caregivers</w:t>
            </w:r>
          </w:p>
        </w:tc>
        <w:tc>
          <w:tcPr>
            <w:tcW w:w="1440" w:type="dxa"/>
          </w:tcPr>
          <w:p w14:paraId="41CE80A9" w14:textId="77777777" w:rsidR="00EB47FF" w:rsidRPr="00D31468" w:rsidRDefault="00342DAC" w:rsidP="00913D82">
            <w:pPr>
              <w:spacing w:after="240" w:line="240" w:lineRule="auto"/>
              <w:jc w:val="center"/>
              <w:rPr>
                <w:szCs w:val="24"/>
              </w:rPr>
            </w:pPr>
            <w:r w:rsidRPr="00D31468">
              <w:rPr>
                <w:szCs w:val="24"/>
              </w:rPr>
              <w:t>30</w:t>
            </w:r>
          </w:p>
        </w:tc>
        <w:tc>
          <w:tcPr>
            <w:tcW w:w="1350" w:type="dxa"/>
          </w:tcPr>
          <w:p w14:paraId="2A2AA42B" w14:textId="77777777" w:rsidR="00EB47FF" w:rsidRPr="00D31468" w:rsidRDefault="00342DAC" w:rsidP="00913D82">
            <w:pPr>
              <w:spacing w:after="240" w:line="240" w:lineRule="auto"/>
              <w:jc w:val="center"/>
              <w:rPr>
                <w:szCs w:val="24"/>
              </w:rPr>
            </w:pPr>
            <w:r w:rsidRPr="00D31468">
              <w:rPr>
                <w:szCs w:val="24"/>
              </w:rPr>
              <w:t>1</w:t>
            </w:r>
          </w:p>
        </w:tc>
        <w:tc>
          <w:tcPr>
            <w:tcW w:w="1260" w:type="dxa"/>
          </w:tcPr>
          <w:p w14:paraId="40E8D81E" w14:textId="77777777" w:rsidR="00EB47FF" w:rsidRPr="00D31468" w:rsidRDefault="00342DAC" w:rsidP="00913D82">
            <w:pPr>
              <w:spacing w:after="240" w:line="240" w:lineRule="auto"/>
              <w:jc w:val="center"/>
              <w:rPr>
                <w:szCs w:val="24"/>
              </w:rPr>
            </w:pPr>
            <w:r w:rsidRPr="00D31468">
              <w:rPr>
                <w:szCs w:val="24"/>
              </w:rPr>
              <w:t>30</w:t>
            </w:r>
          </w:p>
        </w:tc>
        <w:tc>
          <w:tcPr>
            <w:tcW w:w="1170" w:type="dxa"/>
          </w:tcPr>
          <w:p w14:paraId="3FB7D037" w14:textId="77777777" w:rsidR="00EB47FF" w:rsidRPr="00D31468" w:rsidRDefault="00342DAC" w:rsidP="00913D82">
            <w:pPr>
              <w:spacing w:after="240" w:line="240" w:lineRule="auto"/>
              <w:jc w:val="center"/>
              <w:rPr>
                <w:szCs w:val="24"/>
              </w:rPr>
            </w:pPr>
            <w:r w:rsidRPr="00D31468">
              <w:rPr>
                <w:szCs w:val="24"/>
              </w:rPr>
              <w:t>1</w:t>
            </w:r>
          </w:p>
        </w:tc>
        <w:tc>
          <w:tcPr>
            <w:tcW w:w="990" w:type="dxa"/>
          </w:tcPr>
          <w:p w14:paraId="09BB953E" w14:textId="77777777" w:rsidR="00EB47FF" w:rsidRPr="00D31468" w:rsidRDefault="00342DAC" w:rsidP="00913D82">
            <w:pPr>
              <w:spacing w:after="240" w:line="240" w:lineRule="auto"/>
              <w:jc w:val="center"/>
              <w:rPr>
                <w:szCs w:val="24"/>
              </w:rPr>
            </w:pPr>
            <w:r w:rsidRPr="00D31468">
              <w:rPr>
                <w:szCs w:val="24"/>
              </w:rPr>
              <w:t>30</w:t>
            </w:r>
          </w:p>
        </w:tc>
        <w:tc>
          <w:tcPr>
            <w:tcW w:w="990" w:type="dxa"/>
          </w:tcPr>
          <w:p w14:paraId="7C591508" w14:textId="549E0164" w:rsidR="00EB47FF" w:rsidRPr="00D31468" w:rsidRDefault="00342DAC" w:rsidP="00913D82">
            <w:pPr>
              <w:spacing w:after="240" w:line="240" w:lineRule="auto"/>
              <w:jc w:val="center"/>
              <w:rPr>
                <w:szCs w:val="24"/>
              </w:rPr>
            </w:pPr>
            <w:r w:rsidRPr="00D31468">
              <w:rPr>
                <w:szCs w:val="24"/>
              </w:rPr>
              <w:t>$35</w:t>
            </w:r>
            <w:r w:rsidR="00D16300" w:rsidRPr="00D31468">
              <w:rPr>
                <w:szCs w:val="24"/>
              </w:rPr>
              <w:t>.00</w:t>
            </w:r>
          </w:p>
        </w:tc>
        <w:tc>
          <w:tcPr>
            <w:tcW w:w="1193" w:type="dxa"/>
          </w:tcPr>
          <w:p w14:paraId="0088C5E0" w14:textId="13757EAA" w:rsidR="00EB47FF" w:rsidRPr="00D31468" w:rsidRDefault="00342DAC" w:rsidP="00913D82">
            <w:pPr>
              <w:spacing w:after="240" w:line="240" w:lineRule="auto"/>
              <w:jc w:val="center"/>
              <w:rPr>
                <w:szCs w:val="24"/>
              </w:rPr>
            </w:pPr>
            <w:r w:rsidRPr="00D31468">
              <w:rPr>
                <w:szCs w:val="24"/>
              </w:rPr>
              <w:t>$1,050</w:t>
            </w:r>
            <w:r w:rsidR="0096502D" w:rsidRPr="00D31468">
              <w:rPr>
                <w:szCs w:val="24"/>
              </w:rPr>
              <w:t>.00</w:t>
            </w:r>
          </w:p>
        </w:tc>
      </w:tr>
      <w:tr w:rsidR="00252F55" w:rsidRPr="00D31468" w14:paraId="2A5C1F19" w14:textId="77777777" w:rsidTr="00D978DD">
        <w:tc>
          <w:tcPr>
            <w:tcW w:w="1507" w:type="dxa"/>
          </w:tcPr>
          <w:p w14:paraId="1E1436A4" w14:textId="2B21C762" w:rsidR="00252F55" w:rsidRPr="00D31468" w:rsidRDefault="00252F55" w:rsidP="000B57D2">
            <w:pPr>
              <w:spacing w:after="240" w:line="240" w:lineRule="auto"/>
              <w:jc w:val="center"/>
              <w:rPr>
                <w:szCs w:val="24"/>
              </w:rPr>
            </w:pPr>
            <w:r w:rsidRPr="00D31468">
              <w:rPr>
                <w:szCs w:val="24"/>
              </w:rPr>
              <w:t>Total</w:t>
            </w:r>
          </w:p>
        </w:tc>
        <w:tc>
          <w:tcPr>
            <w:tcW w:w="1440" w:type="dxa"/>
          </w:tcPr>
          <w:p w14:paraId="0880E67B" w14:textId="77698D1B" w:rsidR="00252F55" w:rsidRPr="00D31468" w:rsidRDefault="0087648D" w:rsidP="00913D82">
            <w:pPr>
              <w:spacing w:after="240" w:line="240" w:lineRule="auto"/>
              <w:jc w:val="center"/>
              <w:rPr>
                <w:szCs w:val="24"/>
              </w:rPr>
            </w:pPr>
            <w:r w:rsidRPr="00D31468">
              <w:rPr>
                <w:szCs w:val="24"/>
              </w:rPr>
              <w:t>1,783</w:t>
            </w:r>
          </w:p>
        </w:tc>
        <w:tc>
          <w:tcPr>
            <w:tcW w:w="1350" w:type="dxa"/>
          </w:tcPr>
          <w:p w14:paraId="5416B94D" w14:textId="7C4DA0A2" w:rsidR="00252F55" w:rsidRPr="00D31468" w:rsidRDefault="00252F55" w:rsidP="00913D82">
            <w:pPr>
              <w:spacing w:after="240" w:line="240" w:lineRule="auto"/>
              <w:jc w:val="center"/>
              <w:rPr>
                <w:szCs w:val="24"/>
              </w:rPr>
            </w:pPr>
          </w:p>
        </w:tc>
        <w:tc>
          <w:tcPr>
            <w:tcW w:w="1260" w:type="dxa"/>
          </w:tcPr>
          <w:p w14:paraId="06CF96CB" w14:textId="4EA690FF" w:rsidR="00252F55" w:rsidRPr="00D31468" w:rsidRDefault="0087648D" w:rsidP="00913D82">
            <w:pPr>
              <w:spacing w:after="240" w:line="240" w:lineRule="auto"/>
              <w:jc w:val="center"/>
              <w:rPr>
                <w:szCs w:val="24"/>
              </w:rPr>
            </w:pPr>
            <w:r w:rsidRPr="00D31468">
              <w:rPr>
                <w:szCs w:val="24"/>
              </w:rPr>
              <w:t>3,596</w:t>
            </w:r>
          </w:p>
        </w:tc>
        <w:tc>
          <w:tcPr>
            <w:tcW w:w="1170" w:type="dxa"/>
          </w:tcPr>
          <w:p w14:paraId="64D898B9" w14:textId="44384FAC" w:rsidR="00252F55" w:rsidRPr="00D31468" w:rsidRDefault="00252F55" w:rsidP="00913D82">
            <w:pPr>
              <w:spacing w:after="240" w:line="240" w:lineRule="auto"/>
              <w:jc w:val="center"/>
              <w:rPr>
                <w:szCs w:val="24"/>
              </w:rPr>
            </w:pPr>
          </w:p>
        </w:tc>
        <w:tc>
          <w:tcPr>
            <w:tcW w:w="990" w:type="dxa"/>
          </w:tcPr>
          <w:p w14:paraId="6467ED23" w14:textId="7F287C79" w:rsidR="00252F55" w:rsidRPr="00D31468" w:rsidRDefault="00C74B1F" w:rsidP="00913D82">
            <w:pPr>
              <w:spacing w:after="240" w:line="240" w:lineRule="auto"/>
              <w:jc w:val="center"/>
              <w:rPr>
                <w:szCs w:val="24"/>
              </w:rPr>
            </w:pPr>
            <w:r w:rsidRPr="00D31468">
              <w:rPr>
                <w:szCs w:val="24"/>
              </w:rPr>
              <w:t>636</w:t>
            </w:r>
            <w:r w:rsidR="00252F55" w:rsidRPr="00D31468">
              <w:rPr>
                <w:szCs w:val="24"/>
              </w:rPr>
              <w:t>.2</w:t>
            </w:r>
          </w:p>
        </w:tc>
        <w:tc>
          <w:tcPr>
            <w:tcW w:w="990" w:type="dxa"/>
          </w:tcPr>
          <w:p w14:paraId="02014231" w14:textId="6C4D9D16" w:rsidR="00252F55" w:rsidRPr="00D31468" w:rsidRDefault="00252F55" w:rsidP="00913D82">
            <w:pPr>
              <w:spacing w:after="240" w:line="240" w:lineRule="auto"/>
              <w:jc w:val="center"/>
              <w:rPr>
                <w:szCs w:val="24"/>
              </w:rPr>
            </w:pPr>
          </w:p>
        </w:tc>
        <w:tc>
          <w:tcPr>
            <w:tcW w:w="1193" w:type="dxa"/>
          </w:tcPr>
          <w:p w14:paraId="0555098D" w14:textId="0A217C20" w:rsidR="00252F55" w:rsidRPr="00D31468" w:rsidRDefault="00252F55" w:rsidP="00856C98">
            <w:pPr>
              <w:spacing w:after="240" w:line="240" w:lineRule="auto"/>
              <w:jc w:val="center"/>
              <w:rPr>
                <w:szCs w:val="24"/>
              </w:rPr>
            </w:pPr>
            <w:r w:rsidRPr="00D31468">
              <w:rPr>
                <w:szCs w:val="24"/>
              </w:rPr>
              <w:t>$</w:t>
            </w:r>
            <w:r w:rsidR="00A0212C" w:rsidRPr="00D31468">
              <w:rPr>
                <w:szCs w:val="24"/>
              </w:rPr>
              <w:t>4</w:t>
            </w:r>
            <w:r w:rsidR="0012234A" w:rsidRPr="00D31468">
              <w:rPr>
                <w:szCs w:val="24"/>
              </w:rPr>
              <w:t>,</w:t>
            </w:r>
            <w:r w:rsidR="00A0212C" w:rsidRPr="00D31468">
              <w:rPr>
                <w:szCs w:val="24"/>
              </w:rPr>
              <w:t>330.15</w:t>
            </w:r>
          </w:p>
        </w:tc>
      </w:tr>
    </w:tbl>
    <w:p w14:paraId="78273FBE" w14:textId="3A146274" w:rsidR="00856C98" w:rsidRPr="00D31468" w:rsidRDefault="00856C98" w:rsidP="00856C98">
      <w:pPr>
        <w:pStyle w:val="NoSpacing"/>
        <w:rPr>
          <w:szCs w:val="24"/>
        </w:rPr>
      </w:pPr>
      <w:r w:rsidRPr="00D31468">
        <w:rPr>
          <w:szCs w:val="24"/>
        </w:rPr>
        <w:t>*Federal Youth Minimum Wage Program (</w:t>
      </w:r>
      <w:hyperlink r:id="rId13" w:history="1">
        <w:r w:rsidRPr="00D31468">
          <w:rPr>
            <w:rStyle w:val="Hyperlink"/>
            <w:szCs w:val="24"/>
          </w:rPr>
          <w:t>http://webapps.dol.gov/elaws/whd/flsa/docs/ymwplink.asp</w:t>
        </w:r>
      </w:hyperlink>
      <w:r w:rsidRPr="00D31468">
        <w:rPr>
          <w:szCs w:val="24"/>
        </w:rPr>
        <w:t xml:space="preserve">) </w:t>
      </w:r>
    </w:p>
    <w:p w14:paraId="0D35CE6D" w14:textId="5C26A2DB" w:rsidR="000B6E4E" w:rsidRPr="00D31468" w:rsidRDefault="00856C98" w:rsidP="00856C98">
      <w:pPr>
        <w:pStyle w:val="NoSpacing"/>
        <w:rPr>
          <w:szCs w:val="24"/>
        </w:rPr>
      </w:pPr>
      <w:r w:rsidRPr="00D31468">
        <w:rPr>
          <w:szCs w:val="24"/>
        </w:rPr>
        <w:t xml:space="preserve">**Federal minimum wage per Fair Minimum Wage Act </w:t>
      </w:r>
      <w:r w:rsidR="007E48CD" w:rsidRPr="00D31468">
        <w:rPr>
          <w:szCs w:val="24"/>
        </w:rPr>
        <w:t xml:space="preserve">of </w:t>
      </w:r>
      <w:r w:rsidRPr="00D31468">
        <w:rPr>
          <w:szCs w:val="24"/>
        </w:rPr>
        <w:t>2007 (</w:t>
      </w:r>
      <w:hyperlink r:id="rId14" w:history="1">
        <w:r w:rsidRPr="00D31468">
          <w:rPr>
            <w:rStyle w:val="Hyperlink"/>
            <w:szCs w:val="24"/>
          </w:rPr>
          <w:t>http://webapps.dol.gov/elaws/faq/esa/flsa/001.htm</w:t>
        </w:r>
      </w:hyperlink>
      <w:r w:rsidRPr="00D31468">
        <w:rPr>
          <w:szCs w:val="24"/>
        </w:rPr>
        <w:t>)</w:t>
      </w:r>
    </w:p>
    <w:p w14:paraId="54434217" w14:textId="77777777" w:rsidR="00856C98" w:rsidRPr="00D31468" w:rsidRDefault="00856C98" w:rsidP="00856C98">
      <w:pPr>
        <w:pStyle w:val="NoSpacing"/>
        <w:rPr>
          <w:szCs w:val="24"/>
        </w:rPr>
      </w:pPr>
    </w:p>
    <w:p w14:paraId="643CDCAC" w14:textId="77777777" w:rsidR="000B6E4E" w:rsidRPr="00D31468" w:rsidRDefault="000B6E4E" w:rsidP="00913D82">
      <w:pPr>
        <w:pStyle w:val="Heading2"/>
        <w:spacing w:after="240" w:line="240" w:lineRule="auto"/>
        <w:rPr>
          <w:color w:val="FF0000"/>
          <w:szCs w:val="24"/>
        </w:rPr>
      </w:pPr>
      <w:r w:rsidRPr="00D31468">
        <w:rPr>
          <w:szCs w:val="24"/>
        </w:rPr>
        <w:t>13. Estimates of Annualized Cost Burden to Respondents</w:t>
      </w:r>
    </w:p>
    <w:p w14:paraId="0DEAB1B7" w14:textId="12A0A5D6" w:rsidR="000B6E4E" w:rsidRPr="00D31468" w:rsidRDefault="000B6E4E" w:rsidP="00913D82">
      <w:pPr>
        <w:spacing w:after="240" w:line="240" w:lineRule="auto"/>
        <w:rPr>
          <w:szCs w:val="24"/>
        </w:rPr>
      </w:pPr>
      <w:r w:rsidRPr="00D31468">
        <w:rPr>
          <w:szCs w:val="24"/>
        </w:rPr>
        <w:t>There will be no capital, startup, operation, or maintenance of services costs to respondents.</w:t>
      </w:r>
    </w:p>
    <w:p w14:paraId="7FB07D49" w14:textId="77777777" w:rsidR="000B6E4E" w:rsidRPr="00D31468" w:rsidRDefault="000B6E4E" w:rsidP="00913D82">
      <w:pPr>
        <w:pStyle w:val="Heading2"/>
        <w:spacing w:after="240" w:line="240" w:lineRule="auto"/>
        <w:rPr>
          <w:szCs w:val="24"/>
        </w:rPr>
      </w:pPr>
      <w:r w:rsidRPr="00D31468">
        <w:rPr>
          <w:szCs w:val="24"/>
        </w:rPr>
        <w:t>14. Estimates of Annualized Cost to the Government</w:t>
      </w:r>
    </w:p>
    <w:p w14:paraId="30C3687C" w14:textId="3C203980" w:rsidR="000B6E4E" w:rsidRPr="00D31468" w:rsidRDefault="000B6E4E" w:rsidP="00913D82">
      <w:pPr>
        <w:spacing w:after="240" w:line="240" w:lineRule="auto"/>
        <w:rPr>
          <w:bCs/>
          <w:szCs w:val="24"/>
        </w:rPr>
      </w:pPr>
      <w:r w:rsidRPr="00D31468">
        <w:rPr>
          <w:szCs w:val="24"/>
        </w:rPr>
        <w:t>The estimated cost to the government for the data collection is $</w:t>
      </w:r>
      <w:r w:rsidR="00EE56F7" w:rsidRPr="00D31468">
        <w:rPr>
          <w:szCs w:val="24"/>
        </w:rPr>
        <w:t>67,212</w:t>
      </w:r>
      <w:r w:rsidRPr="00D31468">
        <w:rPr>
          <w:szCs w:val="24"/>
        </w:rPr>
        <w:t>.</w:t>
      </w:r>
      <w:r w:rsidR="00177C72" w:rsidRPr="00D31468">
        <w:rPr>
          <w:szCs w:val="24"/>
        </w:rPr>
        <w:t xml:space="preserve"> </w:t>
      </w:r>
      <w:r w:rsidRPr="00D31468">
        <w:rPr>
          <w:szCs w:val="24"/>
        </w:rPr>
        <w:t xml:space="preserve">This includes approximately </w:t>
      </w:r>
      <w:r w:rsidRPr="00D31468">
        <w:rPr>
          <w:bCs/>
          <w:szCs w:val="24"/>
        </w:rPr>
        <w:t>$</w:t>
      </w:r>
      <w:r w:rsidR="00AA7630" w:rsidRPr="00D31468">
        <w:rPr>
          <w:bCs/>
          <w:szCs w:val="24"/>
        </w:rPr>
        <w:t xml:space="preserve">65,000 </w:t>
      </w:r>
      <w:r w:rsidRPr="00D31468">
        <w:rPr>
          <w:bCs/>
          <w:szCs w:val="24"/>
        </w:rPr>
        <w:t xml:space="preserve">for a </w:t>
      </w:r>
      <w:r w:rsidR="00AA7630" w:rsidRPr="00D31468">
        <w:rPr>
          <w:bCs/>
          <w:szCs w:val="24"/>
        </w:rPr>
        <w:t>1</w:t>
      </w:r>
      <w:r w:rsidR="00BF0F52" w:rsidRPr="00D31468">
        <w:rPr>
          <w:bCs/>
          <w:szCs w:val="24"/>
        </w:rPr>
        <w:t>-</w:t>
      </w:r>
      <w:r w:rsidRPr="00D31468">
        <w:rPr>
          <w:bCs/>
          <w:szCs w:val="24"/>
        </w:rPr>
        <w:t xml:space="preserve">year contract for data collection, </w:t>
      </w:r>
      <w:r w:rsidR="007326DA" w:rsidRPr="00D31468">
        <w:rPr>
          <w:bCs/>
          <w:szCs w:val="24"/>
        </w:rPr>
        <w:t xml:space="preserve">data analysis, </w:t>
      </w:r>
      <w:r w:rsidRPr="00D31468">
        <w:rPr>
          <w:bCs/>
          <w:szCs w:val="24"/>
        </w:rPr>
        <w:t>report</w:t>
      </w:r>
      <w:r w:rsidR="007326DA" w:rsidRPr="00D31468">
        <w:rPr>
          <w:bCs/>
          <w:szCs w:val="24"/>
        </w:rPr>
        <w:t>s</w:t>
      </w:r>
      <w:r w:rsidRPr="00D31468">
        <w:rPr>
          <w:bCs/>
          <w:szCs w:val="24"/>
        </w:rPr>
        <w:t>, etc.</w:t>
      </w:r>
      <w:r w:rsidR="0012234A" w:rsidRPr="00D31468">
        <w:rPr>
          <w:bCs/>
          <w:szCs w:val="24"/>
        </w:rPr>
        <w:t>,</w:t>
      </w:r>
      <w:r w:rsidRPr="00D31468">
        <w:rPr>
          <w:bCs/>
          <w:szCs w:val="24"/>
        </w:rPr>
        <w:t xml:space="preserve"> and approximately $</w:t>
      </w:r>
      <w:r w:rsidR="006B2D80" w:rsidRPr="00D31468">
        <w:rPr>
          <w:bCs/>
          <w:szCs w:val="24"/>
        </w:rPr>
        <w:t xml:space="preserve">2,212 </w:t>
      </w:r>
      <w:r w:rsidRPr="00D31468">
        <w:rPr>
          <w:bCs/>
          <w:szCs w:val="24"/>
        </w:rPr>
        <w:t>per year represents SAMHSA costs to manage/</w:t>
      </w:r>
      <w:r w:rsidR="0012234A" w:rsidRPr="00D31468">
        <w:rPr>
          <w:bCs/>
          <w:szCs w:val="24"/>
        </w:rPr>
        <w:t xml:space="preserve">administer </w:t>
      </w:r>
      <w:r w:rsidRPr="00D31468">
        <w:rPr>
          <w:bCs/>
          <w:szCs w:val="24"/>
        </w:rPr>
        <w:t>the survey for 2</w:t>
      </w:r>
      <w:r w:rsidR="00AB086E" w:rsidRPr="00D31468">
        <w:rPr>
          <w:bCs/>
          <w:szCs w:val="24"/>
        </w:rPr>
        <w:t xml:space="preserve"> percent</w:t>
      </w:r>
      <w:r w:rsidRPr="00D31468">
        <w:rPr>
          <w:bCs/>
          <w:szCs w:val="24"/>
        </w:rPr>
        <w:t xml:space="preserve"> of one employee (GS-</w:t>
      </w:r>
      <w:r w:rsidR="00700D19" w:rsidRPr="00D31468">
        <w:rPr>
          <w:bCs/>
          <w:szCs w:val="24"/>
        </w:rPr>
        <w:t>13</w:t>
      </w:r>
      <w:r w:rsidRPr="00D31468">
        <w:rPr>
          <w:bCs/>
          <w:szCs w:val="24"/>
        </w:rPr>
        <w:t>).</w:t>
      </w:r>
      <w:r w:rsidR="00177C72" w:rsidRPr="00D31468">
        <w:rPr>
          <w:bCs/>
          <w:szCs w:val="24"/>
        </w:rPr>
        <w:t xml:space="preserve"> </w:t>
      </w:r>
      <w:r w:rsidRPr="00D31468">
        <w:rPr>
          <w:bCs/>
          <w:szCs w:val="24"/>
        </w:rPr>
        <w:t>The total annualized cost is approximately $</w:t>
      </w:r>
      <w:r w:rsidR="00EE56F7" w:rsidRPr="00D31468">
        <w:rPr>
          <w:szCs w:val="24"/>
        </w:rPr>
        <w:t>67,212</w:t>
      </w:r>
      <w:r w:rsidR="00EE56F7" w:rsidRPr="00D31468">
        <w:rPr>
          <w:bCs/>
          <w:szCs w:val="24"/>
        </w:rPr>
        <w:t>.</w:t>
      </w:r>
    </w:p>
    <w:p w14:paraId="538C2667" w14:textId="77777777" w:rsidR="000B6E4E" w:rsidRPr="00D31468" w:rsidRDefault="000B6E4E" w:rsidP="00913D82">
      <w:pPr>
        <w:pStyle w:val="Heading2"/>
        <w:spacing w:after="240" w:line="240" w:lineRule="auto"/>
        <w:rPr>
          <w:color w:val="FF0000"/>
          <w:szCs w:val="24"/>
        </w:rPr>
      </w:pPr>
      <w:r w:rsidRPr="00D31468">
        <w:rPr>
          <w:szCs w:val="24"/>
        </w:rPr>
        <w:t>15. Changes in Burden</w:t>
      </w:r>
    </w:p>
    <w:p w14:paraId="42AA1097" w14:textId="614EA5F1" w:rsidR="000B6E4E" w:rsidRPr="00D31468" w:rsidRDefault="00F939F3" w:rsidP="00913D82">
      <w:pPr>
        <w:spacing w:after="240" w:line="240" w:lineRule="auto"/>
        <w:rPr>
          <w:szCs w:val="24"/>
        </w:rPr>
      </w:pPr>
      <w:r w:rsidRPr="00D31468">
        <w:rPr>
          <w:szCs w:val="24"/>
        </w:rPr>
        <w:t>Th</w:t>
      </w:r>
      <w:r w:rsidR="00352239" w:rsidRPr="00D31468">
        <w:rPr>
          <w:szCs w:val="24"/>
        </w:rPr>
        <w:t xml:space="preserve">ere is </w:t>
      </w:r>
      <w:r w:rsidR="00CB3FD1" w:rsidRPr="00D31468">
        <w:rPr>
          <w:szCs w:val="24"/>
        </w:rPr>
        <w:t>no burden</w:t>
      </w:r>
      <w:r w:rsidR="00352239" w:rsidRPr="00D31468">
        <w:rPr>
          <w:szCs w:val="24"/>
        </w:rPr>
        <w:t xml:space="preserve"> change.</w:t>
      </w:r>
    </w:p>
    <w:p w14:paraId="114B3C29" w14:textId="77777777" w:rsidR="000B6E4E" w:rsidRPr="00D31468" w:rsidRDefault="000B6E4E" w:rsidP="00913D82">
      <w:pPr>
        <w:pStyle w:val="Heading2"/>
        <w:spacing w:after="240" w:line="240" w:lineRule="auto"/>
        <w:rPr>
          <w:szCs w:val="24"/>
        </w:rPr>
      </w:pPr>
      <w:r w:rsidRPr="00D31468">
        <w:rPr>
          <w:szCs w:val="24"/>
        </w:rPr>
        <w:t>16. Time Schedule, Publication, and Analysis Plans</w:t>
      </w:r>
    </w:p>
    <w:p w14:paraId="0E4FB96E" w14:textId="77777777" w:rsidR="000B6E4E" w:rsidRPr="00D31468" w:rsidRDefault="000B6E4E" w:rsidP="00913D82">
      <w:pPr>
        <w:pStyle w:val="Heading3"/>
        <w:spacing w:after="240" w:line="240" w:lineRule="auto"/>
        <w:rPr>
          <w:szCs w:val="24"/>
        </w:rPr>
      </w:pPr>
      <w:r w:rsidRPr="00D31468">
        <w:rPr>
          <w:szCs w:val="24"/>
        </w:rPr>
        <w:t>Time Schedule</w:t>
      </w:r>
    </w:p>
    <w:tbl>
      <w:tblPr>
        <w:tblStyle w:val="TableGrid"/>
        <w:tblW w:w="0" w:type="auto"/>
        <w:tblLook w:val="04A0" w:firstRow="1" w:lastRow="0" w:firstColumn="1" w:lastColumn="0" w:noHBand="0" w:noVBand="1"/>
      </w:tblPr>
      <w:tblGrid>
        <w:gridCol w:w="4590"/>
        <w:gridCol w:w="4590"/>
      </w:tblGrid>
      <w:tr w:rsidR="00C51249" w:rsidRPr="00D31468" w14:paraId="6336B26E" w14:textId="77777777" w:rsidTr="00091E57">
        <w:tc>
          <w:tcPr>
            <w:tcW w:w="4590" w:type="dxa"/>
            <w:shd w:val="clear" w:color="auto" w:fill="000000" w:themeFill="text1"/>
          </w:tcPr>
          <w:p w14:paraId="23895DD8" w14:textId="77777777" w:rsidR="00C51249" w:rsidRPr="00D31468" w:rsidRDefault="00C51249" w:rsidP="00091E57">
            <w:pPr>
              <w:jc w:val="center"/>
              <w:rPr>
                <w:b/>
                <w:szCs w:val="24"/>
              </w:rPr>
            </w:pPr>
            <w:r w:rsidRPr="00D31468">
              <w:rPr>
                <w:b/>
                <w:szCs w:val="24"/>
              </w:rPr>
              <w:t>Date</w:t>
            </w:r>
          </w:p>
        </w:tc>
        <w:tc>
          <w:tcPr>
            <w:tcW w:w="4590" w:type="dxa"/>
            <w:shd w:val="clear" w:color="auto" w:fill="000000" w:themeFill="text1"/>
          </w:tcPr>
          <w:p w14:paraId="67E1F9BD" w14:textId="12E186B6" w:rsidR="00C51249" w:rsidRPr="00D31468" w:rsidRDefault="00C51249" w:rsidP="00C51249">
            <w:pPr>
              <w:jc w:val="center"/>
              <w:rPr>
                <w:b/>
                <w:szCs w:val="24"/>
              </w:rPr>
            </w:pPr>
            <w:r w:rsidRPr="00D31468">
              <w:rPr>
                <w:b/>
                <w:szCs w:val="24"/>
              </w:rPr>
              <w:t>Case Stud</w:t>
            </w:r>
            <w:r w:rsidR="009D5A26" w:rsidRPr="00D31468">
              <w:rPr>
                <w:b/>
                <w:szCs w:val="24"/>
              </w:rPr>
              <w:t>y</w:t>
            </w:r>
            <w:r w:rsidRPr="00D31468">
              <w:rPr>
                <w:b/>
                <w:szCs w:val="24"/>
              </w:rPr>
              <w:t xml:space="preserve"> Activity</w:t>
            </w:r>
          </w:p>
        </w:tc>
      </w:tr>
      <w:tr w:rsidR="00C51249" w:rsidRPr="00D31468" w14:paraId="7A4930EC" w14:textId="77777777" w:rsidTr="00091E57">
        <w:tc>
          <w:tcPr>
            <w:tcW w:w="4590" w:type="dxa"/>
          </w:tcPr>
          <w:p w14:paraId="44681FF2" w14:textId="30BEE284" w:rsidR="00C51249" w:rsidRPr="00D31468" w:rsidRDefault="001E68C5" w:rsidP="001E68C5">
            <w:pPr>
              <w:rPr>
                <w:szCs w:val="24"/>
              </w:rPr>
            </w:pPr>
            <w:r w:rsidRPr="00D31468">
              <w:rPr>
                <w:szCs w:val="24"/>
              </w:rPr>
              <w:t>December 201</w:t>
            </w:r>
            <w:r w:rsidR="00822B23" w:rsidRPr="00D31468">
              <w:rPr>
                <w:szCs w:val="24"/>
              </w:rPr>
              <w:t>9</w:t>
            </w:r>
            <w:r w:rsidR="0012234A" w:rsidRPr="00D31468">
              <w:rPr>
                <w:szCs w:val="24"/>
              </w:rPr>
              <w:t>–</w:t>
            </w:r>
            <w:r w:rsidR="00822B23" w:rsidRPr="00D31468">
              <w:rPr>
                <w:szCs w:val="24"/>
              </w:rPr>
              <w:t xml:space="preserve">March </w:t>
            </w:r>
            <w:r w:rsidRPr="00D31468">
              <w:rPr>
                <w:szCs w:val="24"/>
              </w:rPr>
              <w:t>20</w:t>
            </w:r>
            <w:r w:rsidR="00822B23" w:rsidRPr="00D31468">
              <w:rPr>
                <w:szCs w:val="24"/>
              </w:rPr>
              <w:t>20</w:t>
            </w:r>
          </w:p>
        </w:tc>
        <w:tc>
          <w:tcPr>
            <w:tcW w:w="4590" w:type="dxa"/>
          </w:tcPr>
          <w:p w14:paraId="699E55A9" w14:textId="77777777" w:rsidR="00C51249" w:rsidRPr="00D31468" w:rsidRDefault="00CC7425" w:rsidP="00CC7425">
            <w:pPr>
              <w:rPr>
                <w:szCs w:val="24"/>
              </w:rPr>
            </w:pPr>
            <w:r w:rsidRPr="00D31468">
              <w:rPr>
                <w:szCs w:val="24"/>
              </w:rPr>
              <w:t>SAMHSA r</w:t>
            </w:r>
            <w:r w:rsidR="001E68C5" w:rsidRPr="00D31468">
              <w:rPr>
                <w:szCs w:val="24"/>
              </w:rPr>
              <w:t>ecruit</w:t>
            </w:r>
            <w:r w:rsidRPr="00D31468">
              <w:rPr>
                <w:szCs w:val="24"/>
              </w:rPr>
              <w:t>s</w:t>
            </w:r>
            <w:r w:rsidR="001E68C5" w:rsidRPr="00D31468">
              <w:rPr>
                <w:szCs w:val="24"/>
              </w:rPr>
              <w:t xml:space="preserve"> sites and partner organizations following OMB approval.</w:t>
            </w:r>
          </w:p>
        </w:tc>
      </w:tr>
      <w:tr w:rsidR="00C51249" w:rsidRPr="00D31468" w14:paraId="4F355086" w14:textId="77777777" w:rsidTr="00091E57">
        <w:tc>
          <w:tcPr>
            <w:tcW w:w="4590" w:type="dxa"/>
          </w:tcPr>
          <w:p w14:paraId="64E6C997" w14:textId="5DBB56CE" w:rsidR="00C51249" w:rsidRPr="00D31468" w:rsidRDefault="00822B23" w:rsidP="00C51249">
            <w:pPr>
              <w:rPr>
                <w:szCs w:val="24"/>
              </w:rPr>
            </w:pPr>
            <w:r w:rsidRPr="00D31468">
              <w:rPr>
                <w:szCs w:val="24"/>
              </w:rPr>
              <w:t xml:space="preserve">October </w:t>
            </w:r>
            <w:r w:rsidR="00C51249" w:rsidRPr="00D31468">
              <w:rPr>
                <w:szCs w:val="24"/>
              </w:rPr>
              <w:t>20</w:t>
            </w:r>
            <w:r w:rsidRPr="00D31468">
              <w:rPr>
                <w:szCs w:val="24"/>
              </w:rPr>
              <w:t>20</w:t>
            </w:r>
          </w:p>
        </w:tc>
        <w:tc>
          <w:tcPr>
            <w:tcW w:w="4590" w:type="dxa"/>
          </w:tcPr>
          <w:p w14:paraId="04D08970" w14:textId="147A6010" w:rsidR="00C51249" w:rsidRPr="00D31468" w:rsidRDefault="00CC7425" w:rsidP="000B57D2">
            <w:pPr>
              <w:rPr>
                <w:szCs w:val="24"/>
              </w:rPr>
            </w:pPr>
            <w:r w:rsidRPr="00D31468">
              <w:rPr>
                <w:szCs w:val="24"/>
              </w:rPr>
              <w:t>SAMHSA c</w:t>
            </w:r>
            <w:r w:rsidR="001E68C5" w:rsidRPr="00D31468">
              <w:rPr>
                <w:szCs w:val="24"/>
              </w:rPr>
              <w:t>onduct</w:t>
            </w:r>
            <w:r w:rsidRPr="00D31468">
              <w:rPr>
                <w:szCs w:val="24"/>
              </w:rPr>
              <w:t>s</w:t>
            </w:r>
            <w:r w:rsidR="001E68C5" w:rsidRPr="00D31468">
              <w:rPr>
                <w:szCs w:val="24"/>
              </w:rPr>
              <w:t xml:space="preserve"> parent/caregiver and youth pre-tests</w:t>
            </w:r>
            <w:r w:rsidRPr="00D31468">
              <w:rPr>
                <w:szCs w:val="24"/>
              </w:rPr>
              <w:t>.</w:t>
            </w:r>
          </w:p>
        </w:tc>
      </w:tr>
      <w:tr w:rsidR="00C51249" w:rsidRPr="00D31468" w14:paraId="4EDA8AFD" w14:textId="77777777" w:rsidTr="00091E57">
        <w:tc>
          <w:tcPr>
            <w:tcW w:w="4590" w:type="dxa"/>
            <w:shd w:val="clear" w:color="auto" w:fill="FFFFFF" w:themeFill="background1"/>
          </w:tcPr>
          <w:p w14:paraId="4B5EFF6B" w14:textId="64B9EF37" w:rsidR="00C51249" w:rsidRPr="00D31468" w:rsidRDefault="00822B23" w:rsidP="00CC7425">
            <w:pPr>
              <w:rPr>
                <w:szCs w:val="24"/>
              </w:rPr>
            </w:pPr>
            <w:r w:rsidRPr="00D31468">
              <w:rPr>
                <w:szCs w:val="24"/>
              </w:rPr>
              <w:t xml:space="preserve">November </w:t>
            </w:r>
            <w:r w:rsidR="001E68C5" w:rsidRPr="00D31468">
              <w:rPr>
                <w:szCs w:val="24"/>
              </w:rPr>
              <w:t>20</w:t>
            </w:r>
            <w:r w:rsidRPr="00D31468">
              <w:rPr>
                <w:szCs w:val="24"/>
              </w:rPr>
              <w:t>20</w:t>
            </w:r>
            <w:r w:rsidR="001E68C5" w:rsidRPr="00D31468">
              <w:rPr>
                <w:szCs w:val="24"/>
              </w:rPr>
              <w:t>–</w:t>
            </w:r>
            <w:r w:rsidRPr="00D31468">
              <w:rPr>
                <w:szCs w:val="24"/>
              </w:rPr>
              <w:t xml:space="preserve">March </w:t>
            </w:r>
            <w:r w:rsidR="001E68C5" w:rsidRPr="00D31468">
              <w:rPr>
                <w:szCs w:val="24"/>
              </w:rPr>
              <w:t>20</w:t>
            </w:r>
            <w:r w:rsidRPr="00D31468">
              <w:rPr>
                <w:szCs w:val="24"/>
              </w:rPr>
              <w:t>21</w:t>
            </w:r>
          </w:p>
        </w:tc>
        <w:tc>
          <w:tcPr>
            <w:tcW w:w="4590" w:type="dxa"/>
            <w:shd w:val="clear" w:color="auto" w:fill="FFFFFF" w:themeFill="background1"/>
          </w:tcPr>
          <w:p w14:paraId="16798470" w14:textId="01994F2C" w:rsidR="00C51249" w:rsidRPr="00D31468" w:rsidRDefault="00CC7425" w:rsidP="00CC7425">
            <w:pPr>
              <w:rPr>
                <w:szCs w:val="24"/>
              </w:rPr>
            </w:pPr>
            <w:r w:rsidRPr="00D31468">
              <w:rPr>
                <w:szCs w:val="24"/>
              </w:rPr>
              <w:t xml:space="preserve">SAMHSA works with partner organizations to expose </w:t>
            </w:r>
            <w:r w:rsidR="00494B63" w:rsidRPr="00D31468">
              <w:rPr>
                <w:szCs w:val="24"/>
              </w:rPr>
              <w:t>intervention</w:t>
            </w:r>
            <w:r w:rsidR="00105FD8" w:rsidRPr="00D31468">
              <w:rPr>
                <w:szCs w:val="24"/>
              </w:rPr>
              <w:t xml:space="preserve"> </w:t>
            </w:r>
            <w:r w:rsidRPr="00D31468">
              <w:rPr>
                <w:szCs w:val="24"/>
              </w:rPr>
              <w:t>site to campaign materials.</w:t>
            </w:r>
          </w:p>
        </w:tc>
      </w:tr>
      <w:tr w:rsidR="00C51249" w:rsidRPr="00D31468" w14:paraId="3720D3A5" w14:textId="77777777" w:rsidTr="00091E57">
        <w:tc>
          <w:tcPr>
            <w:tcW w:w="4590" w:type="dxa"/>
          </w:tcPr>
          <w:p w14:paraId="32F7F517" w14:textId="407779B5" w:rsidR="00C51249" w:rsidRPr="00D31468" w:rsidRDefault="00822B23" w:rsidP="00CC7425">
            <w:pPr>
              <w:rPr>
                <w:szCs w:val="24"/>
              </w:rPr>
            </w:pPr>
            <w:r w:rsidRPr="00D31468">
              <w:rPr>
                <w:szCs w:val="24"/>
              </w:rPr>
              <w:t xml:space="preserve">April </w:t>
            </w:r>
            <w:r w:rsidR="00CC7425" w:rsidRPr="00D31468">
              <w:rPr>
                <w:szCs w:val="24"/>
              </w:rPr>
              <w:t>20</w:t>
            </w:r>
            <w:r w:rsidRPr="00D31468">
              <w:rPr>
                <w:szCs w:val="24"/>
              </w:rPr>
              <w:t>21</w:t>
            </w:r>
          </w:p>
        </w:tc>
        <w:tc>
          <w:tcPr>
            <w:tcW w:w="4590" w:type="dxa"/>
          </w:tcPr>
          <w:p w14:paraId="6D823464" w14:textId="35C3FF33" w:rsidR="00C51249" w:rsidRPr="00D31468" w:rsidRDefault="00CC7425" w:rsidP="000B57D2">
            <w:pPr>
              <w:rPr>
                <w:szCs w:val="24"/>
              </w:rPr>
            </w:pPr>
            <w:r w:rsidRPr="00D31468">
              <w:rPr>
                <w:szCs w:val="24"/>
              </w:rPr>
              <w:t>SAMHSA conducts parent/caregiver and youth post-tests.</w:t>
            </w:r>
          </w:p>
        </w:tc>
      </w:tr>
      <w:tr w:rsidR="00C51249" w:rsidRPr="00D31468" w14:paraId="40546546" w14:textId="77777777" w:rsidTr="00091E57">
        <w:tc>
          <w:tcPr>
            <w:tcW w:w="4590" w:type="dxa"/>
          </w:tcPr>
          <w:p w14:paraId="01642967" w14:textId="72CCED58" w:rsidR="00C51249" w:rsidRPr="00D31468" w:rsidRDefault="00CC7425" w:rsidP="00CC7425">
            <w:pPr>
              <w:rPr>
                <w:szCs w:val="24"/>
              </w:rPr>
            </w:pPr>
            <w:r w:rsidRPr="00D31468">
              <w:rPr>
                <w:szCs w:val="24"/>
              </w:rPr>
              <w:t xml:space="preserve">May </w:t>
            </w:r>
            <w:r w:rsidR="00822B23" w:rsidRPr="00D31468">
              <w:rPr>
                <w:szCs w:val="24"/>
              </w:rPr>
              <w:t>2021</w:t>
            </w:r>
            <w:r w:rsidRPr="00D31468">
              <w:rPr>
                <w:szCs w:val="24"/>
              </w:rPr>
              <w:t xml:space="preserve">–June </w:t>
            </w:r>
            <w:r w:rsidR="00822B23" w:rsidRPr="00D31468">
              <w:rPr>
                <w:szCs w:val="24"/>
              </w:rPr>
              <w:t>2021</w:t>
            </w:r>
          </w:p>
        </w:tc>
        <w:tc>
          <w:tcPr>
            <w:tcW w:w="4590" w:type="dxa"/>
          </w:tcPr>
          <w:p w14:paraId="7A94FA54" w14:textId="77777777" w:rsidR="00C51249" w:rsidRPr="00D31468" w:rsidRDefault="00CC7425" w:rsidP="00CC7425">
            <w:pPr>
              <w:rPr>
                <w:szCs w:val="24"/>
              </w:rPr>
            </w:pPr>
            <w:r w:rsidRPr="00D31468">
              <w:rPr>
                <w:szCs w:val="24"/>
              </w:rPr>
              <w:t>SAMHSA conducts parent/caregiver individual interviews.</w:t>
            </w:r>
          </w:p>
        </w:tc>
      </w:tr>
      <w:tr w:rsidR="00C51249" w:rsidRPr="00D31468" w14:paraId="2636BAEC" w14:textId="77777777" w:rsidTr="006A14BB">
        <w:tc>
          <w:tcPr>
            <w:tcW w:w="4590" w:type="dxa"/>
            <w:shd w:val="clear" w:color="auto" w:fill="auto"/>
          </w:tcPr>
          <w:p w14:paraId="00BDFE15" w14:textId="29768D9A" w:rsidR="00C51249" w:rsidRPr="00D31468" w:rsidRDefault="00CC7425" w:rsidP="00CC7425">
            <w:pPr>
              <w:rPr>
                <w:szCs w:val="24"/>
              </w:rPr>
            </w:pPr>
            <w:r w:rsidRPr="00D31468">
              <w:rPr>
                <w:szCs w:val="24"/>
              </w:rPr>
              <w:t>July 20</w:t>
            </w:r>
            <w:r w:rsidR="00822B23" w:rsidRPr="00D31468">
              <w:rPr>
                <w:szCs w:val="24"/>
              </w:rPr>
              <w:t>21</w:t>
            </w:r>
          </w:p>
        </w:tc>
        <w:tc>
          <w:tcPr>
            <w:tcW w:w="4590" w:type="dxa"/>
            <w:shd w:val="clear" w:color="auto" w:fill="auto"/>
          </w:tcPr>
          <w:p w14:paraId="13C92254" w14:textId="604DAF11" w:rsidR="00C51249" w:rsidRPr="00D31468" w:rsidRDefault="00CC7425" w:rsidP="00CC7425">
            <w:pPr>
              <w:rPr>
                <w:szCs w:val="24"/>
              </w:rPr>
            </w:pPr>
            <w:r w:rsidRPr="00D31468">
              <w:rPr>
                <w:szCs w:val="24"/>
              </w:rPr>
              <w:t>SAMHSA writes internal report on case stud</w:t>
            </w:r>
            <w:r w:rsidR="009D5A26" w:rsidRPr="00D31468">
              <w:rPr>
                <w:szCs w:val="24"/>
              </w:rPr>
              <w:t>y</w:t>
            </w:r>
            <w:r w:rsidRPr="00D31468">
              <w:rPr>
                <w:szCs w:val="24"/>
              </w:rPr>
              <w:t xml:space="preserve"> findings.</w:t>
            </w:r>
          </w:p>
        </w:tc>
      </w:tr>
      <w:tr w:rsidR="00CC7425" w:rsidRPr="00D31468" w14:paraId="68273BD2" w14:textId="77777777" w:rsidTr="006A14BB">
        <w:tc>
          <w:tcPr>
            <w:tcW w:w="4590" w:type="dxa"/>
            <w:shd w:val="clear" w:color="auto" w:fill="auto"/>
          </w:tcPr>
          <w:p w14:paraId="1CADBCE0" w14:textId="2BB6C5E0" w:rsidR="00CC7425" w:rsidRPr="00D31468" w:rsidRDefault="00822B23" w:rsidP="00CC7425">
            <w:pPr>
              <w:rPr>
                <w:szCs w:val="24"/>
              </w:rPr>
            </w:pPr>
            <w:r w:rsidRPr="00D31468">
              <w:rPr>
                <w:szCs w:val="24"/>
              </w:rPr>
              <w:t>December 2021</w:t>
            </w:r>
          </w:p>
        </w:tc>
        <w:tc>
          <w:tcPr>
            <w:tcW w:w="4590" w:type="dxa"/>
            <w:shd w:val="clear" w:color="auto" w:fill="auto"/>
          </w:tcPr>
          <w:p w14:paraId="5033A3FF" w14:textId="31FBA5B1" w:rsidR="00CC7425" w:rsidRPr="00D31468" w:rsidRDefault="00CC7425" w:rsidP="00EE6A75">
            <w:pPr>
              <w:rPr>
                <w:szCs w:val="24"/>
              </w:rPr>
            </w:pPr>
            <w:r w:rsidRPr="00D31468">
              <w:rPr>
                <w:szCs w:val="24"/>
              </w:rPr>
              <w:t xml:space="preserve">SAMHSA reports findings in the </w:t>
            </w:r>
            <w:r w:rsidR="00822B23" w:rsidRPr="00D31468">
              <w:rPr>
                <w:szCs w:val="24"/>
              </w:rPr>
              <w:t xml:space="preserve">2021 </w:t>
            </w:r>
            <w:r w:rsidR="00AD5B19" w:rsidRPr="00D31468">
              <w:rPr>
                <w:i/>
                <w:iCs/>
                <w:szCs w:val="24"/>
              </w:rPr>
              <w:t>Report to Congress on the Prevention and Reduction of Underage Drinking</w:t>
            </w:r>
            <w:r w:rsidR="00A53F0C" w:rsidRPr="00D31468">
              <w:rPr>
                <w:i/>
                <w:iCs/>
                <w:szCs w:val="24"/>
              </w:rPr>
              <w:t>.</w:t>
            </w:r>
          </w:p>
        </w:tc>
      </w:tr>
    </w:tbl>
    <w:p w14:paraId="442EE911" w14:textId="77777777" w:rsidR="00C51249" w:rsidRPr="00D31468" w:rsidRDefault="00C51249" w:rsidP="00913D82">
      <w:pPr>
        <w:spacing w:after="240" w:line="240" w:lineRule="auto"/>
        <w:rPr>
          <w:szCs w:val="24"/>
        </w:rPr>
      </w:pPr>
    </w:p>
    <w:p w14:paraId="56AFFBBA" w14:textId="77777777" w:rsidR="000B6E4E" w:rsidRPr="00D31468" w:rsidRDefault="000B6E4E" w:rsidP="00913D82">
      <w:pPr>
        <w:pStyle w:val="Heading3"/>
        <w:spacing w:after="240" w:line="240" w:lineRule="auto"/>
        <w:rPr>
          <w:color w:val="FF0000"/>
          <w:szCs w:val="24"/>
        </w:rPr>
      </w:pPr>
      <w:r w:rsidRPr="00D31468">
        <w:rPr>
          <w:szCs w:val="24"/>
        </w:rPr>
        <w:t>Analysis Plan</w:t>
      </w:r>
    </w:p>
    <w:p w14:paraId="38590482" w14:textId="1B4A5E5B" w:rsidR="000B6E4E" w:rsidRPr="00D31468" w:rsidRDefault="000B6E4E" w:rsidP="00913D82">
      <w:pPr>
        <w:spacing w:after="240" w:line="240" w:lineRule="auto"/>
        <w:rPr>
          <w:szCs w:val="24"/>
        </w:rPr>
      </w:pPr>
      <w:r w:rsidRPr="00D31468">
        <w:rPr>
          <w:szCs w:val="24"/>
        </w:rPr>
        <w:t xml:space="preserve">The analysis plan for the </w:t>
      </w:r>
      <w:r w:rsidR="00CC7425" w:rsidRPr="00D31468">
        <w:rPr>
          <w:szCs w:val="24"/>
        </w:rPr>
        <w:t>case stud</w:t>
      </w:r>
      <w:r w:rsidR="009D5A26" w:rsidRPr="00D31468">
        <w:rPr>
          <w:szCs w:val="24"/>
        </w:rPr>
        <w:t>y</w:t>
      </w:r>
      <w:r w:rsidRPr="00D31468">
        <w:rPr>
          <w:szCs w:val="24"/>
        </w:rPr>
        <w:t xml:space="preserve"> is designed to </w:t>
      </w:r>
      <w:r w:rsidR="00EE6A75" w:rsidRPr="00D31468">
        <w:rPr>
          <w:szCs w:val="24"/>
        </w:rPr>
        <w:t>address the following questions</w:t>
      </w:r>
      <w:r w:rsidRPr="00D31468">
        <w:rPr>
          <w:szCs w:val="24"/>
        </w:rPr>
        <w:t>:</w:t>
      </w:r>
    </w:p>
    <w:p w14:paraId="4A0EC552" w14:textId="191D304A" w:rsidR="00EE6A75" w:rsidRPr="00D31468" w:rsidRDefault="00EE6A75" w:rsidP="00D853FC">
      <w:pPr>
        <w:pStyle w:val="ListParagraph"/>
        <w:numPr>
          <w:ilvl w:val="0"/>
          <w:numId w:val="24"/>
        </w:numPr>
        <w:spacing w:after="240" w:line="240" w:lineRule="auto"/>
        <w:ind w:left="720" w:hanging="360"/>
        <w:rPr>
          <w:szCs w:val="24"/>
        </w:rPr>
      </w:pPr>
      <w:r w:rsidRPr="00D31468">
        <w:rPr>
          <w:szCs w:val="24"/>
        </w:rPr>
        <w:t>Is there a relationship between campaign exposure and changes in parent</w:t>
      </w:r>
      <w:r w:rsidR="0018751F" w:rsidRPr="00D31468">
        <w:rPr>
          <w:szCs w:val="24"/>
        </w:rPr>
        <w:t>/caregiver</w:t>
      </w:r>
      <w:r w:rsidRPr="00D31468">
        <w:rPr>
          <w:szCs w:val="24"/>
        </w:rPr>
        <w:t xml:space="preserve"> attitudes </w:t>
      </w:r>
      <w:r w:rsidR="008373D1" w:rsidRPr="00D31468">
        <w:rPr>
          <w:szCs w:val="24"/>
        </w:rPr>
        <w:t xml:space="preserve">and behavior </w:t>
      </w:r>
      <w:r w:rsidR="00091E57" w:rsidRPr="00D31468">
        <w:rPr>
          <w:szCs w:val="24"/>
        </w:rPr>
        <w:t>about underage drinking</w:t>
      </w:r>
      <w:r w:rsidRPr="00D31468">
        <w:rPr>
          <w:szCs w:val="24"/>
        </w:rPr>
        <w:t xml:space="preserve"> at the </w:t>
      </w:r>
      <w:r w:rsidR="008373D1" w:rsidRPr="00D31468">
        <w:rPr>
          <w:szCs w:val="24"/>
        </w:rPr>
        <w:t>selected</w:t>
      </w:r>
      <w:r w:rsidRPr="00D31468">
        <w:rPr>
          <w:szCs w:val="24"/>
        </w:rPr>
        <w:t xml:space="preserve"> sites?</w:t>
      </w:r>
    </w:p>
    <w:p w14:paraId="33B4A951" w14:textId="74547F45" w:rsidR="00A12C2C" w:rsidRPr="00D31468" w:rsidRDefault="00EE6A75" w:rsidP="00D853FC">
      <w:pPr>
        <w:pStyle w:val="ListParagraph"/>
        <w:numPr>
          <w:ilvl w:val="0"/>
          <w:numId w:val="24"/>
        </w:numPr>
        <w:spacing w:after="240" w:line="240" w:lineRule="auto"/>
        <w:ind w:left="720" w:hanging="360"/>
        <w:rPr>
          <w:szCs w:val="24"/>
        </w:rPr>
      </w:pPr>
      <w:r w:rsidRPr="00D31468">
        <w:rPr>
          <w:szCs w:val="24"/>
        </w:rPr>
        <w:t xml:space="preserve">What are the effects of campaign exposure on parents/caregivers in the </w:t>
      </w:r>
      <w:r w:rsidR="008373D1" w:rsidRPr="00D31468">
        <w:rPr>
          <w:szCs w:val="24"/>
        </w:rPr>
        <w:t>selected</w:t>
      </w:r>
      <w:r w:rsidRPr="00D31468">
        <w:rPr>
          <w:szCs w:val="24"/>
        </w:rPr>
        <w:t xml:space="preserve"> sites?</w:t>
      </w:r>
    </w:p>
    <w:p w14:paraId="34D049B0" w14:textId="4BF1E5C5" w:rsidR="00EE6A75" w:rsidRPr="00D31468" w:rsidRDefault="00EE6A75" w:rsidP="00D853FC">
      <w:pPr>
        <w:pStyle w:val="ListParagraph"/>
        <w:numPr>
          <w:ilvl w:val="1"/>
          <w:numId w:val="24"/>
        </w:numPr>
        <w:spacing w:after="240" w:line="240" w:lineRule="auto"/>
        <w:ind w:left="1440" w:hanging="360"/>
        <w:rPr>
          <w:szCs w:val="24"/>
        </w:rPr>
      </w:pPr>
      <w:r w:rsidRPr="00D31468">
        <w:rPr>
          <w:szCs w:val="24"/>
        </w:rPr>
        <w:t>Do individual interview data from the school sites suggest a cause</w:t>
      </w:r>
      <w:r w:rsidR="00422ECB" w:rsidRPr="00D31468">
        <w:rPr>
          <w:szCs w:val="24"/>
        </w:rPr>
        <w:t>–</w:t>
      </w:r>
      <w:r w:rsidRPr="00D31468">
        <w:rPr>
          <w:szCs w:val="24"/>
        </w:rPr>
        <w:t>effect relationship between campaign exposure and changes in parent</w:t>
      </w:r>
      <w:r w:rsidR="0018751F" w:rsidRPr="00D31468">
        <w:rPr>
          <w:szCs w:val="24"/>
        </w:rPr>
        <w:t xml:space="preserve">/caregiver </w:t>
      </w:r>
      <w:r w:rsidRPr="00D31468">
        <w:rPr>
          <w:szCs w:val="24"/>
        </w:rPr>
        <w:t xml:space="preserve">attitudes and behaviors </w:t>
      </w:r>
      <w:r w:rsidR="006622E6" w:rsidRPr="00D31468">
        <w:rPr>
          <w:szCs w:val="24"/>
        </w:rPr>
        <w:t xml:space="preserve">in the </w:t>
      </w:r>
      <w:r w:rsidR="00494B63" w:rsidRPr="00D31468">
        <w:rPr>
          <w:szCs w:val="24"/>
        </w:rPr>
        <w:t>intervention</w:t>
      </w:r>
      <w:r w:rsidR="006622E6" w:rsidRPr="00D31468">
        <w:rPr>
          <w:szCs w:val="24"/>
        </w:rPr>
        <w:t xml:space="preserve"> school district</w:t>
      </w:r>
      <w:r w:rsidRPr="00D31468">
        <w:rPr>
          <w:szCs w:val="24"/>
        </w:rPr>
        <w:t>?</w:t>
      </w:r>
    </w:p>
    <w:p w14:paraId="35A7C6CB" w14:textId="21430041" w:rsidR="00EE6A75" w:rsidRPr="00D31468" w:rsidRDefault="00EE6A75" w:rsidP="00D853FC">
      <w:pPr>
        <w:pStyle w:val="ListParagraph"/>
        <w:numPr>
          <w:ilvl w:val="0"/>
          <w:numId w:val="24"/>
        </w:numPr>
        <w:spacing w:after="240" w:line="240" w:lineRule="auto"/>
        <w:ind w:left="720" w:hanging="360"/>
        <w:rPr>
          <w:szCs w:val="24"/>
        </w:rPr>
      </w:pPr>
      <w:r w:rsidRPr="00D31468">
        <w:rPr>
          <w:szCs w:val="24"/>
        </w:rPr>
        <w:t>Is there a relationship between parents’</w:t>
      </w:r>
      <w:r w:rsidR="0018751F" w:rsidRPr="00D31468">
        <w:rPr>
          <w:szCs w:val="24"/>
        </w:rPr>
        <w:t>/caregivers’</w:t>
      </w:r>
      <w:r w:rsidRPr="00D31468">
        <w:rPr>
          <w:szCs w:val="24"/>
        </w:rPr>
        <w:t xml:space="preserve"> exposure to campaign materials with youth behavior/attitudes </w:t>
      </w:r>
      <w:r w:rsidR="00091E57" w:rsidRPr="00D31468">
        <w:rPr>
          <w:szCs w:val="24"/>
        </w:rPr>
        <w:t xml:space="preserve">about drinking </w:t>
      </w:r>
      <w:r w:rsidR="006622E6" w:rsidRPr="00D31468">
        <w:rPr>
          <w:szCs w:val="24"/>
        </w:rPr>
        <w:t xml:space="preserve">in the </w:t>
      </w:r>
      <w:r w:rsidR="00494B63" w:rsidRPr="00D31468">
        <w:rPr>
          <w:szCs w:val="24"/>
        </w:rPr>
        <w:t>intervention</w:t>
      </w:r>
      <w:r w:rsidR="006622E6" w:rsidRPr="00D31468">
        <w:rPr>
          <w:szCs w:val="24"/>
        </w:rPr>
        <w:t xml:space="preserve"> school district</w:t>
      </w:r>
      <w:r w:rsidRPr="00D31468">
        <w:rPr>
          <w:szCs w:val="24"/>
        </w:rPr>
        <w:t>?</w:t>
      </w:r>
    </w:p>
    <w:p w14:paraId="00823C22" w14:textId="19275536" w:rsidR="00EE6A75" w:rsidRPr="00D31468" w:rsidRDefault="00EE6A75" w:rsidP="00D853FC">
      <w:pPr>
        <w:pStyle w:val="ListParagraph"/>
        <w:numPr>
          <w:ilvl w:val="0"/>
          <w:numId w:val="24"/>
        </w:numPr>
        <w:spacing w:after="240" w:line="240" w:lineRule="auto"/>
        <w:ind w:left="720" w:hanging="360"/>
        <w:rPr>
          <w:szCs w:val="24"/>
        </w:rPr>
      </w:pPr>
      <w:r w:rsidRPr="00D31468">
        <w:rPr>
          <w:szCs w:val="24"/>
        </w:rPr>
        <w:t>Do any observed changes in overall parent</w:t>
      </w:r>
      <w:r w:rsidR="0018751F" w:rsidRPr="00D31468">
        <w:rPr>
          <w:szCs w:val="24"/>
        </w:rPr>
        <w:t>/caregiver</w:t>
      </w:r>
      <w:r w:rsidRPr="00D31468">
        <w:rPr>
          <w:szCs w:val="24"/>
        </w:rPr>
        <w:t xml:space="preserve"> behavior (between the pre-test and the post-test) align with any observed changes in overall youth behavior (between the pre-test and the post-test) </w:t>
      </w:r>
      <w:r w:rsidR="006622E6" w:rsidRPr="00D31468">
        <w:rPr>
          <w:szCs w:val="24"/>
        </w:rPr>
        <w:t>in the selected school districts</w:t>
      </w:r>
      <w:r w:rsidRPr="00D31468">
        <w:rPr>
          <w:szCs w:val="24"/>
        </w:rPr>
        <w:t>?</w:t>
      </w:r>
    </w:p>
    <w:p w14:paraId="1F49846C" w14:textId="72D2C1DE" w:rsidR="00EE6A75" w:rsidRPr="00D31468" w:rsidRDefault="000C7E7C" w:rsidP="00EE6A75">
      <w:pPr>
        <w:spacing w:after="240" w:line="240" w:lineRule="auto"/>
        <w:rPr>
          <w:szCs w:val="24"/>
        </w:rPr>
      </w:pPr>
      <w:r w:rsidRPr="00D31468">
        <w:rPr>
          <w:szCs w:val="24"/>
        </w:rPr>
        <w:t>Data collected in the case stud</w:t>
      </w:r>
      <w:r w:rsidR="009D5A26" w:rsidRPr="00D31468">
        <w:rPr>
          <w:szCs w:val="24"/>
        </w:rPr>
        <w:t>y</w:t>
      </w:r>
      <w:r w:rsidRPr="00D31468">
        <w:rPr>
          <w:szCs w:val="24"/>
        </w:rPr>
        <w:t xml:space="preserve"> will be both numerical and descriptive. SAMHSA will utilize a variety of strategies to analyze these data and will produce a final case study report that integrates the results from each data collection instrument.</w:t>
      </w:r>
    </w:p>
    <w:p w14:paraId="6269F32F" w14:textId="77777777" w:rsidR="000B6E4E" w:rsidRPr="00D31468" w:rsidRDefault="000B6E4E" w:rsidP="00913D82">
      <w:pPr>
        <w:pStyle w:val="Heading3"/>
        <w:spacing w:after="240" w:line="240" w:lineRule="auto"/>
        <w:rPr>
          <w:szCs w:val="24"/>
        </w:rPr>
      </w:pPr>
      <w:r w:rsidRPr="00D31468">
        <w:rPr>
          <w:szCs w:val="24"/>
        </w:rPr>
        <w:t>Publication Plan</w:t>
      </w:r>
    </w:p>
    <w:p w14:paraId="15A33026" w14:textId="0719050B" w:rsidR="000B6E4E" w:rsidRPr="00D31468" w:rsidRDefault="000B6E4E" w:rsidP="00913D82">
      <w:pPr>
        <w:spacing w:after="240" w:line="240" w:lineRule="auto"/>
        <w:rPr>
          <w:color w:val="3366FF"/>
          <w:szCs w:val="24"/>
        </w:rPr>
      </w:pPr>
      <w:r w:rsidRPr="00D31468">
        <w:rPr>
          <w:szCs w:val="24"/>
        </w:rPr>
        <w:t xml:space="preserve">The </w:t>
      </w:r>
      <w:r w:rsidR="000C7E7C" w:rsidRPr="00D31468">
        <w:rPr>
          <w:szCs w:val="24"/>
        </w:rPr>
        <w:t xml:space="preserve">findings </w:t>
      </w:r>
      <w:r w:rsidRPr="00D31468">
        <w:rPr>
          <w:szCs w:val="24"/>
        </w:rPr>
        <w:t xml:space="preserve">obtained </w:t>
      </w:r>
      <w:r w:rsidR="000C7E7C" w:rsidRPr="00D31468">
        <w:rPr>
          <w:szCs w:val="24"/>
        </w:rPr>
        <w:t>from</w:t>
      </w:r>
      <w:r w:rsidRPr="00D31468">
        <w:rPr>
          <w:szCs w:val="24"/>
        </w:rPr>
        <w:t xml:space="preserve"> the </w:t>
      </w:r>
      <w:r w:rsidR="000C7E7C" w:rsidRPr="00D31468">
        <w:rPr>
          <w:szCs w:val="24"/>
        </w:rPr>
        <w:t>case stud</w:t>
      </w:r>
      <w:r w:rsidR="009D5A26" w:rsidRPr="00D31468">
        <w:rPr>
          <w:szCs w:val="24"/>
        </w:rPr>
        <w:t>y</w:t>
      </w:r>
      <w:r w:rsidR="000C7E7C" w:rsidRPr="00D31468">
        <w:rPr>
          <w:szCs w:val="24"/>
        </w:rPr>
        <w:t xml:space="preserve"> </w:t>
      </w:r>
      <w:r w:rsidRPr="00D31468">
        <w:rPr>
          <w:szCs w:val="24"/>
        </w:rPr>
        <w:t xml:space="preserve">will be </w:t>
      </w:r>
      <w:r w:rsidR="000C7E7C" w:rsidRPr="00D31468">
        <w:rPr>
          <w:szCs w:val="24"/>
        </w:rPr>
        <w:t xml:space="preserve">included in Chapter 5 of the </w:t>
      </w:r>
      <w:r w:rsidRPr="00D31468">
        <w:rPr>
          <w:szCs w:val="24"/>
        </w:rPr>
        <w:t xml:space="preserve">annual </w:t>
      </w:r>
      <w:r w:rsidR="00AD5B19" w:rsidRPr="00D31468">
        <w:rPr>
          <w:i/>
          <w:iCs/>
          <w:szCs w:val="24"/>
        </w:rPr>
        <w:t>Report to Congress on the Prevention and Reduction of Underage Drinking</w:t>
      </w:r>
      <w:r w:rsidRPr="00D31468">
        <w:rPr>
          <w:szCs w:val="24"/>
        </w:rPr>
        <w:t>.</w:t>
      </w:r>
    </w:p>
    <w:p w14:paraId="307AEA56" w14:textId="77777777" w:rsidR="000B6E4E" w:rsidRPr="00D31468" w:rsidRDefault="000B6E4E" w:rsidP="00913D82">
      <w:pPr>
        <w:pStyle w:val="Heading2"/>
        <w:spacing w:after="240" w:line="240" w:lineRule="auto"/>
        <w:rPr>
          <w:color w:val="FF0000"/>
          <w:szCs w:val="24"/>
        </w:rPr>
      </w:pPr>
      <w:r w:rsidRPr="00D31468">
        <w:rPr>
          <w:szCs w:val="24"/>
        </w:rPr>
        <w:t>17. Display of Expiration Date</w:t>
      </w:r>
    </w:p>
    <w:p w14:paraId="767CB87C" w14:textId="77777777" w:rsidR="000B6E4E" w:rsidRPr="00D31468" w:rsidRDefault="000B6E4E" w:rsidP="00913D82">
      <w:pPr>
        <w:spacing w:after="240" w:line="240" w:lineRule="auto"/>
        <w:rPr>
          <w:szCs w:val="24"/>
        </w:rPr>
      </w:pPr>
      <w:r w:rsidRPr="00D31468">
        <w:rPr>
          <w:szCs w:val="24"/>
        </w:rPr>
        <w:t>The expiration date will be displayed.</w:t>
      </w:r>
    </w:p>
    <w:p w14:paraId="29BE65AF" w14:textId="77777777" w:rsidR="000B6E4E" w:rsidRPr="00D31468" w:rsidRDefault="000B6E4E" w:rsidP="00913D82">
      <w:pPr>
        <w:pStyle w:val="Heading2"/>
        <w:spacing w:after="240" w:line="240" w:lineRule="auto"/>
        <w:rPr>
          <w:color w:val="FF0000"/>
          <w:szCs w:val="24"/>
        </w:rPr>
      </w:pPr>
      <w:r w:rsidRPr="00D31468">
        <w:rPr>
          <w:szCs w:val="24"/>
        </w:rPr>
        <w:t>18. Exceptions to Certification Statement</w:t>
      </w:r>
    </w:p>
    <w:p w14:paraId="26FC1593" w14:textId="426DA6C1" w:rsidR="000B6E4E" w:rsidRPr="00D31468" w:rsidRDefault="000B6E4E" w:rsidP="009350FC">
      <w:pPr>
        <w:spacing w:after="240" w:line="240" w:lineRule="auto"/>
        <w:rPr>
          <w:szCs w:val="24"/>
        </w:rPr>
      </w:pPr>
      <w:r w:rsidRPr="00D31468">
        <w:rPr>
          <w:szCs w:val="24"/>
        </w:rPr>
        <w:t>This collection of information involves no exceptions to the Certification for Paperwork Reduction Act Submissions.</w:t>
      </w:r>
    </w:p>
    <w:p w14:paraId="03A30293" w14:textId="77777777" w:rsidR="00697CF2" w:rsidRPr="00D31468" w:rsidRDefault="00697CF2" w:rsidP="009350FC">
      <w:pPr>
        <w:spacing w:after="240" w:line="240" w:lineRule="auto"/>
        <w:rPr>
          <w:szCs w:val="24"/>
        </w:rPr>
      </w:pPr>
    </w:p>
    <w:sectPr w:rsidR="00697CF2" w:rsidRPr="00D31468" w:rsidSect="00352239">
      <w:foot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8F3B7" w16cid:durableId="216536EE"/>
  <w16cid:commentId w16cid:paraId="0CB6D691" w16cid:durableId="21640D8B"/>
  <w16cid:commentId w16cid:paraId="5B7F609C" w16cid:durableId="216538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8CD2C" w14:textId="77777777" w:rsidR="003C6BA0" w:rsidRDefault="003C6BA0" w:rsidP="000B6E4E">
      <w:pPr>
        <w:spacing w:after="0" w:line="240" w:lineRule="auto"/>
      </w:pPr>
      <w:r>
        <w:separator/>
      </w:r>
    </w:p>
  </w:endnote>
  <w:endnote w:type="continuationSeparator" w:id="0">
    <w:p w14:paraId="657738FE" w14:textId="77777777" w:rsidR="003C6BA0" w:rsidRDefault="003C6BA0" w:rsidP="000B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614534"/>
      <w:docPartObj>
        <w:docPartGallery w:val="Page Numbers (Bottom of Page)"/>
        <w:docPartUnique/>
      </w:docPartObj>
    </w:sdtPr>
    <w:sdtEndPr>
      <w:rPr>
        <w:noProof/>
      </w:rPr>
    </w:sdtEndPr>
    <w:sdtContent>
      <w:p w14:paraId="1568F892" w14:textId="74A725E1" w:rsidR="0052700C" w:rsidRDefault="0052700C">
        <w:pPr>
          <w:pStyle w:val="Footer"/>
          <w:jc w:val="right"/>
        </w:pPr>
        <w:r>
          <w:fldChar w:fldCharType="begin"/>
        </w:r>
        <w:r>
          <w:instrText xml:space="preserve"> PAGE   \* MERGEFORMAT </w:instrText>
        </w:r>
        <w:r>
          <w:fldChar w:fldCharType="separate"/>
        </w:r>
        <w:r w:rsidR="00AC7E17">
          <w:rPr>
            <w:noProof/>
          </w:rPr>
          <w:t>1</w:t>
        </w:r>
        <w:r>
          <w:rPr>
            <w:noProof/>
          </w:rPr>
          <w:fldChar w:fldCharType="end"/>
        </w:r>
      </w:p>
    </w:sdtContent>
  </w:sdt>
  <w:p w14:paraId="1466B178" w14:textId="77777777" w:rsidR="0052700C" w:rsidRDefault="00527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75F70" w14:textId="77777777" w:rsidR="003C6BA0" w:rsidRDefault="003C6BA0" w:rsidP="000B6E4E">
      <w:pPr>
        <w:spacing w:after="0" w:line="240" w:lineRule="auto"/>
      </w:pPr>
      <w:r>
        <w:separator/>
      </w:r>
    </w:p>
  </w:footnote>
  <w:footnote w:type="continuationSeparator" w:id="0">
    <w:p w14:paraId="024A9372" w14:textId="77777777" w:rsidR="003C6BA0" w:rsidRDefault="003C6BA0" w:rsidP="000B6E4E">
      <w:pPr>
        <w:spacing w:after="0" w:line="240" w:lineRule="auto"/>
      </w:pPr>
      <w:r>
        <w:continuationSeparator/>
      </w:r>
    </w:p>
  </w:footnote>
  <w:footnote w:id="1">
    <w:p w14:paraId="0E6D1B96" w14:textId="54F4E02F" w:rsidR="0052700C" w:rsidRDefault="0052700C">
      <w:pPr>
        <w:pStyle w:val="FootnoteText"/>
      </w:pPr>
      <w:r>
        <w:rPr>
          <w:rStyle w:val="FootnoteReference"/>
        </w:rPr>
        <w:footnoteRef/>
      </w:r>
      <w:r>
        <w:t xml:space="preserve"> </w:t>
      </w:r>
      <w:r w:rsidRPr="006A6185">
        <w:t>Stahre, M., Roeber, J., Kanny, D., Brewer, R</w:t>
      </w:r>
      <w:r>
        <w:t xml:space="preserve">. </w:t>
      </w:r>
      <w:r w:rsidRPr="006A6185">
        <w:t>D., &amp; Zhang, X.</w:t>
      </w:r>
      <w:r>
        <w:t xml:space="preserve"> (</w:t>
      </w:r>
      <w:r w:rsidRPr="006A6185">
        <w:t>2014</w:t>
      </w:r>
      <w:r>
        <w:t>)</w:t>
      </w:r>
      <w:r w:rsidRPr="006A6185">
        <w:t>.</w:t>
      </w:r>
      <w:r>
        <w:t xml:space="preserve"> </w:t>
      </w:r>
      <w:r w:rsidRPr="006A6185">
        <w:t>Contribution of excessive alcohol consumption to deaths and years of potential life lost in the United States.</w:t>
      </w:r>
      <w:r>
        <w:t xml:space="preserve"> </w:t>
      </w:r>
      <w:r w:rsidRPr="00B70AEA">
        <w:rPr>
          <w:i/>
        </w:rPr>
        <w:t>Preventing Chronic Disease</w:t>
      </w:r>
      <w:r w:rsidRPr="006A6185">
        <w:t>. Jun</w:t>
      </w:r>
      <w:r>
        <w:t>e 26, 2014</w:t>
      </w:r>
      <w:r w:rsidRPr="006A6185">
        <w:t>;11:E109. doi: 10.5888/pcd11.130293</w:t>
      </w:r>
      <w:r>
        <w:t>.</w:t>
      </w:r>
    </w:p>
  </w:footnote>
  <w:footnote w:id="2">
    <w:p w14:paraId="3CE86615" w14:textId="34CA293B" w:rsidR="0052700C" w:rsidRDefault="0052700C" w:rsidP="003E0CAE">
      <w:pPr>
        <w:pStyle w:val="FootnoteText"/>
      </w:pPr>
      <w:r>
        <w:rPr>
          <w:rStyle w:val="FootnoteReference"/>
        </w:rPr>
        <w:footnoteRef/>
      </w:r>
      <w:r>
        <w:t xml:space="preserve"> Ennet, </w:t>
      </w:r>
      <w:r w:rsidRPr="00601277">
        <w:t>S</w:t>
      </w:r>
      <w:r>
        <w:t xml:space="preserve">. </w:t>
      </w:r>
      <w:r w:rsidRPr="00601277">
        <w:t>T</w:t>
      </w:r>
      <w:r>
        <w:t>.</w:t>
      </w:r>
      <w:r w:rsidRPr="00601277">
        <w:t>, Bauman</w:t>
      </w:r>
      <w:r>
        <w:t>,</w:t>
      </w:r>
      <w:r w:rsidRPr="00601277">
        <w:t xml:space="preserve"> K</w:t>
      </w:r>
      <w:r>
        <w:t xml:space="preserve">. </w:t>
      </w:r>
      <w:r w:rsidRPr="00601277">
        <w:t>E</w:t>
      </w:r>
      <w:r>
        <w:t>.</w:t>
      </w:r>
      <w:r w:rsidRPr="00601277">
        <w:t>, Foshee</w:t>
      </w:r>
      <w:r>
        <w:t>,</w:t>
      </w:r>
      <w:r w:rsidRPr="00601277">
        <w:t xml:space="preserve"> V</w:t>
      </w:r>
      <w:r>
        <w:t xml:space="preserve">. </w:t>
      </w:r>
      <w:r w:rsidRPr="00601277">
        <w:t>A</w:t>
      </w:r>
      <w:r>
        <w:t>.</w:t>
      </w:r>
      <w:r w:rsidRPr="00601277">
        <w:t>, Pemberton</w:t>
      </w:r>
      <w:r>
        <w:t>,</w:t>
      </w:r>
      <w:r w:rsidRPr="00601277">
        <w:t xml:space="preserve"> M</w:t>
      </w:r>
      <w:r>
        <w:t>.</w:t>
      </w:r>
      <w:r w:rsidRPr="00601277">
        <w:t>, &amp; Hicks, K</w:t>
      </w:r>
      <w:r>
        <w:t xml:space="preserve">. </w:t>
      </w:r>
      <w:r w:rsidRPr="00601277">
        <w:t xml:space="preserve">A. (2001). Parent-child communication about adolescent tobacco and alcohol use: What do parents say and does it affect youth behavior? </w:t>
      </w:r>
      <w:r w:rsidRPr="00601277">
        <w:rPr>
          <w:i/>
          <w:iCs/>
        </w:rPr>
        <w:t xml:space="preserve">Journal of Marriage and Family </w:t>
      </w:r>
      <w:r w:rsidRPr="00601277">
        <w:rPr>
          <w:i/>
        </w:rPr>
        <w:t>63,</w:t>
      </w:r>
      <w:r>
        <w:t xml:space="preserve"> </w:t>
      </w:r>
      <w:r w:rsidRPr="00601277">
        <w:t>48</w:t>
      </w:r>
      <w:r>
        <w:t>–</w:t>
      </w:r>
      <w:r w:rsidRPr="00601277">
        <w:t>62.</w:t>
      </w:r>
    </w:p>
  </w:footnote>
  <w:footnote w:id="3">
    <w:p w14:paraId="5281727D" w14:textId="4A9C9B84" w:rsidR="0052700C" w:rsidRDefault="0052700C">
      <w:pPr>
        <w:pStyle w:val="FootnoteText"/>
      </w:pPr>
      <w:r>
        <w:rPr>
          <w:rStyle w:val="FootnoteReference"/>
        </w:rPr>
        <w:footnoteRef/>
      </w:r>
      <w:r>
        <w:t xml:space="preserve"> </w:t>
      </w:r>
      <w:r w:rsidRPr="00601277">
        <w:t>Wood</w:t>
      </w:r>
      <w:r>
        <w:t>,</w:t>
      </w:r>
      <w:r w:rsidRPr="00601277">
        <w:t xml:space="preserve"> M</w:t>
      </w:r>
      <w:r>
        <w:t xml:space="preserve">. </w:t>
      </w:r>
      <w:r w:rsidRPr="00601277">
        <w:t>D</w:t>
      </w:r>
      <w:r>
        <w:t>.</w:t>
      </w:r>
      <w:r w:rsidRPr="00601277">
        <w:t>, Read</w:t>
      </w:r>
      <w:r>
        <w:t>,</w:t>
      </w:r>
      <w:r w:rsidRPr="00601277">
        <w:t xml:space="preserve"> J</w:t>
      </w:r>
      <w:r>
        <w:t xml:space="preserve">. </w:t>
      </w:r>
      <w:r w:rsidRPr="00601277">
        <w:t>P</w:t>
      </w:r>
      <w:r>
        <w:t>.</w:t>
      </w:r>
      <w:r w:rsidRPr="00601277">
        <w:t>, Mitchell</w:t>
      </w:r>
      <w:r>
        <w:t>,</w:t>
      </w:r>
      <w:r w:rsidRPr="00601277">
        <w:t xml:space="preserve"> R</w:t>
      </w:r>
      <w:r>
        <w:t xml:space="preserve">. </w:t>
      </w:r>
      <w:r w:rsidRPr="00601277">
        <w:t>E</w:t>
      </w:r>
      <w:r>
        <w:t>.</w:t>
      </w:r>
      <w:r w:rsidRPr="00601277">
        <w:t>, &amp; Brand</w:t>
      </w:r>
      <w:r>
        <w:t>,</w:t>
      </w:r>
      <w:r w:rsidRPr="00601277">
        <w:t xml:space="preserve"> N</w:t>
      </w:r>
      <w:r>
        <w:t xml:space="preserve">. </w:t>
      </w:r>
      <w:r w:rsidRPr="00601277">
        <w:t xml:space="preserve">H. (2004). Do parents still matter? Parent and peer influences on alcohol involvement among recent high school graduates. </w:t>
      </w:r>
      <w:r w:rsidRPr="00601277">
        <w:rPr>
          <w:i/>
          <w:iCs/>
        </w:rPr>
        <w:t>Psychology of Addictive Behaviors,</w:t>
      </w:r>
      <w:r w:rsidRPr="00601277">
        <w:t xml:space="preserve"> </w:t>
      </w:r>
      <w:r w:rsidRPr="00601277">
        <w:rPr>
          <w:i/>
        </w:rPr>
        <w:t>18</w:t>
      </w:r>
      <w:r w:rsidRPr="000D62F8">
        <w:rPr>
          <w:iCs/>
        </w:rPr>
        <w:t>(1),</w:t>
      </w:r>
      <w:r w:rsidRPr="00601277">
        <w:t xml:space="preserve"> 19</w:t>
      </w:r>
      <w:r>
        <w:t>–</w:t>
      </w:r>
      <w:r w:rsidRPr="00601277">
        <w:t>30.</w:t>
      </w:r>
    </w:p>
  </w:footnote>
  <w:footnote w:id="4">
    <w:p w14:paraId="3AA11A82" w14:textId="29332C2F" w:rsidR="0052700C" w:rsidRPr="0028440C" w:rsidRDefault="0052700C" w:rsidP="003E0CAE">
      <w:pPr>
        <w:pStyle w:val="FootnoteText"/>
      </w:pPr>
      <w:r>
        <w:rPr>
          <w:rStyle w:val="FootnoteReference"/>
        </w:rPr>
        <w:footnoteRef/>
      </w:r>
      <w:r>
        <w:t xml:space="preserve"> Sieving, R. E., Maruyama, G., Williams, C. L., &amp; Perry, C. L. (2000). Pathways to adolescent alcohol use: Potential mechanisms of parent influence. </w:t>
      </w:r>
      <w:r>
        <w:rPr>
          <w:i/>
        </w:rPr>
        <w:t>Journal of Research on Adolescence, 10</w:t>
      </w:r>
      <w:r w:rsidRPr="000D62F8">
        <w:rPr>
          <w:iCs/>
        </w:rPr>
        <w:t>(4),</w:t>
      </w:r>
      <w:r>
        <w:rPr>
          <w:i/>
        </w:rPr>
        <w:t xml:space="preserve"> </w:t>
      </w:r>
      <w:r>
        <w:t>489–514.</w:t>
      </w:r>
    </w:p>
  </w:footnote>
  <w:footnote w:id="5">
    <w:p w14:paraId="5182AFC3" w14:textId="667B0290" w:rsidR="0052700C" w:rsidRDefault="0052700C">
      <w:pPr>
        <w:pStyle w:val="FootnoteText"/>
      </w:pPr>
      <w:r>
        <w:rPr>
          <w:rStyle w:val="FootnoteReference"/>
        </w:rPr>
        <w:footnoteRef/>
      </w:r>
      <w:r>
        <w:t xml:space="preserve"> </w:t>
      </w:r>
      <w:hyperlink r:id="rId1" w:history="1">
        <w:r w:rsidRPr="008D1DBB">
          <w:rPr>
            <w:rStyle w:val="Hyperlink"/>
          </w:rPr>
          <w:t>https://nces.ed.gov/pubs2011/pesschools09/tables/table_05.asp</w:t>
        </w:r>
      </w:hyperlink>
      <w:r>
        <w:t xml:space="preserve"> </w:t>
      </w:r>
    </w:p>
  </w:footnote>
  <w:footnote w:id="6">
    <w:p w14:paraId="1D9DB112" w14:textId="4EA5512C" w:rsidR="0052700C" w:rsidRDefault="0052700C">
      <w:pPr>
        <w:pStyle w:val="FootnoteText"/>
      </w:pPr>
      <w:r>
        <w:rPr>
          <w:rStyle w:val="FootnoteReference"/>
        </w:rPr>
        <w:footnoteRef/>
      </w:r>
      <w:r>
        <w:t xml:space="preserve"> </w:t>
      </w:r>
      <w:hyperlink r:id="rId2" w:history="1">
        <w:r w:rsidRPr="008D1DBB">
          <w:rPr>
            <w:rStyle w:val="Hyperlink"/>
          </w:rPr>
          <w:t>http://onlinelibrary.wiley.com/doi/10.1111/j.1746-1561.1997.tb01287.x/abstract</w:t>
        </w:r>
      </w:hyperlink>
      <w:r>
        <w:t xml:space="preserve"> </w:t>
      </w:r>
    </w:p>
  </w:footnote>
  <w:footnote w:id="7">
    <w:p w14:paraId="459EC23A" w14:textId="23ABA071" w:rsidR="0052700C" w:rsidRDefault="0052700C">
      <w:pPr>
        <w:pStyle w:val="FootnoteText"/>
      </w:pPr>
      <w:r>
        <w:rPr>
          <w:rStyle w:val="FootnoteReference"/>
        </w:rPr>
        <w:footnoteRef/>
      </w:r>
      <w:r>
        <w:t xml:space="preserve"> </w:t>
      </w:r>
      <w:hyperlink r:id="rId3" w:history="1">
        <w:r w:rsidRPr="008D1DBB">
          <w:rPr>
            <w:rStyle w:val="Hyperlink"/>
          </w:rPr>
          <w:t>http://journals.plos.org/plosone/article?id=10.1371/journal.pone.0126950</w:t>
        </w:r>
      </w:hyperlink>
      <w:r>
        <w:t xml:space="preserve"> </w:t>
      </w:r>
    </w:p>
  </w:footnote>
  <w:footnote w:id="8">
    <w:p w14:paraId="768DF7DE" w14:textId="00768D7B" w:rsidR="0052700C" w:rsidRDefault="0052700C">
      <w:pPr>
        <w:pStyle w:val="FootnoteText"/>
      </w:pPr>
      <w:r>
        <w:rPr>
          <w:rStyle w:val="FootnoteReference"/>
        </w:rPr>
        <w:footnoteRef/>
      </w:r>
      <w:r>
        <w:t xml:space="preserve"> </w:t>
      </w:r>
      <w:hyperlink r:id="rId4" w:history="1">
        <w:r w:rsidR="0049561A" w:rsidRPr="001A0208">
          <w:rPr>
            <w:rStyle w:val="Hyperlink"/>
          </w:rPr>
          <w:t>https://pdfs.semanticscholar.org/a29a/6be77f95130a23aca798fa8e0972ee5770ad.pdf</w:t>
        </w:r>
      </w:hyperlink>
    </w:p>
  </w:footnote>
  <w:footnote w:id="9">
    <w:p w14:paraId="3F6B06D2" w14:textId="795B1222" w:rsidR="0052700C" w:rsidRDefault="0052700C">
      <w:pPr>
        <w:pStyle w:val="FootnoteText"/>
      </w:pPr>
      <w:r>
        <w:rPr>
          <w:rStyle w:val="FootnoteReference"/>
        </w:rPr>
        <w:footnoteRef/>
      </w:r>
      <w:hyperlink r:id="rId5" w:history="1">
        <w:r w:rsidR="000B4A2A" w:rsidRPr="001A0208">
          <w:rPr>
            <w:rStyle w:val="Hyperlink"/>
          </w:rPr>
          <w:t>https://www.researchgate.net/profile/Yehuda_Baruch2/publication/228079609_Survey_Response_Rate_Levels_and_Trends_in_Organizational_Research/links/09e415112cd948d7f6000000.pdf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554"/>
    <w:multiLevelType w:val="hybridMultilevel"/>
    <w:tmpl w:val="EDBA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80564"/>
    <w:multiLevelType w:val="multilevel"/>
    <w:tmpl w:val="A100E620"/>
    <w:lvl w:ilvl="0">
      <w:start w:val="1"/>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97033"/>
    <w:multiLevelType w:val="hybridMultilevel"/>
    <w:tmpl w:val="44C0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807EB"/>
    <w:multiLevelType w:val="hybridMultilevel"/>
    <w:tmpl w:val="F406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33177"/>
    <w:multiLevelType w:val="multilevel"/>
    <w:tmpl w:val="A100E620"/>
    <w:lvl w:ilvl="0">
      <w:start w:val="1"/>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D1433D"/>
    <w:multiLevelType w:val="hybridMultilevel"/>
    <w:tmpl w:val="5C84CA28"/>
    <w:lvl w:ilvl="0" w:tplc="0409000F">
      <w:start w:val="1"/>
      <w:numFmt w:val="decimal"/>
      <w:lvlText w:val="%1."/>
      <w:lvlJc w:val="left"/>
      <w:pPr>
        <w:tabs>
          <w:tab w:val="num" w:pos="788"/>
        </w:tabs>
        <w:ind w:left="788" w:hanging="360"/>
      </w:pPr>
    </w:lvl>
    <w:lvl w:ilvl="1" w:tplc="04090019">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6">
    <w:nsid w:val="24D70344"/>
    <w:multiLevelType w:val="hybridMultilevel"/>
    <w:tmpl w:val="7F28AAF4"/>
    <w:lvl w:ilvl="0" w:tplc="8ECE1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FC45B3"/>
    <w:multiLevelType w:val="hybridMultilevel"/>
    <w:tmpl w:val="D5C6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163003"/>
    <w:multiLevelType w:val="hybridMultilevel"/>
    <w:tmpl w:val="49908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C69A2"/>
    <w:multiLevelType w:val="hybridMultilevel"/>
    <w:tmpl w:val="92B2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D07088"/>
    <w:multiLevelType w:val="hybridMultilevel"/>
    <w:tmpl w:val="D8A23B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884039"/>
    <w:multiLevelType w:val="hybridMultilevel"/>
    <w:tmpl w:val="3BFA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FE4723"/>
    <w:multiLevelType w:val="hybridMultilevel"/>
    <w:tmpl w:val="8862A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5667CA"/>
    <w:multiLevelType w:val="hybridMultilevel"/>
    <w:tmpl w:val="FDF41B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7571B"/>
    <w:multiLevelType w:val="hybridMultilevel"/>
    <w:tmpl w:val="DAB4A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4DE3581"/>
    <w:multiLevelType w:val="hybridMultilevel"/>
    <w:tmpl w:val="C868E0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9C283E"/>
    <w:multiLevelType w:val="hybridMultilevel"/>
    <w:tmpl w:val="FEDAB8F2"/>
    <w:lvl w:ilvl="0" w:tplc="AE744D6A">
      <w:start w:val="1"/>
      <w:numFmt w:val="decimal"/>
      <w:lvlText w:val="%1."/>
      <w:lvlJc w:val="left"/>
      <w:pPr>
        <w:ind w:left="1080" w:hanging="720"/>
      </w:pPr>
      <w:rPr>
        <w:rFonts w:hint="default"/>
      </w:rPr>
    </w:lvl>
    <w:lvl w:ilvl="1" w:tplc="A60CC2E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1E232E"/>
    <w:multiLevelType w:val="hybridMultilevel"/>
    <w:tmpl w:val="5906C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E205477"/>
    <w:multiLevelType w:val="hybridMultilevel"/>
    <w:tmpl w:val="99D06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785614E"/>
    <w:multiLevelType w:val="hybridMultilevel"/>
    <w:tmpl w:val="750A9C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0C15C3"/>
    <w:multiLevelType w:val="hybridMultilevel"/>
    <w:tmpl w:val="2C46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D125DB"/>
    <w:multiLevelType w:val="hybridMultilevel"/>
    <w:tmpl w:val="1398F4A8"/>
    <w:lvl w:ilvl="0" w:tplc="65D62CB8">
      <w:start w:val="1"/>
      <w:numFmt w:val="upperLetter"/>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625685E"/>
    <w:multiLevelType w:val="hybridMultilevel"/>
    <w:tmpl w:val="7916D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734161"/>
    <w:multiLevelType w:val="hybridMultilevel"/>
    <w:tmpl w:val="BB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895CCD"/>
    <w:multiLevelType w:val="hybridMultilevel"/>
    <w:tmpl w:val="F1224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675257"/>
    <w:multiLevelType w:val="hybridMultilevel"/>
    <w:tmpl w:val="1056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1216FA"/>
    <w:multiLevelType w:val="hybridMultilevel"/>
    <w:tmpl w:val="433C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13"/>
  </w:num>
  <w:num w:numId="4">
    <w:abstractNumId w:val="10"/>
  </w:num>
  <w:num w:numId="5">
    <w:abstractNumId w:val="15"/>
  </w:num>
  <w:num w:numId="6">
    <w:abstractNumId w:val="9"/>
  </w:num>
  <w:num w:numId="7">
    <w:abstractNumId w:val="1"/>
  </w:num>
  <w:num w:numId="8">
    <w:abstractNumId w:val="8"/>
  </w:num>
  <w:num w:numId="9">
    <w:abstractNumId w:val="4"/>
  </w:num>
  <w:num w:numId="10">
    <w:abstractNumId w:val="24"/>
  </w:num>
  <w:num w:numId="11">
    <w:abstractNumId w:val="26"/>
  </w:num>
  <w:num w:numId="12">
    <w:abstractNumId w:val="23"/>
  </w:num>
  <w:num w:numId="13">
    <w:abstractNumId w:val="25"/>
  </w:num>
  <w:num w:numId="14">
    <w:abstractNumId w:val="2"/>
  </w:num>
  <w:num w:numId="15">
    <w:abstractNumId w:val="20"/>
  </w:num>
  <w:num w:numId="16">
    <w:abstractNumId w:val="17"/>
  </w:num>
  <w:num w:numId="17">
    <w:abstractNumId w:val="7"/>
  </w:num>
  <w:num w:numId="18">
    <w:abstractNumId w:val="18"/>
  </w:num>
  <w:num w:numId="19">
    <w:abstractNumId w:val="14"/>
  </w:num>
  <w:num w:numId="20">
    <w:abstractNumId w:val="12"/>
  </w:num>
  <w:num w:numId="21">
    <w:abstractNumId w:val="11"/>
  </w:num>
  <w:num w:numId="22">
    <w:abstractNumId w:val="3"/>
  </w:num>
  <w:num w:numId="23">
    <w:abstractNumId w:val="22"/>
  </w:num>
  <w:num w:numId="24">
    <w:abstractNumId w:val="16"/>
  </w:num>
  <w:num w:numId="25">
    <w:abstractNumId w:val="6"/>
  </w:num>
  <w:num w:numId="26">
    <w:abstractNumId w:val="1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4E"/>
    <w:rsid w:val="00021D71"/>
    <w:rsid w:val="00022BE0"/>
    <w:rsid w:val="00024F2C"/>
    <w:rsid w:val="00032994"/>
    <w:rsid w:val="00033FF0"/>
    <w:rsid w:val="00040233"/>
    <w:rsid w:val="00042C36"/>
    <w:rsid w:val="000455E9"/>
    <w:rsid w:val="00050BB8"/>
    <w:rsid w:val="00051979"/>
    <w:rsid w:val="00057066"/>
    <w:rsid w:val="00061BF9"/>
    <w:rsid w:val="000824A1"/>
    <w:rsid w:val="00091E57"/>
    <w:rsid w:val="00096EC6"/>
    <w:rsid w:val="000A4620"/>
    <w:rsid w:val="000A5222"/>
    <w:rsid w:val="000A67CA"/>
    <w:rsid w:val="000B4A2A"/>
    <w:rsid w:val="000B57D2"/>
    <w:rsid w:val="000B6E4E"/>
    <w:rsid w:val="000B7997"/>
    <w:rsid w:val="000C0B8C"/>
    <w:rsid w:val="000C1CEE"/>
    <w:rsid w:val="000C7E7C"/>
    <w:rsid w:val="000D0C55"/>
    <w:rsid w:val="000D62F8"/>
    <w:rsid w:val="000F3D89"/>
    <w:rsid w:val="000F4D57"/>
    <w:rsid w:val="000F6553"/>
    <w:rsid w:val="001002D0"/>
    <w:rsid w:val="00100B95"/>
    <w:rsid w:val="00102C47"/>
    <w:rsid w:val="00102EDB"/>
    <w:rsid w:val="00105E2F"/>
    <w:rsid w:val="00105FD8"/>
    <w:rsid w:val="00106D51"/>
    <w:rsid w:val="0012234A"/>
    <w:rsid w:val="00122E36"/>
    <w:rsid w:val="00123EA0"/>
    <w:rsid w:val="00132AF7"/>
    <w:rsid w:val="00151AD2"/>
    <w:rsid w:val="001652DD"/>
    <w:rsid w:val="00166838"/>
    <w:rsid w:val="00177C72"/>
    <w:rsid w:val="0018751F"/>
    <w:rsid w:val="00191844"/>
    <w:rsid w:val="001B7FBB"/>
    <w:rsid w:val="001C435E"/>
    <w:rsid w:val="001D2E36"/>
    <w:rsid w:val="001D3D12"/>
    <w:rsid w:val="001E5934"/>
    <w:rsid w:val="001E68C5"/>
    <w:rsid w:val="001E69B3"/>
    <w:rsid w:val="001E78F0"/>
    <w:rsid w:val="001F6606"/>
    <w:rsid w:val="00210D42"/>
    <w:rsid w:val="00212935"/>
    <w:rsid w:val="002274A5"/>
    <w:rsid w:val="00234C61"/>
    <w:rsid w:val="002405EC"/>
    <w:rsid w:val="00242D18"/>
    <w:rsid w:val="00247B53"/>
    <w:rsid w:val="00252F55"/>
    <w:rsid w:val="00263A3C"/>
    <w:rsid w:val="002652D6"/>
    <w:rsid w:val="00266504"/>
    <w:rsid w:val="00266B5D"/>
    <w:rsid w:val="00273714"/>
    <w:rsid w:val="00274825"/>
    <w:rsid w:val="002901F1"/>
    <w:rsid w:val="0029567E"/>
    <w:rsid w:val="00295F3D"/>
    <w:rsid w:val="002A31A1"/>
    <w:rsid w:val="002A5EC7"/>
    <w:rsid w:val="002A71C4"/>
    <w:rsid w:val="002B0F62"/>
    <w:rsid w:val="002C2F25"/>
    <w:rsid w:val="002D29EF"/>
    <w:rsid w:val="002D42B3"/>
    <w:rsid w:val="002D7FFC"/>
    <w:rsid w:val="002E2EC2"/>
    <w:rsid w:val="002F3B8B"/>
    <w:rsid w:val="002F44BB"/>
    <w:rsid w:val="002F44E5"/>
    <w:rsid w:val="0030229C"/>
    <w:rsid w:val="00305407"/>
    <w:rsid w:val="00314E12"/>
    <w:rsid w:val="00342DAC"/>
    <w:rsid w:val="00352239"/>
    <w:rsid w:val="00352F35"/>
    <w:rsid w:val="003803FC"/>
    <w:rsid w:val="003843FD"/>
    <w:rsid w:val="00393D12"/>
    <w:rsid w:val="003943DE"/>
    <w:rsid w:val="0039442C"/>
    <w:rsid w:val="0039667C"/>
    <w:rsid w:val="003A17E7"/>
    <w:rsid w:val="003B0434"/>
    <w:rsid w:val="003B19B9"/>
    <w:rsid w:val="003B1DBB"/>
    <w:rsid w:val="003B416E"/>
    <w:rsid w:val="003B4491"/>
    <w:rsid w:val="003B46A3"/>
    <w:rsid w:val="003B65F7"/>
    <w:rsid w:val="003C3010"/>
    <w:rsid w:val="003C6BA0"/>
    <w:rsid w:val="003C6FAD"/>
    <w:rsid w:val="003D5544"/>
    <w:rsid w:val="003D5A36"/>
    <w:rsid w:val="003E0CAE"/>
    <w:rsid w:val="003E5373"/>
    <w:rsid w:val="003F2ABA"/>
    <w:rsid w:val="003F655A"/>
    <w:rsid w:val="00401542"/>
    <w:rsid w:val="00405B86"/>
    <w:rsid w:val="00406452"/>
    <w:rsid w:val="00410B78"/>
    <w:rsid w:val="00422ECB"/>
    <w:rsid w:val="00423088"/>
    <w:rsid w:val="004262BD"/>
    <w:rsid w:val="0043045B"/>
    <w:rsid w:val="00436E7A"/>
    <w:rsid w:val="00441DA9"/>
    <w:rsid w:val="00442BA5"/>
    <w:rsid w:val="0044306E"/>
    <w:rsid w:val="00455F54"/>
    <w:rsid w:val="004846A6"/>
    <w:rsid w:val="00491E9E"/>
    <w:rsid w:val="00494B63"/>
    <w:rsid w:val="0049561A"/>
    <w:rsid w:val="00496EEB"/>
    <w:rsid w:val="004971DB"/>
    <w:rsid w:val="004A05B4"/>
    <w:rsid w:val="004A0F4C"/>
    <w:rsid w:val="004C377A"/>
    <w:rsid w:val="004C4104"/>
    <w:rsid w:val="004C7751"/>
    <w:rsid w:val="004D14A5"/>
    <w:rsid w:val="004D2DF4"/>
    <w:rsid w:val="004D7661"/>
    <w:rsid w:val="004D76E6"/>
    <w:rsid w:val="004D7E78"/>
    <w:rsid w:val="004F17C4"/>
    <w:rsid w:val="004F1A73"/>
    <w:rsid w:val="004F7BFC"/>
    <w:rsid w:val="00501136"/>
    <w:rsid w:val="00501925"/>
    <w:rsid w:val="005075A2"/>
    <w:rsid w:val="00511CFC"/>
    <w:rsid w:val="0052700C"/>
    <w:rsid w:val="00534229"/>
    <w:rsid w:val="00552AC7"/>
    <w:rsid w:val="00554F28"/>
    <w:rsid w:val="005805AF"/>
    <w:rsid w:val="005807FD"/>
    <w:rsid w:val="00582C98"/>
    <w:rsid w:val="005938D8"/>
    <w:rsid w:val="00593C7D"/>
    <w:rsid w:val="005A002E"/>
    <w:rsid w:val="005A53C2"/>
    <w:rsid w:val="005C634E"/>
    <w:rsid w:val="005E0B9E"/>
    <w:rsid w:val="005E5AF9"/>
    <w:rsid w:val="005F2CE2"/>
    <w:rsid w:val="005F6699"/>
    <w:rsid w:val="00601277"/>
    <w:rsid w:val="00607F26"/>
    <w:rsid w:val="00611624"/>
    <w:rsid w:val="006175F3"/>
    <w:rsid w:val="00647579"/>
    <w:rsid w:val="006622E6"/>
    <w:rsid w:val="00663B35"/>
    <w:rsid w:val="00665B1B"/>
    <w:rsid w:val="00665E80"/>
    <w:rsid w:val="006726AF"/>
    <w:rsid w:val="00676664"/>
    <w:rsid w:val="0067751C"/>
    <w:rsid w:val="00680075"/>
    <w:rsid w:val="0068171C"/>
    <w:rsid w:val="00690592"/>
    <w:rsid w:val="00694372"/>
    <w:rsid w:val="0069769F"/>
    <w:rsid w:val="00697CF2"/>
    <w:rsid w:val="006A14BB"/>
    <w:rsid w:val="006A25CE"/>
    <w:rsid w:val="006A5BD1"/>
    <w:rsid w:val="006A6185"/>
    <w:rsid w:val="006B2D80"/>
    <w:rsid w:val="006B5B9F"/>
    <w:rsid w:val="006C39B5"/>
    <w:rsid w:val="006D51B0"/>
    <w:rsid w:val="006F0ACD"/>
    <w:rsid w:val="006F7120"/>
    <w:rsid w:val="006F7511"/>
    <w:rsid w:val="006F7D9B"/>
    <w:rsid w:val="00700D19"/>
    <w:rsid w:val="00713501"/>
    <w:rsid w:val="00715BD1"/>
    <w:rsid w:val="00731B0E"/>
    <w:rsid w:val="007326DA"/>
    <w:rsid w:val="007371B6"/>
    <w:rsid w:val="007434CE"/>
    <w:rsid w:val="00757682"/>
    <w:rsid w:val="007620EC"/>
    <w:rsid w:val="007628FB"/>
    <w:rsid w:val="007701A2"/>
    <w:rsid w:val="00786902"/>
    <w:rsid w:val="00793376"/>
    <w:rsid w:val="007A1910"/>
    <w:rsid w:val="007B419F"/>
    <w:rsid w:val="007D7468"/>
    <w:rsid w:val="007E180C"/>
    <w:rsid w:val="007E2C19"/>
    <w:rsid w:val="007E48CD"/>
    <w:rsid w:val="007E7193"/>
    <w:rsid w:val="007F4799"/>
    <w:rsid w:val="007F6DB9"/>
    <w:rsid w:val="00805594"/>
    <w:rsid w:val="00822B23"/>
    <w:rsid w:val="0082706B"/>
    <w:rsid w:val="00831B71"/>
    <w:rsid w:val="00831C1D"/>
    <w:rsid w:val="008327BE"/>
    <w:rsid w:val="008373D1"/>
    <w:rsid w:val="00843B41"/>
    <w:rsid w:val="00856C98"/>
    <w:rsid w:val="0087648D"/>
    <w:rsid w:val="00881D6F"/>
    <w:rsid w:val="00891696"/>
    <w:rsid w:val="008B2F0E"/>
    <w:rsid w:val="008D35B4"/>
    <w:rsid w:val="008E2C1F"/>
    <w:rsid w:val="008F04DF"/>
    <w:rsid w:val="00905A52"/>
    <w:rsid w:val="00910BEB"/>
    <w:rsid w:val="009116C6"/>
    <w:rsid w:val="00913D82"/>
    <w:rsid w:val="00913F20"/>
    <w:rsid w:val="00922E05"/>
    <w:rsid w:val="009331FA"/>
    <w:rsid w:val="00933D89"/>
    <w:rsid w:val="009350FC"/>
    <w:rsid w:val="009354A3"/>
    <w:rsid w:val="009363D1"/>
    <w:rsid w:val="00936D8C"/>
    <w:rsid w:val="0095366F"/>
    <w:rsid w:val="00964C38"/>
    <w:rsid w:val="0096502D"/>
    <w:rsid w:val="0097331D"/>
    <w:rsid w:val="009804DB"/>
    <w:rsid w:val="00980CF7"/>
    <w:rsid w:val="00986B92"/>
    <w:rsid w:val="00987EE9"/>
    <w:rsid w:val="0099073D"/>
    <w:rsid w:val="0099215C"/>
    <w:rsid w:val="00995DFF"/>
    <w:rsid w:val="009A180C"/>
    <w:rsid w:val="009A4514"/>
    <w:rsid w:val="009A4D48"/>
    <w:rsid w:val="009D507B"/>
    <w:rsid w:val="009D5A26"/>
    <w:rsid w:val="009D7D28"/>
    <w:rsid w:val="009E45EF"/>
    <w:rsid w:val="009F512A"/>
    <w:rsid w:val="009F74F2"/>
    <w:rsid w:val="00A01385"/>
    <w:rsid w:val="00A0212C"/>
    <w:rsid w:val="00A12C2C"/>
    <w:rsid w:val="00A207EA"/>
    <w:rsid w:val="00A21E38"/>
    <w:rsid w:val="00A4078E"/>
    <w:rsid w:val="00A45308"/>
    <w:rsid w:val="00A47264"/>
    <w:rsid w:val="00A537C3"/>
    <w:rsid w:val="00A53F0C"/>
    <w:rsid w:val="00A54214"/>
    <w:rsid w:val="00A55CEF"/>
    <w:rsid w:val="00A56323"/>
    <w:rsid w:val="00A62EE9"/>
    <w:rsid w:val="00A93EEB"/>
    <w:rsid w:val="00A93F46"/>
    <w:rsid w:val="00AA7630"/>
    <w:rsid w:val="00AA7F72"/>
    <w:rsid w:val="00AB086E"/>
    <w:rsid w:val="00AB4AB3"/>
    <w:rsid w:val="00AB77D1"/>
    <w:rsid w:val="00AC7E17"/>
    <w:rsid w:val="00AD0FCE"/>
    <w:rsid w:val="00AD2368"/>
    <w:rsid w:val="00AD3D34"/>
    <w:rsid w:val="00AD5B19"/>
    <w:rsid w:val="00AD63C5"/>
    <w:rsid w:val="00AE5592"/>
    <w:rsid w:val="00AF6A02"/>
    <w:rsid w:val="00AF72DA"/>
    <w:rsid w:val="00B03EBB"/>
    <w:rsid w:val="00B16E31"/>
    <w:rsid w:val="00B377A5"/>
    <w:rsid w:val="00B50D39"/>
    <w:rsid w:val="00B52F92"/>
    <w:rsid w:val="00B602AE"/>
    <w:rsid w:val="00B61372"/>
    <w:rsid w:val="00B647CE"/>
    <w:rsid w:val="00B70AEA"/>
    <w:rsid w:val="00B81316"/>
    <w:rsid w:val="00B82350"/>
    <w:rsid w:val="00B83368"/>
    <w:rsid w:val="00B94EC5"/>
    <w:rsid w:val="00BA061D"/>
    <w:rsid w:val="00BA3288"/>
    <w:rsid w:val="00BA60E5"/>
    <w:rsid w:val="00BB1B7F"/>
    <w:rsid w:val="00BC075E"/>
    <w:rsid w:val="00BC33F8"/>
    <w:rsid w:val="00BC5EBE"/>
    <w:rsid w:val="00BC67F2"/>
    <w:rsid w:val="00BD7380"/>
    <w:rsid w:val="00BE2685"/>
    <w:rsid w:val="00BE6FA9"/>
    <w:rsid w:val="00BF0F52"/>
    <w:rsid w:val="00BF6BFB"/>
    <w:rsid w:val="00C03465"/>
    <w:rsid w:val="00C03DE2"/>
    <w:rsid w:val="00C108FA"/>
    <w:rsid w:val="00C16235"/>
    <w:rsid w:val="00C17A16"/>
    <w:rsid w:val="00C2777F"/>
    <w:rsid w:val="00C30F26"/>
    <w:rsid w:val="00C31E6E"/>
    <w:rsid w:val="00C34A61"/>
    <w:rsid w:val="00C51249"/>
    <w:rsid w:val="00C63AAE"/>
    <w:rsid w:val="00C67E0B"/>
    <w:rsid w:val="00C731D8"/>
    <w:rsid w:val="00C73AE7"/>
    <w:rsid w:val="00C74B1F"/>
    <w:rsid w:val="00CB2089"/>
    <w:rsid w:val="00CB3FD1"/>
    <w:rsid w:val="00CB4D17"/>
    <w:rsid w:val="00CB55D0"/>
    <w:rsid w:val="00CB68D2"/>
    <w:rsid w:val="00CC58DA"/>
    <w:rsid w:val="00CC6B3D"/>
    <w:rsid w:val="00CC71DD"/>
    <w:rsid w:val="00CC7425"/>
    <w:rsid w:val="00CD1EF8"/>
    <w:rsid w:val="00CE0A92"/>
    <w:rsid w:val="00CE6E1A"/>
    <w:rsid w:val="00CE78B3"/>
    <w:rsid w:val="00CF2D08"/>
    <w:rsid w:val="00D139F3"/>
    <w:rsid w:val="00D13AEC"/>
    <w:rsid w:val="00D16300"/>
    <w:rsid w:val="00D31468"/>
    <w:rsid w:val="00D3750B"/>
    <w:rsid w:val="00D454D0"/>
    <w:rsid w:val="00D45CF6"/>
    <w:rsid w:val="00D46911"/>
    <w:rsid w:val="00D5011E"/>
    <w:rsid w:val="00D7069B"/>
    <w:rsid w:val="00D737A5"/>
    <w:rsid w:val="00D76782"/>
    <w:rsid w:val="00D814F8"/>
    <w:rsid w:val="00D853FC"/>
    <w:rsid w:val="00D9301C"/>
    <w:rsid w:val="00D978DD"/>
    <w:rsid w:val="00DA098C"/>
    <w:rsid w:val="00DB782C"/>
    <w:rsid w:val="00DC100F"/>
    <w:rsid w:val="00DD142F"/>
    <w:rsid w:val="00DD45DF"/>
    <w:rsid w:val="00DE25FE"/>
    <w:rsid w:val="00DE7BD3"/>
    <w:rsid w:val="00DF1BA1"/>
    <w:rsid w:val="00DF488C"/>
    <w:rsid w:val="00E00C9A"/>
    <w:rsid w:val="00E02262"/>
    <w:rsid w:val="00E02A7A"/>
    <w:rsid w:val="00E15C38"/>
    <w:rsid w:val="00E23219"/>
    <w:rsid w:val="00E4774F"/>
    <w:rsid w:val="00E550FD"/>
    <w:rsid w:val="00E86DCC"/>
    <w:rsid w:val="00E90B5C"/>
    <w:rsid w:val="00EA529E"/>
    <w:rsid w:val="00EA5906"/>
    <w:rsid w:val="00EB173A"/>
    <w:rsid w:val="00EB47FF"/>
    <w:rsid w:val="00EB4ABA"/>
    <w:rsid w:val="00EC5ABA"/>
    <w:rsid w:val="00ED4698"/>
    <w:rsid w:val="00EE3146"/>
    <w:rsid w:val="00EE56F7"/>
    <w:rsid w:val="00EE6A75"/>
    <w:rsid w:val="00F03B51"/>
    <w:rsid w:val="00F04B80"/>
    <w:rsid w:val="00F10232"/>
    <w:rsid w:val="00F134BD"/>
    <w:rsid w:val="00F2594B"/>
    <w:rsid w:val="00F30EFC"/>
    <w:rsid w:val="00F3371F"/>
    <w:rsid w:val="00F34470"/>
    <w:rsid w:val="00F41F9A"/>
    <w:rsid w:val="00F52712"/>
    <w:rsid w:val="00F70C83"/>
    <w:rsid w:val="00F74CFF"/>
    <w:rsid w:val="00F939F3"/>
    <w:rsid w:val="00F97D97"/>
    <w:rsid w:val="00FB21A0"/>
    <w:rsid w:val="00FC0F59"/>
    <w:rsid w:val="00FC5201"/>
    <w:rsid w:val="00FC7FD0"/>
    <w:rsid w:val="00FD0C16"/>
    <w:rsid w:val="00FD0E81"/>
    <w:rsid w:val="00FD62F1"/>
    <w:rsid w:val="00FE0261"/>
    <w:rsid w:val="00FF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8D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4E"/>
    <w:rPr>
      <w:rFonts w:ascii="Times New Roman" w:hAnsi="Times New Roman" w:cs="Times New Roman"/>
      <w:sz w:val="24"/>
    </w:rPr>
  </w:style>
  <w:style w:type="paragraph" w:styleId="Heading1">
    <w:name w:val="heading 1"/>
    <w:basedOn w:val="ListParagraph"/>
    <w:next w:val="Normal"/>
    <w:link w:val="Heading1Char"/>
    <w:uiPriority w:val="9"/>
    <w:qFormat/>
    <w:rsid w:val="000B6E4E"/>
    <w:pPr>
      <w:numPr>
        <w:numId w:val="1"/>
      </w:numPr>
      <w:outlineLvl w:val="0"/>
    </w:pPr>
    <w:rPr>
      <w:b/>
      <w:sz w:val="28"/>
      <w:u w:val="single"/>
    </w:rPr>
  </w:style>
  <w:style w:type="paragraph" w:styleId="Heading2">
    <w:name w:val="heading 2"/>
    <w:basedOn w:val="Normal"/>
    <w:next w:val="Normal"/>
    <w:link w:val="Heading2Char"/>
    <w:uiPriority w:val="9"/>
    <w:unhideWhenUsed/>
    <w:qFormat/>
    <w:rsid w:val="000B6E4E"/>
    <w:pPr>
      <w:outlineLvl w:val="1"/>
    </w:pPr>
    <w:rPr>
      <w:b/>
      <w:u w:val="single"/>
    </w:rPr>
  </w:style>
  <w:style w:type="paragraph" w:styleId="Heading3">
    <w:name w:val="heading 3"/>
    <w:basedOn w:val="Normal"/>
    <w:next w:val="Normal"/>
    <w:link w:val="Heading3Char"/>
    <w:uiPriority w:val="9"/>
    <w:unhideWhenUsed/>
    <w:qFormat/>
    <w:rsid w:val="000B6E4E"/>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E4E"/>
    <w:pPr>
      <w:ind w:left="720"/>
      <w:contextualSpacing/>
    </w:pPr>
  </w:style>
  <w:style w:type="paragraph" w:styleId="Title">
    <w:name w:val="Title"/>
    <w:basedOn w:val="Normal"/>
    <w:next w:val="Normal"/>
    <w:link w:val="TitleChar"/>
    <w:uiPriority w:val="10"/>
    <w:qFormat/>
    <w:rsid w:val="000B6E4E"/>
    <w:pPr>
      <w:jc w:val="center"/>
    </w:pPr>
    <w:rPr>
      <w:b/>
    </w:rPr>
  </w:style>
  <w:style w:type="character" w:customStyle="1" w:styleId="TitleChar">
    <w:name w:val="Title Char"/>
    <w:basedOn w:val="DefaultParagraphFont"/>
    <w:link w:val="Title"/>
    <w:uiPriority w:val="10"/>
    <w:rsid w:val="000B6E4E"/>
    <w:rPr>
      <w:rFonts w:ascii="Times New Roman" w:hAnsi="Times New Roman" w:cs="Times New Roman"/>
      <w:b/>
      <w:sz w:val="24"/>
    </w:rPr>
  </w:style>
  <w:style w:type="character" w:customStyle="1" w:styleId="Heading1Char">
    <w:name w:val="Heading 1 Char"/>
    <w:basedOn w:val="DefaultParagraphFont"/>
    <w:link w:val="Heading1"/>
    <w:uiPriority w:val="9"/>
    <w:rsid w:val="000B6E4E"/>
    <w:rPr>
      <w:rFonts w:ascii="Times New Roman" w:hAnsi="Times New Roman" w:cs="Times New Roman"/>
      <w:b/>
      <w:sz w:val="28"/>
      <w:u w:val="single"/>
    </w:rPr>
  </w:style>
  <w:style w:type="character" w:customStyle="1" w:styleId="Heading2Char">
    <w:name w:val="Heading 2 Char"/>
    <w:basedOn w:val="DefaultParagraphFont"/>
    <w:link w:val="Heading2"/>
    <w:uiPriority w:val="9"/>
    <w:rsid w:val="000B6E4E"/>
    <w:rPr>
      <w:rFonts w:ascii="Times New Roman" w:hAnsi="Times New Roman" w:cs="Times New Roman"/>
      <w:b/>
      <w:sz w:val="24"/>
      <w:u w:val="single"/>
    </w:rPr>
  </w:style>
  <w:style w:type="paragraph" w:styleId="FootnoteText">
    <w:name w:val="footnote text"/>
    <w:basedOn w:val="Normal"/>
    <w:link w:val="FootnoteTextChar"/>
    <w:rsid w:val="000B6E4E"/>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0B6E4E"/>
    <w:rPr>
      <w:rFonts w:ascii="Times New Roman" w:eastAsia="Times New Roman" w:hAnsi="Times New Roman" w:cs="Times New Roman"/>
      <w:sz w:val="20"/>
      <w:szCs w:val="20"/>
    </w:rPr>
  </w:style>
  <w:style w:type="character" w:styleId="FootnoteReference">
    <w:name w:val="footnote reference"/>
    <w:rsid w:val="000B6E4E"/>
    <w:rPr>
      <w:vertAlign w:val="superscript"/>
    </w:rPr>
  </w:style>
  <w:style w:type="character" w:styleId="CommentReference">
    <w:name w:val="annotation reference"/>
    <w:uiPriority w:val="99"/>
    <w:rsid w:val="000B6E4E"/>
    <w:rPr>
      <w:sz w:val="16"/>
      <w:szCs w:val="16"/>
    </w:rPr>
  </w:style>
  <w:style w:type="character" w:customStyle="1" w:styleId="Heading3Char">
    <w:name w:val="Heading 3 Char"/>
    <w:basedOn w:val="DefaultParagraphFont"/>
    <w:link w:val="Heading3"/>
    <w:uiPriority w:val="9"/>
    <w:rsid w:val="000B6E4E"/>
    <w:rPr>
      <w:rFonts w:ascii="Times New Roman" w:hAnsi="Times New Roman" w:cs="Times New Roman"/>
      <w:b/>
      <w:sz w:val="24"/>
    </w:rPr>
  </w:style>
  <w:style w:type="paragraph" w:styleId="EndnoteText">
    <w:name w:val="endnote text"/>
    <w:basedOn w:val="Normal"/>
    <w:link w:val="EndnoteTextChar"/>
    <w:uiPriority w:val="99"/>
    <w:semiHidden/>
    <w:unhideWhenUsed/>
    <w:rsid w:val="003E0CAE"/>
    <w:pPr>
      <w:spacing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3E0CAE"/>
    <w:rPr>
      <w:sz w:val="20"/>
      <w:szCs w:val="20"/>
    </w:rPr>
  </w:style>
  <w:style w:type="character" w:styleId="EndnoteReference">
    <w:name w:val="endnote reference"/>
    <w:basedOn w:val="DefaultParagraphFont"/>
    <w:uiPriority w:val="99"/>
    <w:semiHidden/>
    <w:unhideWhenUsed/>
    <w:rsid w:val="003E0CAE"/>
    <w:rPr>
      <w:vertAlign w:val="superscript"/>
    </w:rPr>
  </w:style>
  <w:style w:type="character" w:styleId="Hyperlink">
    <w:name w:val="Hyperlink"/>
    <w:basedOn w:val="DefaultParagraphFont"/>
    <w:uiPriority w:val="99"/>
    <w:unhideWhenUsed/>
    <w:rsid w:val="003E0CAE"/>
    <w:rPr>
      <w:color w:val="0563C1" w:themeColor="hyperlink"/>
      <w:u w:val="single"/>
    </w:rPr>
  </w:style>
  <w:style w:type="paragraph" w:styleId="CommentText">
    <w:name w:val="annotation text"/>
    <w:basedOn w:val="Normal"/>
    <w:link w:val="CommentTextChar"/>
    <w:uiPriority w:val="99"/>
    <w:unhideWhenUsed/>
    <w:rsid w:val="003B1DBB"/>
    <w:pPr>
      <w:spacing w:line="240" w:lineRule="auto"/>
    </w:pPr>
    <w:rPr>
      <w:sz w:val="20"/>
      <w:szCs w:val="20"/>
    </w:rPr>
  </w:style>
  <w:style w:type="character" w:customStyle="1" w:styleId="CommentTextChar">
    <w:name w:val="Comment Text Char"/>
    <w:basedOn w:val="DefaultParagraphFont"/>
    <w:link w:val="CommentText"/>
    <w:uiPriority w:val="99"/>
    <w:rsid w:val="003B1D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1DBB"/>
    <w:rPr>
      <w:b/>
      <w:bCs/>
    </w:rPr>
  </w:style>
  <w:style w:type="character" w:customStyle="1" w:styleId="CommentSubjectChar">
    <w:name w:val="Comment Subject Char"/>
    <w:basedOn w:val="CommentTextChar"/>
    <w:link w:val="CommentSubject"/>
    <w:uiPriority w:val="99"/>
    <w:semiHidden/>
    <w:rsid w:val="003B1DB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B1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DBB"/>
    <w:rPr>
      <w:rFonts w:ascii="Segoe UI" w:hAnsi="Segoe UI" w:cs="Segoe UI"/>
      <w:sz w:val="18"/>
      <w:szCs w:val="18"/>
    </w:rPr>
  </w:style>
  <w:style w:type="table" w:styleId="TableGrid">
    <w:name w:val="Table Grid"/>
    <w:basedOn w:val="TableNormal"/>
    <w:uiPriority w:val="39"/>
    <w:rsid w:val="00973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507B"/>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252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F55"/>
    <w:rPr>
      <w:rFonts w:ascii="Times New Roman" w:hAnsi="Times New Roman" w:cs="Times New Roman"/>
      <w:sz w:val="24"/>
    </w:rPr>
  </w:style>
  <w:style w:type="paragraph" w:styleId="Footer">
    <w:name w:val="footer"/>
    <w:basedOn w:val="Normal"/>
    <w:link w:val="FooterChar"/>
    <w:uiPriority w:val="99"/>
    <w:unhideWhenUsed/>
    <w:rsid w:val="00252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F55"/>
    <w:rPr>
      <w:rFonts w:ascii="Times New Roman" w:hAnsi="Times New Roman" w:cs="Times New Roman"/>
      <w:sz w:val="24"/>
    </w:rPr>
  </w:style>
  <w:style w:type="paragraph" w:styleId="NoSpacing">
    <w:name w:val="No Spacing"/>
    <w:uiPriority w:val="1"/>
    <w:qFormat/>
    <w:rsid w:val="00856C98"/>
    <w:pPr>
      <w:spacing w:after="0" w:line="240" w:lineRule="auto"/>
    </w:pPr>
    <w:rPr>
      <w:rFonts w:ascii="Times New Roman" w:hAnsi="Times New Roman" w:cs="Times New Roman"/>
      <w:sz w:val="24"/>
    </w:rPr>
  </w:style>
  <w:style w:type="character" w:styleId="LineNumber">
    <w:name w:val="line number"/>
    <w:basedOn w:val="DefaultParagraphFont"/>
    <w:uiPriority w:val="99"/>
    <w:semiHidden/>
    <w:unhideWhenUsed/>
    <w:rsid w:val="009F74F2"/>
  </w:style>
  <w:style w:type="character" w:customStyle="1" w:styleId="st">
    <w:name w:val="st"/>
    <w:basedOn w:val="DefaultParagraphFont"/>
    <w:rsid w:val="00501136"/>
  </w:style>
  <w:style w:type="character" w:styleId="FollowedHyperlink">
    <w:name w:val="FollowedHyperlink"/>
    <w:basedOn w:val="DefaultParagraphFont"/>
    <w:uiPriority w:val="99"/>
    <w:semiHidden/>
    <w:unhideWhenUsed/>
    <w:rsid w:val="0012234A"/>
    <w:rPr>
      <w:color w:val="954F72" w:themeColor="followedHyperlink"/>
      <w:u w:val="single"/>
    </w:rPr>
  </w:style>
  <w:style w:type="character" w:customStyle="1" w:styleId="UnresolvedMention">
    <w:name w:val="Unresolved Mention"/>
    <w:basedOn w:val="DefaultParagraphFont"/>
    <w:uiPriority w:val="99"/>
    <w:semiHidden/>
    <w:unhideWhenUsed/>
    <w:rsid w:val="002956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4E"/>
    <w:rPr>
      <w:rFonts w:ascii="Times New Roman" w:hAnsi="Times New Roman" w:cs="Times New Roman"/>
      <w:sz w:val="24"/>
    </w:rPr>
  </w:style>
  <w:style w:type="paragraph" w:styleId="Heading1">
    <w:name w:val="heading 1"/>
    <w:basedOn w:val="ListParagraph"/>
    <w:next w:val="Normal"/>
    <w:link w:val="Heading1Char"/>
    <w:uiPriority w:val="9"/>
    <w:qFormat/>
    <w:rsid w:val="000B6E4E"/>
    <w:pPr>
      <w:numPr>
        <w:numId w:val="1"/>
      </w:numPr>
      <w:outlineLvl w:val="0"/>
    </w:pPr>
    <w:rPr>
      <w:b/>
      <w:sz w:val="28"/>
      <w:u w:val="single"/>
    </w:rPr>
  </w:style>
  <w:style w:type="paragraph" w:styleId="Heading2">
    <w:name w:val="heading 2"/>
    <w:basedOn w:val="Normal"/>
    <w:next w:val="Normal"/>
    <w:link w:val="Heading2Char"/>
    <w:uiPriority w:val="9"/>
    <w:unhideWhenUsed/>
    <w:qFormat/>
    <w:rsid w:val="000B6E4E"/>
    <w:pPr>
      <w:outlineLvl w:val="1"/>
    </w:pPr>
    <w:rPr>
      <w:b/>
      <w:u w:val="single"/>
    </w:rPr>
  </w:style>
  <w:style w:type="paragraph" w:styleId="Heading3">
    <w:name w:val="heading 3"/>
    <w:basedOn w:val="Normal"/>
    <w:next w:val="Normal"/>
    <w:link w:val="Heading3Char"/>
    <w:uiPriority w:val="9"/>
    <w:unhideWhenUsed/>
    <w:qFormat/>
    <w:rsid w:val="000B6E4E"/>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E4E"/>
    <w:pPr>
      <w:ind w:left="720"/>
      <w:contextualSpacing/>
    </w:pPr>
  </w:style>
  <w:style w:type="paragraph" w:styleId="Title">
    <w:name w:val="Title"/>
    <w:basedOn w:val="Normal"/>
    <w:next w:val="Normal"/>
    <w:link w:val="TitleChar"/>
    <w:uiPriority w:val="10"/>
    <w:qFormat/>
    <w:rsid w:val="000B6E4E"/>
    <w:pPr>
      <w:jc w:val="center"/>
    </w:pPr>
    <w:rPr>
      <w:b/>
    </w:rPr>
  </w:style>
  <w:style w:type="character" w:customStyle="1" w:styleId="TitleChar">
    <w:name w:val="Title Char"/>
    <w:basedOn w:val="DefaultParagraphFont"/>
    <w:link w:val="Title"/>
    <w:uiPriority w:val="10"/>
    <w:rsid w:val="000B6E4E"/>
    <w:rPr>
      <w:rFonts w:ascii="Times New Roman" w:hAnsi="Times New Roman" w:cs="Times New Roman"/>
      <w:b/>
      <w:sz w:val="24"/>
    </w:rPr>
  </w:style>
  <w:style w:type="character" w:customStyle="1" w:styleId="Heading1Char">
    <w:name w:val="Heading 1 Char"/>
    <w:basedOn w:val="DefaultParagraphFont"/>
    <w:link w:val="Heading1"/>
    <w:uiPriority w:val="9"/>
    <w:rsid w:val="000B6E4E"/>
    <w:rPr>
      <w:rFonts w:ascii="Times New Roman" w:hAnsi="Times New Roman" w:cs="Times New Roman"/>
      <w:b/>
      <w:sz w:val="28"/>
      <w:u w:val="single"/>
    </w:rPr>
  </w:style>
  <w:style w:type="character" w:customStyle="1" w:styleId="Heading2Char">
    <w:name w:val="Heading 2 Char"/>
    <w:basedOn w:val="DefaultParagraphFont"/>
    <w:link w:val="Heading2"/>
    <w:uiPriority w:val="9"/>
    <w:rsid w:val="000B6E4E"/>
    <w:rPr>
      <w:rFonts w:ascii="Times New Roman" w:hAnsi="Times New Roman" w:cs="Times New Roman"/>
      <w:b/>
      <w:sz w:val="24"/>
      <w:u w:val="single"/>
    </w:rPr>
  </w:style>
  <w:style w:type="paragraph" w:styleId="FootnoteText">
    <w:name w:val="footnote text"/>
    <w:basedOn w:val="Normal"/>
    <w:link w:val="FootnoteTextChar"/>
    <w:rsid w:val="000B6E4E"/>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0B6E4E"/>
    <w:rPr>
      <w:rFonts w:ascii="Times New Roman" w:eastAsia="Times New Roman" w:hAnsi="Times New Roman" w:cs="Times New Roman"/>
      <w:sz w:val="20"/>
      <w:szCs w:val="20"/>
    </w:rPr>
  </w:style>
  <w:style w:type="character" w:styleId="FootnoteReference">
    <w:name w:val="footnote reference"/>
    <w:rsid w:val="000B6E4E"/>
    <w:rPr>
      <w:vertAlign w:val="superscript"/>
    </w:rPr>
  </w:style>
  <w:style w:type="character" w:styleId="CommentReference">
    <w:name w:val="annotation reference"/>
    <w:uiPriority w:val="99"/>
    <w:rsid w:val="000B6E4E"/>
    <w:rPr>
      <w:sz w:val="16"/>
      <w:szCs w:val="16"/>
    </w:rPr>
  </w:style>
  <w:style w:type="character" w:customStyle="1" w:styleId="Heading3Char">
    <w:name w:val="Heading 3 Char"/>
    <w:basedOn w:val="DefaultParagraphFont"/>
    <w:link w:val="Heading3"/>
    <w:uiPriority w:val="9"/>
    <w:rsid w:val="000B6E4E"/>
    <w:rPr>
      <w:rFonts w:ascii="Times New Roman" w:hAnsi="Times New Roman" w:cs="Times New Roman"/>
      <w:b/>
      <w:sz w:val="24"/>
    </w:rPr>
  </w:style>
  <w:style w:type="paragraph" w:styleId="EndnoteText">
    <w:name w:val="endnote text"/>
    <w:basedOn w:val="Normal"/>
    <w:link w:val="EndnoteTextChar"/>
    <w:uiPriority w:val="99"/>
    <w:semiHidden/>
    <w:unhideWhenUsed/>
    <w:rsid w:val="003E0CAE"/>
    <w:pPr>
      <w:spacing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3E0CAE"/>
    <w:rPr>
      <w:sz w:val="20"/>
      <w:szCs w:val="20"/>
    </w:rPr>
  </w:style>
  <w:style w:type="character" w:styleId="EndnoteReference">
    <w:name w:val="endnote reference"/>
    <w:basedOn w:val="DefaultParagraphFont"/>
    <w:uiPriority w:val="99"/>
    <w:semiHidden/>
    <w:unhideWhenUsed/>
    <w:rsid w:val="003E0CAE"/>
    <w:rPr>
      <w:vertAlign w:val="superscript"/>
    </w:rPr>
  </w:style>
  <w:style w:type="character" w:styleId="Hyperlink">
    <w:name w:val="Hyperlink"/>
    <w:basedOn w:val="DefaultParagraphFont"/>
    <w:uiPriority w:val="99"/>
    <w:unhideWhenUsed/>
    <w:rsid w:val="003E0CAE"/>
    <w:rPr>
      <w:color w:val="0563C1" w:themeColor="hyperlink"/>
      <w:u w:val="single"/>
    </w:rPr>
  </w:style>
  <w:style w:type="paragraph" w:styleId="CommentText">
    <w:name w:val="annotation text"/>
    <w:basedOn w:val="Normal"/>
    <w:link w:val="CommentTextChar"/>
    <w:uiPriority w:val="99"/>
    <w:unhideWhenUsed/>
    <w:rsid w:val="003B1DBB"/>
    <w:pPr>
      <w:spacing w:line="240" w:lineRule="auto"/>
    </w:pPr>
    <w:rPr>
      <w:sz w:val="20"/>
      <w:szCs w:val="20"/>
    </w:rPr>
  </w:style>
  <w:style w:type="character" w:customStyle="1" w:styleId="CommentTextChar">
    <w:name w:val="Comment Text Char"/>
    <w:basedOn w:val="DefaultParagraphFont"/>
    <w:link w:val="CommentText"/>
    <w:uiPriority w:val="99"/>
    <w:rsid w:val="003B1D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1DBB"/>
    <w:rPr>
      <w:b/>
      <w:bCs/>
    </w:rPr>
  </w:style>
  <w:style w:type="character" w:customStyle="1" w:styleId="CommentSubjectChar">
    <w:name w:val="Comment Subject Char"/>
    <w:basedOn w:val="CommentTextChar"/>
    <w:link w:val="CommentSubject"/>
    <w:uiPriority w:val="99"/>
    <w:semiHidden/>
    <w:rsid w:val="003B1DB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B1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DBB"/>
    <w:rPr>
      <w:rFonts w:ascii="Segoe UI" w:hAnsi="Segoe UI" w:cs="Segoe UI"/>
      <w:sz w:val="18"/>
      <w:szCs w:val="18"/>
    </w:rPr>
  </w:style>
  <w:style w:type="table" w:styleId="TableGrid">
    <w:name w:val="Table Grid"/>
    <w:basedOn w:val="TableNormal"/>
    <w:uiPriority w:val="39"/>
    <w:rsid w:val="00973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507B"/>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252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F55"/>
    <w:rPr>
      <w:rFonts w:ascii="Times New Roman" w:hAnsi="Times New Roman" w:cs="Times New Roman"/>
      <w:sz w:val="24"/>
    </w:rPr>
  </w:style>
  <w:style w:type="paragraph" w:styleId="Footer">
    <w:name w:val="footer"/>
    <w:basedOn w:val="Normal"/>
    <w:link w:val="FooterChar"/>
    <w:uiPriority w:val="99"/>
    <w:unhideWhenUsed/>
    <w:rsid w:val="00252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F55"/>
    <w:rPr>
      <w:rFonts w:ascii="Times New Roman" w:hAnsi="Times New Roman" w:cs="Times New Roman"/>
      <w:sz w:val="24"/>
    </w:rPr>
  </w:style>
  <w:style w:type="paragraph" w:styleId="NoSpacing">
    <w:name w:val="No Spacing"/>
    <w:uiPriority w:val="1"/>
    <w:qFormat/>
    <w:rsid w:val="00856C98"/>
    <w:pPr>
      <w:spacing w:after="0" w:line="240" w:lineRule="auto"/>
    </w:pPr>
    <w:rPr>
      <w:rFonts w:ascii="Times New Roman" w:hAnsi="Times New Roman" w:cs="Times New Roman"/>
      <w:sz w:val="24"/>
    </w:rPr>
  </w:style>
  <w:style w:type="character" w:styleId="LineNumber">
    <w:name w:val="line number"/>
    <w:basedOn w:val="DefaultParagraphFont"/>
    <w:uiPriority w:val="99"/>
    <w:semiHidden/>
    <w:unhideWhenUsed/>
    <w:rsid w:val="009F74F2"/>
  </w:style>
  <w:style w:type="character" w:customStyle="1" w:styleId="st">
    <w:name w:val="st"/>
    <w:basedOn w:val="DefaultParagraphFont"/>
    <w:rsid w:val="00501136"/>
  </w:style>
  <w:style w:type="character" w:styleId="FollowedHyperlink">
    <w:name w:val="FollowedHyperlink"/>
    <w:basedOn w:val="DefaultParagraphFont"/>
    <w:uiPriority w:val="99"/>
    <w:semiHidden/>
    <w:unhideWhenUsed/>
    <w:rsid w:val="0012234A"/>
    <w:rPr>
      <w:color w:val="954F72" w:themeColor="followedHyperlink"/>
      <w:u w:val="single"/>
    </w:rPr>
  </w:style>
  <w:style w:type="character" w:customStyle="1" w:styleId="UnresolvedMention">
    <w:name w:val="Unresolved Mention"/>
    <w:basedOn w:val="DefaultParagraphFont"/>
    <w:uiPriority w:val="99"/>
    <w:semiHidden/>
    <w:unhideWhenUsed/>
    <w:rsid w:val="00295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822645">
      <w:bodyDiv w:val="1"/>
      <w:marLeft w:val="0"/>
      <w:marRight w:val="0"/>
      <w:marTop w:val="0"/>
      <w:marBottom w:val="0"/>
      <w:divBdr>
        <w:top w:val="none" w:sz="0" w:space="0" w:color="auto"/>
        <w:left w:val="none" w:sz="0" w:space="0" w:color="auto"/>
        <w:bottom w:val="none" w:sz="0" w:space="0" w:color="auto"/>
        <w:right w:val="none" w:sz="0" w:space="0" w:color="auto"/>
      </w:divBdr>
    </w:div>
    <w:div w:id="18151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bapps.dol.gov/elaws/whd/flsa/docs/ymwplink.as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topalcoholabus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apps.dol.gov/elaws/faq/esa/flsa/001.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journals.plos.org/plosone/article?id=10.1371/journal.pone.0126950" TargetMode="External"/><Relationship Id="rId2" Type="http://schemas.openxmlformats.org/officeDocument/2006/relationships/hyperlink" Target="http://onlinelibrary.wiley.com/doi/10.1111/j.1746-1561.1997.tb01287.x/abstract" TargetMode="External"/><Relationship Id="rId1" Type="http://schemas.openxmlformats.org/officeDocument/2006/relationships/hyperlink" Target="https://nces.ed.gov/pubs2011/pesschools09/tables/table_05.asp" TargetMode="External"/><Relationship Id="rId5" Type="http://schemas.openxmlformats.org/officeDocument/2006/relationships/hyperlink" Target="https://www.researchgate.net/profile/Yehuda_Baruch2/publication/228079609_Survey_Response_Rate_Levels_and_Trends_in_Organizational_Research/links/09e415112cd948d7f6000000.pdf" TargetMode="External"/><Relationship Id="rId4" Type="http://schemas.openxmlformats.org/officeDocument/2006/relationships/hyperlink" Target="https://pdfs.semanticscholar.org/a29a/6be77f95130a23aca798fa8e0972ee5770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453cdae5-fcad-4ab1-b3b4-c8cb485e06c5" xsi:nil="true"/>
    <Date_x0020_Created xmlns="453cdae5-fcad-4ab1-b3b4-c8cb485e06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25E64688DA594595971EAEF6305BBD" ma:contentTypeVersion="11" ma:contentTypeDescription="Create a new document." ma:contentTypeScope="" ma:versionID="47319dda6f8b950927d0975f30c82d2d">
  <xsd:schema xmlns:xsd="http://www.w3.org/2001/XMLSchema" xmlns:xs="http://www.w3.org/2001/XMLSchema" xmlns:p="http://schemas.microsoft.com/office/2006/metadata/properties" xmlns:ns2="ea7065a1-68b6-4545-8543-e1fa43f582c8" xmlns:ns3="453cdae5-fcad-4ab1-b3b4-c8cb485e06c5" targetNamespace="http://schemas.microsoft.com/office/2006/metadata/properties" ma:root="true" ma:fieldsID="2fa2f27979e0cab8895c708393af62e6" ns2:_="" ns3:_="">
    <xsd:import namespace="ea7065a1-68b6-4545-8543-e1fa43f582c8"/>
    <xsd:import namespace="453cdae5-fcad-4ab1-b3b4-c8cb485e06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Date_x0020_Created" minOccurs="0"/>
                <xsd:element ref="ns3:MediaServiceEventHashCode" minOccurs="0"/>
                <xsd:element ref="ns3:MediaServiceGenerationTime"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065a1-68b6-4545-8543-e1fa43f582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cdae5-fcad-4ab1-b3b4-c8cb485e06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Date_x0020_Created" ma:index="15" nillable="true" ma:displayName="Date Created" ma:format="DateOnly" ma:internalName="Date_x0020_Created">
      <xsd:simpleType>
        <xsd:restriction base="dms:DateTim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escription0" ma:index="18"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0791-22C4-4C36-B206-54AD2BE37843}">
  <ds:schemaRefs>
    <ds:schemaRef ds:uri="http://schemas.microsoft.com/office/2006/metadata/properties"/>
    <ds:schemaRef ds:uri="http://schemas.microsoft.com/office/infopath/2007/PartnerControls"/>
    <ds:schemaRef ds:uri="453cdae5-fcad-4ab1-b3b4-c8cb485e06c5"/>
  </ds:schemaRefs>
</ds:datastoreItem>
</file>

<file path=customXml/itemProps2.xml><?xml version="1.0" encoding="utf-8"?>
<ds:datastoreItem xmlns:ds="http://schemas.openxmlformats.org/officeDocument/2006/customXml" ds:itemID="{897E49C9-724F-46A0-8A77-D6110AA7B108}">
  <ds:schemaRefs>
    <ds:schemaRef ds:uri="http://schemas.microsoft.com/sharepoint/v3/contenttype/forms"/>
  </ds:schemaRefs>
</ds:datastoreItem>
</file>

<file path=customXml/itemProps3.xml><?xml version="1.0" encoding="utf-8"?>
<ds:datastoreItem xmlns:ds="http://schemas.openxmlformats.org/officeDocument/2006/customXml" ds:itemID="{1B568A49-9D5A-4996-85CC-05FFE33A2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065a1-68b6-4545-8543-e1fa43f582c8"/>
    <ds:schemaRef ds:uri="453cdae5-fcad-4ab1-b3b4-c8cb485e0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1396A-6529-4704-B11E-B4110752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4136</Words>
  <Characters>23579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Spinney</dc:creator>
  <cp:lastModifiedBy>SYSTEM</cp:lastModifiedBy>
  <cp:revision>2</cp:revision>
  <cp:lastPrinted>2019-11-01T16:13:00Z</cp:lastPrinted>
  <dcterms:created xsi:type="dcterms:W3CDTF">2019-12-03T19:24:00Z</dcterms:created>
  <dcterms:modified xsi:type="dcterms:W3CDTF">2019-12-03T19:24:00Z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0x010100F225E64688DA594595971EAEF6305BBD</vt:lpwstr>
  </property>
</Properties>
</file>