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3AA4" w14:textId="77777777" w:rsidR="00DC0A21" w:rsidRDefault="00DC0A21" w:rsidP="00C05D3E">
      <w:pPr>
        <w:jc w:val="center"/>
        <w:rPr>
          <w:rFonts w:cs="Times New Roman"/>
        </w:rPr>
      </w:pPr>
      <w:bookmarkStart w:id="0" w:name="_GoBack"/>
      <w:bookmarkEnd w:id="0"/>
    </w:p>
    <w:p w14:paraId="43BD0348" w14:textId="77777777" w:rsidR="00791D7C" w:rsidRDefault="00791D7C" w:rsidP="00C05D3E">
      <w:pPr>
        <w:jc w:val="center"/>
        <w:rPr>
          <w:rFonts w:cs="Times New Roman"/>
        </w:rPr>
      </w:pPr>
    </w:p>
    <w:p w14:paraId="1002DE0F" w14:textId="77777777" w:rsidR="00791D7C" w:rsidRDefault="00791D7C" w:rsidP="00C05D3E">
      <w:pPr>
        <w:jc w:val="center"/>
        <w:rPr>
          <w:rFonts w:cs="Times New Roman"/>
        </w:rPr>
      </w:pPr>
    </w:p>
    <w:p w14:paraId="40DFD01C" w14:textId="77777777" w:rsidR="00791D7C" w:rsidRDefault="00791D7C" w:rsidP="00C05D3E">
      <w:pPr>
        <w:jc w:val="center"/>
        <w:rPr>
          <w:rFonts w:cs="Times New Roman"/>
        </w:rPr>
      </w:pPr>
    </w:p>
    <w:p w14:paraId="3E999A53" w14:textId="7AB8E8B2" w:rsidR="00E029EB" w:rsidRPr="0020273E" w:rsidRDefault="00E029EB" w:rsidP="00C05D3E">
      <w:pPr>
        <w:jc w:val="center"/>
        <w:rPr>
          <w:rFonts w:cs="Times New Roman"/>
        </w:rPr>
      </w:pPr>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0FDD8868" w:rsidR="00CA1D04" w:rsidRPr="009A7EDD" w:rsidRDefault="003F2F18" w:rsidP="00CA1D04">
      <w:pPr>
        <w:jc w:val="center"/>
        <w:rPr>
          <w:rFonts w:cs="Times New Roman"/>
          <w:sz w:val="32"/>
        </w:rPr>
      </w:pPr>
      <w:r>
        <w:rPr>
          <w:rFonts w:cs="Times New Roman"/>
          <w:sz w:val="32"/>
        </w:rPr>
        <w:t>10</w:t>
      </w:r>
      <w:r w:rsidR="002D6A9E">
        <w:rPr>
          <w:rFonts w:cs="Times New Roman"/>
          <w:sz w:val="32"/>
        </w:rPr>
        <w:t>/</w:t>
      </w:r>
      <w:r>
        <w:rPr>
          <w:rFonts w:cs="Times New Roman"/>
          <w:sz w:val="32"/>
        </w:rPr>
        <w:t>31</w:t>
      </w:r>
      <w:r w:rsidR="002D6A9E">
        <w:rPr>
          <w:rFonts w:cs="Times New Roman"/>
          <w:sz w:val="32"/>
        </w:rPr>
        <w:t>/</w:t>
      </w:r>
      <w:r>
        <w:rPr>
          <w:rFonts w:cs="Times New Roman"/>
          <w:sz w:val="32"/>
        </w:rPr>
        <w:t>20</w:t>
      </w:r>
      <w:r w:rsidR="005A1096">
        <w:rPr>
          <w:rFonts w:cs="Times New Roman"/>
          <w:sz w:val="32"/>
        </w:rPr>
        <w:t>18</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ABE2536"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664176">
          <w:rPr>
            <w:noProof/>
            <w:webHidden/>
          </w:rPr>
          <w:t>1</w:t>
        </w:r>
        <w:r w:rsidR="00665690">
          <w:rPr>
            <w:noProof/>
            <w:webHidden/>
          </w:rPr>
          <w:fldChar w:fldCharType="end"/>
        </w:r>
      </w:hyperlink>
    </w:p>
    <w:p w14:paraId="67FB3549" w14:textId="2AB701AF" w:rsidR="00665690" w:rsidRDefault="00EE4411">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B3815B3" w14:textId="27685CE2" w:rsidR="00665690" w:rsidRDefault="00EE4411">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1A54840" w14:textId="085866F2" w:rsidR="00665690" w:rsidRDefault="00EE4411">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5CD17905" w14:textId="2C39F402" w:rsidR="00665690" w:rsidRDefault="00EE4411">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6B1C9060" w14:textId="706017C9" w:rsidR="00665690" w:rsidRDefault="00EE4411">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41DBB1BB" w14:textId="34CC99A2" w:rsidR="00665690" w:rsidRDefault="00EE4411">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243E1A58" w14:textId="1F28E513" w:rsidR="00665690" w:rsidRDefault="00EE4411">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664176">
          <w:rPr>
            <w:noProof/>
            <w:webHidden/>
          </w:rPr>
          <w:t>6</w:t>
        </w:r>
        <w:r w:rsidR="00665690">
          <w:rPr>
            <w:noProof/>
            <w:webHidden/>
          </w:rPr>
          <w:fldChar w:fldCharType="end"/>
        </w:r>
      </w:hyperlink>
    </w:p>
    <w:p w14:paraId="7D85596A" w14:textId="45453AEA" w:rsidR="00665690" w:rsidRDefault="00EE4411">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664176">
          <w:rPr>
            <w:noProof/>
            <w:webHidden/>
          </w:rPr>
          <w:t>7</w:t>
        </w:r>
        <w:r w:rsidR="00665690">
          <w:rPr>
            <w:noProof/>
            <w:webHidden/>
          </w:rPr>
          <w:fldChar w:fldCharType="end"/>
        </w:r>
      </w:hyperlink>
    </w:p>
    <w:p w14:paraId="7FC4213A" w14:textId="5D21E6A4" w:rsidR="00665690" w:rsidRDefault="00EE4411">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664176">
          <w:rPr>
            <w:noProof/>
            <w:webHidden/>
          </w:rPr>
          <w:t>9</w:t>
        </w:r>
        <w:r w:rsidR="00665690">
          <w:rPr>
            <w:noProof/>
            <w:webHidden/>
          </w:rPr>
          <w:fldChar w:fldCharType="end"/>
        </w:r>
      </w:hyperlink>
    </w:p>
    <w:p w14:paraId="223BB9AA" w14:textId="48C1AD5A" w:rsidR="00665690" w:rsidRDefault="00EE4411">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664176">
          <w:rPr>
            <w:noProof/>
            <w:webHidden/>
          </w:rPr>
          <w:t>12</w:t>
        </w:r>
        <w:r w:rsidR="00665690">
          <w:rPr>
            <w:noProof/>
            <w:webHidden/>
          </w:rPr>
          <w:fldChar w:fldCharType="end"/>
        </w:r>
      </w:hyperlink>
    </w:p>
    <w:p w14:paraId="684E7184" w14:textId="09C808E6" w:rsidR="00665690" w:rsidRDefault="00EE4411">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664176">
          <w:rPr>
            <w:noProof/>
            <w:webHidden/>
          </w:rPr>
          <w:t>13</w:t>
        </w:r>
        <w:r w:rsidR="00665690">
          <w:rPr>
            <w:noProof/>
            <w:webHidden/>
          </w:rPr>
          <w:fldChar w:fldCharType="end"/>
        </w:r>
      </w:hyperlink>
    </w:p>
    <w:p w14:paraId="2465CF17" w14:textId="4D5B44AB" w:rsidR="00665690" w:rsidRDefault="00EE4411">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664176">
          <w:rPr>
            <w:noProof/>
            <w:webHidden/>
          </w:rPr>
          <w:t>14</w:t>
        </w:r>
        <w:r w:rsidR="00665690">
          <w:rPr>
            <w:noProof/>
            <w:webHidden/>
          </w:rPr>
          <w:fldChar w:fldCharType="end"/>
        </w:r>
      </w:hyperlink>
    </w:p>
    <w:p w14:paraId="70C65BAD" w14:textId="0701136C" w:rsidR="00665690" w:rsidRDefault="00EE4411">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664176">
          <w:rPr>
            <w:noProof/>
            <w:webHidden/>
          </w:rPr>
          <w:t>17</w:t>
        </w:r>
        <w:r w:rsidR="00665690">
          <w:rPr>
            <w:noProof/>
            <w:webHidden/>
          </w:rPr>
          <w:fldChar w:fldCharType="end"/>
        </w:r>
      </w:hyperlink>
    </w:p>
    <w:p w14:paraId="04B7F024" w14:textId="389ABF90" w:rsidR="00665690" w:rsidRDefault="00EE4411">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1F8444F6" w14:textId="42C229FB" w:rsidR="00665690" w:rsidRDefault="00EE4411">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30564777" w14:textId="531D6B5A" w:rsidR="00665690" w:rsidRDefault="00EE4411">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664176">
          <w:rPr>
            <w:noProof/>
            <w:webHidden/>
          </w:rPr>
          <w:t>21</w:t>
        </w:r>
        <w:r w:rsidR="00665690">
          <w:rPr>
            <w:noProof/>
            <w:webHidden/>
          </w:rPr>
          <w:fldChar w:fldCharType="end"/>
        </w:r>
      </w:hyperlink>
    </w:p>
    <w:p w14:paraId="79007F9C" w14:textId="2CD08BF5" w:rsidR="00665690" w:rsidRDefault="00EE4411">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664176">
          <w:rPr>
            <w:noProof/>
            <w:webHidden/>
          </w:rPr>
          <w:t>22</w:t>
        </w:r>
        <w:r w:rsidR="00665690">
          <w:rPr>
            <w:noProof/>
            <w:webHidden/>
          </w:rPr>
          <w:fldChar w:fldCharType="end"/>
        </w:r>
      </w:hyperlink>
    </w:p>
    <w:p w14:paraId="232C8CA5" w14:textId="32AB65FD" w:rsidR="00665690" w:rsidRDefault="00EE4411">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664176">
          <w:rPr>
            <w:noProof/>
            <w:webHidden/>
          </w:rPr>
          <w:t>24</w:t>
        </w:r>
        <w:r w:rsidR="00665690">
          <w:rPr>
            <w:noProof/>
            <w:webHidden/>
          </w:rPr>
          <w:fldChar w:fldCharType="end"/>
        </w:r>
      </w:hyperlink>
    </w:p>
    <w:p w14:paraId="7F1C4AEA" w14:textId="2EF5665C" w:rsidR="00665690" w:rsidRDefault="00EE4411">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664176">
          <w:rPr>
            <w:noProof/>
            <w:webHidden/>
          </w:rPr>
          <w:t>29</w:t>
        </w:r>
        <w:r w:rsidR="00665690">
          <w:rPr>
            <w:noProof/>
            <w:webHidden/>
          </w:rPr>
          <w:fldChar w:fldCharType="end"/>
        </w:r>
      </w:hyperlink>
    </w:p>
    <w:p w14:paraId="7B72DCF4" w14:textId="0AF73FC7" w:rsidR="00665690" w:rsidRDefault="00EE4411">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664176">
          <w:rPr>
            <w:noProof/>
            <w:webHidden/>
          </w:rPr>
          <w:t>32</w:t>
        </w:r>
        <w:r w:rsidR="00665690">
          <w:rPr>
            <w:noProof/>
            <w:webHidden/>
          </w:rPr>
          <w:fldChar w:fldCharType="end"/>
        </w:r>
      </w:hyperlink>
    </w:p>
    <w:p w14:paraId="009376DA" w14:textId="6F62E638" w:rsidR="00665690" w:rsidRDefault="00EE4411">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664176">
          <w:rPr>
            <w:noProof/>
            <w:webHidden/>
          </w:rPr>
          <w:t>36</w:t>
        </w:r>
        <w:r w:rsidR="00665690">
          <w:rPr>
            <w:noProof/>
            <w:webHidden/>
          </w:rPr>
          <w:fldChar w:fldCharType="end"/>
        </w:r>
      </w:hyperlink>
    </w:p>
    <w:p w14:paraId="34434690" w14:textId="2FFD4493" w:rsidR="00665690" w:rsidRDefault="00EE4411">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13F6D317" w14:textId="07E5EC55" w:rsidR="00665690" w:rsidRDefault="00EE4411">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7F0CD0FC" w14:textId="3E2DEE16" w:rsidR="00665690" w:rsidRDefault="00EE4411">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29BA61E0" w14:textId="2473135A" w:rsidR="00665690" w:rsidRDefault="00EE4411">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664176">
          <w:rPr>
            <w:noProof/>
            <w:webHidden/>
          </w:rPr>
          <w:t>45</w:t>
        </w:r>
        <w:r w:rsidR="00665690">
          <w:rPr>
            <w:noProof/>
            <w:webHidden/>
          </w:rPr>
          <w:fldChar w:fldCharType="end"/>
        </w:r>
      </w:hyperlink>
    </w:p>
    <w:p w14:paraId="6E499614" w14:textId="19CC9C7F" w:rsidR="00665690" w:rsidRDefault="00EE4411">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664176">
          <w:rPr>
            <w:noProof/>
            <w:webHidden/>
          </w:rPr>
          <w:t>48</w:t>
        </w:r>
        <w:r w:rsidR="00665690">
          <w:rPr>
            <w:noProof/>
            <w:webHidden/>
          </w:rPr>
          <w:fldChar w:fldCharType="end"/>
        </w:r>
      </w:hyperlink>
    </w:p>
    <w:p w14:paraId="180F76F4" w14:textId="5F7C4C80" w:rsidR="00665690" w:rsidRDefault="00EE4411">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664176">
          <w:rPr>
            <w:noProof/>
            <w:webHidden/>
          </w:rPr>
          <w:t>51</w:t>
        </w:r>
        <w:r w:rsidR="00665690">
          <w:rPr>
            <w:noProof/>
            <w:webHidden/>
          </w:rPr>
          <w:fldChar w:fldCharType="end"/>
        </w:r>
      </w:hyperlink>
    </w:p>
    <w:p w14:paraId="24532185" w14:textId="294F9BE1" w:rsidR="00665690" w:rsidRDefault="00EE4411">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664176">
          <w:rPr>
            <w:noProof/>
            <w:webHidden/>
          </w:rPr>
          <w:t>54</w:t>
        </w:r>
        <w:r w:rsidR="00665690">
          <w:rPr>
            <w:noProof/>
            <w:webHidden/>
          </w:rPr>
          <w:fldChar w:fldCharType="end"/>
        </w:r>
      </w:hyperlink>
    </w:p>
    <w:p w14:paraId="2439AB9B" w14:textId="3DCB67B7" w:rsidR="00665690" w:rsidRDefault="00EE4411">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664176">
          <w:rPr>
            <w:noProof/>
            <w:webHidden/>
          </w:rPr>
          <w:t>61</w:t>
        </w:r>
        <w:r w:rsidR="00665690">
          <w:rPr>
            <w:noProof/>
            <w:webHidden/>
          </w:rPr>
          <w:fldChar w:fldCharType="end"/>
        </w:r>
      </w:hyperlink>
    </w:p>
    <w:p w14:paraId="53792D4D" w14:textId="7B19F140" w:rsidR="00665690" w:rsidRDefault="00EE4411">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664176">
          <w:rPr>
            <w:noProof/>
            <w:webHidden/>
          </w:rPr>
          <w:t>69</w:t>
        </w:r>
        <w:r w:rsidR="00665690">
          <w:rPr>
            <w:noProof/>
            <w:webHidden/>
          </w:rPr>
          <w:fldChar w:fldCharType="end"/>
        </w:r>
      </w:hyperlink>
    </w:p>
    <w:p w14:paraId="6ACBD490" w14:textId="6BB7747C" w:rsidR="00665690" w:rsidRDefault="00EE4411">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664176">
          <w:rPr>
            <w:noProof/>
            <w:webHidden/>
          </w:rPr>
          <w:t>77</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36BF7F86" w:rsidR="00E029EB" w:rsidRPr="009A7EDD" w:rsidRDefault="00E029EB" w:rsidP="00173FF1">
      <w:pPr>
        <w:pStyle w:val="ListParagraph2"/>
        <w:keepLines/>
      </w:pPr>
      <w:r w:rsidRPr="009A7EDD">
        <w:t xml:space="preserve">Any state with an error rate </w:t>
      </w:r>
      <w:r w:rsidR="00BF6FE7">
        <w:t>that exceeds the threshold (10%)</w:t>
      </w:r>
      <w:r w:rsidRPr="009A7EDD">
        <w:t xml:space="preserve"> must prepare and submit a comprehensive </w:t>
      </w:r>
      <w:r w:rsidRPr="009A7EDD">
        <w:rPr>
          <w:i/>
        </w:rPr>
        <w:t xml:space="preserve">Error Rate Review Corrective Action Plan </w:t>
      </w:r>
      <w:r w:rsidRPr="009A7EDD">
        <w:t xml:space="preserve">(ACF-405) </w:t>
      </w:r>
      <w:r w:rsidR="00246849">
        <w:t xml:space="preserve">within 60 days </w:t>
      </w:r>
      <w:r w:rsidR="00BF6FE7">
        <w:t>of</w:t>
      </w:r>
      <w:r w:rsidR="00246849">
        <w:t xml:space="preserve"> the submission </w:t>
      </w:r>
      <w:r w:rsidR="00BF6FE7">
        <w:t>deadline</w:t>
      </w:r>
      <w:r w:rsidR="00246849">
        <w:t xml:space="preserve"> of the ACF-404</w:t>
      </w:r>
      <w:r w:rsidR="00BF6FE7">
        <w:t xml:space="preserve"> State Improper Payments Report</w:t>
      </w:r>
      <w:r w:rsidR="00246849">
        <w:t>.</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65E736DF"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3698342C" w:rsidR="00825674" w:rsidRPr="009A7EDD" w:rsidRDefault="000369D7" w:rsidP="008628A6">
      <w:pPr>
        <w:pStyle w:val="ListParagraph2"/>
      </w:pPr>
      <w:r>
        <w:t>a</w:t>
      </w:r>
      <w:r w:rsidR="00825674" w:rsidRPr="009A7EDD">
        <w:t>rchival of the universe and sampling f</w:t>
      </w:r>
      <w:r w:rsidR="00664D09">
        <w:t>ra</w:t>
      </w:r>
      <w:r w:rsidR="00825674" w:rsidRPr="009A7EDD">
        <w:t>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781270A5"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4F9FC702" w14:textId="77777777" w:rsidR="00664D09" w:rsidRDefault="00825674" w:rsidP="00664D09">
      <w:pPr>
        <w:pStyle w:val="ListParagraph2"/>
      </w:pPr>
      <w:r w:rsidRPr="009A7EDD">
        <w:t>“</w:t>
      </w:r>
      <w:r w:rsidR="000369D7">
        <w:t>O</w:t>
      </w:r>
      <w:r w:rsidRPr="009A7EDD">
        <w:t>ther” (describe)</w:t>
      </w:r>
      <w:r w:rsidR="000369D7">
        <w:t>.</w:t>
      </w:r>
      <w:r w:rsidR="00664D09">
        <w:t xml:space="preserve"> </w:t>
      </w:r>
    </w:p>
    <w:p w14:paraId="6FDBBB88" w14:textId="655DAE83" w:rsidR="00C12796" w:rsidRPr="005A133F" w:rsidRDefault="00664D09" w:rsidP="00664D09">
      <w:pPr>
        <w:pStyle w:val="ListParagraph2"/>
        <w:numPr>
          <w:ilvl w:val="0"/>
          <w:numId w:val="0"/>
        </w:numPr>
        <w:ind w:left="360"/>
      </w:pPr>
      <w:r>
        <w:t xml:space="preserve"> </w:t>
      </w:r>
      <w:r w:rsidR="00C12796">
        <w:t>I</w:t>
      </w:r>
      <w:r w:rsidR="00C12796" w:rsidRPr="00C12796">
        <w:t>f any of the 3f tasks are not accomplished in coordination wit</w:t>
      </w:r>
      <w:r>
        <w:t>h information technology staff, d</w:t>
      </w:r>
      <w:r w:rsidR="00C12796" w:rsidRPr="00C12796">
        <w:t xml:space="preserve">escribe how they are accomplished and by whom.  </w:t>
      </w:r>
    </w:p>
    <w:p w14:paraId="2D3B6AC7" w14:textId="77777777" w:rsidR="00A566E2" w:rsidRDefault="00825674" w:rsidP="006C6B63">
      <w:pPr>
        <w:pStyle w:val="Heading3"/>
        <w:spacing w:after="160"/>
        <w:jc w:val="left"/>
      </w:pPr>
      <w:r w:rsidRPr="009A7EDD">
        <w:t>Describe the process used to determine the annual amount of payments.</w:t>
      </w:r>
      <w:r w:rsidR="00C12796">
        <w:t xml:space="preserve"> </w:t>
      </w:r>
    </w:p>
    <w:p w14:paraId="00786D3D" w14:textId="3E85C74B"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3C9E8746" w:rsidR="00E029EB" w:rsidRPr="009A7EDD" w:rsidRDefault="00E029EB" w:rsidP="00C05D3E">
      <w:pPr>
        <w:pStyle w:val="ListParagraph2"/>
      </w:pPr>
      <w:r w:rsidRPr="009A7EDD">
        <w:t xml:space="preserve">Section IV. </w:t>
      </w:r>
      <w:r w:rsidR="00E04278">
        <w:t>Financial Requirements</w:t>
      </w:r>
      <w:r w:rsidRPr="009A7EDD">
        <w:t xml:space="preserve"> and Payment</w:t>
      </w:r>
      <w:r w:rsidR="000E30F1">
        <w:t>.</w:t>
      </w:r>
    </w:p>
    <w:p w14:paraId="0F0489AC" w14:textId="28B86D0F" w:rsidR="00E029EB" w:rsidRPr="009A7EDD" w:rsidRDefault="00A64209" w:rsidP="005D470C">
      <w:pPr>
        <w:pStyle w:val="ListParagraph2"/>
        <w:numPr>
          <w:ilvl w:val="1"/>
          <w:numId w:val="4"/>
        </w:numPr>
      </w:pPr>
      <w:r w:rsidRPr="009A7EDD">
        <w:t>Element</w:t>
      </w:r>
      <w:r w:rsidR="00124657">
        <w:t xml:space="preserve"> 400. Financial</w:t>
      </w:r>
      <w:r w:rsidR="00E029EB" w:rsidRPr="009A7EDD">
        <w:t xml:space="preserv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463CB01E" w:rsidR="00E029EB" w:rsidRPr="009A7EDD" w:rsidRDefault="00E029EB" w:rsidP="008C200A">
      <w:pPr>
        <w:pStyle w:val="Heading3"/>
      </w:pPr>
      <w:r w:rsidRPr="009A7EDD">
        <w:t xml:space="preserve">Section IV. </w:t>
      </w:r>
      <w:r w:rsidR="00E04278">
        <w:t>Financial Requirements</w:t>
      </w:r>
      <w:r w:rsidRPr="009A7EDD">
        <w:t xml:space="preserve"> and Payment</w:t>
      </w:r>
    </w:p>
    <w:p w14:paraId="185CA40D" w14:textId="213D364F" w:rsidR="00E029EB" w:rsidRPr="009A7EDD" w:rsidRDefault="00A64209" w:rsidP="006C6B63">
      <w:pPr>
        <w:spacing w:after="160"/>
        <w:rPr>
          <w:u w:val="single"/>
        </w:rPr>
      </w:pPr>
      <w:r w:rsidRPr="009A7EDD">
        <w:rPr>
          <w:u w:val="single"/>
        </w:rPr>
        <w:t>Element</w:t>
      </w:r>
      <w:r w:rsidR="00E029EB" w:rsidRPr="009A7EDD">
        <w:rPr>
          <w:u w:val="single"/>
        </w:rPr>
        <w:t xml:space="preserve"> 400. </w:t>
      </w:r>
      <w:r w:rsidR="00E04278">
        <w:rPr>
          <w:u w:val="single"/>
        </w:rPr>
        <w:t>Financial</w:t>
      </w:r>
      <w:r w:rsidR="00E029EB" w:rsidRPr="009A7EDD">
        <w:rPr>
          <w:u w:val="single"/>
        </w:rPr>
        <w:t xml:space="preserv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6C103531"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6F40487"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54D16387" w14:textId="24CFA6E3" w:rsidR="003E65EF" w:rsidRPr="009A7EDD" w:rsidRDefault="003E65EF" w:rsidP="006C6B63">
      <w:pPr>
        <w:pStyle w:val="ListParagraph2"/>
        <w:numPr>
          <w:ilvl w:val="0"/>
          <w:numId w:val="20"/>
        </w:numPr>
        <w:spacing w:after="0"/>
        <w:ind w:left="1152" w:hanging="432"/>
        <w:contextualSpacing w:val="0"/>
      </w:pPr>
      <w:r w:rsidRPr="009A7EDD">
        <w:t xml:space="preserve">Enter the total dollar amount of potential improper payment errors. In the MID </w:t>
      </w:r>
      <w:r w:rsidR="00EE5E49" w:rsidRPr="009A7EDD">
        <w:t>Table</w:t>
      </w:r>
      <w:r w:rsidRPr="009A7EDD">
        <w:t>, this is the column 3 total.</w:t>
      </w:r>
      <w:r w:rsidR="00B977CE">
        <w:t xml:space="preserve"> Note:  For </w:t>
      </w:r>
      <w:r w:rsidR="00B977CE" w:rsidRPr="009A7EDD">
        <w:rPr>
          <w:i/>
        </w:rPr>
        <w:t>Errors affecting multiple Elements</w:t>
      </w:r>
      <w:r w:rsidR="00B977CE">
        <w:t xml:space="preserve"> see the example on page 36.</w:t>
      </w: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7942876B" w14:textId="77777777" w:rsidR="00125084" w:rsidRDefault="003E65EF" w:rsidP="00F64542">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r w:rsidR="00B977CE">
        <w:t xml:space="preserve"> Note:  For </w:t>
      </w:r>
      <w:r w:rsidR="00B977CE" w:rsidRPr="009A7EDD">
        <w:rPr>
          <w:i/>
        </w:rPr>
        <w:t>Errors affecting multiple Elements</w:t>
      </w:r>
      <w:r w:rsidR="00B977CE">
        <w:t xml:space="preserve"> see the example on page 36.</w:t>
      </w:r>
    </w:p>
    <w:p w14:paraId="6E469374" w14:textId="740EDD09"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2741851"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00D018A8" w:rsidRPr="00D73F2D">
        <w:t>Enter the difference between 7A and 8A</w:t>
      </w:r>
      <w:r w:rsidR="00D018A8">
        <w:rPr>
          <w:rFonts w:cs="Times New Roman"/>
          <w:szCs w:val="24"/>
        </w:rPr>
        <w:t>.</w:t>
      </w:r>
    </w:p>
    <w:p w14:paraId="692BFA9E" w14:textId="62957D45"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2403A2E5"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 xml:space="preserve">he review was based on a sample drawn from pooled funds, and the state applied pooling factor from the </w:t>
      </w:r>
      <w:r w:rsidR="003F7B4F">
        <w:rPr>
          <w:rFonts w:cs="Times New Roman"/>
          <w:szCs w:val="24"/>
        </w:rPr>
        <w:t>relevant</w:t>
      </w:r>
      <w:r>
        <w:rPr>
          <w:rFonts w:cs="Times New Roman"/>
          <w:szCs w:val="24"/>
        </w:rPr>
        <w:t xml:space="preserve">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3A8CFC44"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641F6F2A"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BF6FE7">
        <w:rPr>
          <w:rFonts w:cs="Times New Roman"/>
          <w:szCs w:val="24"/>
        </w:rPr>
        <w:t>above</w:t>
      </w:r>
      <w:r w:rsidR="00EF2A6B" w:rsidRPr="009A7EDD">
        <w:rPr>
          <w:rFonts w:cs="Times New Roman"/>
          <w:szCs w:val="24"/>
        </w:rPr>
        <w:t xml:space="preserve"> ten percent</w:t>
      </w:r>
      <w:r w:rsidRPr="009A7EDD">
        <w:rPr>
          <w:rFonts w:cs="Times New Roman"/>
          <w:szCs w:val="24"/>
        </w:rPr>
        <w:t xml:space="preserve"> 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1CDF92C5" w:rsidR="004F6823"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480E5A92" w14:textId="77777777" w:rsidR="004F6823" w:rsidRDefault="004F6823">
      <w:pPr>
        <w:spacing w:after="200" w:line="276" w:lineRule="auto"/>
      </w:pPr>
      <w:r>
        <w:br w:type="page"/>
      </w:r>
    </w:p>
    <w:p w14:paraId="6F19312D" w14:textId="77777777" w:rsidR="004F6823" w:rsidRPr="009A7EDD" w:rsidRDefault="004F6823" w:rsidP="004F6823">
      <w:pPr>
        <w:rPr>
          <w:b/>
        </w:rPr>
      </w:pPr>
      <w:r w:rsidRPr="009A7EDD">
        <w:rPr>
          <w:b/>
        </w:rPr>
        <w:t>This page left blank intentionally.</w:t>
      </w:r>
    </w:p>
    <w:p w14:paraId="3480827C" w14:textId="77777777" w:rsidR="004F6823" w:rsidRPr="009A7EDD" w:rsidRDefault="004F6823" w:rsidP="004F6823">
      <w:pPr>
        <w:spacing w:after="80"/>
      </w:pPr>
      <w:r w:rsidRPr="009A7EDD">
        <w:br w:type="page"/>
      </w:r>
    </w:p>
    <w:p w14:paraId="0B4DF60C" w14:textId="0A686A65" w:rsidR="002B103C" w:rsidRPr="009A7EDD" w:rsidRDefault="002B103C" w:rsidP="00EF2A6B">
      <w:pPr>
        <w:rPr>
          <w:rFonts w:cs="Times New Roman"/>
          <w:b/>
          <w:szCs w:val="24"/>
        </w:rPr>
      </w:pP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226710CD" w14:textId="77777777" w:rsidR="004F6823" w:rsidRPr="009A7EDD" w:rsidRDefault="004F6823" w:rsidP="004F6823">
      <w:pPr>
        <w:jc w:val="center"/>
      </w:pPr>
      <w:bookmarkStart w:id="165" w:name="_Toc517787668"/>
    </w:p>
    <w:p w14:paraId="66FC3A4C" w14:textId="77777777" w:rsidR="004F6823" w:rsidRPr="009A7EDD" w:rsidRDefault="004F6823" w:rsidP="004F6823">
      <w:pPr>
        <w:rPr>
          <w:b/>
        </w:rPr>
      </w:pPr>
      <w:r w:rsidRPr="009A7EDD">
        <w:rPr>
          <w:b/>
        </w:rPr>
        <w:t>This page left blank intentionally.</w:t>
      </w:r>
    </w:p>
    <w:p w14:paraId="75556DCB" w14:textId="77777777" w:rsidR="004F6823" w:rsidRPr="009A7EDD" w:rsidRDefault="004F6823" w:rsidP="004F6823">
      <w:pPr>
        <w:spacing w:after="80"/>
      </w:pPr>
      <w:r w:rsidRPr="009A7EDD">
        <w:br w:type="page"/>
      </w:r>
    </w:p>
    <w:p w14:paraId="534FF52A" w14:textId="7A255189" w:rsidR="00B6575D" w:rsidRPr="009A7EDD" w:rsidRDefault="00B6575D" w:rsidP="00B6575D">
      <w:pPr>
        <w:pStyle w:val="Heading1"/>
        <w:numPr>
          <w:ilvl w:val="0"/>
          <w:numId w:val="0"/>
        </w:numPr>
        <w:jc w:val="center"/>
      </w:pPr>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188C9312" w14:textId="77777777" w:rsidR="004F6823" w:rsidRPr="009A7EDD" w:rsidRDefault="004F6823" w:rsidP="004F6823">
      <w:pPr>
        <w:jc w:val="center"/>
      </w:pPr>
    </w:p>
    <w:p w14:paraId="63F2DF85" w14:textId="77777777" w:rsidR="004F6823" w:rsidRPr="009A7EDD" w:rsidRDefault="004F6823" w:rsidP="004F6823">
      <w:pPr>
        <w:rPr>
          <w:b/>
        </w:rPr>
      </w:pPr>
      <w:r w:rsidRPr="009A7EDD">
        <w:rPr>
          <w:b/>
        </w:rPr>
        <w:t>This page left blank intentionally.</w:t>
      </w:r>
    </w:p>
    <w:p w14:paraId="7775E42E" w14:textId="77777777" w:rsidR="004F6823" w:rsidRPr="009A7EDD" w:rsidRDefault="004F6823" w:rsidP="004F6823">
      <w:pPr>
        <w:spacing w:after="80"/>
      </w:pPr>
      <w:r w:rsidRPr="009A7EDD">
        <w:br w:type="page"/>
      </w:r>
    </w:p>
    <w:p w14:paraId="5E7062D6" w14:textId="00BFA403" w:rsidR="004F6823" w:rsidRDefault="004F6823">
      <w:pPr>
        <w:spacing w:after="200" w:line="276" w:lineRule="auto"/>
        <w:rPr>
          <w:rFonts w:cs="Times New Roman"/>
          <w:b/>
          <w:sz w:val="20"/>
        </w:rPr>
      </w:pPr>
    </w:p>
    <w:p w14:paraId="086D1042" w14:textId="74253534"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r w:rsidR="005D7447">
        <w:rPr>
          <w:rFonts w:cs="Times New Roman"/>
          <w:b/>
          <w:spacing w:val="-8"/>
          <w:sz w:val="20"/>
        </w:rPr>
        <w:t>3</w:t>
      </w:r>
    </w:p>
    <w:p w14:paraId="5B155817" w14:textId="227B569B" w:rsidR="00B6575D" w:rsidRPr="009A7EDD" w:rsidRDefault="00B47EB1" w:rsidP="00531347">
      <w:pPr>
        <w:spacing w:after="0"/>
        <w:ind w:right="455"/>
        <w:jc w:val="right"/>
        <w:rPr>
          <w:rFonts w:cs="Times New Roman"/>
          <w:b/>
          <w:sz w:val="20"/>
        </w:rPr>
      </w:pPr>
      <w:r>
        <w:rPr>
          <w:rFonts w:cs="Times New Roman"/>
          <w:b/>
          <w:spacing w:val="-8"/>
          <w:sz w:val="20"/>
        </w:rPr>
        <w:t>Expiration Date: 10</w:t>
      </w:r>
      <w:r w:rsidR="00286D77">
        <w:rPr>
          <w:rFonts w:cs="Times New Roman"/>
          <w:b/>
          <w:spacing w:val="-8"/>
          <w:sz w:val="20"/>
        </w:rPr>
        <w:t>/</w:t>
      </w:r>
      <w:r>
        <w:rPr>
          <w:rFonts w:cs="Times New Roman"/>
          <w:b/>
          <w:spacing w:val="-8"/>
          <w:sz w:val="20"/>
        </w:rPr>
        <w:t>31</w:t>
      </w:r>
      <w:r w:rsidR="00286D77">
        <w:rPr>
          <w:rFonts w:cs="Times New Roman"/>
          <w:b/>
          <w:spacing w:val="-8"/>
          <w:sz w:val="20"/>
        </w:rPr>
        <w:t>/</w:t>
      </w:r>
      <w:r>
        <w:rPr>
          <w:rFonts w:cs="Times New Roman"/>
          <w:b/>
          <w:spacing w:val="-8"/>
          <w:sz w:val="20"/>
        </w:rPr>
        <w:t>2021</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EE4411"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EE4411"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EE4411"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EE4411"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EE4411"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EE4411"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EE4411"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0EEDBE98" w:rsidR="0091283C" w:rsidRPr="009A7EDD" w:rsidRDefault="00E2193E" w:rsidP="0091283C">
      <w:pPr>
        <w:rPr>
          <w:szCs w:val="24"/>
        </w:rPr>
      </w:pPr>
      <w:r>
        <w:rPr>
          <w:szCs w:val="24"/>
        </w:rPr>
        <w:t>Describe</w:t>
      </w:r>
      <w:r w:rsidR="0091283C" w:rsidRPr="009A7EDD">
        <w:rPr>
          <w:szCs w:val="24"/>
        </w:rPr>
        <w:t xml:space="preserve"> the Lead Agency’s plan to ensure that reviewers consistently interpret error as defined by the state: </w:t>
      </w:r>
      <w:r w:rsidR="0091283C" w:rsidRPr="009A7EDD">
        <w:rPr>
          <w:szCs w:val="24"/>
        </w:rPr>
        <w:fldChar w:fldCharType="begin">
          <w:ffData>
            <w:name w:val="Text5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EE4411"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EE4411"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EE4411"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EE4411"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EE4411"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EE4411"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EE4411"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6562879F" w14:textId="091B5413" w:rsidR="0091283C" w:rsidRPr="009A7EDD" w:rsidRDefault="00EE4411"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00C8569B" w:rsidR="0091283C"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52EE7B1" w14:textId="77777777" w:rsidR="00C93666" w:rsidRPr="009A7EDD" w:rsidRDefault="00C93666" w:rsidP="00C93666">
      <w:pPr>
        <w:rPr>
          <w:szCs w:val="24"/>
        </w:rPr>
      </w:pPr>
      <w:r w:rsidRPr="009A7EDD">
        <w:rPr>
          <w:szCs w:val="24"/>
        </w:rPr>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6B154B0F" w:rsidR="004F6823" w:rsidRDefault="004F6823" w:rsidP="00DE10E1">
      <w:pPr>
        <w:spacing w:after="0"/>
        <w:ind w:right="455"/>
        <w:jc w:val="right"/>
        <w:rPr>
          <w:rFonts w:cs="Times New Roman"/>
          <w:b/>
          <w:sz w:val="20"/>
        </w:rPr>
      </w:pPr>
    </w:p>
    <w:p w14:paraId="2AED8000" w14:textId="05295AE3" w:rsidR="004F6823" w:rsidRDefault="004F6823">
      <w:pPr>
        <w:spacing w:after="200" w:line="276" w:lineRule="auto"/>
        <w:rPr>
          <w:rFonts w:cs="Times New Roman"/>
          <w:b/>
          <w:sz w:val="20"/>
        </w:rPr>
      </w:pPr>
    </w:p>
    <w:p w14:paraId="1E90654C" w14:textId="77777777" w:rsidR="004F6823" w:rsidRDefault="004F6823">
      <w:pPr>
        <w:spacing w:after="200" w:line="276" w:lineRule="auto"/>
        <w:rPr>
          <w:rFonts w:cs="Times New Roman"/>
          <w:b/>
          <w:sz w:val="20"/>
        </w:rPr>
      </w:pPr>
      <w:r>
        <w:rPr>
          <w:rFonts w:cs="Times New Roman"/>
          <w:b/>
          <w:sz w:val="20"/>
        </w:rPr>
        <w:br w:type="page"/>
      </w:r>
    </w:p>
    <w:p w14:paraId="7E3002DF" w14:textId="77777777" w:rsidR="004F6823" w:rsidRPr="009A7EDD" w:rsidRDefault="004F6823" w:rsidP="004F6823">
      <w:pPr>
        <w:rPr>
          <w:b/>
        </w:rPr>
      </w:pPr>
      <w:r w:rsidRPr="009A7EDD">
        <w:rPr>
          <w:b/>
        </w:rPr>
        <w:t>This page left blank intentionally.</w:t>
      </w:r>
    </w:p>
    <w:p w14:paraId="190C3A68" w14:textId="62869AB9" w:rsidR="004F6823" w:rsidRPr="004F6823" w:rsidRDefault="004F6823" w:rsidP="004F6823">
      <w:pPr>
        <w:spacing w:after="80"/>
      </w:pPr>
      <w:r w:rsidRPr="009A7EDD">
        <w:br w:type="page"/>
      </w:r>
    </w:p>
    <w:p w14:paraId="51BA171B" w14:textId="77777777" w:rsidR="00767CEB" w:rsidRPr="009A7EDD" w:rsidRDefault="00767CEB" w:rsidP="004F6823">
      <w:pPr>
        <w:spacing w:after="0"/>
        <w:ind w:right="455"/>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69C9481F" w:rsidR="001961AF" w:rsidRPr="009A7EDD" w:rsidRDefault="00B47EB1" w:rsidP="008E547D">
      <w:pPr>
        <w:spacing w:after="0"/>
        <w:ind w:right="455"/>
        <w:jc w:val="right"/>
        <w:rPr>
          <w:rFonts w:cs="Times New Roman"/>
          <w:sz w:val="20"/>
        </w:rPr>
      </w:pPr>
      <w:r>
        <w:rPr>
          <w:rFonts w:cs="Times New Roman"/>
          <w:b/>
          <w:sz w:val="20"/>
        </w:rPr>
        <w:t>Expiration Date: 10</w:t>
      </w:r>
      <w:r w:rsidR="00286D77">
        <w:rPr>
          <w:rFonts w:cs="Times New Roman"/>
          <w:b/>
          <w:sz w:val="20"/>
        </w:rPr>
        <w:t>/</w:t>
      </w:r>
      <w:r>
        <w:rPr>
          <w:rFonts w:cs="Times New Roman"/>
          <w:b/>
          <w:sz w:val="20"/>
        </w:rPr>
        <w:t>31</w:t>
      </w:r>
      <w:r w:rsidR="00286D77">
        <w:rPr>
          <w:rFonts w:cs="Times New Roman"/>
          <w:b/>
          <w:sz w:val="20"/>
        </w:rPr>
        <w:t>/</w:t>
      </w:r>
      <w:r>
        <w:rPr>
          <w:rFonts w:cs="Times New Roman"/>
          <w:b/>
          <w:sz w:val="20"/>
        </w:rPr>
        <w:t>2021</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0330250F"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600EE9D2" w:rsidR="001961AF" w:rsidRPr="009A7EDD" w:rsidRDefault="00894FC8" w:rsidP="00DE10E1">
            <w:pPr>
              <w:rPr>
                <w:rFonts w:eastAsia="Times New Roman" w:cs="Times New Roman"/>
                <w:b/>
                <w:sz w:val="20"/>
                <w:szCs w:val="20"/>
              </w:rPr>
            </w:pPr>
            <w:r>
              <w:rPr>
                <w:rFonts w:eastAsia="Times New Roman" w:cs="Times New Roman"/>
                <w:b/>
                <w:sz w:val="20"/>
                <w:szCs w:val="20"/>
              </w:rPr>
              <w:t>400 FINANCIAL</w:t>
            </w:r>
            <w:r w:rsidR="001961AF" w:rsidRPr="009A7EDD">
              <w:rPr>
                <w:rFonts w:eastAsia="Times New Roman" w:cs="Times New Roman"/>
                <w:b/>
                <w:sz w:val="20"/>
                <w:szCs w:val="20"/>
              </w:rPr>
              <w:t xml:space="preserv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6799962F"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6C6FC59" w14:textId="77777777" w:rsidR="004F6823" w:rsidRPr="009A7EDD" w:rsidRDefault="004F6823" w:rsidP="004F6823">
      <w:pPr>
        <w:jc w:val="center"/>
      </w:pPr>
    </w:p>
    <w:p w14:paraId="2ACBC444" w14:textId="77777777" w:rsidR="004F6823" w:rsidRPr="009A7EDD" w:rsidRDefault="004F6823" w:rsidP="004F6823">
      <w:pPr>
        <w:rPr>
          <w:b/>
        </w:rPr>
      </w:pPr>
      <w:r w:rsidRPr="009A7EDD">
        <w:rPr>
          <w:b/>
        </w:rPr>
        <w:t>This page left blank intentionally.</w:t>
      </w:r>
    </w:p>
    <w:p w14:paraId="663527B0" w14:textId="77777777" w:rsidR="004F6823" w:rsidRPr="009A7EDD" w:rsidRDefault="004F6823" w:rsidP="004F6823">
      <w:pPr>
        <w:spacing w:after="80"/>
      </w:pPr>
      <w:r w:rsidRPr="009A7EDD">
        <w:br w:type="page"/>
      </w:r>
    </w:p>
    <w:p w14:paraId="21BC7AFD" w14:textId="2040739D" w:rsidR="004F6823" w:rsidRDefault="004F6823">
      <w:pPr>
        <w:spacing w:after="200" w:line="276" w:lineRule="auto"/>
        <w:rPr>
          <w:rFonts w:cs="Times New Roman"/>
          <w:b/>
          <w:sz w:val="20"/>
        </w:rPr>
      </w:pPr>
    </w:p>
    <w:p w14:paraId="59C92AE3" w14:textId="60EA90A9"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1BA5F172" w:rsidR="006E2AC4" w:rsidRPr="009A7EDD" w:rsidRDefault="008E547D" w:rsidP="00DE10E1">
      <w:pPr>
        <w:jc w:val="right"/>
        <w:rPr>
          <w:rFonts w:cs="Times New Roman"/>
          <w:b/>
          <w:sz w:val="20"/>
        </w:rPr>
      </w:pPr>
      <w:r>
        <w:rPr>
          <w:rFonts w:cs="Times New Roman"/>
          <w:b/>
          <w:sz w:val="20"/>
        </w:rPr>
        <w:t xml:space="preserve">Expiration Date: </w:t>
      </w:r>
      <w:r w:rsidR="00B47EB1">
        <w:rPr>
          <w:rFonts w:cs="Times New Roman"/>
          <w:b/>
          <w:sz w:val="20"/>
        </w:rPr>
        <w:t>10</w:t>
      </w:r>
      <w:r w:rsidR="00286D77">
        <w:rPr>
          <w:rFonts w:cs="Times New Roman"/>
          <w:b/>
          <w:sz w:val="20"/>
        </w:rPr>
        <w:t>/</w:t>
      </w:r>
      <w:r w:rsidR="00B47EB1">
        <w:rPr>
          <w:rFonts w:cs="Times New Roman"/>
          <w:b/>
          <w:sz w:val="20"/>
        </w:rPr>
        <w:t>31</w:t>
      </w:r>
      <w:r w:rsidR="00286D77">
        <w:rPr>
          <w:rFonts w:cs="Times New Roman"/>
          <w:b/>
          <w:sz w:val="20"/>
        </w:rPr>
        <w:t>/</w:t>
      </w:r>
      <w:r w:rsidR="00B47EB1">
        <w:rPr>
          <w:rFonts w:cs="Times New Roman"/>
          <w:b/>
          <w:sz w:val="20"/>
        </w:rPr>
        <w:t>2021</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E695F69" w:rsidR="00543DAB" w:rsidRPr="00543DAB" w:rsidRDefault="00543DAB" w:rsidP="00543DAB">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2B7E310A" w:rsidR="00543DAB" w:rsidRPr="00543DAB" w:rsidRDefault="00543DAB" w:rsidP="00543DAB">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2239393A" w14:textId="77777777" w:rsidR="004F6823" w:rsidRPr="009A7EDD" w:rsidRDefault="004F6823" w:rsidP="004F6823">
      <w:pPr>
        <w:rPr>
          <w:b/>
        </w:rPr>
      </w:pPr>
      <w:r w:rsidRPr="009A7EDD">
        <w:rPr>
          <w:b/>
        </w:rPr>
        <w:t>This page left blank intentionally.</w:t>
      </w:r>
    </w:p>
    <w:p w14:paraId="085524B7" w14:textId="77777777" w:rsidR="004F6823" w:rsidRPr="009A7EDD" w:rsidRDefault="004F6823" w:rsidP="004F6823">
      <w:pPr>
        <w:spacing w:after="80"/>
      </w:pPr>
      <w:r w:rsidRPr="009A7EDD">
        <w:br w:type="page"/>
      </w:r>
    </w:p>
    <w:p w14:paraId="3E99A0FC" w14:textId="63A01E5B" w:rsidR="008E547D" w:rsidRDefault="008E547D" w:rsidP="008E547D">
      <w:pPr>
        <w:spacing w:after="0"/>
        <w:ind w:right="115"/>
        <w:jc w:val="right"/>
        <w:rPr>
          <w:b/>
          <w:sz w:val="20"/>
        </w:rPr>
      </w:pPr>
      <w:r>
        <w:rPr>
          <w:b/>
          <w:sz w:val="20"/>
        </w:rPr>
        <w:t>OMB Control Number:  0970-032</w:t>
      </w:r>
      <w:r w:rsidR="00BF22CC">
        <w:rPr>
          <w:b/>
          <w:sz w:val="20"/>
        </w:rPr>
        <w:t>3</w:t>
      </w:r>
    </w:p>
    <w:p w14:paraId="26C1C195" w14:textId="0CA5F6FD" w:rsidR="00201833" w:rsidRDefault="00B47EB1" w:rsidP="008E547D">
      <w:pPr>
        <w:spacing w:after="0"/>
        <w:ind w:right="115"/>
        <w:jc w:val="right"/>
        <w:rPr>
          <w:b/>
          <w:spacing w:val="-8"/>
          <w:sz w:val="20"/>
        </w:rPr>
      </w:pPr>
      <w:r>
        <w:rPr>
          <w:b/>
          <w:sz w:val="20"/>
        </w:rPr>
        <w:t>Expiration Date: 10</w:t>
      </w:r>
      <w:r w:rsidR="00286D77">
        <w:rPr>
          <w:b/>
          <w:sz w:val="20"/>
        </w:rPr>
        <w:t>/</w:t>
      </w:r>
      <w:r>
        <w:rPr>
          <w:b/>
          <w:sz w:val="20"/>
        </w:rPr>
        <w:t>31</w:t>
      </w:r>
      <w:r w:rsidR="00286D77">
        <w:rPr>
          <w:b/>
          <w:sz w:val="20"/>
        </w:rPr>
        <w:t>/</w:t>
      </w:r>
      <w:r>
        <w:rPr>
          <w:b/>
          <w:sz w:val="20"/>
        </w:rPr>
        <w:t>2021</w:t>
      </w:r>
      <w:r w:rsidR="00201833" w:rsidRPr="009A7EDD">
        <w:rPr>
          <w:b/>
          <w:spacing w:val="-8"/>
          <w:sz w:val="20"/>
        </w:rPr>
        <w:t xml:space="preserve"> </w:t>
      </w: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540D7A07"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F64542">
        <w:t>C</w:t>
      </w:r>
      <w:r w:rsidRPr="00F64542">
        <w:t>orrective</w:t>
      </w:r>
      <w:r w:rsidRPr="00F64542">
        <w:rPr>
          <w:rFonts w:cs="Times New Roman"/>
          <w:szCs w:val="24"/>
        </w:rPr>
        <w:t xml:space="preserve"> </w:t>
      </w:r>
      <w:r w:rsidR="005235D5" w:rsidRPr="00F64542">
        <w:rPr>
          <w:rFonts w:cs="Times New Roman"/>
          <w:szCs w:val="24"/>
        </w:rPr>
        <w:t>A</w:t>
      </w:r>
      <w:r w:rsidRPr="00F64542">
        <w:t>ction</w:t>
      </w:r>
      <w:r w:rsidRPr="00F64542">
        <w:rPr>
          <w:rFonts w:cs="Times New Roman"/>
          <w:szCs w:val="24"/>
        </w:rPr>
        <w:t xml:space="preserve"> </w:t>
      </w:r>
      <w:r w:rsidR="005235D5" w:rsidRPr="00F64542">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00103750" w:rsidRPr="00F64542">
        <w:rPr>
          <w:i/>
        </w:rPr>
        <w:t>State Improper Payment</w:t>
      </w:r>
      <w:r w:rsidR="00103750">
        <w:rPr>
          <w:i/>
        </w:rPr>
        <w:t>s</w:t>
      </w:r>
      <w:r w:rsidR="00103750" w:rsidRPr="00F64542">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AE1489">
        <w:trPr>
          <w:cantSplit/>
          <w:trHeight w:val="184"/>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AE1489">
        <w:trPr>
          <w:cantSplit/>
          <w:trHeight w:val="490"/>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2CE356AD" w:rsidR="00AE1489" w:rsidRDefault="00201833">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p w14:paraId="7ECFB348" w14:textId="77777777" w:rsidR="00AE1489" w:rsidRPr="009A7EDD" w:rsidRDefault="00AE1489" w:rsidP="00AE1489">
      <w:pPr>
        <w:rPr>
          <w:b/>
        </w:rPr>
      </w:pPr>
      <w:r w:rsidRPr="009A7EDD">
        <w:rPr>
          <w:b/>
        </w:rPr>
        <w:t>This page left blank intentionally.</w:t>
      </w:r>
    </w:p>
    <w:sectPr w:rsidR="00AE1489" w:rsidRPr="009A7EDD" w:rsidSect="00D86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2CE67" w14:textId="77777777" w:rsidR="00125084" w:rsidRDefault="00125084" w:rsidP="00E029EB">
      <w:pPr>
        <w:spacing w:after="0"/>
      </w:pPr>
      <w:r>
        <w:separator/>
      </w:r>
    </w:p>
  </w:endnote>
  <w:endnote w:type="continuationSeparator" w:id="0">
    <w:p w14:paraId="5FB29748" w14:textId="77777777" w:rsidR="00125084" w:rsidRDefault="0012508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25084" w:rsidRDefault="00125084">
    <w:pPr>
      <w:pStyle w:val="Footer"/>
      <w:jc w:val="right"/>
    </w:pPr>
  </w:p>
  <w:p w14:paraId="269DD10A" w14:textId="77777777" w:rsidR="00125084" w:rsidRPr="00F51BF5" w:rsidRDefault="00125084"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75C072EB" w:rsidR="00125084" w:rsidRDefault="00125084">
        <w:pPr>
          <w:pStyle w:val="Footer"/>
          <w:jc w:val="right"/>
        </w:pPr>
        <w:r>
          <w:fldChar w:fldCharType="begin"/>
        </w:r>
        <w:r>
          <w:instrText xml:space="preserve"> PAGE   \* MERGEFORMAT </w:instrText>
        </w:r>
        <w:r>
          <w:fldChar w:fldCharType="separate"/>
        </w:r>
        <w:r w:rsidR="005D7447">
          <w:rPr>
            <w:noProof/>
          </w:rPr>
          <w:t>57</w:t>
        </w:r>
        <w:r>
          <w:rPr>
            <w:noProof/>
          </w:rPr>
          <w:fldChar w:fldCharType="end"/>
        </w:r>
      </w:p>
    </w:sdtContent>
  </w:sdt>
  <w:p w14:paraId="65592330" w14:textId="77777777" w:rsidR="00125084" w:rsidRPr="00F51BF5" w:rsidRDefault="00125084"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AC435" w14:textId="77777777" w:rsidR="00125084" w:rsidRDefault="00125084" w:rsidP="00E029EB">
      <w:pPr>
        <w:spacing w:after="0"/>
      </w:pPr>
      <w:r>
        <w:separator/>
      </w:r>
    </w:p>
  </w:footnote>
  <w:footnote w:type="continuationSeparator" w:id="0">
    <w:p w14:paraId="23E6A48F" w14:textId="77777777" w:rsidR="00125084" w:rsidRDefault="00125084" w:rsidP="00E029EB">
      <w:pPr>
        <w:spacing w:after="0"/>
      </w:pPr>
      <w:r>
        <w:continuationSeparator/>
      </w:r>
    </w:p>
  </w:footnote>
  <w:footnote w:id="1">
    <w:p w14:paraId="339E34A7" w14:textId="77777777"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39"/>
  </w:num>
  <w:num w:numId="62">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64B0"/>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5F86"/>
    <w:rsid w:val="000D12CA"/>
    <w:rsid w:val="000D2B1F"/>
    <w:rsid w:val="000D2C03"/>
    <w:rsid w:val="000E0C06"/>
    <w:rsid w:val="000E30F1"/>
    <w:rsid w:val="000E3403"/>
    <w:rsid w:val="000F1727"/>
    <w:rsid w:val="000F1F9F"/>
    <w:rsid w:val="000F4E17"/>
    <w:rsid w:val="00102E36"/>
    <w:rsid w:val="00103750"/>
    <w:rsid w:val="0011151D"/>
    <w:rsid w:val="00124657"/>
    <w:rsid w:val="00125084"/>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24C25"/>
    <w:rsid w:val="002404BA"/>
    <w:rsid w:val="0024056D"/>
    <w:rsid w:val="0024423A"/>
    <w:rsid w:val="00245C6E"/>
    <w:rsid w:val="00246849"/>
    <w:rsid w:val="00252B79"/>
    <w:rsid w:val="00263A3F"/>
    <w:rsid w:val="00263AC5"/>
    <w:rsid w:val="002658DC"/>
    <w:rsid w:val="002672C8"/>
    <w:rsid w:val="00272A20"/>
    <w:rsid w:val="00272B03"/>
    <w:rsid w:val="0028193F"/>
    <w:rsid w:val="00282300"/>
    <w:rsid w:val="00286714"/>
    <w:rsid w:val="00286D77"/>
    <w:rsid w:val="002906F4"/>
    <w:rsid w:val="00297360"/>
    <w:rsid w:val="00297BD0"/>
    <w:rsid w:val="002A0068"/>
    <w:rsid w:val="002A4569"/>
    <w:rsid w:val="002A513C"/>
    <w:rsid w:val="002A6F6E"/>
    <w:rsid w:val="002B103C"/>
    <w:rsid w:val="002B7246"/>
    <w:rsid w:val="002C1A38"/>
    <w:rsid w:val="002C6165"/>
    <w:rsid w:val="002D0422"/>
    <w:rsid w:val="002D0F1D"/>
    <w:rsid w:val="002D6A9E"/>
    <w:rsid w:val="002E1FC0"/>
    <w:rsid w:val="002E6175"/>
    <w:rsid w:val="002F2607"/>
    <w:rsid w:val="002F4B87"/>
    <w:rsid w:val="002F6F01"/>
    <w:rsid w:val="003029AC"/>
    <w:rsid w:val="00304DA1"/>
    <w:rsid w:val="00313A3D"/>
    <w:rsid w:val="003150CF"/>
    <w:rsid w:val="0031784F"/>
    <w:rsid w:val="003214E7"/>
    <w:rsid w:val="00321C97"/>
    <w:rsid w:val="00321D3A"/>
    <w:rsid w:val="00321F94"/>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2F18"/>
    <w:rsid w:val="003F48F1"/>
    <w:rsid w:val="003F7B4F"/>
    <w:rsid w:val="0040093C"/>
    <w:rsid w:val="00402321"/>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4F6823"/>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096"/>
    <w:rsid w:val="005A1211"/>
    <w:rsid w:val="005A133F"/>
    <w:rsid w:val="005A416D"/>
    <w:rsid w:val="005A6136"/>
    <w:rsid w:val="005A6998"/>
    <w:rsid w:val="005A7274"/>
    <w:rsid w:val="005B337B"/>
    <w:rsid w:val="005C3FAF"/>
    <w:rsid w:val="005D470C"/>
    <w:rsid w:val="005D7447"/>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4176"/>
    <w:rsid w:val="00664D09"/>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1D7C"/>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4FC8"/>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AD5"/>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566E2"/>
    <w:rsid w:val="00A60A7C"/>
    <w:rsid w:val="00A64209"/>
    <w:rsid w:val="00A649F8"/>
    <w:rsid w:val="00A66F63"/>
    <w:rsid w:val="00A7336E"/>
    <w:rsid w:val="00A84143"/>
    <w:rsid w:val="00AA253D"/>
    <w:rsid w:val="00AA29B2"/>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1489"/>
    <w:rsid w:val="00AE42EA"/>
    <w:rsid w:val="00AE5341"/>
    <w:rsid w:val="00AE7955"/>
    <w:rsid w:val="00AF2113"/>
    <w:rsid w:val="00AF35F6"/>
    <w:rsid w:val="00AF45E4"/>
    <w:rsid w:val="00B0005E"/>
    <w:rsid w:val="00B04D58"/>
    <w:rsid w:val="00B07264"/>
    <w:rsid w:val="00B14432"/>
    <w:rsid w:val="00B149CF"/>
    <w:rsid w:val="00B21058"/>
    <w:rsid w:val="00B26941"/>
    <w:rsid w:val="00B31CEA"/>
    <w:rsid w:val="00B31DC4"/>
    <w:rsid w:val="00B353B1"/>
    <w:rsid w:val="00B37DC8"/>
    <w:rsid w:val="00B434A8"/>
    <w:rsid w:val="00B45E35"/>
    <w:rsid w:val="00B460AC"/>
    <w:rsid w:val="00B46D83"/>
    <w:rsid w:val="00B47EB1"/>
    <w:rsid w:val="00B52C77"/>
    <w:rsid w:val="00B52F36"/>
    <w:rsid w:val="00B6575D"/>
    <w:rsid w:val="00B66E0A"/>
    <w:rsid w:val="00B70782"/>
    <w:rsid w:val="00B7549D"/>
    <w:rsid w:val="00B81917"/>
    <w:rsid w:val="00B9208B"/>
    <w:rsid w:val="00B920E1"/>
    <w:rsid w:val="00B95C96"/>
    <w:rsid w:val="00B976F5"/>
    <w:rsid w:val="00B977CE"/>
    <w:rsid w:val="00BA10C0"/>
    <w:rsid w:val="00BA11D7"/>
    <w:rsid w:val="00BA41E2"/>
    <w:rsid w:val="00BB4C87"/>
    <w:rsid w:val="00BC104F"/>
    <w:rsid w:val="00BD327E"/>
    <w:rsid w:val="00BE06D5"/>
    <w:rsid w:val="00BE1390"/>
    <w:rsid w:val="00BE2271"/>
    <w:rsid w:val="00BF22CC"/>
    <w:rsid w:val="00BF4362"/>
    <w:rsid w:val="00BF4494"/>
    <w:rsid w:val="00BF6FE7"/>
    <w:rsid w:val="00C03D86"/>
    <w:rsid w:val="00C05D3E"/>
    <w:rsid w:val="00C12796"/>
    <w:rsid w:val="00C13A3A"/>
    <w:rsid w:val="00C3052C"/>
    <w:rsid w:val="00C40703"/>
    <w:rsid w:val="00C408F5"/>
    <w:rsid w:val="00C45C0A"/>
    <w:rsid w:val="00C5010A"/>
    <w:rsid w:val="00C543A3"/>
    <w:rsid w:val="00C56107"/>
    <w:rsid w:val="00C56B60"/>
    <w:rsid w:val="00C619F0"/>
    <w:rsid w:val="00C64555"/>
    <w:rsid w:val="00C6580B"/>
    <w:rsid w:val="00C71DD5"/>
    <w:rsid w:val="00C71F8D"/>
    <w:rsid w:val="00C76D8E"/>
    <w:rsid w:val="00C81A81"/>
    <w:rsid w:val="00C82F64"/>
    <w:rsid w:val="00C83C54"/>
    <w:rsid w:val="00C87493"/>
    <w:rsid w:val="00C93666"/>
    <w:rsid w:val="00CA0931"/>
    <w:rsid w:val="00CA1D04"/>
    <w:rsid w:val="00CA5169"/>
    <w:rsid w:val="00CC3105"/>
    <w:rsid w:val="00CC4BF0"/>
    <w:rsid w:val="00CD60AF"/>
    <w:rsid w:val="00CE6C61"/>
    <w:rsid w:val="00CE7684"/>
    <w:rsid w:val="00CE7C27"/>
    <w:rsid w:val="00CF7A5A"/>
    <w:rsid w:val="00D00F89"/>
    <w:rsid w:val="00D018A8"/>
    <w:rsid w:val="00D04B7F"/>
    <w:rsid w:val="00D23275"/>
    <w:rsid w:val="00D31D57"/>
    <w:rsid w:val="00D32875"/>
    <w:rsid w:val="00D33C02"/>
    <w:rsid w:val="00D33FA7"/>
    <w:rsid w:val="00D35C89"/>
    <w:rsid w:val="00D47061"/>
    <w:rsid w:val="00D60ABA"/>
    <w:rsid w:val="00D64E12"/>
    <w:rsid w:val="00D670EB"/>
    <w:rsid w:val="00D71070"/>
    <w:rsid w:val="00D73D45"/>
    <w:rsid w:val="00D73E74"/>
    <w:rsid w:val="00D80A8F"/>
    <w:rsid w:val="00D85C5B"/>
    <w:rsid w:val="00D868CF"/>
    <w:rsid w:val="00D934EF"/>
    <w:rsid w:val="00DA4DCB"/>
    <w:rsid w:val="00DA57F6"/>
    <w:rsid w:val="00DC0A21"/>
    <w:rsid w:val="00DC3DBA"/>
    <w:rsid w:val="00DD50A5"/>
    <w:rsid w:val="00DD60C9"/>
    <w:rsid w:val="00DE10E1"/>
    <w:rsid w:val="00DE779D"/>
    <w:rsid w:val="00DF03B4"/>
    <w:rsid w:val="00DF58F3"/>
    <w:rsid w:val="00E01F8D"/>
    <w:rsid w:val="00E029EB"/>
    <w:rsid w:val="00E04278"/>
    <w:rsid w:val="00E05FDF"/>
    <w:rsid w:val="00E100E9"/>
    <w:rsid w:val="00E14238"/>
    <w:rsid w:val="00E145A7"/>
    <w:rsid w:val="00E21594"/>
    <w:rsid w:val="00E2193E"/>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4411"/>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64542"/>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CD37-E9CB-43DB-8910-5B0BE49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3.xml><?xml version="1.0" encoding="utf-8"?>
<ds:datastoreItem xmlns:ds="http://schemas.openxmlformats.org/officeDocument/2006/customXml" ds:itemID="{5FFE0566-8F89-48F8-B727-0B55C67AF04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059a2d5-a4f8-4fd8-b836-4c9cf26100e7"/>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F40837-16F7-4D6C-98CD-B1A20D19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22885</Words>
  <Characters>130447</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2019-12-02T21:06:00Z</dcterms:created>
  <dcterms:modified xsi:type="dcterms:W3CDTF">2019-12-02T21:06:00Z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