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E0911C" w14:textId="77777777"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3F2B9592"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615D6F0" w14:textId="383EA478" w:rsidR="009B359F" w:rsidRDefault="00950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Transportation Program</w:t>
      </w:r>
    </w:p>
    <w:p w14:paraId="0EE360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40B00C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775E37">
        <w:rPr>
          <w:b/>
          <w:bCs/>
          <w:sz w:val="32"/>
          <w:szCs w:val="32"/>
        </w:rPr>
        <w:t>1076-01</w:t>
      </w:r>
      <w:r w:rsidR="009A34F0">
        <w:rPr>
          <w:b/>
          <w:bCs/>
          <w:sz w:val="32"/>
          <w:szCs w:val="32"/>
        </w:rPr>
        <w:t>61</w:t>
      </w:r>
    </w:p>
    <w:p w14:paraId="32CCD20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6A2808D" w14:textId="4D7060CD"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453AA2">
        <w:rPr>
          <w:sz w:val="32"/>
          <w:szCs w:val="32"/>
        </w:rPr>
        <w:t>None.</w:t>
      </w:r>
    </w:p>
    <w:p w14:paraId="532AA6E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6517AD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EE1F67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6988"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D125D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E871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0B127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85DB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7870C9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E42D9B"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14:paraId="61B659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FA539A" w14:textId="7E46BD01" w:rsidR="00DB412D" w:rsidRDefault="00DB412D" w:rsidP="00DB4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request for extension of information collection requirements inherent to 25 CFR 170, Tribal Transportation Program (TTP).  </w:t>
      </w:r>
      <w:r w:rsidR="009A34F0" w:rsidRPr="000214E0">
        <w:rPr>
          <w:sz w:val="24"/>
          <w:szCs w:val="24"/>
        </w:rPr>
        <w:t>Part 170 implements 23 U.S.C. 202(d), the Safe, Accountable, Flexible, Efficient Transportation Equity Act:  A Legacy for Users (SAFETEA-LU),</w:t>
      </w:r>
      <w:r w:rsidR="000753C0" w:rsidRPr="000214E0">
        <w:rPr>
          <w:sz w:val="24"/>
          <w:szCs w:val="24"/>
        </w:rPr>
        <w:t xml:space="preserve"> </w:t>
      </w:r>
      <w:r w:rsidR="006A2427">
        <w:rPr>
          <w:sz w:val="24"/>
          <w:szCs w:val="24"/>
        </w:rPr>
        <w:t xml:space="preserve">which has been amended by </w:t>
      </w:r>
      <w:r w:rsidR="006A2427" w:rsidRPr="00AC0E9E">
        <w:rPr>
          <w:sz w:val="24"/>
          <w:szCs w:val="24"/>
        </w:rPr>
        <w:t>Moving Ahead for Progress in the 21</w:t>
      </w:r>
      <w:r w:rsidR="006A2427" w:rsidRPr="00AC0E9E">
        <w:rPr>
          <w:sz w:val="24"/>
          <w:szCs w:val="24"/>
          <w:vertAlign w:val="superscript"/>
        </w:rPr>
        <w:t>st</w:t>
      </w:r>
      <w:r w:rsidR="006A2427" w:rsidRPr="00AC0E9E">
        <w:rPr>
          <w:sz w:val="24"/>
          <w:szCs w:val="24"/>
        </w:rPr>
        <w:t xml:space="preserve"> Centur</w:t>
      </w:r>
      <w:r w:rsidR="006A2427">
        <w:rPr>
          <w:sz w:val="24"/>
          <w:szCs w:val="24"/>
        </w:rPr>
        <w:t>y Act (MAP-21)</w:t>
      </w:r>
      <w:r w:rsidR="005F6E38">
        <w:rPr>
          <w:sz w:val="24"/>
          <w:szCs w:val="24"/>
        </w:rPr>
        <w:t xml:space="preserve"> and the Fixing America’s Surface Transportation Act (FAST)</w:t>
      </w:r>
      <w:r w:rsidR="006A2427">
        <w:rPr>
          <w:sz w:val="24"/>
          <w:szCs w:val="24"/>
        </w:rPr>
        <w:t xml:space="preserve">.  </w:t>
      </w:r>
      <w:r>
        <w:rPr>
          <w:sz w:val="24"/>
          <w:szCs w:val="24"/>
        </w:rPr>
        <w:t>This information collection is necessary to implement the requirements of the law for allocating funding provided from the highway trust fund to Indian tribal governments.</w:t>
      </w:r>
    </w:p>
    <w:p w14:paraId="2B83BF23" w14:textId="479019D4" w:rsidR="00775E37" w:rsidRPr="009A34F0"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87302" w14:textId="77777777"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117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14:paraId="238C3DD5"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2CDE42" w14:textId="372E59D4" w:rsidR="004A73EF" w:rsidRDefault="009A34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 Department developed 25 CFR</w:t>
      </w:r>
      <w:r w:rsidR="00DB412D">
        <w:rPr>
          <w:sz w:val="24"/>
          <w:szCs w:val="24"/>
        </w:rPr>
        <w:t xml:space="preserve"> part 170</w:t>
      </w:r>
      <w:r w:rsidRPr="009A34F0">
        <w:rPr>
          <w:sz w:val="24"/>
          <w:szCs w:val="24"/>
        </w:rPr>
        <w:t>, including the information collection requirements contained therein, through consultation with federally recognized</w:t>
      </w:r>
      <w:r w:rsidR="004A73EF">
        <w:rPr>
          <w:sz w:val="24"/>
          <w:szCs w:val="24"/>
        </w:rPr>
        <w:t xml:space="preserve"> Trib</w:t>
      </w:r>
      <w:r w:rsidRPr="009A34F0">
        <w:rPr>
          <w:sz w:val="24"/>
          <w:szCs w:val="24"/>
        </w:rPr>
        <w:t xml:space="preserve">es. </w:t>
      </w:r>
      <w:r w:rsidR="004A73EF">
        <w:rPr>
          <w:sz w:val="24"/>
          <w:szCs w:val="24"/>
        </w:rPr>
        <w:t xml:space="preserve"> Trib</w:t>
      </w:r>
      <w:r w:rsidRPr="009A34F0">
        <w:rPr>
          <w:sz w:val="24"/>
          <w:szCs w:val="24"/>
        </w:rPr>
        <w:t>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w:t>
      </w:r>
      <w:r w:rsidRPr="000214E0">
        <w:rPr>
          <w:sz w:val="24"/>
          <w:szCs w:val="24"/>
        </w:rPr>
        <w:lastRenderedPageBreak/>
        <w:t xml:space="preserve">requirements to determine how funds appropriated by Congress under </w:t>
      </w:r>
      <w:r w:rsidR="006A2427">
        <w:rPr>
          <w:sz w:val="24"/>
          <w:szCs w:val="24"/>
        </w:rPr>
        <w:t xml:space="preserve">the statutes </w:t>
      </w:r>
      <w:r w:rsidRPr="000214E0">
        <w:rPr>
          <w:sz w:val="24"/>
          <w:szCs w:val="24"/>
        </w:rPr>
        <w:t>will be allocated to various</w:t>
      </w:r>
      <w:r w:rsidR="004A73EF">
        <w:rPr>
          <w:sz w:val="24"/>
          <w:szCs w:val="24"/>
        </w:rPr>
        <w:t xml:space="preserve"> Trib</w:t>
      </w:r>
      <w:r w:rsidRPr="000214E0">
        <w:rPr>
          <w:sz w:val="24"/>
          <w:szCs w:val="24"/>
        </w:rPr>
        <w:t>al governments for implementing the</w:t>
      </w:r>
      <w:r w:rsidR="004A73EF">
        <w:rPr>
          <w:sz w:val="24"/>
          <w:szCs w:val="24"/>
        </w:rPr>
        <w:t xml:space="preserve"> Trib</w:t>
      </w:r>
      <w:r w:rsidR="00BF5378">
        <w:rPr>
          <w:sz w:val="24"/>
          <w:szCs w:val="24"/>
        </w:rPr>
        <w:t xml:space="preserve">al Transportation </w:t>
      </w:r>
      <w:r w:rsidR="006A2427">
        <w:rPr>
          <w:sz w:val="24"/>
          <w:szCs w:val="24"/>
        </w:rPr>
        <w:t>P</w:t>
      </w:r>
      <w:r w:rsidRPr="000214E0">
        <w:rPr>
          <w:sz w:val="24"/>
          <w:szCs w:val="24"/>
        </w:rPr>
        <w:t>rogram.  BIA also uses the information to assist</w:t>
      </w:r>
      <w:r w:rsidR="004A73EF">
        <w:rPr>
          <w:sz w:val="24"/>
          <w:szCs w:val="24"/>
        </w:rPr>
        <w:t xml:space="preserve"> Trib</w:t>
      </w:r>
      <w:r w:rsidRPr="000214E0">
        <w:rPr>
          <w:sz w:val="24"/>
          <w:szCs w:val="24"/>
        </w:rPr>
        <w:t xml:space="preserve">al governments in meeting reporting requirements for their participation in the </w:t>
      </w:r>
      <w:r w:rsidR="006A2427">
        <w:rPr>
          <w:sz w:val="24"/>
          <w:szCs w:val="24"/>
        </w:rPr>
        <w:t>T</w:t>
      </w:r>
      <w:r w:rsidR="00BF5378">
        <w:rPr>
          <w:sz w:val="24"/>
          <w:szCs w:val="24"/>
        </w:rPr>
        <w:t>T</w:t>
      </w:r>
      <w:r w:rsidR="006A2427">
        <w:rPr>
          <w:sz w:val="24"/>
          <w:szCs w:val="24"/>
        </w:rPr>
        <w:t>P</w:t>
      </w:r>
      <w:r w:rsidRPr="000214E0">
        <w:rPr>
          <w:sz w:val="24"/>
          <w:szCs w:val="24"/>
        </w:rPr>
        <w:t xml:space="preserve"> program.  </w:t>
      </w:r>
      <w:r w:rsidR="004A73EF">
        <w:rPr>
          <w:sz w:val="24"/>
          <w:szCs w:val="24"/>
        </w:rPr>
        <w:t xml:space="preserve">One information collection requirement is contained in Subpart C.  </w:t>
      </w:r>
    </w:p>
    <w:p w14:paraId="12576791"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2CD422"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Subpart C – Tribal Transportation Program Funding includes an information collection requirement that results from a statute Congress passed after the proposed rule was published.  The information collection requirement is located at:</w:t>
      </w:r>
    </w:p>
    <w:p w14:paraId="58D2E781" w14:textId="77777777" w:rsidR="004A73EF" w:rsidRPr="004A73EF" w:rsidRDefault="004A73EF" w:rsidP="004A73EF">
      <w:pPr>
        <w:pStyle w:val="ListParagraph"/>
        <w:numPr>
          <w:ilvl w:val="0"/>
          <w:numId w:val="3"/>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170.240 requires </w:t>
      </w:r>
      <w:r w:rsidRPr="004A73EF">
        <w:rPr>
          <w:sz w:val="24"/>
          <w:szCs w:val="24"/>
        </w:rPr>
        <w:t xml:space="preserve">any entity carrying out a </w:t>
      </w:r>
      <w:r>
        <w:rPr>
          <w:sz w:val="24"/>
          <w:szCs w:val="24"/>
        </w:rPr>
        <w:t xml:space="preserve">TTP </w:t>
      </w:r>
      <w:r w:rsidRPr="004A73EF">
        <w:rPr>
          <w:sz w:val="24"/>
          <w:szCs w:val="24"/>
        </w:rPr>
        <w:t xml:space="preserve">project </w:t>
      </w:r>
      <w:r>
        <w:rPr>
          <w:sz w:val="24"/>
          <w:szCs w:val="24"/>
        </w:rPr>
        <w:t xml:space="preserve">to </w:t>
      </w:r>
      <w:r w:rsidRPr="004A73EF">
        <w:rPr>
          <w:sz w:val="24"/>
          <w:szCs w:val="24"/>
        </w:rPr>
        <w:t>submit</w:t>
      </w:r>
      <w:r w:rsidR="009F6D48">
        <w:rPr>
          <w:sz w:val="24"/>
          <w:szCs w:val="24"/>
        </w:rPr>
        <w:t xml:space="preserve"> certain data</w:t>
      </w:r>
      <w:r w:rsidRPr="004A73EF">
        <w:rPr>
          <w:sz w:val="24"/>
          <w:szCs w:val="24"/>
        </w:rPr>
        <w:t xml:space="preserve"> to the Secretaries</w:t>
      </w:r>
      <w:r>
        <w:rPr>
          <w:sz w:val="24"/>
          <w:szCs w:val="24"/>
        </w:rPr>
        <w:t xml:space="preserve"> of Interior and Transportation using an electronic database provided by the agencies. </w:t>
      </w:r>
    </w:p>
    <w:p w14:paraId="2E0820D2"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DFF3C8" w14:textId="77777777" w:rsidR="009A34F0" w:rsidRP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w:t>
      </w:r>
      <w:r w:rsidR="005622F0">
        <w:rPr>
          <w:sz w:val="24"/>
          <w:szCs w:val="24"/>
        </w:rPr>
        <w:t>he</w:t>
      </w:r>
      <w:r>
        <w:rPr>
          <w:sz w:val="24"/>
          <w:szCs w:val="24"/>
        </w:rPr>
        <w:t xml:space="preserve"> remaining</w:t>
      </w:r>
      <w:r w:rsidR="005622F0">
        <w:rPr>
          <w:sz w:val="24"/>
          <w:szCs w:val="24"/>
        </w:rPr>
        <w:t xml:space="preserve"> information collections are located in Subpart D</w:t>
      </w:r>
      <w:r>
        <w:rPr>
          <w:sz w:val="24"/>
          <w:szCs w:val="24"/>
        </w:rPr>
        <w:t xml:space="preserve"> </w:t>
      </w:r>
      <w:r w:rsidR="009A34F0" w:rsidRPr="000214E0">
        <w:rPr>
          <w:bCs/>
          <w:sz w:val="24"/>
          <w:szCs w:val="24"/>
        </w:rPr>
        <w:t>–</w:t>
      </w:r>
      <w:r>
        <w:rPr>
          <w:bCs/>
          <w:sz w:val="24"/>
          <w:szCs w:val="24"/>
        </w:rPr>
        <w:t xml:space="preserve"> </w:t>
      </w:r>
      <w:r w:rsidR="009A34F0" w:rsidRPr="000214E0">
        <w:rPr>
          <w:bCs/>
          <w:sz w:val="24"/>
          <w:szCs w:val="24"/>
        </w:rPr>
        <w:t>Planning, Design, and Construction of</w:t>
      </w:r>
      <w:r>
        <w:rPr>
          <w:bCs/>
          <w:sz w:val="24"/>
          <w:szCs w:val="24"/>
        </w:rPr>
        <w:t xml:space="preserve"> Trib</w:t>
      </w:r>
      <w:r w:rsidR="006A2427">
        <w:rPr>
          <w:bCs/>
          <w:sz w:val="24"/>
          <w:szCs w:val="24"/>
        </w:rPr>
        <w:t>al Transportation</w:t>
      </w:r>
      <w:r w:rsidR="009A34F0" w:rsidRPr="000214E0">
        <w:rPr>
          <w:bCs/>
          <w:sz w:val="24"/>
          <w:szCs w:val="24"/>
        </w:rPr>
        <w:t xml:space="preserve"> Program Facilities</w:t>
      </w:r>
      <w:r w:rsidR="005622F0">
        <w:rPr>
          <w:bCs/>
          <w:sz w:val="24"/>
          <w:szCs w:val="24"/>
        </w:rPr>
        <w:t>.</w:t>
      </w:r>
      <w:r>
        <w:rPr>
          <w:bCs/>
          <w:sz w:val="24"/>
          <w:szCs w:val="24"/>
        </w:rPr>
        <w:t xml:space="preserve"> </w:t>
      </w:r>
      <w:r w:rsidR="005622F0">
        <w:rPr>
          <w:bCs/>
          <w:sz w:val="24"/>
          <w:szCs w:val="24"/>
        </w:rPr>
        <w:t>Subpart D</w:t>
      </w:r>
      <w:r w:rsidR="009A34F0" w:rsidRPr="000214E0">
        <w:rPr>
          <w:sz w:val="24"/>
          <w:szCs w:val="24"/>
        </w:rPr>
        <w:t xml:space="preserve"> provisions explain the requirements for planning, designing and constructing</w:t>
      </w:r>
      <w:r>
        <w:rPr>
          <w:sz w:val="24"/>
          <w:szCs w:val="24"/>
        </w:rPr>
        <w:t xml:space="preserve"> Trib</w:t>
      </w:r>
      <w:r w:rsidR="006A2427">
        <w:rPr>
          <w:sz w:val="24"/>
          <w:szCs w:val="24"/>
        </w:rPr>
        <w:t>al transportation</w:t>
      </w:r>
      <w:r w:rsidR="009A34F0" w:rsidRPr="000214E0">
        <w:rPr>
          <w:sz w:val="24"/>
          <w:szCs w:val="24"/>
        </w:rPr>
        <w:t xml:space="preserve"> roads.  This includes discussion of transportation planning, the requirements for public hearings, </w:t>
      </w:r>
      <w:r w:rsidR="006A2427">
        <w:rPr>
          <w:sz w:val="24"/>
          <w:szCs w:val="24"/>
        </w:rPr>
        <w:t>the National</w:t>
      </w:r>
      <w:r>
        <w:rPr>
          <w:sz w:val="24"/>
          <w:szCs w:val="24"/>
        </w:rPr>
        <w:t xml:space="preserve"> Trib</w:t>
      </w:r>
      <w:r w:rsidR="006A2427">
        <w:rPr>
          <w:sz w:val="24"/>
          <w:szCs w:val="24"/>
        </w:rPr>
        <w:t>al Transportation Facility Inventory (NTTFI)</w:t>
      </w:r>
      <w:r w:rsidR="009A34F0" w:rsidRPr="000214E0">
        <w:rPr>
          <w:sz w:val="24"/>
          <w:szCs w:val="24"/>
        </w:rPr>
        <w:t xml:space="preserve">, environmental and archaeology elements of the </w:t>
      </w:r>
      <w:r w:rsidR="006A2427">
        <w:rPr>
          <w:sz w:val="24"/>
          <w:szCs w:val="24"/>
        </w:rPr>
        <w:t>T</w:t>
      </w:r>
      <w:r w:rsidR="005622F0">
        <w:rPr>
          <w:sz w:val="24"/>
          <w:szCs w:val="24"/>
        </w:rPr>
        <w:t>T</w:t>
      </w:r>
      <w:r w:rsidR="006A2427">
        <w:rPr>
          <w:sz w:val="24"/>
          <w:szCs w:val="24"/>
        </w:rPr>
        <w:t>P</w:t>
      </w:r>
      <w:r w:rsidR="009A34F0" w:rsidRPr="000214E0">
        <w:rPr>
          <w:sz w:val="24"/>
          <w:szCs w:val="24"/>
        </w:rPr>
        <w:t xml:space="preserve"> program</w:t>
      </w:r>
      <w:r w:rsidR="009A34F0" w:rsidRPr="009A34F0">
        <w:rPr>
          <w:sz w:val="24"/>
          <w:szCs w:val="24"/>
        </w:rPr>
        <w:t xml:space="preserve">, design elements, construction and construction monitoring of rights-of-way, and program reviews and management systems. </w:t>
      </w:r>
      <w:r w:rsidR="008B1884">
        <w:rPr>
          <w:sz w:val="24"/>
          <w:szCs w:val="24"/>
        </w:rPr>
        <w:t xml:space="preserve"> </w:t>
      </w:r>
      <w:r w:rsidR="009A34F0" w:rsidRPr="009A34F0">
        <w:rPr>
          <w:sz w:val="24"/>
          <w:szCs w:val="24"/>
        </w:rPr>
        <w:t xml:space="preserve">The information collections are located at:   </w:t>
      </w:r>
    </w:p>
    <w:p w14:paraId="1297EAD1" w14:textId="77777777" w:rsidR="009A34F0" w:rsidRPr="009A34F0" w:rsidRDefault="009A34F0" w:rsidP="009A34F0">
      <w:pPr>
        <w:rPr>
          <w:sz w:val="24"/>
          <w:szCs w:val="24"/>
        </w:rPr>
      </w:pPr>
    </w:p>
    <w:p w14:paraId="69181F60" w14:textId="77777777" w:rsidR="009A34F0" w:rsidRPr="009A34F0" w:rsidRDefault="009A34F0" w:rsidP="005622F0">
      <w:pPr>
        <w:numPr>
          <w:ilvl w:val="0"/>
          <w:numId w:val="1"/>
        </w:numPr>
        <w:rPr>
          <w:sz w:val="24"/>
          <w:szCs w:val="24"/>
        </w:rPr>
      </w:pPr>
      <w:r w:rsidRPr="009A34F0">
        <w:rPr>
          <w:sz w:val="24"/>
          <w:szCs w:val="24"/>
        </w:rPr>
        <w:t>170.411 lists items that a</w:t>
      </w:r>
      <w:r w:rsidR="004A73EF">
        <w:rPr>
          <w:sz w:val="24"/>
          <w:szCs w:val="24"/>
        </w:rPr>
        <w:t xml:space="preserve"> Trib</w:t>
      </w:r>
      <w:r w:rsidRPr="009A34F0">
        <w:rPr>
          <w:sz w:val="24"/>
          <w:szCs w:val="24"/>
        </w:rPr>
        <w:t xml:space="preserve">e may include in a long-range transportation plan.  </w:t>
      </w:r>
    </w:p>
    <w:p w14:paraId="5D78A2B4" w14:textId="77777777" w:rsidR="009A34F0" w:rsidRPr="009A34F0" w:rsidRDefault="009A34F0" w:rsidP="005622F0">
      <w:pPr>
        <w:numPr>
          <w:ilvl w:val="0"/>
          <w:numId w:val="1"/>
        </w:numPr>
        <w:rPr>
          <w:sz w:val="24"/>
          <w:szCs w:val="24"/>
        </w:rPr>
      </w:pPr>
      <w:r w:rsidRPr="009A34F0">
        <w:rPr>
          <w:sz w:val="24"/>
          <w:szCs w:val="24"/>
        </w:rPr>
        <w:t>170.412 establishes that the</w:t>
      </w:r>
      <w:r w:rsidR="004A73EF">
        <w:rPr>
          <w:sz w:val="24"/>
          <w:szCs w:val="24"/>
        </w:rPr>
        <w:t xml:space="preserve"> Trib</w:t>
      </w:r>
      <w:r w:rsidRPr="009A34F0">
        <w:rPr>
          <w:sz w:val="24"/>
          <w:szCs w:val="24"/>
        </w:rPr>
        <w:t>e must undergo a certain process in development and review of the long-range transportation plan.</w:t>
      </w:r>
    </w:p>
    <w:p w14:paraId="7806C4C1" w14:textId="77777777" w:rsidR="009A34F0" w:rsidRPr="009A34F0" w:rsidRDefault="009A34F0" w:rsidP="005622F0">
      <w:pPr>
        <w:numPr>
          <w:ilvl w:val="0"/>
          <w:numId w:val="1"/>
        </w:numPr>
        <w:rPr>
          <w:sz w:val="24"/>
          <w:szCs w:val="24"/>
        </w:rPr>
      </w:pPr>
      <w:r w:rsidRPr="009A34F0">
        <w:rPr>
          <w:sz w:val="24"/>
          <w:szCs w:val="24"/>
        </w:rPr>
        <w:t>170.420 establishes that the</w:t>
      </w:r>
      <w:r w:rsidR="004A73EF">
        <w:rPr>
          <w:sz w:val="24"/>
          <w:szCs w:val="24"/>
        </w:rPr>
        <w:t xml:space="preserve"> Trib</w:t>
      </w:r>
      <w:r w:rsidRPr="009A34F0">
        <w:rPr>
          <w:sz w:val="24"/>
          <w:szCs w:val="24"/>
        </w:rPr>
        <w:t>e must provide the</w:t>
      </w:r>
      <w:r w:rsidR="004A73EF">
        <w:rPr>
          <w:sz w:val="24"/>
          <w:szCs w:val="24"/>
        </w:rPr>
        <w:t xml:space="preserve"> Trib</w:t>
      </w:r>
      <w:r w:rsidRPr="009A34F0">
        <w:rPr>
          <w:sz w:val="24"/>
          <w:szCs w:val="24"/>
        </w:rPr>
        <w:t>al priority list to BIA.</w:t>
      </w:r>
    </w:p>
    <w:p w14:paraId="36B7197F" w14:textId="77777777" w:rsidR="009A34F0" w:rsidRPr="009A34F0" w:rsidRDefault="009A34F0" w:rsidP="005622F0">
      <w:pPr>
        <w:numPr>
          <w:ilvl w:val="0"/>
          <w:numId w:val="1"/>
        </w:numPr>
        <w:rPr>
          <w:sz w:val="24"/>
          <w:szCs w:val="24"/>
        </w:rPr>
      </w:pPr>
      <w:r w:rsidRPr="009A34F0">
        <w:rPr>
          <w:sz w:val="24"/>
          <w:szCs w:val="24"/>
        </w:rPr>
        <w:t>170.421 establishes that the</w:t>
      </w:r>
      <w:r w:rsidR="004A73EF">
        <w:rPr>
          <w:sz w:val="24"/>
          <w:szCs w:val="24"/>
        </w:rPr>
        <w:t xml:space="preserve"> Trib</w:t>
      </w:r>
      <w:r w:rsidRPr="009A34F0">
        <w:rPr>
          <w:sz w:val="24"/>
          <w:szCs w:val="24"/>
        </w:rPr>
        <w:t>e must report to BIA on its</w:t>
      </w:r>
      <w:r w:rsidR="004A73EF">
        <w:rPr>
          <w:sz w:val="24"/>
          <w:szCs w:val="24"/>
        </w:rPr>
        <w:t xml:space="preserve"> Trib</w:t>
      </w:r>
      <w:r w:rsidRPr="009A34F0">
        <w:rPr>
          <w:sz w:val="24"/>
          <w:szCs w:val="24"/>
        </w:rPr>
        <w:t>al transportation improvement program.</w:t>
      </w:r>
    </w:p>
    <w:p w14:paraId="295A00DE" w14:textId="77777777" w:rsidR="009A34F0" w:rsidRPr="009A34F0" w:rsidRDefault="009A34F0" w:rsidP="005622F0">
      <w:pPr>
        <w:numPr>
          <w:ilvl w:val="0"/>
          <w:numId w:val="1"/>
        </w:numPr>
        <w:rPr>
          <w:sz w:val="24"/>
          <w:szCs w:val="24"/>
        </w:rPr>
      </w:pPr>
      <w:r w:rsidRPr="009A34F0">
        <w:rPr>
          <w:sz w:val="24"/>
          <w:szCs w:val="24"/>
        </w:rPr>
        <w:t>170.437</w:t>
      </w:r>
      <w:r w:rsidR="00D64230">
        <w:rPr>
          <w:sz w:val="24"/>
          <w:szCs w:val="24"/>
        </w:rPr>
        <w:t xml:space="preserve"> and 170.438 establish</w:t>
      </w:r>
      <w:r w:rsidR="00BF5378">
        <w:rPr>
          <w:sz w:val="24"/>
          <w:szCs w:val="24"/>
        </w:rPr>
        <w:t>es</w:t>
      </w:r>
      <w:r w:rsidRPr="009A34F0">
        <w:rPr>
          <w:sz w:val="24"/>
          <w:szCs w:val="24"/>
        </w:rPr>
        <w:t xml:space="preserve"> that the</w:t>
      </w:r>
      <w:r w:rsidR="004A73EF">
        <w:rPr>
          <w:sz w:val="24"/>
          <w:szCs w:val="24"/>
        </w:rPr>
        <w:t xml:space="preserve"> Trib</w:t>
      </w:r>
      <w:r w:rsidRPr="009A34F0">
        <w:rPr>
          <w:sz w:val="24"/>
          <w:szCs w:val="24"/>
        </w:rPr>
        <w:t xml:space="preserve">e or BIA must give notice to the public of an </w:t>
      </w:r>
      <w:r w:rsidR="00D64230">
        <w:rPr>
          <w:sz w:val="24"/>
          <w:szCs w:val="24"/>
        </w:rPr>
        <w:t>T</w:t>
      </w:r>
      <w:r w:rsidR="007968F5">
        <w:rPr>
          <w:sz w:val="24"/>
          <w:szCs w:val="24"/>
        </w:rPr>
        <w:t>T</w:t>
      </w:r>
      <w:r w:rsidR="00D64230">
        <w:rPr>
          <w:sz w:val="24"/>
          <w:szCs w:val="24"/>
        </w:rPr>
        <w:t>P</w:t>
      </w:r>
      <w:r w:rsidRPr="009A34F0">
        <w:rPr>
          <w:sz w:val="24"/>
          <w:szCs w:val="24"/>
        </w:rPr>
        <w:t xml:space="preserve"> project</w:t>
      </w:r>
      <w:r w:rsidR="00D64230">
        <w:rPr>
          <w:sz w:val="24"/>
          <w:szCs w:val="24"/>
        </w:rPr>
        <w:t xml:space="preserve"> and hearing</w:t>
      </w:r>
      <w:r w:rsidRPr="009A34F0">
        <w:rPr>
          <w:sz w:val="24"/>
          <w:szCs w:val="24"/>
        </w:rPr>
        <w:t>.</w:t>
      </w:r>
    </w:p>
    <w:p w14:paraId="7CE0156B" w14:textId="77777777" w:rsidR="009A34F0" w:rsidRPr="009A34F0" w:rsidRDefault="009A34F0" w:rsidP="005622F0">
      <w:pPr>
        <w:numPr>
          <w:ilvl w:val="0"/>
          <w:numId w:val="1"/>
        </w:numPr>
        <w:rPr>
          <w:sz w:val="24"/>
          <w:szCs w:val="24"/>
        </w:rPr>
      </w:pPr>
      <w:r w:rsidRPr="009A34F0">
        <w:rPr>
          <w:sz w:val="24"/>
          <w:szCs w:val="24"/>
        </w:rPr>
        <w:t>170.439 establishes that the</w:t>
      </w:r>
      <w:r w:rsidR="004A73EF">
        <w:rPr>
          <w:sz w:val="24"/>
          <w:szCs w:val="24"/>
        </w:rPr>
        <w:t xml:space="preserve"> Trib</w:t>
      </w:r>
      <w:r w:rsidRPr="009A34F0">
        <w:rPr>
          <w:sz w:val="24"/>
          <w:szCs w:val="24"/>
        </w:rPr>
        <w:t>e must compile and maintain a record of hearing.</w:t>
      </w:r>
    </w:p>
    <w:p w14:paraId="3BA2A2BB" w14:textId="77777777" w:rsidR="009A34F0" w:rsidRPr="009A34F0" w:rsidRDefault="009A34F0" w:rsidP="005622F0">
      <w:pPr>
        <w:numPr>
          <w:ilvl w:val="0"/>
          <w:numId w:val="1"/>
        </w:numPr>
        <w:rPr>
          <w:sz w:val="24"/>
          <w:szCs w:val="24"/>
        </w:rPr>
      </w:pPr>
      <w:r w:rsidRPr="009A34F0">
        <w:rPr>
          <w:sz w:val="24"/>
          <w:szCs w:val="24"/>
        </w:rPr>
        <w:t>170.443 establishes that the</w:t>
      </w:r>
      <w:r w:rsidR="004A73EF">
        <w:rPr>
          <w:sz w:val="24"/>
          <w:szCs w:val="24"/>
        </w:rPr>
        <w:t xml:space="preserve"> Trib</w:t>
      </w:r>
      <w:r w:rsidRPr="009A34F0">
        <w:rPr>
          <w:sz w:val="24"/>
          <w:szCs w:val="24"/>
        </w:rPr>
        <w:t xml:space="preserve">e must </w:t>
      </w:r>
      <w:r w:rsidR="00D64230">
        <w:rPr>
          <w:sz w:val="24"/>
          <w:szCs w:val="24"/>
        </w:rPr>
        <w:t xml:space="preserve">provide and </w:t>
      </w:r>
      <w:r w:rsidRPr="009A34F0">
        <w:rPr>
          <w:sz w:val="24"/>
          <w:szCs w:val="24"/>
        </w:rPr>
        <w:t>review certain information in support of a project</w:t>
      </w:r>
      <w:r w:rsidR="006A2427">
        <w:rPr>
          <w:sz w:val="24"/>
          <w:szCs w:val="24"/>
        </w:rPr>
        <w:t>’</w:t>
      </w:r>
      <w:r w:rsidRPr="009A34F0">
        <w:rPr>
          <w:sz w:val="24"/>
          <w:szCs w:val="24"/>
        </w:rPr>
        <w:t xml:space="preserve">s inclusion on the </w:t>
      </w:r>
      <w:r w:rsidR="006A2427">
        <w:rPr>
          <w:sz w:val="24"/>
          <w:szCs w:val="24"/>
        </w:rPr>
        <w:t>NTTFI</w:t>
      </w:r>
      <w:r w:rsidRPr="009A34F0">
        <w:rPr>
          <w:sz w:val="24"/>
          <w:szCs w:val="24"/>
        </w:rPr>
        <w:t>.</w:t>
      </w:r>
    </w:p>
    <w:p w14:paraId="6949B952" w14:textId="77777777" w:rsidR="009A34F0" w:rsidRDefault="009A34F0" w:rsidP="005622F0">
      <w:pPr>
        <w:numPr>
          <w:ilvl w:val="0"/>
          <w:numId w:val="1"/>
        </w:numPr>
        <w:rPr>
          <w:sz w:val="24"/>
          <w:szCs w:val="24"/>
        </w:rPr>
      </w:pPr>
      <w:r w:rsidRPr="009A34F0">
        <w:rPr>
          <w:sz w:val="24"/>
          <w:szCs w:val="24"/>
        </w:rPr>
        <w:t>170.456 establishes that a</w:t>
      </w:r>
      <w:r w:rsidR="004A73EF">
        <w:rPr>
          <w:sz w:val="24"/>
          <w:szCs w:val="24"/>
        </w:rPr>
        <w:t xml:space="preserve"> Trib</w:t>
      </w:r>
      <w:r w:rsidRPr="009A34F0">
        <w:rPr>
          <w:sz w:val="24"/>
          <w:szCs w:val="24"/>
        </w:rPr>
        <w:t>e must provide certain information in support of a request for exception from design standards.</w:t>
      </w:r>
    </w:p>
    <w:p w14:paraId="5338C7DF" w14:textId="1ED8AD30" w:rsidR="00775E37" w:rsidRDefault="00775E37" w:rsidP="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588BA8"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F277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D04729" w14:textId="6B8D973A" w:rsidR="009A34F0" w:rsidRDefault="009A34F0"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BIA has instituted an automated process for updating the inventory, referred to as the Road Inventory Field Data System (RIFDS).  There are no barriers for the use of electronic technology to collect the information and reduce the burden of this collection.  </w:t>
      </w:r>
      <w:r w:rsidR="00085DC3" w:rsidRPr="00085DC3">
        <w:rPr>
          <w:sz w:val="24"/>
          <w:szCs w:val="24"/>
        </w:rPr>
        <w:t xml:space="preserve">All data whether updated by the tribe (under contract) or by federal personnel (on behalf of a tribe who clearly has declined to </w:t>
      </w:r>
      <w:r w:rsidR="00085DC3" w:rsidRPr="00085DC3">
        <w:rPr>
          <w:sz w:val="24"/>
          <w:szCs w:val="24"/>
        </w:rPr>
        <w:lastRenderedPageBreak/>
        <w:t>perform this function) is performed electronically. But because this is a contractible activity tribes always have the right of first refusal to perform this work.  The original intent is met (100% electronic entry).</w:t>
      </w:r>
    </w:p>
    <w:p w14:paraId="6C46CF80" w14:textId="77777777" w:rsidR="009F6D48" w:rsidRDefault="009F6D48"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CA9723" w14:textId="77777777"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150B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14:paraId="2373B66F" w14:textId="77777777" w:rsidR="00B06BEA" w:rsidRDefault="00B06BEA" w:rsidP="00B06BEA">
      <w:pPr>
        <w:tabs>
          <w:tab w:val="left" w:pos="-1440"/>
        </w:tabs>
        <w:rPr>
          <w:sz w:val="24"/>
          <w:szCs w:val="24"/>
        </w:rPr>
      </w:pPr>
    </w:p>
    <w:p w14:paraId="292A81D0" w14:textId="1ABC5BD2" w:rsidR="009A34F0" w:rsidRPr="000214E0" w:rsidRDefault="009A34F0" w:rsidP="009A34F0">
      <w:pPr>
        <w:rPr>
          <w:sz w:val="24"/>
          <w:szCs w:val="24"/>
        </w:rPr>
      </w:pPr>
      <w:r w:rsidRPr="000214E0">
        <w:rPr>
          <w:sz w:val="24"/>
          <w:szCs w:val="24"/>
        </w:rPr>
        <w:t xml:space="preserve">This information is in response to 25 CFR 170 and is not duplicated in any other data collection.  This information is unique to </w:t>
      </w:r>
      <w:r w:rsidR="00D42677">
        <w:rPr>
          <w:sz w:val="24"/>
          <w:szCs w:val="24"/>
        </w:rPr>
        <w:t>the</w:t>
      </w:r>
      <w:r w:rsidR="004A73EF">
        <w:rPr>
          <w:sz w:val="24"/>
          <w:szCs w:val="24"/>
        </w:rPr>
        <w:t xml:space="preserve"> Trib</w:t>
      </w:r>
      <w:r w:rsidR="00D42677">
        <w:rPr>
          <w:sz w:val="24"/>
          <w:szCs w:val="24"/>
        </w:rPr>
        <w:t>al Transportation Program</w:t>
      </w:r>
      <w:r w:rsidRPr="000214E0">
        <w:rPr>
          <w:sz w:val="24"/>
          <w:szCs w:val="24"/>
        </w:rPr>
        <w:t xml:space="preserve"> and no similar information is found in any other collection.  In keeping with the Paperwork Reduction Act and other statutory requirements, the information collected is the minimum needed for the intended purpose.</w:t>
      </w:r>
    </w:p>
    <w:p w14:paraId="5EC2D8F6"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0A2B62"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14:paraId="452F3C85"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31A623" w14:textId="77777777" w:rsidR="009A34F0" w:rsidRPr="000214E0" w:rsidRDefault="009A34F0" w:rsidP="009A34F0">
      <w:pPr>
        <w:rPr>
          <w:sz w:val="24"/>
          <w:szCs w:val="24"/>
        </w:rPr>
      </w:pPr>
      <w:r w:rsidRPr="000214E0">
        <w:rPr>
          <w:sz w:val="24"/>
          <w:szCs w:val="24"/>
        </w:rPr>
        <w:t>Tribes and</w:t>
      </w:r>
      <w:r w:rsidR="004A73EF">
        <w:rPr>
          <w:sz w:val="24"/>
          <w:szCs w:val="24"/>
        </w:rPr>
        <w:t xml:space="preserve"> Trib</w:t>
      </w:r>
      <w:r w:rsidRPr="000214E0">
        <w:rPr>
          <w:sz w:val="24"/>
          <w:szCs w:val="24"/>
        </w:rPr>
        <w:t xml:space="preserve">al organizations are </w:t>
      </w:r>
      <w:r w:rsidR="005622F0">
        <w:rPr>
          <w:sz w:val="24"/>
          <w:szCs w:val="24"/>
        </w:rPr>
        <w:t>not considered</w:t>
      </w:r>
      <w:r w:rsidRPr="000214E0">
        <w:rPr>
          <w:sz w:val="24"/>
          <w:szCs w:val="24"/>
        </w:rPr>
        <w:t xml:space="preserve"> small entities under the Small Business Regulatory Enforcement Fairness Act (SBREFA).  The BIA consulted with the</w:t>
      </w:r>
      <w:r w:rsidR="004A73EF">
        <w:rPr>
          <w:sz w:val="24"/>
          <w:szCs w:val="24"/>
        </w:rPr>
        <w:t xml:space="preserve"> Trib</w:t>
      </w:r>
      <w:r w:rsidRPr="000214E0">
        <w:rPr>
          <w:sz w:val="24"/>
          <w:szCs w:val="24"/>
        </w:rPr>
        <w:t>es and through various</w:t>
      </w:r>
      <w:r w:rsidR="004A73EF">
        <w:rPr>
          <w:sz w:val="24"/>
          <w:szCs w:val="24"/>
        </w:rPr>
        <w:t xml:space="preserve"> Trib</w:t>
      </w:r>
      <w:r w:rsidRPr="000214E0">
        <w:rPr>
          <w:sz w:val="24"/>
          <w:szCs w:val="24"/>
        </w:rPr>
        <w:t xml:space="preserve">al-member non-governmental organizations to determine what information collection was necessary to ensure the fair and equitable administration of the </w:t>
      </w:r>
      <w:r w:rsidR="00873726">
        <w:rPr>
          <w:sz w:val="24"/>
          <w:szCs w:val="24"/>
        </w:rPr>
        <w:t>TTP</w:t>
      </w:r>
      <w:r w:rsidRPr="000214E0">
        <w:rPr>
          <w:sz w:val="24"/>
          <w:szCs w:val="24"/>
        </w:rPr>
        <w:t>.  Through this consultation, the information collection burden has been minimized.</w:t>
      </w:r>
    </w:p>
    <w:p w14:paraId="4BBF752A" w14:textId="77777777"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EAE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14:paraId="676791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3443EB" w14:textId="1E14517D" w:rsidR="009A34F0" w:rsidRPr="009A34F0" w:rsidRDefault="009A34F0" w:rsidP="009A34F0">
      <w:pPr>
        <w:rPr>
          <w:sz w:val="24"/>
          <w:szCs w:val="24"/>
        </w:rPr>
      </w:pPr>
      <w:r w:rsidRPr="000214E0">
        <w:rPr>
          <w:sz w:val="24"/>
          <w:szCs w:val="24"/>
        </w:rPr>
        <w:t xml:space="preserve">The information collection burden cannot be reduced any further without the integrity of the </w:t>
      </w:r>
      <w:r w:rsidR="00873726">
        <w:rPr>
          <w:sz w:val="24"/>
          <w:szCs w:val="24"/>
        </w:rPr>
        <w:t>TTP</w:t>
      </w:r>
      <w:r w:rsidRPr="000214E0">
        <w:rPr>
          <w:sz w:val="24"/>
          <w:szCs w:val="24"/>
        </w:rPr>
        <w:t xml:space="preserve"> being compromised.  Information is collected, as needed, when federally recognized</w:t>
      </w:r>
      <w:r w:rsidR="004A73EF">
        <w:rPr>
          <w:sz w:val="24"/>
          <w:szCs w:val="24"/>
        </w:rPr>
        <w:t xml:space="preserve"> Trib</w:t>
      </w:r>
      <w:r w:rsidRPr="000214E0">
        <w:rPr>
          <w:sz w:val="24"/>
          <w:szCs w:val="24"/>
        </w:rPr>
        <w:t xml:space="preserve">es want to participate in the </w:t>
      </w:r>
      <w:r w:rsidR="00873726">
        <w:rPr>
          <w:sz w:val="24"/>
          <w:szCs w:val="24"/>
        </w:rPr>
        <w:t>TTP</w:t>
      </w:r>
      <w:r w:rsidRPr="009A34F0">
        <w:rPr>
          <w:sz w:val="24"/>
          <w:szCs w:val="24"/>
        </w:rPr>
        <w:t>.  If the collection is not conducted, or is conducted less frequently, the BIA will not be able to properly administer the program and the government’s responsibility for the allocation of funds to these</w:t>
      </w:r>
      <w:r w:rsidR="004A73EF">
        <w:rPr>
          <w:sz w:val="24"/>
          <w:szCs w:val="24"/>
        </w:rPr>
        <w:t xml:space="preserve"> Trib</w:t>
      </w:r>
      <w:r w:rsidRPr="009A34F0">
        <w:rPr>
          <w:sz w:val="24"/>
          <w:szCs w:val="24"/>
        </w:rPr>
        <w:t xml:space="preserve">es </w:t>
      </w:r>
      <w:r w:rsidR="00B81DDB">
        <w:rPr>
          <w:sz w:val="24"/>
          <w:szCs w:val="24"/>
        </w:rPr>
        <w:t xml:space="preserve">and compliance with law </w:t>
      </w:r>
      <w:r w:rsidRPr="009A34F0">
        <w:rPr>
          <w:sz w:val="24"/>
          <w:szCs w:val="24"/>
        </w:rPr>
        <w:t>will be further compromised.</w:t>
      </w:r>
    </w:p>
    <w:p w14:paraId="6F1E3794" w14:textId="77777777"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7253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14:paraId="456BCA4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14:paraId="533D01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14:paraId="665C681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14:paraId="021132D0"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14:paraId="68D718D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14:paraId="1EE11B06"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14:paraId="3CD665A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6CBE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14:paraId="07C83528" w14:textId="77777777"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BFEC6" w14:textId="77777777"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14:paraId="2F59B118" w14:textId="77777777"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14:paraId="1EEBC44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14:paraId="55D5BA7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724F861" w14:textId="782A13FC" w:rsidR="00DB412D" w:rsidRDefault="00DB412D" w:rsidP="00DB412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proposed rule that served as a 60-day notice for public comments was published in the Federal Register on July 26, 2019 (84 FR 36040).  There were no comments received in response to this notice.</w:t>
      </w:r>
    </w:p>
    <w:p w14:paraId="0F533BA3" w14:textId="77777777" w:rsidR="00873726" w:rsidRPr="00B06BEA" w:rsidRDefault="00873726" w:rsidP="00FA2976">
      <w:pPr>
        <w:rPr>
          <w:b/>
          <w:sz w:val="24"/>
          <w:szCs w:val="24"/>
        </w:rPr>
      </w:pPr>
    </w:p>
    <w:p w14:paraId="07238AAD"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14:paraId="798BB3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7E78F7E" w14:textId="77777777" w:rsidR="00085DC3" w:rsidRDefault="00085DC3" w:rsidP="00085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085DC3">
        <w:rPr>
          <w:color w:val="000000"/>
          <w:sz w:val="24"/>
          <w:szCs w:val="24"/>
        </w:rPr>
        <w:t>The following tribal planners and engineers were contacted to obtain their views on the availability of data, frequency of collection, the clarity of instructions and recordkeeping, disclosure, or reporting format (if any), and on the data elements to be recorded, disclosed, or reported: Engineer in Training (EIT)/Planner for the Skokomish Indian Tribe, and the Transportation Planner for the Manokotak Native Village in Alaska.  In general, data availability, frequency of collection, and clarity of instruction, training, or reporting format on data elements to be disclosed or reported is good and adequate, but areas of concern are data availability and access for rural Alaska public transportation systems, lack of understanding and changes within tribal organizations sometimes lead to inadequate collection and access.   In addition, BIA has regular and frequent contact with the Federal Lands Highways Program of the Federal Highway Administration, consulting on any activities regarding data updates and user input.  The FLHP personnel have access to the database and assist in the review and approval of data.   They believe this information collection is necessary and concurs with the burden hours provided for each task based on previous experience working with this information collection.</w:t>
      </w:r>
      <w:r>
        <w:rPr>
          <w:color w:val="000000"/>
          <w:sz w:val="24"/>
          <w:szCs w:val="24"/>
        </w:rPr>
        <w:t xml:space="preserve"> </w:t>
      </w:r>
    </w:p>
    <w:p w14:paraId="149BDAC9" w14:textId="77777777" w:rsidR="00085DC3" w:rsidRDefault="00085DC3" w:rsidP="00085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24718D23" w14:textId="5B9FF248" w:rsidR="00085DC3" w:rsidRPr="00085DC3" w:rsidRDefault="00085DC3" w:rsidP="00085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BIA is in the process of updating the regulations for the Tribal Transportation program. As part of the rulemaking process, BIA will be soliciting input from the public on the new regulations along with any information collection elements. </w:t>
      </w:r>
    </w:p>
    <w:p w14:paraId="200B54A0" w14:textId="77777777"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BA374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14:paraId="1BE828CA"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14:paraId="3471A0A1" w14:textId="77777777"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14:paraId="062C12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D8873F" w14:textId="77777777"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14:paraId="04C975E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FBBBAC3" w14:textId="77777777"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14:paraId="1FF8A102" w14:textId="77777777"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459F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FA0ADA" w14:textId="77777777"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7F090F" w14:textId="77777777" w:rsidR="009A34F0" w:rsidRPr="009A34F0" w:rsidRDefault="009A34F0" w:rsidP="009A34F0">
      <w:pPr>
        <w:rPr>
          <w:sz w:val="24"/>
          <w:szCs w:val="24"/>
        </w:rPr>
      </w:pPr>
      <w:r w:rsidRPr="009A34F0">
        <w:rPr>
          <w:sz w:val="24"/>
          <w:szCs w:val="24"/>
        </w:rPr>
        <w:t>There are no questions of a sensitive nature solicited in this information collection.</w:t>
      </w:r>
    </w:p>
    <w:p w14:paraId="3C8B89AC"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02D63D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14:paraId="785B756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B41C3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14:paraId="03ABCA3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14:paraId="707A78F3"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7EE69C" w14:textId="77777777" w:rsidR="00F76F75" w:rsidRPr="009A34F0" w:rsidRDefault="00F76F75" w:rsidP="00F76F75">
      <w:pPr>
        <w:rPr>
          <w:sz w:val="24"/>
          <w:szCs w:val="24"/>
        </w:rPr>
      </w:pPr>
      <w:r w:rsidRPr="009A34F0">
        <w:rPr>
          <w:sz w:val="24"/>
          <w:szCs w:val="24"/>
        </w:rPr>
        <w:t xml:space="preserve">For purpose of this part only, we have varied the number of respondents to reflect historical data and possible eligible respondents that could possibly file for benefits under the </w:t>
      </w:r>
      <w:r w:rsidR="00873726">
        <w:rPr>
          <w:sz w:val="24"/>
          <w:szCs w:val="24"/>
        </w:rPr>
        <w:t>TTP</w:t>
      </w:r>
      <w:r w:rsidRPr="009A34F0">
        <w:rPr>
          <w:sz w:val="24"/>
          <w:szCs w:val="24"/>
        </w:rPr>
        <w:t xml:space="preserve">.  </w:t>
      </w:r>
    </w:p>
    <w:p w14:paraId="1061AA8B" w14:textId="77777777" w:rsidR="00F76F75" w:rsidRPr="009A34F0" w:rsidRDefault="00F76F75" w:rsidP="00F76F75">
      <w:pPr>
        <w:rPr>
          <w:sz w:val="24"/>
          <w:szCs w:val="24"/>
        </w:rPr>
      </w:pPr>
    </w:p>
    <w:p w14:paraId="0DD84EFF" w14:textId="30D156D6" w:rsidR="00F76F75" w:rsidRDefault="00F76F75" w:rsidP="00D23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annual estimated burden is </w:t>
      </w:r>
      <w:r w:rsidR="00AE56C5">
        <w:rPr>
          <w:bCs/>
          <w:sz w:val="24"/>
          <w:szCs w:val="24"/>
        </w:rPr>
        <w:t>23,448</w:t>
      </w:r>
      <w:r w:rsidR="00A22EC2">
        <w:rPr>
          <w:bCs/>
          <w:sz w:val="24"/>
          <w:szCs w:val="24"/>
        </w:rPr>
        <w:t xml:space="preserve"> hours or equivalent to $</w:t>
      </w:r>
      <w:r w:rsidR="00757157">
        <w:rPr>
          <w:bCs/>
          <w:sz w:val="24"/>
          <w:szCs w:val="24"/>
        </w:rPr>
        <w:t>1,357,406</w:t>
      </w:r>
      <w:r>
        <w:rPr>
          <w:bCs/>
          <w:sz w:val="24"/>
          <w:szCs w:val="24"/>
        </w:rPr>
        <w:t xml:space="preserve">.  </w:t>
      </w:r>
      <w:r w:rsidRPr="009A34F0">
        <w:rPr>
          <w:sz w:val="24"/>
          <w:szCs w:val="24"/>
        </w:rPr>
        <w:t>The cost of reporting and recordkeeping by the public is e</w:t>
      </w:r>
      <w:r>
        <w:rPr>
          <w:sz w:val="24"/>
          <w:szCs w:val="24"/>
        </w:rPr>
        <w:t>stimated to be approximately $</w:t>
      </w:r>
      <w:r w:rsidR="00B704BB">
        <w:rPr>
          <w:sz w:val="24"/>
          <w:szCs w:val="24"/>
        </w:rPr>
        <w:t>57.89</w:t>
      </w:r>
      <w:r w:rsidRPr="009A34F0">
        <w:rPr>
          <w:sz w:val="24"/>
          <w:szCs w:val="24"/>
        </w:rPr>
        <w:t>/hour.  We calculated this cost</w:t>
      </w:r>
      <w:r w:rsidR="00D23A72">
        <w:rPr>
          <w:sz w:val="24"/>
          <w:szCs w:val="24"/>
        </w:rPr>
        <w:t xml:space="preserve"> using</w:t>
      </w:r>
      <w:r w:rsidRPr="009A34F0">
        <w:rPr>
          <w:sz w:val="24"/>
          <w:szCs w:val="24"/>
        </w:rPr>
        <w:t xml:space="preserve"> </w:t>
      </w:r>
      <w:r w:rsidR="00D23A72" w:rsidRPr="00F47727">
        <w:rPr>
          <w:bCs/>
          <w:sz w:val="24"/>
          <w:szCs w:val="24"/>
        </w:rPr>
        <w:t xml:space="preserve">the </w:t>
      </w:r>
      <w:r w:rsidR="00D23A72" w:rsidRPr="00F47727">
        <w:rPr>
          <w:sz w:val="24"/>
          <w:szCs w:val="24"/>
        </w:rPr>
        <w:t xml:space="preserve">Bureau of Labor Statistics, </w:t>
      </w:r>
      <w:r w:rsidR="00D23A72" w:rsidRPr="00F47727">
        <w:rPr>
          <w:bCs/>
          <w:sz w:val="24"/>
          <w:szCs w:val="24"/>
        </w:rPr>
        <w:t>EMPLOYER C</w:t>
      </w:r>
      <w:r w:rsidR="00D23A72">
        <w:rPr>
          <w:bCs/>
          <w:sz w:val="24"/>
          <w:szCs w:val="24"/>
        </w:rPr>
        <w:t>OSTS FOR EMPLOYEE COMPENSATION—</w:t>
      </w:r>
      <w:r w:rsidR="00085DC3">
        <w:rPr>
          <w:bCs/>
          <w:sz w:val="24"/>
          <w:szCs w:val="24"/>
        </w:rPr>
        <w:t xml:space="preserve">September </w:t>
      </w:r>
      <w:r w:rsidR="00D23A72">
        <w:rPr>
          <w:bCs/>
          <w:sz w:val="24"/>
          <w:szCs w:val="24"/>
        </w:rPr>
        <w:t>201</w:t>
      </w:r>
      <w:r w:rsidR="00085DC3">
        <w:rPr>
          <w:bCs/>
          <w:sz w:val="24"/>
          <w:szCs w:val="24"/>
        </w:rPr>
        <w:t>9</w:t>
      </w:r>
      <w:r w:rsidR="00D23A72">
        <w:rPr>
          <w:bCs/>
          <w:sz w:val="24"/>
          <w:szCs w:val="24"/>
        </w:rPr>
        <w:t xml:space="preserve"> (released </w:t>
      </w:r>
      <w:r w:rsidR="00085DC3">
        <w:rPr>
          <w:bCs/>
          <w:sz w:val="24"/>
          <w:szCs w:val="24"/>
        </w:rPr>
        <w:t>December 18, 2019</w:t>
      </w:r>
      <w:r w:rsidR="00D23A72">
        <w:rPr>
          <w:bCs/>
          <w:sz w:val="24"/>
          <w:szCs w:val="24"/>
        </w:rPr>
        <w:t>), USDL 1</w:t>
      </w:r>
      <w:r w:rsidR="00085DC3">
        <w:rPr>
          <w:bCs/>
          <w:sz w:val="24"/>
          <w:szCs w:val="24"/>
        </w:rPr>
        <w:t>9</w:t>
      </w:r>
      <w:r w:rsidR="00D23A72">
        <w:rPr>
          <w:bCs/>
          <w:sz w:val="24"/>
          <w:szCs w:val="24"/>
        </w:rPr>
        <w:t>-</w:t>
      </w:r>
      <w:r w:rsidR="00085DC3">
        <w:rPr>
          <w:bCs/>
          <w:sz w:val="24"/>
          <w:szCs w:val="24"/>
        </w:rPr>
        <w:t>2195</w:t>
      </w:r>
      <w:r w:rsidR="00D23A72" w:rsidRPr="00F47727">
        <w:rPr>
          <w:bCs/>
          <w:sz w:val="24"/>
          <w:szCs w:val="24"/>
        </w:rPr>
        <w:t>, as a guide for our estimates</w:t>
      </w:r>
      <w:r w:rsidR="00D23A72">
        <w:rPr>
          <w:bCs/>
          <w:sz w:val="24"/>
          <w:szCs w:val="24"/>
        </w:rPr>
        <w:t xml:space="preserve">.  </w:t>
      </w:r>
      <w:r w:rsidR="00D23A72" w:rsidRPr="00F47727">
        <w:rPr>
          <w:bCs/>
          <w:sz w:val="24"/>
          <w:szCs w:val="24"/>
        </w:rPr>
        <w:t xml:space="preserve">See </w:t>
      </w:r>
      <w:hyperlink r:id="rId8" w:history="1">
        <w:r w:rsidR="00085DC3" w:rsidRPr="00AC0753">
          <w:rPr>
            <w:rStyle w:val="Hyperlink"/>
            <w:sz w:val="24"/>
            <w:szCs w:val="24"/>
          </w:rPr>
          <w:t>https://www.bls.gov/news.release/pdf/ecec.pdf</w:t>
        </w:r>
      </w:hyperlink>
      <w:r w:rsidR="00085DC3" w:rsidRPr="00AC0753">
        <w:rPr>
          <w:sz w:val="24"/>
          <w:szCs w:val="24"/>
        </w:rPr>
        <w:t>.</w:t>
      </w:r>
      <w:r w:rsidR="00085DC3">
        <w:t xml:space="preserve">  </w:t>
      </w:r>
      <w:r w:rsidR="00D23A72">
        <w:rPr>
          <w:sz w:val="24"/>
          <w:szCs w:val="24"/>
        </w:rPr>
        <w:t>T</w:t>
      </w:r>
      <w:r w:rsidRPr="009A34F0">
        <w:rPr>
          <w:sz w:val="24"/>
          <w:szCs w:val="24"/>
        </w:rPr>
        <w:t xml:space="preserve">he hourly salary </w:t>
      </w:r>
      <w:r w:rsidR="00B704BB">
        <w:rPr>
          <w:sz w:val="24"/>
          <w:szCs w:val="24"/>
        </w:rPr>
        <w:t xml:space="preserve">in </w:t>
      </w:r>
      <w:r w:rsidR="00B704BB" w:rsidRPr="00AC0753">
        <w:rPr>
          <w:sz w:val="24"/>
          <w:szCs w:val="24"/>
        </w:rPr>
        <w:t>Table 2. Employer Costs for Employee Compensation for civilian workers by occupational and industry group</w:t>
      </w:r>
      <w:r w:rsidR="00B704BB">
        <w:t xml:space="preserve"> </w:t>
      </w:r>
      <w:r w:rsidRPr="009A34F0">
        <w:rPr>
          <w:sz w:val="24"/>
          <w:szCs w:val="24"/>
        </w:rPr>
        <w:t xml:space="preserve">for “professional and related” (the category in which </w:t>
      </w:r>
      <w:r w:rsidR="00B81DDB">
        <w:rPr>
          <w:sz w:val="24"/>
          <w:szCs w:val="24"/>
        </w:rPr>
        <w:t xml:space="preserve">transportation planners </w:t>
      </w:r>
      <w:r w:rsidR="00D23A72">
        <w:rPr>
          <w:sz w:val="24"/>
          <w:szCs w:val="24"/>
        </w:rPr>
        <w:t xml:space="preserve">would likely fall) including </w:t>
      </w:r>
      <w:r w:rsidR="00B704BB">
        <w:rPr>
          <w:sz w:val="24"/>
          <w:szCs w:val="24"/>
        </w:rPr>
        <w:t xml:space="preserve">a 1.5 </w:t>
      </w:r>
      <w:r>
        <w:rPr>
          <w:sz w:val="24"/>
          <w:szCs w:val="24"/>
        </w:rPr>
        <w:t>benefits</w:t>
      </w:r>
      <w:r w:rsidR="00B704BB">
        <w:rPr>
          <w:sz w:val="24"/>
          <w:szCs w:val="24"/>
        </w:rPr>
        <w:t xml:space="preserve"> multiplier</w:t>
      </w:r>
      <w:r w:rsidR="00D23A72">
        <w:rPr>
          <w:sz w:val="24"/>
          <w:szCs w:val="24"/>
        </w:rPr>
        <w:t xml:space="preserve"> is $</w:t>
      </w:r>
      <w:r w:rsidR="00B704BB">
        <w:rPr>
          <w:sz w:val="24"/>
          <w:szCs w:val="24"/>
        </w:rPr>
        <w:t>57.89</w:t>
      </w:r>
      <w:r w:rsidR="00D23A72">
        <w:rPr>
          <w:sz w:val="24"/>
          <w:szCs w:val="24"/>
        </w:rPr>
        <w:t xml:space="preserve">.  </w:t>
      </w:r>
    </w:p>
    <w:p w14:paraId="3E5B3E77" w14:textId="77777777" w:rsidR="00F76F75" w:rsidRPr="009A34F0" w:rsidRDefault="00F76F75" w:rsidP="00F76F75">
      <w:pPr>
        <w:jc w:val="center"/>
        <w:rPr>
          <w:sz w:val="24"/>
          <w:szCs w:val="24"/>
        </w:rPr>
      </w:pPr>
    </w:p>
    <w:p w14:paraId="4D782D0D" w14:textId="77777777" w:rsidR="00F76F75" w:rsidRPr="009A34F0" w:rsidRDefault="00F76F75" w:rsidP="00F76F75">
      <w:pPr>
        <w:rPr>
          <w:sz w:val="24"/>
          <w:szCs w:val="24"/>
        </w:rPr>
      </w:pPr>
      <w:r w:rsidRPr="009A34F0">
        <w:rPr>
          <w:sz w:val="24"/>
          <w:szCs w:val="24"/>
        </w:rPr>
        <w:t>The</w:t>
      </w:r>
      <w:r w:rsidR="004A73EF">
        <w:rPr>
          <w:sz w:val="24"/>
          <w:szCs w:val="24"/>
        </w:rPr>
        <w:t xml:space="preserve"> Trib</w:t>
      </w:r>
      <w:r w:rsidRPr="009A34F0">
        <w:rPr>
          <w:sz w:val="24"/>
          <w:szCs w:val="24"/>
        </w:rPr>
        <w:t>al official or his/her representative would be completing a form, submitting information for BIA review, compiling reports from information gathered from outside sources in obtaining the information needed to fulfill this part’s information collection requirements.  Only federally-recognized</w:t>
      </w:r>
      <w:r w:rsidR="004A73EF">
        <w:rPr>
          <w:sz w:val="24"/>
          <w:szCs w:val="24"/>
        </w:rPr>
        <w:t xml:space="preserve"> Trib</w:t>
      </w:r>
      <w:r w:rsidRPr="009A34F0">
        <w:rPr>
          <w:sz w:val="24"/>
          <w:szCs w:val="24"/>
        </w:rPr>
        <w:t>es and their employees would be involved in this activity.</w:t>
      </w:r>
    </w:p>
    <w:p w14:paraId="1665330D" w14:textId="77777777"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306"/>
        <w:gridCol w:w="1601"/>
        <w:gridCol w:w="1591"/>
        <w:gridCol w:w="1414"/>
        <w:gridCol w:w="1616"/>
      </w:tblGrid>
      <w:tr w:rsidR="009A34F0" w14:paraId="3B8AF190" w14:textId="77777777" w:rsidTr="000D3AD0">
        <w:tc>
          <w:tcPr>
            <w:tcW w:w="2048" w:type="dxa"/>
            <w:tcBorders>
              <w:bottom w:val="single" w:sz="4" w:space="0" w:color="auto"/>
            </w:tcBorders>
          </w:tcPr>
          <w:p w14:paraId="43643FB5" w14:textId="77777777" w:rsidR="009A34F0" w:rsidRPr="009A34F0" w:rsidRDefault="009A34F0" w:rsidP="0046451E">
            <w:pPr>
              <w:rPr>
                <w:b/>
              </w:rPr>
            </w:pPr>
            <w:r w:rsidRPr="009A34F0">
              <w:rPr>
                <w:b/>
              </w:rPr>
              <w:t>CFR Section</w:t>
            </w:r>
          </w:p>
        </w:tc>
        <w:tc>
          <w:tcPr>
            <w:tcW w:w="1306" w:type="dxa"/>
            <w:tcBorders>
              <w:bottom w:val="single" w:sz="4" w:space="0" w:color="auto"/>
            </w:tcBorders>
          </w:tcPr>
          <w:p w14:paraId="77ECCF41" w14:textId="77777777" w:rsidR="009A34F0" w:rsidRPr="009A34F0" w:rsidRDefault="009A34F0" w:rsidP="0046451E">
            <w:pPr>
              <w:rPr>
                <w:b/>
              </w:rPr>
            </w:pPr>
            <w:r w:rsidRPr="009A34F0">
              <w:rPr>
                <w:b/>
              </w:rPr>
              <w:t>No of Respondents</w:t>
            </w:r>
          </w:p>
        </w:tc>
        <w:tc>
          <w:tcPr>
            <w:tcW w:w="1601" w:type="dxa"/>
            <w:tcBorders>
              <w:bottom w:val="single" w:sz="4" w:space="0" w:color="auto"/>
            </w:tcBorders>
          </w:tcPr>
          <w:p w14:paraId="52D7DBE9" w14:textId="77777777" w:rsidR="009A34F0" w:rsidRPr="009A34F0" w:rsidRDefault="009A34F0" w:rsidP="0046451E">
            <w:pPr>
              <w:rPr>
                <w:b/>
              </w:rPr>
            </w:pPr>
            <w:r w:rsidRPr="009A34F0">
              <w:rPr>
                <w:b/>
              </w:rPr>
              <w:t>Responses per Respondent</w:t>
            </w:r>
          </w:p>
        </w:tc>
        <w:tc>
          <w:tcPr>
            <w:tcW w:w="1591" w:type="dxa"/>
            <w:tcBorders>
              <w:bottom w:val="single" w:sz="4" w:space="0" w:color="auto"/>
            </w:tcBorders>
          </w:tcPr>
          <w:p w14:paraId="3E1C57AE" w14:textId="77777777" w:rsidR="009A34F0" w:rsidRPr="009A34F0" w:rsidRDefault="009A34F0" w:rsidP="0046451E">
            <w:pPr>
              <w:rPr>
                <w:b/>
              </w:rPr>
            </w:pPr>
            <w:r w:rsidRPr="009A34F0">
              <w:rPr>
                <w:b/>
              </w:rPr>
              <w:t>Hourly Burden per Response</w:t>
            </w:r>
          </w:p>
        </w:tc>
        <w:tc>
          <w:tcPr>
            <w:tcW w:w="1414" w:type="dxa"/>
            <w:tcBorders>
              <w:bottom w:val="single" w:sz="4" w:space="0" w:color="auto"/>
            </w:tcBorders>
          </w:tcPr>
          <w:p w14:paraId="605C867A" w14:textId="77777777" w:rsidR="009A34F0" w:rsidRPr="009A34F0" w:rsidRDefault="009A34F0" w:rsidP="0046451E">
            <w:pPr>
              <w:rPr>
                <w:b/>
              </w:rPr>
            </w:pPr>
            <w:r w:rsidRPr="009A34F0">
              <w:rPr>
                <w:b/>
              </w:rPr>
              <w:t>Total Annual Hourly Burden</w:t>
            </w:r>
          </w:p>
        </w:tc>
        <w:tc>
          <w:tcPr>
            <w:tcW w:w="1616" w:type="dxa"/>
            <w:tcBorders>
              <w:bottom w:val="single" w:sz="4" w:space="0" w:color="auto"/>
            </w:tcBorders>
          </w:tcPr>
          <w:p w14:paraId="589FCF1C" w14:textId="4EB7354B" w:rsidR="009A34F0" w:rsidRDefault="00DB412D" w:rsidP="0009394A">
            <w:pPr>
              <w:rPr>
                <w:b/>
              </w:rPr>
            </w:pPr>
            <w:r>
              <w:rPr>
                <w:b/>
              </w:rPr>
              <w:t>Total</w:t>
            </w:r>
            <w:r w:rsidR="009A34F0" w:rsidRPr="009A34F0">
              <w:rPr>
                <w:b/>
              </w:rPr>
              <w:t xml:space="preserve"> Burden Cost</w:t>
            </w:r>
          </w:p>
          <w:p w14:paraId="05D94861" w14:textId="77777777" w:rsidR="0009394A" w:rsidRDefault="0009394A" w:rsidP="0009394A">
            <w:pPr>
              <w:rPr>
                <w:b/>
              </w:rPr>
            </w:pPr>
            <w:r>
              <w:rPr>
                <w:b/>
              </w:rPr>
              <w:t>(rounded to nearest dollar)</w:t>
            </w:r>
          </w:p>
          <w:p w14:paraId="7BBA7798" w14:textId="77777777" w:rsidR="0009394A" w:rsidRPr="009A34F0" w:rsidRDefault="0009394A" w:rsidP="0009394A">
            <w:pPr>
              <w:rPr>
                <w:b/>
              </w:rPr>
            </w:pPr>
          </w:p>
        </w:tc>
      </w:tr>
      <w:tr w:rsidR="00D23A72" w:rsidRPr="00B407C5" w14:paraId="21794461" w14:textId="77777777" w:rsidTr="00DB6B8C">
        <w:tc>
          <w:tcPr>
            <w:tcW w:w="2048" w:type="dxa"/>
          </w:tcPr>
          <w:p w14:paraId="5C61F827" w14:textId="77777777" w:rsidR="00D23A72" w:rsidRDefault="00D23A72" w:rsidP="00D64230">
            <w:r>
              <w:t>170.240 Provide an annual report with project and activity data</w:t>
            </w:r>
          </w:p>
        </w:tc>
        <w:tc>
          <w:tcPr>
            <w:tcW w:w="1306" w:type="dxa"/>
          </w:tcPr>
          <w:p w14:paraId="3579DE04" w14:textId="77777777" w:rsidR="00D23A72" w:rsidRDefault="00D23A72" w:rsidP="0046451E">
            <w:r>
              <w:t>281</w:t>
            </w:r>
          </w:p>
        </w:tc>
        <w:tc>
          <w:tcPr>
            <w:tcW w:w="1601" w:type="dxa"/>
          </w:tcPr>
          <w:p w14:paraId="1F46FDDF" w14:textId="77777777" w:rsidR="00D23A72" w:rsidRDefault="00D23A72" w:rsidP="0046451E">
            <w:r>
              <w:t>1</w:t>
            </w:r>
          </w:p>
        </w:tc>
        <w:tc>
          <w:tcPr>
            <w:tcW w:w="1591" w:type="dxa"/>
          </w:tcPr>
          <w:p w14:paraId="01861341" w14:textId="77777777" w:rsidR="00D23A72" w:rsidRDefault="00D23A72" w:rsidP="00D64230">
            <w:r>
              <w:t>20 hours</w:t>
            </w:r>
          </w:p>
        </w:tc>
        <w:tc>
          <w:tcPr>
            <w:tcW w:w="1414" w:type="dxa"/>
          </w:tcPr>
          <w:p w14:paraId="0F9D63C8" w14:textId="77777777" w:rsidR="00D23A72" w:rsidRDefault="00D23A72" w:rsidP="0046451E">
            <w:r>
              <w:t>5,620</w:t>
            </w:r>
          </w:p>
        </w:tc>
        <w:tc>
          <w:tcPr>
            <w:tcW w:w="1616" w:type="dxa"/>
          </w:tcPr>
          <w:p w14:paraId="2409A7DB" w14:textId="2EA73C85" w:rsidR="00D23A72" w:rsidRDefault="005224DF" w:rsidP="00DB6B8C">
            <w:pPr>
              <w:jc w:val="center"/>
              <w:rPr>
                <w:color w:val="000000"/>
              </w:rPr>
            </w:pPr>
            <w:r>
              <w:rPr>
                <w:color w:val="000000"/>
              </w:rPr>
              <w:t>$</w:t>
            </w:r>
            <w:r w:rsidR="00757157" w:rsidRPr="00757157">
              <w:rPr>
                <w:color w:val="000000"/>
              </w:rPr>
              <w:t>325</w:t>
            </w:r>
            <w:r w:rsidR="00757157">
              <w:rPr>
                <w:color w:val="000000"/>
              </w:rPr>
              <w:t>,</w:t>
            </w:r>
            <w:r w:rsidR="00757157" w:rsidRPr="00757157">
              <w:rPr>
                <w:color w:val="000000"/>
              </w:rPr>
              <w:t>34</w:t>
            </w:r>
            <w:r w:rsidR="00757157">
              <w:rPr>
                <w:color w:val="000000"/>
              </w:rPr>
              <w:t>2</w:t>
            </w:r>
          </w:p>
        </w:tc>
      </w:tr>
      <w:tr w:rsidR="00AC0753" w:rsidRPr="00B407C5" w14:paraId="40EA9F58" w14:textId="77777777" w:rsidTr="00DB6B8C">
        <w:tc>
          <w:tcPr>
            <w:tcW w:w="2048" w:type="dxa"/>
          </w:tcPr>
          <w:p w14:paraId="444107D4" w14:textId="77777777" w:rsidR="00D23A72" w:rsidRPr="00B407C5" w:rsidRDefault="00B84661" w:rsidP="00D64230">
            <w:r>
              <w:t>170.443</w:t>
            </w:r>
            <w:r w:rsidR="00D23A72">
              <w:t xml:space="preserve"> Provide and Review Information</w:t>
            </w:r>
          </w:p>
        </w:tc>
        <w:tc>
          <w:tcPr>
            <w:tcW w:w="1306" w:type="dxa"/>
          </w:tcPr>
          <w:p w14:paraId="0DD63642" w14:textId="77777777" w:rsidR="00D23A72" w:rsidRPr="00B407C5" w:rsidRDefault="00D23A72" w:rsidP="0046451E">
            <w:r>
              <w:t>141</w:t>
            </w:r>
          </w:p>
        </w:tc>
        <w:tc>
          <w:tcPr>
            <w:tcW w:w="1601" w:type="dxa"/>
          </w:tcPr>
          <w:p w14:paraId="6DEC42DD" w14:textId="77777777" w:rsidR="00D23A72" w:rsidRPr="00B407C5" w:rsidRDefault="00D23A72" w:rsidP="0046451E">
            <w:r>
              <w:t>1</w:t>
            </w:r>
          </w:p>
        </w:tc>
        <w:tc>
          <w:tcPr>
            <w:tcW w:w="1591" w:type="dxa"/>
          </w:tcPr>
          <w:p w14:paraId="1BCDFDAA" w14:textId="77777777" w:rsidR="00D23A72" w:rsidRPr="00B407C5" w:rsidRDefault="00D23A72" w:rsidP="00D64230">
            <w:r>
              <w:t>20 hour</w:t>
            </w:r>
          </w:p>
        </w:tc>
        <w:tc>
          <w:tcPr>
            <w:tcW w:w="1414" w:type="dxa"/>
          </w:tcPr>
          <w:p w14:paraId="48893375" w14:textId="77777777" w:rsidR="00D23A72" w:rsidRPr="00B407C5" w:rsidRDefault="00D23A72" w:rsidP="0046451E">
            <w:r>
              <w:t>2,820</w:t>
            </w:r>
          </w:p>
        </w:tc>
        <w:tc>
          <w:tcPr>
            <w:tcW w:w="1616" w:type="dxa"/>
          </w:tcPr>
          <w:p w14:paraId="5287DB08" w14:textId="60C988D7" w:rsidR="00D23A72" w:rsidRDefault="005224DF" w:rsidP="00757157">
            <w:pPr>
              <w:jc w:val="center"/>
              <w:rPr>
                <w:color w:val="000000"/>
              </w:rPr>
            </w:pPr>
            <w:r>
              <w:rPr>
                <w:color w:val="000000"/>
              </w:rPr>
              <w:t>$</w:t>
            </w:r>
            <w:r w:rsidR="00757157" w:rsidRPr="00757157">
              <w:rPr>
                <w:color w:val="000000"/>
              </w:rPr>
              <w:t>163</w:t>
            </w:r>
            <w:r w:rsidR="00757157">
              <w:rPr>
                <w:color w:val="000000"/>
              </w:rPr>
              <w:t>,</w:t>
            </w:r>
            <w:r w:rsidR="00757157" w:rsidRPr="00757157">
              <w:rPr>
                <w:color w:val="000000"/>
              </w:rPr>
              <w:t>2</w:t>
            </w:r>
            <w:r w:rsidR="00757157">
              <w:rPr>
                <w:color w:val="000000"/>
              </w:rPr>
              <w:t>50</w:t>
            </w:r>
          </w:p>
        </w:tc>
      </w:tr>
      <w:tr w:rsidR="00AC0753" w:rsidRPr="00B407C5" w14:paraId="1CAF6863" w14:textId="77777777" w:rsidTr="00DB6B8C">
        <w:tc>
          <w:tcPr>
            <w:tcW w:w="2048" w:type="dxa"/>
          </w:tcPr>
          <w:p w14:paraId="03EFB9DB" w14:textId="77777777" w:rsidR="00D23A72" w:rsidRPr="00B407C5" w:rsidRDefault="00D23A72" w:rsidP="001A49BF">
            <w:r>
              <w:t>170.411 Long Range Transportation Plan Contents</w:t>
            </w:r>
          </w:p>
        </w:tc>
        <w:tc>
          <w:tcPr>
            <w:tcW w:w="1306" w:type="dxa"/>
          </w:tcPr>
          <w:p w14:paraId="1EB9B398" w14:textId="77777777" w:rsidR="00D23A72" w:rsidRPr="00B407C5" w:rsidRDefault="00D23A72" w:rsidP="0046451E">
            <w:r>
              <w:t>113</w:t>
            </w:r>
          </w:p>
        </w:tc>
        <w:tc>
          <w:tcPr>
            <w:tcW w:w="1601" w:type="dxa"/>
          </w:tcPr>
          <w:p w14:paraId="552B8810" w14:textId="77777777" w:rsidR="00D23A72" w:rsidRPr="00B407C5" w:rsidRDefault="00D23A72" w:rsidP="0046451E">
            <w:r>
              <w:t>1</w:t>
            </w:r>
          </w:p>
        </w:tc>
        <w:tc>
          <w:tcPr>
            <w:tcW w:w="1591" w:type="dxa"/>
          </w:tcPr>
          <w:p w14:paraId="020FB059" w14:textId="77777777" w:rsidR="00D23A72" w:rsidRPr="00B407C5" w:rsidRDefault="00D23A72" w:rsidP="0046451E">
            <w:r>
              <w:t>40 hours</w:t>
            </w:r>
          </w:p>
        </w:tc>
        <w:tc>
          <w:tcPr>
            <w:tcW w:w="1414" w:type="dxa"/>
          </w:tcPr>
          <w:p w14:paraId="2EECF457" w14:textId="77777777" w:rsidR="00D23A72" w:rsidRPr="00B407C5" w:rsidRDefault="00D23A72" w:rsidP="0046451E">
            <w:r>
              <w:t>4,520</w:t>
            </w:r>
          </w:p>
        </w:tc>
        <w:tc>
          <w:tcPr>
            <w:tcW w:w="1616" w:type="dxa"/>
          </w:tcPr>
          <w:p w14:paraId="53667550" w14:textId="2E9387BC" w:rsidR="00D23A72" w:rsidRDefault="005224DF" w:rsidP="00757157">
            <w:pPr>
              <w:jc w:val="center"/>
              <w:rPr>
                <w:color w:val="000000"/>
              </w:rPr>
            </w:pPr>
            <w:r>
              <w:rPr>
                <w:color w:val="000000"/>
              </w:rPr>
              <w:t>$</w:t>
            </w:r>
            <w:r w:rsidR="00757157" w:rsidRPr="00757157">
              <w:rPr>
                <w:color w:val="000000"/>
              </w:rPr>
              <w:t>261</w:t>
            </w:r>
            <w:r w:rsidR="00757157">
              <w:rPr>
                <w:color w:val="000000"/>
              </w:rPr>
              <w:t>,</w:t>
            </w:r>
            <w:r w:rsidR="00757157" w:rsidRPr="00757157">
              <w:rPr>
                <w:color w:val="000000"/>
              </w:rPr>
              <w:t>66</w:t>
            </w:r>
            <w:r w:rsidR="00757157">
              <w:rPr>
                <w:color w:val="000000"/>
              </w:rPr>
              <w:t>3</w:t>
            </w:r>
          </w:p>
        </w:tc>
      </w:tr>
      <w:tr w:rsidR="00AC0753" w:rsidRPr="00B407C5" w14:paraId="32B1B154" w14:textId="77777777" w:rsidTr="00DB6B8C">
        <w:tc>
          <w:tcPr>
            <w:tcW w:w="2048" w:type="dxa"/>
          </w:tcPr>
          <w:p w14:paraId="10446E24" w14:textId="77777777" w:rsidR="00D23A72" w:rsidRPr="00B407C5" w:rsidRDefault="00D23A72" w:rsidP="001A49BF">
            <w:r>
              <w:t>170.421 Reporting Requirement for Tribal Transportation Improvement Program (TTIP)</w:t>
            </w:r>
          </w:p>
        </w:tc>
        <w:tc>
          <w:tcPr>
            <w:tcW w:w="1306" w:type="dxa"/>
          </w:tcPr>
          <w:p w14:paraId="2C421C31" w14:textId="77777777" w:rsidR="00D23A72" w:rsidRPr="00B407C5" w:rsidRDefault="00D23A72" w:rsidP="0046451E">
            <w:r>
              <w:t>281</w:t>
            </w:r>
          </w:p>
        </w:tc>
        <w:tc>
          <w:tcPr>
            <w:tcW w:w="1601" w:type="dxa"/>
          </w:tcPr>
          <w:p w14:paraId="7F4057B8" w14:textId="77777777" w:rsidR="00D23A72" w:rsidRPr="00B407C5" w:rsidRDefault="00D23A72" w:rsidP="0046451E">
            <w:r>
              <w:t>1</w:t>
            </w:r>
          </w:p>
        </w:tc>
        <w:tc>
          <w:tcPr>
            <w:tcW w:w="1591" w:type="dxa"/>
          </w:tcPr>
          <w:p w14:paraId="62721877" w14:textId="77777777" w:rsidR="00D23A72" w:rsidRPr="00B407C5" w:rsidRDefault="00D23A72" w:rsidP="0046451E">
            <w:r>
              <w:t>10 hours</w:t>
            </w:r>
          </w:p>
        </w:tc>
        <w:tc>
          <w:tcPr>
            <w:tcW w:w="1414" w:type="dxa"/>
          </w:tcPr>
          <w:p w14:paraId="4E21795A" w14:textId="77777777" w:rsidR="00D23A72" w:rsidRPr="00B407C5" w:rsidRDefault="00D23A72" w:rsidP="0046451E">
            <w:r>
              <w:t>2,810</w:t>
            </w:r>
          </w:p>
        </w:tc>
        <w:tc>
          <w:tcPr>
            <w:tcW w:w="1616" w:type="dxa"/>
          </w:tcPr>
          <w:p w14:paraId="75394FA7" w14:textId="6CCAF2CA" w:rsidR="00D23A72" w:rsidRDefault="005224DF" w:rsidP="00757157">
            <w:pPr>
              <w:jc w:val="center"/>
              <w:rPr>
                <w:color w:val="000000"/>
              </w:rPr>
            </w:pPr>
            <w:r>
              <w:rPr>
                <w:color w:val="000000"/>
              </w:rPr>
              <w:t>$</w:t>
            </w:r>
            <w:r w:rsidR="00757157" w:rsidRPr="00757157">
              <w:rPr>
                <w:color w:val="000000"/>
              </w:rPr>
              <w:t>162</w:t>
            </w:r>
            <w:r w:rsidR="00757157">
              <w:rPr>
                <w:color w:val="000000"/>
              </w:rPr>
              <w:t>,</w:t>
            </w:r>
            <w:r w:rsidR="00757157" w:rsidRPr="00757157">
              <w:rPr>
                <w:color w:val="000000"/>
              </w:rPr>
              <w:t>67</w:t>
            </w:r>
            <w:r w:rsidR="00757157">
              <w:rPr>
                <w:color w:val="000000"/>
              </w:rPr>
              <w:t>1</w:t>
            </w:r>
          </w:p>
        </w:tc>
      </w:tr>
      <w:tr w:rsidR="00AC0753" w:rsidRPr="00B407C5" w14:paraId="0F79FC9F" w14:textId="77777777" w:rsidTr="00DB6B8C">
        <w:tc>
          <w:tcPr>
            <w:tcW w:w="2048" w:type="dxa"/>
          </w:tcPr>
          <w:p w14:paraId="65ECC080" w14:textId="77777777" w:rsidR="00D23A72" w:rsidRPr="00B407C5" w:rsidRDefault="00D23A72" w:rsidP="0046451E">
            <w:r>
              <w:t>170.420 Reporting Requirement for Tribal Priority List</w:t>
            </w:r>
          </w:p>
        </w:tc>
        <w:tc>
          <w:tcPr>
            <w:tcW w:w="1306" w:type="dxa"/>
          </w:tcPr>
          <w:p w14:paraId="46A1D84C" w14:textId="77777777" w:rsidR="00D23A72" w:rsidRPr="00B407C5" w:rsidRDefault="00D23A72" w:rsidP="0046451E">
            <w:r>
              <w:t>281</w:t>
            </w:r>
          </w:p>
        </w:tc>
        <w:tc>
          <w:tcPr>
            <w:tcW w:w="1601" w:type="dxa"/>
          </w:tcPr>
          <w:p w14:paraId="49F3C7BB" w14:textId="77777777" w:rsidR="00D23A72" w:rsidRPr="00B407C5" w:rsidRDefault="00D23A72" w:rsidP="0046451E">
            <w:r>
              <w:t>1</w:t>
            </w:r>
          </w:p>
        </w:tc>
        <w:tc>
          <w:tcPr>
            <w:tcW w:w="1591" w:type="dxa"/>
          </w:tcPr>
          <w:p w14:paraId="28422EE5" w14:textId="77777777" w:rsidR="00D23A72" w:rsidRPr="00B407C5" w:rsidRDefault="00D23A72" w:rsidP="0046451E">
            <w:r>
              <w:t>10 hours</w:t>
            </w:r>
          </w:p>
        </w:tc>
        <w:tc>
          <w:tcPr>
            <w:tcW w:w="1414" w:type="dxa"/>
          </w:tcPr>
          <w:p w14:paraId="0E0DD87E" w14:textId="77777777" w:rsidR="00D23A72" w:rsidRPr="00B407C5" w:rsidRDefault="00D23A72" w:rsidP="0046451E">
            <w:r>
              <w:t>2,810</w:t>
            </w:r>
          </w:p>
        </w:tc>
        <w:tc>
          <w:tcPr>
            <w:tcW w:w="1616" w:type="dxa"/>
          </w:tcPr>
          <w:p w14:paraId="44371052" w14:textId="40D111C4" w:rsidR="00D23A72" w:rsidRDefault="005224DF" w:rsidP="00757157">
            <w:pPr>
              <w:jc w:val="center"/>
              <w:rPr>
                <w:color w:val="000000"/>
              </w:rPr>
            </w:pPr>
            <w:r>
              <w:rPr>
                <w:color w:val="000000"/>
              </w:rPr>
              <w:t>$</w:t>
            </w:r>
            <w:r w:rsidR="00757157">
              <w:rPr>
                <w:color w:val="000000"/>
              </w:rPr>
              <w:t>162,671</w:t>
            </w:r>
          </w:p>
        </w:tc>
      </w:tr>
      <w:tr w:rsidR="00AC0753" w:rsidRPr="00B407C5" w14:paraId="09F8E764" w14:textId="77777777" w:rsidTr="00DB6B8C">
        <w:tc>
          <w:tcPr>
            <w:tcW w:w="2048" w:type="dxa"/>
          </w:tcPr>
          <w:p w14:paraId="55DD29A4" w14:textId="77777777" w:rsidR="00D23A72" w:rsidRPr="00B407C5" w:rsidRDefault="00D23A72" w:rsidP="001A49BF">
            <w:r>
              <w:t>170.412 Submission of Long Range Transportation Plan to BIA and Public, and Further Development</w:t>
            </w:r>
          </w:p>
        </w:tc>
        <w:tc>
          <w:tcPr>
            <w:tcW w:w="1306" w:type="dxa"/>
          </w:tcPr>
          <w:p w14:paraId="2093562A" w14:textId="77777777" w:rsidR="00D23A72" w:rsidRPr="00B407C5" w:rsidRDefault="00D23A72" w:rsidP="0046451E">
            <w:r>
              <w:t>113</w:t>
            </w:r>
          </w:p>
        </w:tc>
        <w:tc>
          <w:tcPr>
            <w:tcW w:w="1601" w:type="dxa"/>
          </w:tcPr>
          <w:p w14:paraId="4F5D5E13" w14:textId="77777777" w:rsidR="00D23A72" w:rsidRPr="00B407C5" w:rsidRDefault="00D23A72" w:rsidP="0046451E">
            <w:r>
              <w:t>1</w:t>
            </w:r>
          </w:p>
        </w:tc>
        <w:tc>
          <w:tcPr>
            <w:tcW w:w="1591" w:type="dxa"/>
          </w:tcPr>
          <w:p w14:paraId="4BEEF06B" w14:textId="77777777" w:rsidR="00D23A72" w:rsidRPr="00B407C5" w:rsidRDefault="00D23A72" w:rsidP="0046451E">
            <w:r>
              <w:t>40 hours</w:t>
            </w:r>
          </w:p>
        </w:tc>
        <w:tc>
          <w:tcPr>
            <w:tcW w:w="1414" w:type="dxa"/>
          </w:tcPr>
          <w:p w14:paraId="288A19D4" w14:textId="77777777" w:rsidR="00D23A72" w:rsidRPr="00B407C5" w:rsidRDefault="00D23A72" w:rsidP="0046451E">
            <w:r>
              <w:t>4,520</w:t>
            </w:r>
          </w:p>
        </w:tc>
        <w:tc>
          <w:tcPr>
            <w:tcW w:w="1616" w:type="dxa"/>
          </w:tcPr>
          <w:p w14:paraId="550DB581" w14:textId="2FA352B6" w:rsidR="00D23A72" w:rsidRDefault="005224DF" w:rsidP="00757157">
            <w:pPr>
              <w:jc w:val="center"/>
              <w:rPr>
                <w:color w:val="000000"/>
              </w:rPr>
            </w:pPr>
            <w:r>
              <w:rPr>
                <w:color w:val="000000"/>
              </w:rPr>
              <w:t>$</w:t>
            </w:r>
            <w:r w:rsidR="00757157">
              <w:rPr>
                <w:color w:val="000000"/>
              </w:rPr>
              <w:t>261,663</w:t>
            </w:r>
          </w:p>
        </w:tc>
      </w:tr>
      <w:tr w:rsidR="00AC0753" w:rsidRPr="00B407C5" w14:paraId="22D4B8E9" w14:textId="77777777" w:rsidTr="00DB6B8C">
        <w:tc>
          <w:tcPr>
            <w:tcW w:w="2048" w:type="dxa"/>
          </w:tcPr>
          <w:p w14:paraId="2CD18C6B" w14:textId="77777777" w:rsidR="00D23A72" w:rsidRPr="00B407C5" w:rsidRDefault="00D23A72" w:rsidP="00D64230">
            <w:r>
              <w:t>170.437-438  Notice Requirements for Public Hearing</w:t>
            </w:r>
          </w:p>
        </w:tc>
        <w:tc>
          <w:tcPr>
            <w:tcW w:w="1306" w:type="dxa"/>
          </w:tcPr>
          <w:p w14:paraId="7E04BB56" w14:textId="77777777" w:rsidR="00D23A72" w:rsidRPr="00B407C5" w:rsidRDefault="00D23A72" w:rsidP="0046451E">
            <w:r>
              <w:t>205</w:t>
            </w:r>
          </w:p>
        </w:tc>
        <w:tc>
          <w:tcPr>
            <w:tcW w:w="1601" w:type="dxa"/>
          </w:tcPr>
          <w:p w14:paraId="1693C39D" w14:textId="77777777" w:rsidR="00D23A72" w:rsidRPr="00B407C5" w:rsidRDefault="00D23A72" w:rsidP="0046451E">
            <w:r>
              <w:t>1</w:t>
            </w:r>
          </w:p>
        </w:tc>
        <w:tc>
          <w:tcPr>
            <w:tcW w:w="1591" w:type="dxa"/>
          </w:tcPr>
          <w:p w14:paraId="3DC40AC5" w14:textId="77777777" w:rsidR="00D23A72" w:rsidRPr="00B407C5" w:rsidRDefault="00D23A72" w:rsidP="0046451E">
            <w:r>
              <w:t>½ hour</w:t>
            </w:r>
          </w:p>
        </w:tc>
        <w:tc>
          <w:tcPr>
            <w:tcW w:w="1414" w:type="dxa"/>
          </w:tcPr>
          <w:p w14:paraId="24DDEBE7" w14:textId="77777777" w:rsidR="00D23A72" w:rsidRPr="00B407C5" w:rsidRDefault="00D23A72" w:rsidP="0046451E">
            <w:r>
              <w:t>103</w:t>
            </w:r>
          </w:p>
        </w:tc>
        <w:tc>
          <w:tcPr>
            <w:tcW w:w="1616" w:type="dxa"/>
          </w:tcPr>
          <w:p w14:paraId="70AFC991" w14:textId="27A8E709" w:rsidR="00D23A72" w:rsidRDefault="005224DF" w:rsidP="00757157">
            <w:pPr>
              <w:jc w:val="center"/>
              <w:rPr>
                <w:color w:val="000000"/>
              </w:rPr>
            </w:pPr>
            <w:r>
              <w:rPr>
                <w:color w:val="000000"/>
              </w:rPr>
              <w:t>$</w:t>
            </w:r>
            <w:r w:rsidR="00757157">
              <w:rPr>
                <w:color w:val="000000"/>
              </w:rPr>
              <w:t>5,963</w:t>
            </w:r>
          </w:p>
        </w:tc>
      </w:tr>
      <w:tr w:rsidR="00AC0753" w:rsidRPr="00B407C5" w14:paraId="07920854" w14:textId="77777777" w:rsidTr="00DB6B8C">
        <w:tc>
          <w:tcPr>
            <w:tcW w:w="2048" w:type="dxa"/>
          </w:tcPr>
          <w:p w14:paraId="55C69896" w14:textId="77777777" w:rsidR="00D23A72" w:rsidRPr="00B407C5" w:rsidRDefault="00D23A72" w:rsidP="0046451E">
            <w:r>
              <w:t>170.439 Record keeping Requirement – Record of Public Hearing</w:t>
            </w:r>
          </w:p>
        </w:tc>
        <w:tc>
          <w:tcPr>
            <w:tcW w:w="1306" w:type="dxa"/>
          </w:tcPr>
          <w:p w14:paraId="3ED89972" w14:textId="77777777" w:rsidR="00D23A72" w:rsidRPr="00B407C5" w:rsidRDefault="00D23A72" w:rsidP="0046451E">
            <w:r>
              <w:t>205</w:t>
            </w:r>
          </w:p>
        </w:tc>
        <w:tc>
          <w:tcPr>
            <w:tcW w:w="1601" w:type="dxa"/>
          </w:tcPr>
          <w:p w14:paraId="168373EC" w14:textId="77777777" w:rsidR="00D23A72" w:rsidRPr="00B407C5" w:rsidRDefault="00D23A72" w:rsidP="0046451E">
            <w:r>
              <w:t>1</w:t>
            </w:r>
          </w:p>
        </w:tc>
        <w:tc>
          <w:tcPr>
            <w:tcW w:w="1591" w:type="dxa"/>
          </w:tcPr>
          <w:p w14:paraId="4C02DF7A" w14:textId="77777777" w:rsidR="00D23A72" w:rsidRPr="00B407C5" w:rsidRDefault="00D23A72" w:rsidP="0046451E">
            <w:r>
              <w:t>1 hour</w:t>
            </w:r>
          </w:p>
        </w:tc>
        <w:tc>
          <w:tcPr>
            <w:tcW w:w="1414" w:type="dxa"/>
          </w:tcPr>
          <w:p w14:paraId="254434BF" w14:textId="77777777" w:rsidR="00D23A72" w:rsidRPr="00B407C5" w:rsidRDefault="00D23A72" w:rsidP="0046451E">
            <w:r>
              <w:t>205</w:t>
            </w:r>
          </w:p>
        </w:tc>
        <w:tc>
          <w:tcPr>
            <w:tcW w:w="1616" w:type="dxa"/>
          </w:tcPr>
          <w:p w14:paraId="44A84CAB" w14:textId="15B412B9" w:rsidR="00D23A72" w:rsidRDefault="005224DF" w:rsidP="00757157">
            <w:pPr>
              <w:jc w:val="center"/>
              <w:rPr>
                <w:color w:val="000000"/>
              </w:rPr>
            </w:pPr>
            <w:r>
              <w:rPr>
                <w:color w:val="000000"/>
              </w:rPr>
              <w:t>$</w:t>
            </w:r>
            <w:r w:rsidR="00757157">
              <w:rPr>
                <w:color w:val="000000"/>
              </w:rPr>
              <w:t>11,867</w:t>
            </w:r>
          </w:p>
        </w:tc>
      </w:tr>
      <w:tr w:rsidR="00AC0753" w:rsidRPr="00B407C5" w14:paraId="182694FD" w14:textId="77777777" w:rsidTr="00DB6B8C">
        <w:tc>
          <w:tcPr>
            <w:tcW w:w="2048" w:type="dxa"/>
          </w:tcPr>
          <w:p w14:paraId="08562794" w14:textId="77777777" w:rsidR="00D23A72" w:rsidRPr="00B407C5" w:rsidRDefault="00D23A72" w:rsidP="0046451E">
            <w:r>
              <w:t>170.456 Provide Information for Exception</w:t>
            </w:r>
          </w:p>
        </w:tc>
        <w:tc>
          <w:tcPr>
            <w:tcW w:w="1306" w:type="dxa"/>
          </w:tcPr>
          <w:p w14:paraId="6C3920EB" w14:textId="77777777" w:rsidR="00D23A72" w:rsidRDefault="00D23A72" w:rsidP="0046451E">
            <w:r>
              <w:t>10</w:t>
            </w:r>
          </w:p>
        </w:tc>
        <w:tc>
          <w:tcPr>
            <w:tcW w:w="1601" w:type="dxa"/>
          </w:tcPr>
          <w:p w14:paraId="66B0D480" w14:textId="77777777" w:rsidR="00D23A72" w:rsidRPr="00B407C5" w:rsidRDefault="00D23A72" w:rsidP="0046451E">
            <w:r>
              <w:t>1</w:t>
            </w:r>
          </w:p>
        </w:tc>
        <w:tc>
          <w:tcPr>
            <w:tcW w:w="1591" w:type="dxa"/>
            <w:tcBorders>
              <w:bottom w:val="single" w:sz="4" w:space="0" w:color="auto"/>
            </w:tcBorders>
          </w:tcPr>
          <w:p w14:paraId="28D51987" w14:textId="77777777" w:rsidR="00D23A72" w:rsidRPr="00B407C5" w:rsidRDefault="00D23A72" w:rsidP="0046451E">
            <w:r>
              <w:t>4 hours</w:t>
            </w:r>
          </w:p>
        </w:tc>
        <w:tc>
          <w:tcPr>
            <w:tcW w:w="1414" w:type="dxa"/>
          </w:tcPr>
          <w:p w14:paraId="12412085" w14:textId="77777777" w:rsidR="00D23A72" w:rsidRPr="00B407C5" w:rsidRDefault="00D23A72" w:rsidP="0046451E">
            <w:r>
              <w:t>40</w:t>
            </w:r>
          </w:p>
        </w:tc>
        <w:tc>
          <w:tcPr>
            <w:tcW w:w="1616" w:type="dxa"/>
          </w:tcPr>
          <w:p w14:paraId="678944F0" w14:textId="383EFD81" w:rsidR="00D23A72" w:rsidRDefault="005224DF" w:rsidP="00757157">
            <w:pPr>
              <w:jc w:val="center"/>
              <w:rPr>
                <w:color w:val="000000"/>
              </w:rPr>
            </w:pPr>
            <w:r>
              <w:rPr>
                <w:color w:val="000000"/>
              </w:rPr>
              <w:t>$</w:t>
            </w:r>
            <w:r w:rsidR="00757157">
              <w:rPr>
                <w:color w:val="000000"/>
              </w:rPr>
              <w:t>2,316</w:t>
            </w:r>
          </w:p>
        </w:tc>
      </w:tr>
      <w:tr w:rsidR="00AC0753" w:rsidRPr="00B407C5" w14:paraId="15E74603" w14:textId="77777777" w:rsidTr="00DB6B8C">
        <w:tc>
          <w:tcPr>
            <w:tcW w:w="2048" w:type="dxa"/>
          </w:tcPr>
          <w:p w14:paraId="1B2E73AC" w14:textId="77777777" w:rsidR="00D23A72" w:rsidRPr="00B407C5" w:rsidRDefault="00D23A72" w:rsidP="0046451E">
            <w:r>
              <w:t>TOTALS</w:t>
            </w:r>
          </w:p>
        </w:tc>
        <w:tc>
          <w:tcPr>
            <w:tcW w:w="1306" w:type="dxa"/>
          </w:tcPr>
          <w:p w14:paraId="60184514" w14:textId="77777777" w:rsidR="00DB6B8C" w:rsidRDefault="00DB6B8C" w:rsidP="0046451E">
            <w:r>
              <w:t>1,630</w:t>
            </w:r>
          </w:p>
          <w:p w14:paraId="1E1F07EE" w14:textId="77777777" w:rsidR="00D23A72" w:rsidRDefault="00D23A72" w:rsidP="0046451E">
            <w:r>
              <w:t>responses annually</w:t>
            </w:r>
          </w:p>
        </w:tc>
        <w:tc>
          <w:tcPr>
            <w:tcW w:w="1601" w:type="dxa"/>
            <w:shd w:val="clear" w:color="auto" w:fill="D9D9D9"/>
          </w:tcPr>
          <w:p w14:paraId="277FEC03" w14:textId="77777777" w:rsidR="00D23A72" w:rsidRPr="00B407C5" w:rsidRDefault="00D23A72" w:rsidP="0046451E"/>
        </w:tc>
        <w:tc>
          <w:tcPr>
            <w:tcW w:w="1591" w:type="dxa"/>
            <w:shd w:val="clear" w:color="auto" w:fill="D9D9D9"/>
          </w:tcPr>
          <w:p w14:paraId="718DEB8E" w14:textId="77777777" w:rsidR="00D23A72" w:rsidRPr="00B407C5" w:rsidRDefault="00D23A72" w:rsidP="0046451E"/>
        </w:tc>
        <w:tc>
          <w:tcPr>
            <w:tcW w:w="1414" w:type="dxa"/>
          </w:tcPr>
          <w:p w14:paraId="6C9296D3" w14:textId="77777777" w:rsidR="00DB6B8C" w:rsidRDefault="00DB6B8C" w:rsidP="006C220A">
            <w:r>
              <w:t>23,448</w:t>
            </w:r>
          </w:p>
          <w:p w14:paraId="4EB120C0" w14:textId="77777777" w:rsidR="00D23A72" w:rsidRPr="00B407C5" w:rsidRDefault="00D23A72" w:rsidP="006C220A">
            <w:r>
              <w:t>total burden hours annually</w:t>
            </w:r>
          </w:p>
        </w:tc>
        <w:tc>
          <w:tcPr>
            <w:tcW w:w="1616" w:type="dxa"/>
          </w:tcPr>
          <w:p w14:paraId="7C424894" w14:textId="638FFD7A" w:rsidR="00D23A72" w:rsidRDefault="005224DF" w:rsidP="00DB6B8C">
            <w:pPr>
              <w:jc w:val="center"/>
              <w:rPr>
                <w:color w:val="000000"/>
              </w:rPr>
            </w:pPr>
            <w:r>
              <w:rPr>
                <w:color w:val="000000"/>
              </w:rPr>
              <w:t>$</w:t>
            </w:r>
            <w:r w:rsidR="00757157" w:rsidRPr="00757157">
              <w:rPr>
                <w:color w:val="000000"/>
              </w:rPr>
              <w:t>1</w:t>
            </w:r>
            <w:r w:rsidR="00757157">
              <w:rPr>
                <w:color w:val="000000"/>
              </w:rPr>
              <w:t>,</w:t>
            </w:r>
            <w:r w:rsidR="00757157" w:rsidRPr="00757157">
              <w:rPr>
                <w:color w:val="000000"/>
              </w:rPr>
              <w:t>357</w:t>
            </w:r>
            <w:r w:rsidR="00757157">
              <w:rPr>
                <w:color w:val="000000"/>
              </w:rPr>
              <w:t>,</w:t>
            </w:r>
            <w:r w:rsidR="00757157" w:rsidRPr="00757157">
              <w:rPr>
                <w:color w:val="000000"/>
              </w:rPr>
              <w:t>406</w:t>
            </w:r>
          </w:p>
        </w:tc>
      </w:tr>
    </w:tbl>
    <w:p w14:paraId="64759876"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E66C9A0" w14:textId="77777777" w:rsidR="00D64230" w:rsidRDefault="00D6423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851C20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recordkeepers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14:paraId="138DB4FB"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E64AF4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A4926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F906270"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11D3C4E" w14:textId="72F5EF6E" w:rsidR="009A34F0" w:rsidRPr="009A34F0" w:rsidRDefault="009A34F0" w:rsidP="009A34F0">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t>
      </w:r>
      <w:r w:rsidR="00500983">
        <w:rPr>
          <w:sz w:val="24"/>
          <w:szCs w:val="24"/>
        </w:rPr>
        <w:t>does</w:t>
      </w:r>
      <w:r w:rsidRPr="009A34F0">
        <w:rPr>
          <w:sz w:val="24"/>
          <w:szCs w:val="24"/>
        </w:rPr>
        <w:t xml:space="preserve"> not require the purchase of any capital equipment nor create any start-up costs because no equipment is involved in the implementation of these provisions of the </w:t>
      </w:r>
      <w:r w:rsidR="00950D85">
        <w:rPr>
          <w:sz w:val="24"/>
          <w:szCs w:val="24"/>
        </w:rPr>
        <w:t>T</w:t>
      </w:r>
      <w:r w:rsidR="00E85B0A">
        <w:rPr>
          <w:sz w:val="24"/>
          <w:szCs w:val="24"/>
        </w:rPr>
        <w:t>T</w:t>
      </w:r>
      <w:r w:rsidR="00950D85">
        <w:rPr>
          <w:sz w:val="24"/>
          <w:szCs w:val="24"/>
        </w:rPr>
        <w:t>P</w:t>
      </w:r>
      <w:r w:rsidRPr="009A34F0">
        <w:rPr>
          <w:sz w:val="24"/>
          <w:szCs w:val="24"/>
        </w:rPr>
        <w:t xml:space="preserve">.  The </w:t>
      </w:r>
      <w:r w:rsidR="00950D85">
        <w:rPr>
          <w:sz w:val="24"/>
          <w:szCs w:val="24"/>
        </w:rPr>
        <w:t>T</w:t>
      </w:r>
      <w:r w:rsidR="00E85B0A">
        <w:rPr>
          <w:sz w:val="24"/>
          <w:szCs w:val="24"/>
        </w:rPr>
        <w:t>T</w:t>
      </w:r>
      <w:r w:rsidR="00950D85">
        <w:rPr>
          <w:sz w:val="24"/>
          <w:szCs w:val="24"/>
        </w:rPr>
        <w:t>P</w:t>
      </w:r>
      <w:r w:rsidRPr="009A34F0">
        <w:rPr>
          <w:sz w:val="24"/>
          <w:szCs w:val="24"/>
        </w:rPr>
        <w:t xml:space="preserve">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14:paraId="799F3919" w14:textId="77777777" w:rsidR="009A34F0" w:rsidRPr="009A34F0" w:rsidRDefault="009A34F0" w:rsidP="009A34F0">
      <w:pPr>
        <w:rPr>
          <w:sz w:val="24"/>
          <w:szCs w:val="24"/>
        </w:rPr>
      </w:pPr>
    </w:p>
    <w:p w14:paraId="6C5E8032" w14:textId="2B50BF5E" w:rsidR="009A34F0" w:rsidRPr="009A34F0" w:rsidRDefault="009A34F0" w:rsidP="009A34F0">
      <w:pPr>
        <w:rPr>
          <w:sz w:val="24"/>
          <w:szCs w:val="24"/>
        </w:rPr>
      </w:pPr>
      <w:r w:rsidRPr="009A34F0">
        <w:rPr>
          <w:sz w:val="24"/>
          <w:szCs w:val="24"/>
        </w:rPr>
        <w:t xml:space="preserve">The information collection </w:t>
      </w:r>
      <w:r w:rsidR="00500983">
        <w:rPr>
          <w:sz w:val="24"/>
          <w:szCs w:val="24"/>
        </w:rPr>
        <w:t>does</w:t>
      </w:r>
      <w:r w:rsidRPr="009A34F0">
        <w:rPr>
          <w:sz w:val="24"/>
          <w:szCs w:val="24"/>
        </w:rPr>
        <w:t xml:space="preserve"> not create new or additional costs associated with generating, maintaining, disclosing, or providing information that is not already identified in question 12 of this supporting statement.</w:t>
      </w:r>
    </w:p>
    <w:p w14:paraId="0068F1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10439F" w14:textId="77777777"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14:paraId="6BFF0CEB"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29F79A6" w14:textId="6BB77083" w:rsidR="009A34F0" w:rsidRPr="009A34F0" w:rsidRDefault="009A34F0" w:rsidP="009A34F0">
      <w:pPr>
        <w:rPr>
          <w:sz w:val="24"/>
          <w:szCs w:val="24"/>
        </w:rPr>
      </w:pPr>
      <w:r w:rsidRPr="009A34F0">
        <w:rPr>
          <w:sz w:val="24"/>
          <w:szCs w:val="24"/>
        </w:rPr>
        <w:t xml:space="preserve">The annualized cost to the Federal </w:t>
      </w:r>
      <w:r w:rsidR="00500983">
        <w:rPr>
          <w:sz w:val="24"/>
          <w:szCs w:val="24"/>
        </w:rPr>
        <w:t>g</w:t>
      </w:r>
      <w:r w:rsidRPr="009A34F0">
        <w:rPr>
          <w:sz w:val="24"/>
          <w:szCs w:val="24"/>
        </w:rPr>
        <w:t>overnment for thi</w:t>
      </w:r>
      <w:r w:rsidR="001F328F">
        <w:rPr>
          <w:sz w:val="24"/>
          <w:szCs w:val="24"/>
        </w:rPr>
        <w:t>s information collection is $</w:t>
      </w:r>
      <w:r w:rsidR="00670CAD">
        <w:rPr>
          <w:sz w:val="24"/>
          <w:szCs w:val="24"/>
        </w:rPr>
        <w:t>238,272</w:t>
      </w:r>
      <w:r w:rsidRPr="009A34F0">
        <w:rPr>
          <w:sz w:val="24"/>
          <w:szCs w:val="24"/>
        </w:rPr>
        <w:t xml:space="preserve">.  This represents the cost of reviewing data and submissions for participation in the </w:t>
      </w:r>
      <w:r w:rsidR="00950D85">
        <w:rPr>
          <w:sz w:val="24"/>
          <w:szCs w:val="24"/>
        </w:rPr>
        <w:t>T</w:t>
      </w:r>
      <w:r w:rsidR="00E85B0A">
        <w:rPr>
          <w:sz w:val="24"/>
          <w:szCs w:val="24"/>
        </w:rPr>
        <w:t>T</w:t>
      </w:r>
      <w:r w:rsidR="00950D85">
        <w:rPr>
          <w:sz w:val="24"/>
          <w:szCs w:val="24"/>
        </w:rPr>
        <w:t>P</w:t>
      </w:r>
      <w:r w:rsidRPr="009A34F0">
        <w:rPr>
          <w:sz w:val="24"/>
          <w:szCs w:val="24"/>
        </w:rPr>
        <w:t xml:space="preserve">,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14:paraId="2B0AACE6" w14:textId="77777777" w:rsidR="009A34F0" w:rsidRPr="009A34F0" w:rsidRDefault="009A34F0" w:rsidP="009A34F0">
      <w:pPr>
        <w:ind w:left="360"/>
        <w:rPr>
          <w:sz w:val="24"/>
          <w:szCs w:val="24"/>
        </w:rPr>
      </w:pPr>
    </w:p>
    <w:p w14:paraId="5397B3FE" w14:textId="3CC018DE" w:rsidR="009A34F0" w:rsidRPr="009A34F0" w:rsidRDefault="001F328F" w:rsidP="009A34F0">
      <w:pPr>
        <w:ind w:left="360"/>
        <w:jc w:val="center"/>
        <w:rPr>
          <w:sz w:val="24"/>
          <w:szCs w:val="24"/>
        </w:rPr>
      </w:pPr>
      <w:r>
        <w:rPr>
          <w:sz w:val="24"/>
          <w:szCs w:val="24"/>
        </w:rPr>
        <w:t>$4</w:t>
      </w:r>
      <w:r w:rsidR="004404FA">
        <w:rPr>
          <w:sz w:val="24"/>
          <w:szCs w:val="24"/>
        </w:rPr>
        <w:t>4.82</w:t>
      </w:r>
      <w:r w:rsidR="009A34F0" w:rsidRPr="009A34F0">
        <w:rPr>
          <w:sz w:val="24"/>
          <w:szCs w:val="24"/>
        </w:rPr>
        <w:t>/</w:t>
      </w:r>
      <w:r w:rsidR="004404FA">
        <w:rPr>
          <w:sz w:val="24"/>
          <w:szCs w:val="24"/>
        </w:rPr>
        <w:t>hour salary x 1.6</w:t>
      </w:r>
      <w:r>
        <w:rPr>
          <w:sz w:val="24"/>
          <w:szCs w:val="24"/>
        </w:rPr>
        <w:t xml:space="preserve"> benefits = $</w:t>
      </w:r>
      <w:r w:rsidR="004404FA">
        <w:rPr>
          <w:sz w:val="24"/>
          <w:szCs w:val="24"/>
        </w:rPr>
        <w:t>71.71</w:t>
      </w:r>
      <w:r w:rsidR="009A34F0" w:rsidRPr="009A34F0">
        <w:rPr>
          <w:sz w:val="24"/>
          <w:szCs w:val="24"/>
        </w:rPr>
        <w:t>/hour</w:t>
      </w:r>
    </w:p>
    <w:p w14:paraId="7DE0F934" w14:textId="77777777" w:rsidR="009A34F0" w:rsidRPr="009A34F0" w:rsidRDefault="009A34F0" w:rsidP="009A34F0">
      <w:pPr>
        <w:ind w:left="360"/>
        <w:rPr>
          <w:sz w:val="24"/>
          <w:szCs w:val="24"/>
        </w:rPr>
      </w:pPr>
    </w:p>
    <w:p w14:paraId="3AC5293E" w14:textId="5188AB26"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-13/9 from the Salary Table 201</w:t>
      </w:r>
      <w:r w:rsidR="00757157">
        <w:rPr>
          <w:sz w:val="24"/>
          <w:szCs w:val="24"/>
        </w:rPr>
        <w:t>9</w:t>
      </w:r>
      <w:r w:rsidR="006E6E59" w:rsidRPr="006E6E59">
        <w:rPr>
          <w:sz w:val="24"/>
          <w:szCs w:val="24"/>
        </w:rPr>
        <w:t xml:space="preserve"> - GS.  The hourly salary ($</w:t>
      </w:r>
      <w:r w:rsidR="00AC0753">
        <w:rPr>
          <w:sz w:val="24"/>
          <w:szCs w:val="24"/>
        </w:rPr>
        <w:t>46.54</w:t>
      </w:r>
      <w:r w:rsidR="004404FA">
        <w:rPr>
          <w:sz w:val="24"/>
          <w:szCs w:val="24"/>
        </w:rPr>
        <w:t>) is multiplied by 1.6</w:t>
      </w:r>
      <w:r w:rsidRPr="006E6E59">
        <w:rPr>
          <w:sz w:val="24"/>
          <w:szCs w:val="24"/>
        </w:rPr>
        <w:t xml:space="preserve"> to calculate th</w:t>
      </w:r>
      <w:r w:rsidR="001F328F" w:rsidRPr="006E6E59">
        <w:rPr>
          <w:sz w:val="24"/>
          <w:szCs w:val="24"/>
        </w:rPr>
        <w:t>e salary &amp; benefits: $</w:t>
      </w:r>
      <w:r w:rsidR="00AC0753">
        <w:rPr>
          <w:sz w:val="24"/>
          <w:szCs w:val="24"/>
        </w:rPr>
        <w:t>74.46</w:t>
      </w:r>
      <w:r w:rsidRPr="006E6E59">
        <w:rPr>
          <w:sz w:val="24"/>
          <w:szCs w:val="24"/>
        </w:rPr>
        <w:t>/hour.  Each employee works 200 hours/year on the reports.  There are 16 employees performing this work.</w:t>
      </w:r>
      <w:r w:rsidR="006E6E59">
        <w:rPr>
          <w:sz w:val="24"/>
          <w:szCs w:val="24"/>
        </w:rPr>
        <w:t xml:space="preserve">  </w:t>
      </w:r>
      <w:r w:rsidRPr="009A34F0">
        <w:rPr>
          <w:sz w:val="24"/>
          <w:szCs w:val="24"/>
        </w:rPr>
        <w:t>Therefore:</w:t>
      </w:r>
    </w:p>
    <w:p w14:paraId="38CBF1FC" w14:textId="77777777" w:rsidR="009A34F0" w:rsidRPr="009A34F0" w:rsidRDefault="009A34F0" w:rsidP="009A34F0">
      <w:pPr>
        <w:ind w:left="360"/>
        <w:rPr>
          <w:sz w:val="24"/>
          <w:szCs w:val="24"/>
        </w:rPr>
      </w:pPr>
    </w:p>
    <w:p w14:paraId="030F2ED0" w14:textId="0AA45718" w:rsidR="009A34F0" w:rsidRPr="009A34F0" w:rsidRDefault="001F328F" w:rsidP="009A34F0">
      <w:pPr>
        <w:ind w:left="360"/>
        <w:jc w:val="center"/>
        <w:rPr>
          <w:sz w:val="24"/>
          <w:szCs w:val="24"/>
        </w:rPr>
      </w:pPr>
      <w:r>
        <w:rPr>
          <w:sz w:val="24"/>
          <w:szCs w:val="24"/>
        </w:rPr>
        <w:t>$</w:t>
      </w:r>
      <w:r w:rsidR="00AC0753">
        <w:rPr>
          <w:sz w:val="24"/>
          <w:szCs w:val="24"/>
        </w:rPr>
        <w:t>74.46</w:t>
      </w:r>
      <w:r>
        <w:rPr>
          <w:sz w:val="24"/>
          <w:szCs w:val="24"/>
        </w:rPr>
        <w:t xml:space="preserve"> x 200 hours = $</w:t>
      </w:r>
      <w:r w:rsidR="004404FA">
        <w:rPr>
          <w:sz w:val="24"/>
          <w:szCs w:val="24"/>
        </w:rPr>
        <w:t>14,</w:t>
      </w:r>
      <w:r w:rsidR="00AC0753">
        <w:rPr>
          <w:sz w:val="24"/>
          <w:szCs w:val="24"/>
        </w:rPr>
        <w:t>892</w:t>
      </w:r>
      <w:r w:rsidR="00AC0753" w:rsidRPr="009A34F0">
        <w:rPr>
          <w:sz w:val="24"/>
          <w:szCs w:val="24"/>
        </w:rPr>
        <w:t xml:space="preserve"> </w:t>
      </w:r>
      <w:r w:rsidR="009A34F0" w:rsidRPr="009A34F0">
        <w:rPr>
          <w:sz w:val="24"/>
          <w:szCs w:val="24"/>
        </w:rPr>
        <w:t>(each employ</w:t>
      </w:r>
      <w:r>
        <w:rPr>
          <w:sz w:val="24"/>
          <w:szCs w:val="24"/>
        </w:rPr>
        <w:t>ee's cost) x 16 employees = $</w:t>
      </w:r>
      <w:r w:rsidR="00AC0753">
        <w:rPr>
          <w:sz w:val="24"/>
          <w:szCs w:val="24"/>
        </w:rPr>
        <w:t>238,272</w:t>
      </w:r>
    </w:p>
    <w:p w14:paraId="78838201" w14:textId="77777777" w:rsidR="009A34F0" w:rsidRPr="009A34F0" w:rsidRDefault="009A34F0" w:rsidP="009A34F0">
      <w:pPr>
        <w:ind w:left="360"/>
        <w:rPr>
          <w:sz w:val="24"/>
          <w:szCs w:val="24"/>
        </w:rPr>
      </w:pPr>
    </w:p>
    <w:p w14:paraId="681F5327" w14:textId="717BDE47"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757157">
        <w:rPr>
          <w:sz w:val="24"/>
          <w:szCs w:val="24"/>
        </w:rPr>
        <w:t>9</w:t>
      </w:r>
      <w:r>
        <w:rPr>
          <w:sz w:val="24"/>
          <w:szCs w:val="24"/>
        </w:rPr>
        <w:t>.  The hourly salary is</w:t>
      </w:r>
      <w:r w:rsidRPr="00497C4C">
        <w:rPr>
          <w:sz w:val="24"/>
          <w:szCs w:val="24"/>
        </w:rPr>
        <w:t xml:space="preserve"> mult</w:t>
      </w:r>
      <w:r>
        <w:rPr>
          <w:sz w:val="24"/>
          <w:szCs w:val="24"/>
        </w:rPr>
        <w:t>iplied by 1.</w:t>
      </w:r>
      <w:r w:rsidR="004404FA">
        <w:rPr>
          <w:sz w:val="24"/>
          <w:szCs w:val="24"/>
        </w:rPr>
        <w:t>6</w:t>
      </w:r>
      <w:r>
        <w:rPr>
          <w:sz w:val="24"/>
          <w:szCs w:val="24"/>
        </w:rPr>
        <w:t xml:space="preserve"> to cover benefits</w:t>
      </w:r>
      <w:r w:rsidR="00AC0753" w:rsidRPr="00AC0753">
        <w:rPr>
          <w:sz w:val="24"/>
          <w:szCs w:val="24"/>
        </w:rPr>
        <w:t xml:space="preserve">, </w:t>
      </w:r>
      <w:hyperlink r:id="rId9" w:history="1">
        <w:r w:rsidR="00AC0753" w:rsidRPr="00AC0753">
          <w:rPr>
            <w:rStyle w:val="Hyperlink"/>
            <w:sz w:val="24"/>
            <w:szCs w:val="24"/>
          </w:rPr>
          <w:t>https://www.opm.gov/policy-data-oversight/pay-leave/salaries-wages/2019/general-schedule/</w:t>
        </w:r>
      </w:hyperlink>
      <w:r w:rsidRPr="00AC0753">
        <w:rPr>
          <w:sz w:val="24"/>
          <w:szCs w:val="24"/>
        </w:rPr>
        <w:t>.</w:t>
      </w:r>
      <w:r w:rsidRPr="00497C4C">
        <w:rPr>
          <w:sz w:val="24"/>
          <w:szCs w:val="24"/>
        </w:rPr>
        <w:t xml:space="preserve"> </w:t>
      </w:r>
    </w:p>
    <w:p w14:paraId="14C5FA94" w14:textId="77777777"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A2AB977" w14:textId="77777777"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14:paraId="2419B877" w14:textId="77777777"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14:paraId="12CE4FA4" w14:textId="40C782A8" w:rsidR="00AF2545" w:rsidRPr="00A24A37" w:rsidRDefault="00500983"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No program changes or adjustments were made</w:t>
      </w:r>
      <w:r w:rsidR="00AC0753">
        <w:rPr>
          <w:sz w:val="24"/>
          <w:szCs w:val="24"/>
        </w:rPr>
        <w:t xml:space="preserve"> to the collection</w:t>
      </w:r>
      <w:r>
        <w:rPr>
          <w:sz w:val="24"/>
          <w:szCs w:val="24"/>
        </w:rPr>
        <w:t>.</w:t>
      </w:r>
      <w:r w:rsidR="00AC0753">
        <w:rPr>
          <w:sz w:val="24"/>
          <w:szCs w:val="24"/>
        </w:rPr>
        <w:t xml:space="preserve"> Salary information was adjusted to 2019 levels. </w:t>
      </w:r>
      <w:r>
        <w:rPr>
          <w:sz w:val="24"/>
          <w:szCs w:val="24"/>
        </w:rPr>
        <w:t xml:space="preserve"> </w:t>
      </w:r>
    </w:p>
    <w:p w14:paraId="0FD1F569" w14:textId="77777777"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14:paraId="04C084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B292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B0A14E" w14:textId="77777777" w:rsidR="00A24A37" w:rsidRPr="00A24A37" w:rsidRDefault="00A24A37" w:rsidP="00A24A37">
      <w:pPr>
        <w:rPr>
          <w:sz w:val="24"/>
          <w:szCs w:val="24"/>
        </w:rPr>
      </w:pPr>
      <w:r w:rsidRPr="00A24A37">
        <w:rPr>
          <w:sz w:val="24"/>
          <w:szCs w:val="24"/>
        </w:rPr>
        <w:t xml:space="preserve">There is no intention to publish results of this information collection at this time.  Abstracts of the information may later be used in justifications for the Department’s budget and ongoing </w:t>
      </w:r>
      <w:r w:rsidR="00950D85">
        <w:rPr>
          <w:sz w:val="24"/>
          <w:szCs w:val="24"/>
        </w:rPr>
        <w:t>T</w:t>
      </w:r>
      <w:r w:rsidR="00E85B0A">
        <w:rPr>
          <w:sz w:val="24"/>
          <w:szCs w:val="24"/>
        </w:rPr>
        <w:t>T</w:t>
      </w:r>
      <w:r w:rsidR="00950D85">
        <w:rPr>
          <w:sz w:val="24"/>
          <w:szCs w:val="24"/>
        </w:rPr>
        <w:t>P</w:t>
      </w:r>
      <w:r w:rsidRPr="00A24A37">
        <w:rPr>
          <w:sz w:val="24"/>
          <w:szCs w:val="24"/>
        </w:rPr>
        <w:t xml:space="preserve"> appropriations.  A copy of the inventory data will be made available to the affected respondent.</w:t>
      </w:r>
    </w:p>
    <w:p w14:paraId="0428ED41"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2287C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14:paraId="14BF4A0A" w14:textId="77777777" w:rsidR="00CD0DB7" w:rsidRDefault="00CD0DB7" w:rsidP="00CD0DB7">
      <w:pPr>
        <w:tabs>
          <w:tab w:val="left" w:pos="-1440"/>
        </w:tabs>
        <w:jc w:val="both"/>
        <w:rPr>
          <w:sz w:val="24"/>
          <w:szCs w:val="24"/>
        </w:rPr>
      </w:pPr>
    </w:p>
    <w:p w14:paraId="09882153" w14:textId="1393EA91" w:rsidR="00A24A37" w:rsidRPr="00A24A37" w:rsidRDefault="00A24A37" w:rsidP="00A24A37">
      <w:pPr>
        <w:rPr>
          <w:sz w:val="24"/>
          <w:szCs w:val="24"/>
        </w:rPr>
      </w:pPr>
      <w:r w:rsidRPr="00A24A37">
        <w:rPr>
          <w:sz w:val="24"/>
          <w:szCs w:val="24"/>
        </w:rPr>
        <w:t>The Department intends to display the expiration date with the OMB Control Number on any application materials asking for information that may be sent to</w:t>
      </w:r>
      <w:r w:rsidR="004A73EF">
        <w:rPr>
          <w:sz w:val="24"/>
          <w:szCs w:val="24"/>
        </w:rPr>
        <w:t xml:space="preserve"> Trib</w:t>
      </w:r>
      <w:r w:rsidRPr="00A24A37">
        <w:rPr>
          <w:sz w:val="24"/>
          <w:szCs w:val="24"/>
        </w:rPr>
        <w:t>es or</w:t>
      </w:r>
      <w:r w:rsidR="004A73EF">
        <w:rPr>
          <w:sz w:val="24"/>
          <w:szCs w:val="24"/>
        </w:rPr>
        <w:t xml:space="preserve"> Trib</w:t>
      </w:r>
      <w:r w:rsidRPr="00A24A37">
        <w:rPr>
          <w:sz w:val="24"/>
          <w:szCs w:val="24"/>
        </w:rPr>
        <w:t>al organizations.</w:t>
      </w:r>
      <w:r w:rsidR="00370186">
        <w:rPr>
          <w:sz w:val="24"/>
          <w:szCs w:val="24"/>
        </w:rPr>
        <w:t xml:space="preserve">  Section 170.7 of the rule displays the OMB control number.</w:t>
      </w:r>
      <w:r w:rsidRPr="00A24A37">
        <w:rPr>
          <w:sz w:val="24"/>
          <w:szCs w:val="24"/>
        </w:rPr>
        <w:t xml:space="preserve"> </w:t>
      </w:r>
    </w:p>
    <w:p w14:paraId="46732F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FC380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14:paraId="25FE9633" w14:textId="77777777"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32D4EFB4" w14:textId="77777777"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10"/>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64725" w14:textId="77777777" w:rsidR="00FC064F" w:rsidRDefault="00FC064F" w:rsidP="0094760F">
      <w:r>
        <w:separator/>
      </w:r>
    </w:p>
  </w:endnote>
  <w:endnote w:type="continuationSeparator" w:id="0">
    <w:p w14:paraId="7B0E7068" w14:textId="77777777" w:rsidR="00FC064F" w:rsidRDefault="00FC064F"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57F9" w14:textId="3BFFB110" w:rsidR="0094760F" w:rsidRDefault="002A11C6">
    <w:pPr>
      <w:pStyle w:val="Footer"/>
      <w:jc w:val="center"/>
    </w:pPr>
    <w:r>
      <w:fldChar w:fldCharType="begin"/>
    </w:r>
    <w:r>
      <w:instrText xml:space="preserve"> PAGE   \* MERGEFORMAT </w:instrText>
    </w:r>
    <w:r>
      <w:fldChar w:fldCharType="separate"/>
    </w:r>
    <w:r w:rsidR="007F1CF5">
      <w:rPr>
        <w:noProof/>
      </w:rPr>
      <w:t>1</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BB247" w14:textId="77777777" w:rsidR="00FC064F" w:rsidRDefault="00FC064F" w:rsidP="0094760F">
      <w:r>
        <w:separator/>
      </w:r>
    </w:p>
  </w:footnote>
  <w:footnote w:type="continuationSeparator" w:id="0">
    <w:p w14:paraId="6582731D" w14:textId="77777777" w:rsidR="00FC064F" w:rsidRDefault="00FC064F"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85DC3"/>
    <w:rsid w:val="0009394A"/>
    <w:rsid w:val="000B4722"/>
    <w:rsid w:val="000D3AD0"/>
    <w:rsid w:val="000E3782"/>
    <w:rsid w:val="000F1C17"/>
    <w:rsid w:val="000F3AF1"/>
    <w:rsid w:val="000F734B"/>
    <w:rsid w:val="00121826"/>
    <w:rsid w:val="00132608"/>
    <w:rsid w:val="0014283D"/>
    <w:rsid w:val="001453FB"/>
    <w:rsid w:val="00145FDD"/>
    <w:rsid w:val="00162B02"/>
    <w:rsid w:val="00164574"/>
    <w:rsid w:val="0018044E"/>
    <w:rsid w:val="00197754"/>
    <w:rsid w:val="001A49BF"/>
    <w:rsid w:val="001B1945"/>
    <w:rsid w:val="001B6091"/>
    <w:rsid w:val="001C2B43"/>
    <w:rsid w:val="001D5543"/>
    <w:rsid w:val="001E75F2"/>
    <w:rsid w:val="001F328F"/>
    <w:rsid w:val="0027100B"/>
    <w:rsid w:val="002767E3"/>
    <w:rsid w:val="00295103"/>
    <w:rsid w:val="002A11C6"/>
    <w:rsid w:val="002C6502"/>
    <w:rsid w:val="00301DCC"/>
    <w:rsid w:val="00305168"/>
    <w:rsid w:val="003249BF"/>
    <w:rsid w:val="00352210"/>
    <w:rsid w:val="003669AC"/>
    <w:rsid w:val="00370186"/>
    <w:rsid w:val="00393AC5"/>
    <w:rsid w:val="003C3292"/>
    <w:rsid w:val="0040701C"/>
    <w:rsid w:val="0042125D"/>
    <w:rsid w:val="00436169"/>
    <w:rsid w:val="004404FA"/>
    <w:rsid w:val="00453AA2"/>
    <w:rsid w:val="00461903"/>
    <w:rsid w:val="004622F1"/>
    <w:rsid w:val="0046451E"/>
    <w:rsid w:val="004A6DFA"/>
    <w:rsid w:val="004A73EF"/>
    <w:rsid w:val="004B1ED5"/>
    <w:rsid w:val="004C4F22"/>
    <w:rsid w:val="004C58CC"/>
    <w:rsid w:val="004F727B"/>
    <w:rsid w:val="00500983"/>
    <w:rsid w:val="005224DF"/>
    <w:rsid w:val="00525467"/>
    <w:rsid w:val="00525C8A"/>
    <w:rsid w:val="0053535D"/>
    <w:rsid w:val="005402F0"/>
    <w:rsid w:val="00543275"/>
    <w:rsid w:val="005523FB"/>
    <w:rsid w:val="005556BD"/>
    <w:rsid w:val="005622F0"/>
    <w:rsid w:val="0056482A"/>
    <w:rsid w:val="005D39A7"/>
    <w:rsid w:val="005E0031"/>
    <w:rsid w:val="005F6E38"/>
    <w:rsid w:val="0060758B"/>
    <w:rsid w:val="0061107F"/>
    <w:rsid w:val="0065007F"/>
    <w:rsid w:val="006513F8"/>
    <w:rsid w:val="00654D1D"/>
    <w:rsid w:val="00670CAD"/>
    <w:rsid w:val="006859AE"/>
    <w:rsid w:val="006A1478"/>
    <w:rsid w:val="006A2427"/>
    <w:rsid w:val="006A52B7"/>
    <w:rsid w:val="006B4989"/>
    <w:rsid w:val="006C220A"/>
    <w:rsid w:val="006C6FF0"/>
    <w:rsid w:val="006E339F"/>
    <w:rsid w:val="006E6E59"/>
    <w:rsid w:val="00701C0C"/>
    <w:rsid w:val="007171A6"/>
    <w:rsid w:val="00717614"/>
    <w:rsid w:val="007447CA"/>
    <w:rsid w:val="00757157"/>
    <w:rsid w:val="00775E37"/>
    <w:rsid w:val="007851E9"/>
    <w:rsid w:val="007968F5"/>
    <w:rsid w:val="007E21B5"/>
    <w:rsid w:val="007F1CF5"/>
    <w:rsid w:val="008046AC"/>
    <w:rsid w:val="0081259F"/>
    <w:rsid w:val="00832C04"/>
    <w:rsid w:val="008427FA"/>
    <w:rsid w:val="00872BF2"/>
    <w:rsid w:val="00873726"/>
    <w:rsid w:val="008B1884"/>
    <w:rsid w:val="008C66AA"/>
    <w:rsid w:val="009217B9"/>
    <w:rsid w:val="00944C21"/>
    <w:rsid w:val="0094760F"/>
    <w:rsid w:val="00950D85"/>
    <w:rsid w:val="00987D79"/>
    <w:rsid w:val="00990859"/>
    <w:rsid w:val="009959ED"/>
    <w:rsid w:val="009A34F0"/>
    <w:rsid w:val="009A4AED"/>
    <w:rsid w:val="009B359F"/>
    <w:rsid w:val="009F6D48"/>
    <w:rsid w:val="00A06BE1"/>
    <w:rsid w:val="00A10FF9"/>
    <w:rsid w:val="00A22EC2"/>
    <w:rsid w:val="00A24A37"/>
    <w:rsid w:val="00A870AF"/>
    <w:rsid w:val="00AB0DE3"/>
    <w:rsid w:val="00AC0753"/>
    <w:rsid w:val="00AD5796"/>
    <w:rsid w:val="00AE56C5"/>
    <w:rsid w:val="00AF2545"/>
    <w:rsid w:val="00B03803"/>
    <w:rsid w:val="00B06BEA"/>
    <w:rsid w:val="00B702AC"/>
    <w:rsid w:val="00B704BB"/>
    <w:rsid w:val="00B81DDB"/>
    <w:rsid w:val="00B84661"/>
    <w:rsid w:val="00BC229B"/>
    <w:rsid w:val="00BF5378"/>
    <w:rsid w:val="00BF69AB"/>
    <w:rsid w:val="00C16356"/>
    <w:rsid w:val="00C20264"/>
    <w:rsid w:val="00C36C9F"/>
    <w:rsid w:val="00C57518"/>
    <w:rsid w:val="00C93874"/>
    <w:rsid w:val="00CD0DB7"/>
    <w:rsid w:val="00D23A72"/>
    <w:rsid w:val="00D3289F"/>
    <w:rsid w:val="00D42677"/>
    <w:rsid w:val="00D530DC"/>
    <w:rsid w:val="00D64230"/>
    <w:rsid w:val="00D64FDC"/>
    <w:rsid w:val="00D673DF"/>
    <w:rsid w:val="00D9404F"/>
    <w:rsid w:val="00DB412D"/>
    <w:rsid w:val="00DB6B8C"/>
    <w:rsid w:val="00DE1FFE"/>
    <w:rsid w:val="00E42BDE"/>
    <w:rsid w:val="00E6013B"/>
    <w:rsid w:val="00E819E7"/>
    <w:rsid w:val="00E85B0A"/>
    <w:rsid w:val="00EF6860"/>
    <w:rsid w:val="00F37839"/>
    <w:rsid w:val="00F546E5"/>
    <w:rsid w:val="00F6069D"/>
    <w:rsid w:val="00F62628"/>
    <w:rsid w:val="00F73931"/>
    <w:rsid w:val="00F76F75"/>
    <w:rsid w:val="00FA2976"/>
    <w:rsid w:val="00FC064F"/>
    <w:rsid w:val="00FC22B8"/>
    <w:rsid w:val="00FC3E3D"/>
    <w:rsid w:val="00FC552C"/>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8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65633">
      <w:bodyDiv w:val="1"/>
      <w:marLeft w:val="0"/>
      <w:marRight w:val="0"/>
      <w:marTop w:val="0"/>
      <w:marBottom w:val="0"/>
      <w:divBdr>
        <w:top w:val="none" w:sz="0" w:space="0" w:color="auto"/>
        <w:left w:val="none" w:sz="0" w:space="0" w:color="auto"/>
        <w:bottom w:val="none" w:sz="0" w:space="0" w:color="auto"/>
        <w:right w:val="none" w:sz="0" w:space="0" w:color="auto"/>
      </w:divBdr>
    </w:div>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 w:id="1843423472">
      <w:bodyDiv w:val="1"/>
      <w:marLeft w:val="0"/>
      <w:marRight w:val="0"/>
      <w:marTop w:val="0"/>
      <w:marBottom w:val="0"/>
      <w:divBdr>
        <w:top w:val="none" w:sz="0" w:space="0" w:color="auto"/>
        <w:left w:val="none" w:sz="0" w:space="0" w:color="auto"/>
        <w:bottom w:val="none" w:sz="0" w:space="0" w:color="auto"/>
        <w:right w:val="none" w:sz="0" w:space="0" w:color="auto"/>
      </w:divBdr>
    </w:div>
    <w:div w:id="19488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22561</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2012-07-11T19:51:00Z</cp:lastPrinted>
  <dcterms:created xsi:type="dcterms:W3CDTF">2019-12-31T14:00:00Z</dcterms:created>
  <dcterms:modified xsi:type="dcterms:W3CDTF">2019-12-31T14:00:00Z</dcterms:modified>
</cp:coreProperties>
</file>