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EA" w:rsidP="00696E21" w:rsidRDefault="00D45FEA" w14:paraId="4B74E6FA" w14:textId="77777777">
      <w:pPr>
        <w:rPr>
          <w:b/>
        </w:rPr>
      </w:pPr>
    </w:p>
    <w:p w:rsidRPr="00041787" w:rsidR="009C0464" w:rsidP="009C0464" w:rsidRDefault="009C0464" w14:paraId="5ECDD597" w14:textId="77777777">
      <w:pPr>
        <w:jc w:val="center"/>
        <w:rPr>
          <w:b/>
        </w:rPr>
      </w:pPr>
      <w:r w:rsidRPr="00041787">
        <w:rPr>
          <w:b/>
        </w:rPr>
        <w:t>SUPPORTING STATEMENT</w:t>
      </w:r>
    </w:p>
    <w:p w:rsidRPr="00BA6848" w:rsidR="009C0464" w:rsidP="009C0464" w:rsidRDefault="00D52BE2" w14:paraId="1987FAB8" w14:textId="77777777">
      <w:pPr>
        <w:autoSpaceDE w:val="0"/>
        <w:autoSpaceDN w:val="0"/>
        <w:adjustRightInd w:val="0"/>
        <w:jc w:val="center"/>
        <w:rPr>
          <w:b/>
        </w:rPr>
      </w:pPr>
      <w:r>
        <w:rPr>
          <w:b/>
        </w:rPr>
        <w:t>TAA Efforts to Improve Outcomes</w:t>
      </w:r>
    </w:p>
    <w:p w:rsidRPr="00BA6848" w:rsidR="009C0464" w:rsidP="009C0464" w:rsidRDefault="009C0464" w14:paraId="10AA17CC" w14:textId="77777777">
      <w:pPr>
        <w:autoSpaceDE w:val="0"/>
        <w:autoSpaceDN w:val="0"/>
        <w:adjustRightInd w:val="0"/>
        <w:jc w:val="center"/>
        <w:rPr>
          <w:b/>
          <w:i/>
        </w:rPr>
      </w:pPr>
      <w:r w:rsidRPr="00FB2DB3">
        <w:rPr>
          <w:b/>
        </w:rPr>
        <w:t xml:space="preserve">OMB </w:t>
      </w:r>
      <w:r w:rsidR="00D14221">
        <w:rPr>
          <w:b/>
        </w:rPr>
        <w:t xml:space="preserve">Control </w:t>
      </w:r>
      <w:r w:rsidRPr="00FB2DB3">
        <w:rPr>
          <w:b/>
        </w:rPr>
        <w:t>N</w:t>
      </w:r>
      <w:r>
        <w:rPr>
          <w:b/>
        </w:rPr>
        <w:t>umber</w:t>
      </w:r>
      <w:r w:rsidRPr="00FB2DB3">
        <w:rPr>
          <w:b/>
        </w:rPr>
        <w:t xml:space="preserve"> </w:t>
      </w:r>
      <w:r>
        <w:rPr>
          <w:b/>
        </w:rPr>
        <w:t>1205</w:t>
      </w:r>
      <w:r w:rsidRPr="00FB2DB3">
        <w:rPr>
          <w:b/>
        </w:rPr>
        <w:t>-</w:t>
      </w:r>
      <w:r w:rsidR="00BD6330">
        <w:rPr>
          <w:b/>
        </w:rPr>
        <w:t>0392</w:t>
      </w:r>
    </w:p>
    <w:p w:rsidR="0029478C" w:rsidP="00EA78D2" w:rsidRDefault="0029478C" w14:paraId="685FB45D" w14:textId="77777777">
      <w:pPr>
        <w:autoSpaceDE w:val="0"/>
        <w:autoSpaceDN w:val="0"/>
        <w:adjustRightInd w:val="0"/>
        <w:rPr>
          <w:b/>
        </w:rPr>
      </w:pPr>
    </w:p>
    <w:p w:rsidRPr="00CE3C52" w:rsidR="00EA78D2" w:rsidP="000442BD" w:rsidRDefault="00EA78D2" w14:paraId="3A974A06" w14:textId="77777777">
      <w:pPr>
        <w:tabs>
          <w:tab w:val="left" w:pos="540"/>
        </w:tabs>
        <w:autoSpaceDE w:val="0"/>
        <w:autoSpaceDN w:val="0"/>
        <w:adjustRightInd w:val="0"/>
        <w:ind w:left="720" w:hanging="720"/>
        <w:rPr>
          <w:b/>
        </w:rPr>
      </w:pPr>
      <w:r w:rsidRPr="00CE3C52">
        <w:rPr>
          <w:b/>
        </w:rPr>
        <w:t xml:space="preserve">A. </w:t>
      </w:r>
      <w:r w:rsidR="009D2A30">
        <w:rPr>
          <w:b/>
        </w:rPr>
        <w:tab/>
      </w:r>
      <w:r w:rsidRPr="00696E21">
        <w:rPr>
          <w:b/>
          <w:u w:val="single"/>
        </w:rPr>
        <w:t>Justification</w:t>
      </w:r>
      <w:r w:rsidR="00696E21">
        <w:rPr>
          <w:b/>
          <w:u w:val="single"/>
        </w:rPr>
        <w:t>.</w:t>
      </w:r>
    </w:p>
    <w:p w:rsidR="00EA78D2" w:rsidP="000442BD" w:rsidRDefault="00EA78D2" w14:paraId="58FF93C8" w14:textId="77777777">
      <w:pPr>
        <w:tabs>
          <w:tab w:val="left" w:pos="540"/>
        </w:tabs>
        <w:autoSpaceDE w:val="0"/>
        <w:autoSpaceDN w:val="0"/>
        <w:adjustRightInd w:val="0"/>
        <w:ind w:left="720" w:hanging="720"/>
      </w:pPr>
    </w:p>
    <w:p w:rsidR="00C339FD" w:rsidP="00256343" w:rsidRDefault="000A017D" w14:paraId="5219D534" w14:textId="7F84C51D">
      <w:pPr>
        <w:tabs>
          <w:tab w:val="left" w:pos="540"/>
        </w:tabs>
        <w:autoSpaceDE w:val="0"/>
        <w:autoSpaceDN w:val="0"/>
        <w:adjustRightInd w:val="0"/>
        <w:spacing w:after="120"/>
        <w:ind w:left="720"/>
      </w:pPr>
      <w:r>
        <w:t>This Information Collection Request (ICR) is being submitted to</w:t>
      </w:r>
      <w:r w:rsidR="00CE010C">
        <w:t xml:space="preserve"> modify</w:t>
      </w:r>
      <w:r>
        <w:t xml:space="preserve"> </w:t>
      </w:r>
      <w:r w:rsidR="00CE010C">
        <w:t>the existing collection Trade Act Participant Report (OMB 1205-0392)</w:t>
      </w:r>
      <w:r w:rsidR="00B6771E">
        <w:t>, which is required to be submitted quarterly by states administering the Trade Adjustment Assistance (TAA) program to the Employment and Training Administration (ETA) of the U.S. Department of Labor</w:t>
      </w:r>
      <w:r w:rsidR="00CE010C">
        <w:t xml:space="preserve">.  </w:t>
      </w:r>
      <w:r w:rsidR="00B6771E">
        <w:t xml:space="preserve">The proposed </w:t>
      </w:r>
      <w:r w:rsidR="00CE010C">
        <w:t xml:space="preserve">ICR </w:t>
      </w:r>
      <w:r w:rsidR="00532EA6">
        <w:t xml:space="preserve">differs from the current collection in that the volume of information collected in the </w:t>
      </w:r>
      <w:r w:rsidR="000527D8">
        <w:t xml:space="preserve">proposed </w:t>
      </w:r>
      <w:r w:rsidR="00532EA6">
        <w:t xml:space="preserve">ICR is significantly reduced – </w:t>
      </w:r>
      <w:r w:rsidRPr="00256343" w:rsidR="00532EA6">
        <w:rPr>
          <w:i/>
        </w:rPr>
        <w:t>from</w:t>
      </w:r>
      <w:r w:rsidR="00532EA6">
        <w:t xml:space="preserve"> 144 data elements</w:t>
      </w:r>
      <w:r w:rsidR="000527D8">
        <w:t xml:space="preserve"> in the current collection</w:t>
      </w:r>
      <w:r w:rsidR="00532EA6">
        <w:t xml:space="preserve">, </w:t>
      </w:r>
      <w:r w:rsidRPr="00256343" w:rsidR="00532EA6">
        <w:rPr>
          <w:i/>
        </w:rPr>
        <w:t>to</w:t>
      </w:r>
      <w:r w:rsidR="00532EA6">
        <w:t xml:space="preserve"> a single narrative element</w:t>
      </w:r>
      <w:r w:rsidR="000527D8">
        <w:t xml:space="preserve"> for the proposed collection</w:t>
      </w:r>
      <w:r w:rsidR="00532EA6">
        <w:t xml:space="preserve">. More specifically, the </w:t>
      </w:r>
      <w:r w:rsidR="00C339FD">
        <w:t xml:space="preserve">current collection is comprised </w:t>
      </w:r>
      <w:r w:rsidR="00B6771E">
        <w:t>of:</w:t>
      </w:r>
    </w:p>
    <w:p w:rsidR="00C339FD" w:rsidP="00256343" w:rsidRDefault="00C339FD" w14:paraId="0EAE197D" w14:textId="1E211A15">
      <w:pPr>
        <w:pStyle w:val="ListParagraph"/>
        <w:numPr>
          <w:ilvl w:val="0"/>
          <w:numId w:val="8"/>
        </w:numPr>
        <w:tabs>
          <w:tab w:val="left" w:pos="540"/>
        </w:tabs>
        <w:autoSpaceDE w:val="0"/>
        <w:autoSpaceDN w:val="0"/>
        <w:adjustRightInd w:val="0"/>
      </w:pPr>
      <w:r>
        <w:t>1</w:t>
      </w:r>
      <w:r w:rsidR="000C6056">
        <w:t>4</w:t>
      </w:r>
      <w:r w:rsidR="00532EA6">
        <w:t>3</w:t>
      </w:r>
      <w:r>
        <w:t xml:space="preserve"> </w:t>
      </w:r>
      <w:r w:rsidR="000C6056">
        <w:t xml:space="preserve">data elements </w:t>
      </w:r>
      <w:r w:rsidR="00330858">
        <w:t xml:space="preserve">that </w:t>
      </w:r>
      <w:r w:rsidR="00B364A1">
        <w:t>collects</w:t>
      </w:r>
      <w:r w:rsidR="00330858">
        <w:t xml:space="preserve"> individual participant-level</w:t>
      </w:r>
      <w:r w:rsidR="000C6056">
        <w:t xml:space="preserve"> TAA</w:t>
      </w:r>
      <w:r w:rsidR="00330858">
        <w:t xml:space="preserve"> activity</w:t>
      </w:r>
      <w:r w:rsidR="000C6056">
        <w:t>,</w:t>
      </w:r>
      <w:r>
        <w:t xml:space="preserve"> and </w:t>
      </w:r>
    </w:p>
    <w:p w:rsidR="00C339FD" w:rsidP="00256343" w:rsidRDefault="000C6056" w14:paraId="179C0B91" w14:textId="5BA0D0A5">
      <w:pPr>
        <w:pStyle w:val="ListParagraph"/>
        <w:numPr>
          <w:ilvl w:val="0"/>
          <w:numId w:val="8"/>
        </w:numPr>
        <w:tabs>
          <w:tab w:val="left" w:pos="540"/>
        </w:tabs>
        <w:autoSpaceDE w:val="0"/>
        <w:autoSpaceDN w:val="0"/>
        <w:adjustRightInd w:val="0"/>
        <w:spacing w:after="120"/>
      </w:pPr>
      <w:r>
        <w:t xml:space="preserve">One data element </w:t>
      </w:r>
      <w:r w:rsidR="00B6771E">
        <w:t xml:space="preserve">designed </w:t>
      </w:r>
      <w:r w:rsidR="00330858">
        <w:t>to collect</w:t>
      </w:r>
      <w:r w:rsidR="00B6771E">
        <w:t xml:space="preserve"> information on state-level program activity, </w:t>
      </w:r>
      <w:r w:rsidR="00B364A1">
        <w:t>explicitly</w:t>
      </w:r>
      <w:r w:rsidR="00B6771E">
        <w:t xml:space="preserve"> </w:t>
      </w:r>
      <w:r w:rsidR="00330858">
        <w:rPr>
          <w:i/>
          <w:iCs/>
          <w:color w:val="000000"/>
          <w:lang w:val="en"/>
        </w:rPr>
        <w:t>"a description of efforts made to improve outcomes for workers under the trade adjustment assistance program that promote efficiency and effectiveness."</w:t>
      </w:r>
      <w:r w:rsidR="00B6771E">
        <w:t xml:space="preserve"> </w:t>
      </w:r>
    </w:p>
    <w:p w:rsidR="008607B7" w:rsidP="00C339FD" w:rsidRDefault="00532EA6" w14:paraId="18EB4D55" w14:textId="53C03FE0">
      <w:pPr>
        <w:tabs>
          <w:tab w:val="left" w:pos="540"/>
        </w:tabs>
        <w:autoSpaceDE w:val="0"/>
        <w:autoSpaceDN w:val="0"/>
        <w:adjustRightInd w:val="0"/>
        <w:ind w:left="720"/>
      </w:pPr>
      <w:r>
        <w:t xml:space="preserve">All of </w:t>
      </w:r>
      <w:bookmarkStart w:name="_GoBack" w:id="0"/>
      <w:bookmarkEnd w:id="0"/>
      <w:r w:rsidR="009C345C">
        <w:t>143 data elements have</w:t>
      </w:r>
      <w:r>
        <w:t xml:space="preserve"> been</w:t>
      </w:r>
      <w:r w:rsidR="000C6056">
        <w:t xml:space="preserve"> subsumed under</w:t>
      </w:r>
      <w:r w:rsidR="00C339FD">
        <w:t xml:space="preserve"> </w:t>
      </w:r>
      <w:r w:rsidR="008607B7">
        <w:t>ETA-9172</w:t>
      </w:r>
      <w:r w:rsidR="000C6056">
        <w:t xml:space="preserve"> -</w:t>
      </w:r>
      <w:r w:rsidR="008607B7">
        <w:t xml:space="preserve"> </w:t>
      </w:r>
      <w:r w:rsidR="00C339FD">
        <w:t>Pa</w:t>
      </w:r>
      <w:r w:rsidR="000C6056">
        <w:t xml:space="preserve">rticipant Individual Record Layout </w:t>
      </w:r>
      <w:r w:rsidR="008607B7">
        <w:t>(OMB No. 1205-0521)</w:t>
      </w:r>
      <w:r w:rsidR="000C6056">
        <w:t xml:space="preserve">, which provides integrated participant level </w:t>
      </w:r>
      <w:r w:rsidR="000527D8">
        <w:t xml:space="preserve">data </w:t>
      </w:r>
      <w:r w:rsidR="000C6056">
        <w:t>reporting for multiple ETA programs</w:t>
      </w:r>
      <w:r>
        <w:t>, including TAA</w:t>
      </w:r>
      <w:r w:rsidR="008607B7">
        <w:t xml:space="preserve">. </w:t>
      </w:r>
      <w:r w:rsidR="000C6056">
        <w:t xml:space="preserve">Thus, the proposed collection for OMB No. 1205-0392 </w:t>
      </w:r>
      <w:r>
        <w:t xml:space="preserve">only </w:t>
      </w:r>
      <w:r w:rsidR="000C6056">
        <w:t xml:space="preserve">seeks to extend </w:t>
      </w:r>
      <w:r>
        <w:t xml:space="preserve">the </w:t>
      </w:r>
      <w:r w:rsidR="000C6056">
        <w:t xml:space="preserve">collection of (2). </w:t>
      </w:r>
      <w:r w:rsidR="00B6771E">
        <w:t>As such, the collection title will be changed from “Trade Activity Participant Report” to “TAA Efforts to Improve Outcomes.”</w:t>
      </w:r>
    </w:p>
    <w:p w:rsidR="00EB1E8D" w:rsidP="00EA78D2" w:rsidRDefault="00EB1E8D" w14:paraId="13A0DC94" w14:textId="77777777">
      <w:pPr>
        <w:autoSpaceDE w:val="0"/>
        <w:autoSpaceDN w:val="0"/>
        <w:adjustRightInd w:val="0"/>
      </w:pPr>
    </w:p>
    <w:p w:rsidRPr="00B10FD7" w:rsidR="001C7F55" w:rsidP="000442BD" w:rsidRDefault="001C7F55" w14:paraId="1D3AC72D" w14:textId="77777777">
      <w:pPr>
        <w:tabs>
          <w:tab w:val="right" w:pos="360"/>
        </w:tabs>
        <w:autoSpaceDE w:val="0"/>
        <w:autoSpaceDN w:val="0"/>
        <w:adjustRightInd w:val="0"/>
        <w:ind w:left="720" w:hanging="720"/>
        <w:rPr>
          <w:i/>
        </w:rPr>
      </w:pPr>
      <w:r>
        <w:rPr>
          <w:i/>
        </w:rPr>
        <w:tab/>
      </w:r>
      <w:r w:rsidRPr="00B10FD7">
        <w:rPr>
          <w:i/>
        </w:rPr>
        <w:t>1.</w:t>
      </w:r>
      <w:r w:rsidRPr="00B10FD7">
        <w:rPr>
          <w:i/>
        </w:rPr>
        <w:tab/>
        <w:t xml:space="preserve">Explain the circumstances that make the collection of information necessary.  Identify any legal or administrative requirements that necessitate the collection. </w:t>
      </w:r>
      <w:r>
        <w:rPr>
          <w:i/>
        </w:rPr>
        <w:t xml:space="preserve"> </w:t>
      </w:r>
      <w:r w:rsidRPr="00B10FD7">
        <w:rPr>
          <w:i/>
        </w:rPr>
        <w:t>Attach a copy of the appropriate section of each statute and regulation mandating or authorizing the collection of information.</w:t>
      </w:r>
    </w:p>
    <w:p w:rsidR="001C7F55" w:rsidP="000442BD" w:rsidRDefault="001C7F55" w14:paraId="72F7BFAB" w14:textId="77777777">
      <w:pPr>
        <w:ind w:left="720" w:hanging="720"/>
      </w:pPr>
    </w:p>
    <w:p w:rsidR="00FB2DB3" w:rsidP="00D52BE2" w:rsidRDefault="00FB2DB3" w14:paraId="2580F769" w14:textId="6BD75C70">
      <w:pPr>
        <w:ind w:left="720"/>
      </w:pPr>
      <w:r>
        <w:t>On June 28, 2015, the Trade Adjustment Assistance Reauthorization Act of 2015 (TAARA 2015)</w:t>
      </w:r>
      <w:r w:rsidR="009C0464">
        <w:t xml:space="preserve"> was signed into law</w:t>
      </w:r>
      <w:r>
        <w:t>.  Under Section 239</w:t>
      </w:r>
      <w:r w:rsidR="00B937E9">
        <w:t xml:space="preserve">(j)(1)(c) </w:t>
      </w:r>
      <w:r>
        <w:t xml:space="preserve">of Title II, Chapter 2 of the Trade Act of 1974, as amended (19 USC § 2271 et seq.), the Secretary </w:t>
      </w:r>
      <w:r w:rsidR="00B937E9">
        <w:t xml:space="preserve">is required to collect “a description of efforts made to improve outcomes for workers….”  In addition to mandatory annual reporting, the TAA program collects these descriptions on a quarterly basis </w:t>
      </w:r>
      <w:r w:rsidR="00D52BE2">
        <w:t>in order to track progress of efforts to improve outcomes and speed the identification new state practice.</w:t>
      </w:r>
      <w:r w:rsidR="00B937E9">
        <w:t xml:space="preserve"> </w:t>
      </w:r>
      <w:r w:rsidR="00BB3E7D">
        <w:t>This ICR relies on the following authorizing statutes:</w:t>
      </w:r>
    </w:p>
    <w:p w:rsidR="00BB3E7D" w:rsidP="00D52BE2" w:rsidRDefault="00BB3E7D" w14:paraId="0F08E4A3" w14:textId="214BE0F0">
      <w:pPr>
        <w:ind w:left="720"/>
      </w:pPr>
    </w:p>
    <w:p w:rsidR="00BB3E7D" w:rsidP="004813CC" w:rsidRDefault="00BB3E7D" w14:paraId="7701227D" w14:textId="3FB3E0C7">
      <w:pPr>
        <w:pStyle w:val="ListParagraph"/>
        <w:numPr>
          <w:ilvl w:val="0"/>
          <w:numId w:val="6"/>
        </w:numPr>
      </w:pPr>
      <w:r w:rsidRPr="00BB3E7D">
        <w:t>Consolidated Security, Disaster Assistance, and Continuing Appropriations Act, 2009</w:t>
      </w:r>
      <w:r w:rsidR="004813CC">
        <w:t>, PL 110-329, Sec. 154</w:t>
      </w:r>
    </w:p>
    <w:p w:rsidR="00BB3E7D" w:rsidP="004813CC" w:rsidRDefault="00BB3E7D" w14:paraId="0BF1337B" w14:textId="4F5C02C9">
      <w:pPr>
        <w:pStyle w:val="ListParagraph"/>
        <w:numPr>
          <w:ilvl w:val="0"/>
          <w:numId w:val="6"/>
        </w:numPr>
      </w:pPr>
      <w:r>
        <w:t>Vow to Hire Heroes Act</w:t>
      </w:r>
      <w:r w:rsidR="004813CC">
        <w:t>, PL 11-256, Sec. 239</w:t>
      </w:r>
    </w:p>
    <w:p w:rsidR="00BB3E7D" w:rsidP="004813CC" w:rsidRDefault="00BB3E7D" w14:paraId="07963CF4" w14:textId="1508397D">
      <w:pPr>
        <w:pStyle w:val="ListParagraph"/>
        <w:numPr>
          <w:ilvl w:val="0"/>
          <w:numId w:val="6"/>
        </w:numPr>
      </w:pPr>
      <w:r>
        <w:t>Trade Act of 1974, as amended</w:t>
      </w:r>
      <w:r w:rsidR="004813CC">
        <w:t xml:space="preserve"> </w:t>
      </w:r>
      <w:r w:rsidRPr="004813CC" w:rsidR="004813CC">
        <w:t xml:space="preserve">(19 USC § </w:t>
      </w:r>
      <w:r w:rsidR="004813CC">
        <w:t>2311</w:t>
      </w:r>
      <w:r w:rsidRPr="004813CC" w:rsidR="004813CC">
        <w:t xml:space="preserve"> et seq.</w:t>
      </w:r>
      <w:r w:rsidR="004813CC">
        <w:t xml:space="preserve"> 19 USC § 2323 et deq), PL 112-40, Sec. </w:t>
      </w:r>
      <w:r w:rsidRPr="004813CC" w:rsidR="004813CC">
        <w:t>233(f), 239(j), 249(B)</w:t>
      </w:r>
      <w:r w:rsidR="004813CC">
        <w:t xml:space="preserve"> and PL 93-618, Sec. </w:t>
      </w:r>
      <w:r w:rsidRPr="004813CC" w:rsidR="004813CC">
        <w:t>222(b)(3)</w:t>
      </w:r>
    </w:p>
    <w:p w:rsidR="00FB2DB3" w:rsidP="00FB2DB3" w:rsidRDefault="00FB2DB3" w14:paraId="5FA04D63" w14:textId="77777777">
      <w:pPr>
        <w:pStyle w:val="ListParagraph"/>
      </w:pPr>
    </w:p>
    <w:p w:rsidRPr="00B10FD7" w:rsidR="001C7F55" w:rsidP="001C7F55" w:rsidRDefault="001C7F55" w14:paraId="23C5AB6E" w14:textId="77777777">
      <w:pPr>
        <w:tabs>
          <w:tab w:val="right" w:pos="360"/>
        </w:tabs>
        <w:autoSpaceDE w:val="0"/>
        <w:autoSpaceDN w:val="0"/>
        <w:adjustRightInd w:val="0"/>
        <w:ind w:left="720" w:hanging="540"/>
        <w:rPr>
          <w:i/>
        </w:rPr>
      </w:pPr>
      <w:r>
        <w:rPr>
          <w:i/>
        </w:rPr>
        <w:tab/>
      </w:r>
      <w:r w:rsidRPr="00B10FD7">
        <w:rPr>
          <w:i/>
        </w:rPr>
        <w:t xml:space="preserve">2. </w:t>
      </w:r>
      <w:r w:rsidRPr="00B10FD7">
        <w:rPr>
          <w:i/>
        </w:rPr>
        <w:tab/>
        <w:t>Indicate how, by whom, and for what purpose the information is to be used.  Except for a new collection, indicate the actual use the agency has made of the information received from the current collection.</w:t>
      </w:r>
    </w:p>
    <w:p w:rsidR="00FB2DB3" w:rsidP="00FB2DB3" w:rsidRDefault="00FB2DB3" w14:paraId="714E53FB" w14:textId="77777777"/>
    <w:p w:rsidR="00FB2DB3" w:rsidP="00D4730E" w:rsidRDefault="00FB2DB3" w14:paraId="64F8A6CA" w14:textId="77777777">
      <w:pPr>
        <w:ind w:left="720"/>
      </w:pPr>
      <w:r>
        <w:t xml:space="preserve">The submissions will be used by Employment and Training Administration (ETA) staff </w:t>
      </w:r>
      <w:r w:rsidR="00417182">
        <w:t xml:space="preserve">to identify and highlight successful state practices, including the use of case management funds and innovative outreach strategies. The identification of these practices helps the Department </w:t>
      </w:r>
      <w:r w:rsidR="000A758B">
        <w:t xml:space="preserve">of Labor (the Department) </w:t>
      </w:r>
      <w:r w:rsidR="00417182">
        <w:t>determine which states to reach out to for webinars, conferences, peer collaboration, and feedback on planned Departmental changes</w:t>
      </w:r>
      <w:r w:rsidR="001973FB">
        <w:t>.  Thi</w:t>
      </w:r>
      <w:r w:rsidR="00417182">
        <w:t xml:space="preserve">s information is also made available publicly on the </w:t>
      </w:r>
      <w:r w:rsidR="001973FB">
        <w:t>Department’s</w:t>
      </w:r>
      <w:r w:rsidR="00417182">
        <w:t xml:space="preserve"> website at: </w:t>
      </w:r>
      <w:hyperlink w:history="1" r:id="rId11">
        <w:r w:rsidR="00417182">
          <w:rPr>
            <w:rStyle w:val="Hyperlink"/>
          </w:rPr>
          <w:t>https://doleta.gov/tradeact/taa-data/participant-reporting/</w:t>
        </w:r>
      </w:hyperlink>
      <w:r w:rsidR="00417182">
        <w:t>.</w:t>
      </w:r>
    </w:p>
    <w:p w:rsidR="000442BD" w:rsidP="00D4730E" w:rsidRDefault="000442BD" w14:paraId="32236EB9" w14:textId="77777777">
      <w:pPr>
        <w:ind w:left="720"/>
      </w:pPr>
    </w:p>
    <w:p w:rsidRPr="002221A7" w:rsidR="00AB427B" w:rsidP="00AB427B" w:rsidRDefault="00AB427B" w14:paraId="145B72CC" w14:textId="77777777">
      <w:pPr>
        <w:tabs>
          <w:tab w:val="right" w:pos="360"/>
        </w:tabs>
        <w:autoSpaceDE w:val="0"/>
        <w:autoSpaceDN w:val="0"/>
        <w:adjustRightInd w:val="0"/>
        <w:ind w:left="720" w:hanging="540"/>
        <w:rPr>
          <w:i/>
        </w:rPr>
      </w:pPr>
      <w:r w:rsidRPr="002221A7">
        <w:rPr>
          <w:i/>
        </w:rPr>
        <w:tab/>
        <w:t>3.</w:t>
      </w:r>
      <w:r w:rsidRPr="002221A7">
        <w:rPr>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Pr>
          <w:i/>
        </w:rPr>
        <w:t xml:space="preserve"> </w:t>
      </w:r>
      <w:r w:rsidRPr="002221A7">
        <w:rPr>
          <w:i/>
        </w:rPr>
        <w:t>Also</w:t>
      </w:r>
      <w:r>
        <w:rPr>
          <w:i/>
        </w:rPr>
        <w:t>,</w:t>
      </w:r>
      <w:r w:rsidRPr="002221A7">
        <w:rPr>
          <w:i/>
        </w:rPr>
        <w:t xml:space="preserve"> describe any consideration of using information technology to reduce burden.</w:t>
      </w:r>
    </w:p>
    <w:p w:rsidR="00AB427B" w:rsidP="00FB2DB3" w:rsidRDefault="00AB427B" w14:paraId="134FA972" w14:textId="77777777"/>
    <w:p w:rsidR="00FB2DB3" w:rsidP="00B95617" w:rsidRDefault="005E4E80" w14:paraId="722429C4" w14:textId="37FCC5CF">
      <w:pPr>
        <w:ind w:left="720"/>
      </w:pPr>
      <w:r>
        <w:t>The collection will be conducted through the Workforce Integrated Performance System (WIPS)</w:t>
      </w:r>
      <w:r w:rsidR="008607B7">
        <w:t xml:space="preserve"> and submitted on form ETA-9173 (OMB No. 1205-0521)</w:t>
      </w:r>
      <w:r>
        <w:t>.  This online system requires State grantees to create and maintain an account.  Access to this system is already required of all State grantees for other required collections, so this does not create any additional burden.</w:t>
      </w:r>
    </w:p>
    <w:p w:rsidR="00B95617" w:rsidP="00B95617" w:rsidRDefault="00B95617" w14:paraId="70633C9C" w14:textId="77777777"/>
    <w:p w:rsidRPr="002221A7" w:rsidR="00B95617" w:rsidP="00B95617" w:rsidRDefault="00B95617" w14:paraId="2A1928FB" w14:textId="77777777">
      <w:pPr>
        <w:tabs>
          <w:tab w:val="right" w:pos="360"/>
        </w:tabs>
        <w:autoSpaceDE w:val="0"/>
        <w:autoSpaceDN w:val="0"/>
        <w:adjustRightInd w:val="0"/>
        <w:ind w:left="720" w:hanging="540"/>
        <w:rPr>
          <w:i/>
        </w:rPr>
      </w:pPr>
      <w:r w:rsidRPr="002221A7">
        <w:rPr>
          <w:i/>
        </w:rPr>
        <w:tab/>
      </w:r>
      <w:r>
        <w:rPr>
          <w:i/>
        </w:rPr>
        <w:t>4</w:t>
      </w:r>
      <w:r w:rsidRPr="002221A7">
        <w:rPr>
          <w:i/>
        </w:rPr>
        <w:t>.</w:t>
      </w:r>
      <w:r w:rsidRPr="002221A7">
        <w:rPr>
          <w:i/>
        </w:rPr>
        <w:tab/>
        <w:t xml:space="preserve">Describe efforts to identify duplication. </w:t>
      </w:r>
      <w:r>
        <w:rPr>
          <w:i/>
        </w:rPr>
        <w:t xml:space="preserve"> </w:t>
      </w:r>
      <w:r w:rsidRPr="002221A7">
        <w:rPr>
          <w:i/>
        </w:rPr>
        <w:t>Show specifically why any similar information already available cannot be used or modified for use for the purposes described in Item 2 above.</w:t>
      </w:r>
    </w:p>
    <w:p w:rsidR="00B95617" w:rsidP="00B95617" w:rsidRDefault="00B95617" w14:paraId="2245E5D9" w14:textId="77777777">
      <w:pPr>
        <w:tabs>
          <w:tab w:val="left" w:pos="-1440"/>
        </w:tabs>
      </w:pPr>
    </w:p>
    <w:p w:rsidR="00FB2DB3" w:rsidP="00B95617" w:rsidRDefault="005E4E80" w14:paraId="6E8F864D" w14:textId="77777777">
      <w:pPr>
        <w:tabs>
          <w:tab w:val="left" w:pos="-1440"/>
        </w:tabs>
        <w:ind w:left="720"/>
      </w:pPr>
      <w:r>
        <w:t>This collection is the only required narrative collection specific to state efforts to improve outcomes in the TAA program.  As such, there is no other collection that could meet the statutory reporting requirements under Section 239(j)(1)(c) of</w:t>
      </w:r>
      <w:r w:rsidR="001973FB">
        <w:t xml:space="preserve"> the statute</w:t>
      </w:r>
      <w:r>
        <w:t>.</w:t>
      </w:r>
    </w:p>
    <w:p w:rsidRPr="00CE3C52" w:rsidR="00B95617" w:rsidP="00B95617" w:rsidRDefault="00B95617" w14:paraId="13203B53" w14:textId="77777777">
      <w:pPr>
        <w:autoSpaceDE w:val="0"/>
        <w:autoSpaceDN w:val="0"/>
        <w:adjustRightInd w:val="0"/>
      </w:pPr>
    </w:p>
    <w:p w:rsidRPr="00B95617" w:rsidR="00FB2DB3" w:rsidP="00B95617" w:rsidRDefault="00B95617" w14:paraId="5690A2A9" w14:textId="77777777">
      <w:pPr>
        <w:tabs>
          <w:tab w:val="right" w:pos="360"/>
          <w:tab w:val="left" w:pos="540"/>
        </w:tabs>
        <w:autoSpaceDE w:val="0"/>
        <w:autoSpaceDN w:val="0"/>
        <w:adjustRightInd w:val="0"/>
        <w:ind w:left="720" w:hanging="720"/>
        <w:rPr>
          <w:i/>
        </w:rPr>
      </w:pPr>
      <w:r w:rsidRPr="002221A7">
        <w:rPr>
          <w:i/>
        </w:rPr>
        <w:tab/>
        <w:t>5.</w:t>
      </w:r>
      <w:r w:rsidRPr="002221A7">
        <w:rPr>
          <w:i/>
        </w:rPr>
        <w:tab/>
      </w:r>
      <w:r>
        <w:rPr>
          <w:i/>
        </w:rPr>
        <w:tab/>
      </w:r>
      <w:r w:rsidRPr="002221A7">
        <w:rPr>
          <w:i/>
        </w:rPr>
        <w:t>If the collection of information impacts small businesses or other small entities, describe any methods used to minimize burden.</w:t>
      </w:r>
    </w:p>
    <w:p w:rsidR="00FB2DB3" w:rsidP="00FB2DB3" w:rsidRDefault="00FB2DB3" w14:paraId="05BD207D" w14:textId="77777777"/>
    <w:p w:rsidR="00FB2DB3" w:rsidP="00B95617" w:rsidRDefault="00FB2DB3" w14:paraId="43940EE3" w14:textId="77777777">
      <w:pPr>
        <w:tabs>
          <w:tab w:val="left" w:pos="-1440"/>
        </w:tabs>
        <w:ind w:left="720"/>
      </w:pPr>
      <w:r>
        <w:t xml:space="preserve">The collection is for State grantees of the Department.  No small businesses or small entities will be responding to the collection. </w:t>
      </w:r>
      <w:r w:rsidR="00EB1E8D">
        <w:t xml:space="preserve"> </w:t>
      </w:r>
      <w:r>
        <w:t>Therefore, collection of this information does not have any impact on small businesses or other small entities.</w:t>
      </w:r>
    </w:p>
    <w:p w:rsidR="00FB2DB3" w:rsidP="00FB2DB3" w:rsidRDefault="00FB2DB3" w14:paraId="220BEC24" w14:textId="77777777"/>
    <w:p w:rsidRPr="002221A7" w:rsidR="001410FF" w:rsidP="001410FF" w:rsidRDefault="001410FF" w14:paraId="3E6ED41B" w14:textId="77777777">
      <w:pPr>
        <w:tabs>
          <w:tab w:val="right" w:pos="360"/>
          <w:tab w:val="left" w:pos="540"/>
        </w:tabs>
        <w:autoSpaceDE w:val="0"/>
        <w:autoSpaceDN w:val="0"/>
        <w:adjustRightInd w:val="0"/>
        <w:ind w:left="720" w:hanging="720"/>
        <w:rPr>
          <w:i/>
        </w:rPr>
      </w:pPr>
      <w:r w:rsidRPr="002221A7">
        <w:rPr>
          <w:i/>
        </w:rPr>
        <w:tab/>
        <w:t>6.</w:t>
      </w:r>
      <w:r w:rsidRPr="002221A7">
        <w:rPr>
          <w:i/>
        </w:rPr>
        <w:tab/>
      </w:r>
      <w:r>
        <w:rPr>
          <w:i/>
        </w:rPr>
        <w:tab/>
      </w:r>
      <w:r w:rsidRPr="002221A7">
        <w:rPr>
          <w:i/>
        </w:rPr>
        <w:t>Describe the consequence to Federal program or policy activities if the collection is not conducted or is conducted less frequently, as well as any technical or legal obstacles to reducing burden.</w:t>
      </w:r>
    </w:p>
    <w:p w:rsidR="001410FF" w:rsidP="00FB2DB3" w:rsidRDefault="001410FF" w14:paraId="3CCBDE09" w14:textId="77777777"/>
    <w:p w:rsidR="001410FF" w:rsidP="001410FF" w:rsidRDefault="005E4E80" w14:paraId="7411CB05" w14:textId="77777777">
      <w:pPr>
        <w:ind w:left="720"/>
      </w:pPr>
      <w:r w:rsidRPr="005E4E80">
        <w:t xml:space="preserve">Under Section 239(j)(1)(c) of </w:t>
      </w:r>
      <w:r w:rsidR="001973FB">
        <w:t>the statute</w:t>
      </w:r>
      <w:r>
        <w:t>, the Department is required to collect this information annually.  Collecting the information only annually, rather than quarterly, diminishes the Department’s value in the information as a tool to understand these efforts, their progress, and to deliver appropriate technical support to State efforts.</w:t>
      </w:r>
    </w:p>
    <w:p w:rsidRPr="00CE3C52" w:rsidR="001410FF" w:rsidP="001410FF" w:rsidRDefault="001410FF" w14:paraId="69A67128" w14:textId="77777777">
      <w:pPr>
        <w:autoSpaceDE w:val="0"/>
        <w:autoSpaceDN w:val="0"/>
        <w:adjustRightInd w:val="0"/>
      </w:pPr>
    </w:p>
    <w:p w:rsidRPr="002221A7" w:rsidR="001410FF" w:rsidP="00D836E2" w:rsidRDefault="001410FF" w14:paraId="314FEC91" w14:textId="77777777">
      <w:pPr>
        <w:tabs>
          <w:tab w:val="right" w:pos="360"/>
          <w:tab w:val="left" w:pos="540"/>
        </w:tabs>
        <w:autoSpaceDE w:val="0"/>
        <w:autoSpaceDN w:val="0"/>
        <w:adjustRightInd w:val="0"/>
        <w:ind w:left="720" w:hanging="720"/>
        <w:rPr>
          <w:i/>
        </w:rPr>
      </w:pPr>
      <w:r w:rsidRPr="002221A7">
        <w:rPr>
          <w:i/>
        </w:rPr>
        <w:tab/>
        <w:t>7.</w:t>
      </w:r>
      <w:r w:rsidRPr="002221A7">
        <w:rPr>
          <w:i/>
        </w:rPr>
        <w:tab/>
      </w:r>
      <w:r>
        <w:rPr>
          <w:i/>
        </w:rPr>
        <w:tab/>
      </w:r>
      <w:r w:rsidRPr="002221A7">
        <w:rPr>
          <w:i/>
        </w:rPr>
        <w:t>Explain any special circumstances that would cause an information collection to be conducted in a manner</w:t>
      </w:r>
      <w:r>
        <w:rPr>
          <w:i/>
        </w:rPr>
        <w:t xml:space="preserve"> </w:t>
      </w:r>
      <w:r w:rsidRPr="00184FE6">
        <w:rPr>
          <w:i/>
        </w:rPr>
        <w:t>that requires further explanation pursuant to regulations 5 CFR 1320.5</w:t>
      </w:r>
      <w:r w:rsidR="00EB1E8D">
        <w:rPr>
          <w:i/>
        </w:rPr>
        <w:t>.</w:t>
      </w:r>
    </w:p>
    <w:p w:rsidR="00FB2DB3" w:rsidP="00FB2DB3" w:rsidRDefault="00FB2DB3" w14:paraId="623332C4" w14:textId="77777777"/>
    <w:p w:rsidR="00FB2DB3" w:rsidP="00FB2DB3" w:rsidRDefault="001410FF" w14:paraId="612F7CF7" w14:textId="77777777">
      <w:pPr>
        <w:pStyle w:val="Level1"/>
        <w:numPr>
          <w:ilvl w:val="0"/>
          <w:numId w:val="0"/>
        </w:numPr>
        <w:tabs>
          <w:tab w:val="left" w:pos="-1440"/>
          <w:tab w:val="left" w:pos="360"/>
        </w:tabs>
        <w:rPr>
          <w:rFonts w:ascii="Times New Roman" w:hAnsi="Times New Roman"/>
        </w:rPr>
      </w:pPr>
      <w:r>
        <w:rPr>
          <w:rFonts w:ascii="Times New Roman" w:hAnsi="Times New Roman"/>
        </w:rPr>
        <w:lastRenderedPageBreak/>
        <w:tab/>
      </w:r>
      <w:r>
        <w:rPr>
          <w:rFonts w:ascii="Times New Roman" w:hAnsi="Times New Roman"/>
        </w:rPr>
        <w:tab/>
      </w:r>
      <w:r w:rsidR="00FB2DB3">
        <w:rPr>
          <w:rFonts w:ascii="Times New Roman" w:hAnsi="Times New Roman"/>
        </w:rPr>
        <w:t>There are no special circumstances involved in this collection.</w:t>
      </w:r>
    </w:p>
    <w:p w:rsidRPr="00CE3C52" w:rsidR="001410FF" w:rsidP="001410FF" w:rsidRDefault="001410FF" w14:paraId="75DA01EB" w14:textId="77777777">
      <w:pPr>
        <w:autoSpaceDE w:val="0"/>
        <w:autoSpaceDN w:val="0"/>
        <w:adjustRightInd w:val="0"/>
      </w:pPr>
    </w:p>
    <w:p w:rsidR="001410FF" w:rsidP="00D4730E" w:rsidRDefault="001410FF" w14:paraId="47888DAE" w14:textId="77777777">
      <w:pPr>
        <w:tabs>
          <w:tab w:val="right" w:pos="360"/>
          <w:tab w:val="left" w:pos="540"/>
        </w:tabs>
        <w:autoSpaceDE w:val="0"/>
        <w:autoSpaceDN w:val="0"/>
        <w:adjustRightInd w:val="0"/>
        <w:ind w:left="720" w:hanging="720"/>
        <w:rPr>
          <w:i/>
        </w:rPr>
      </w:pPr>
      <w:r w:rsidRPr="002221A7">
        <w:rPr>
          <w:i/>
        </w:rPr>
        <w:tab/>
        <w:t>8.</w:t>
      </w:r>
      <w:r w:rsidRPr="002221A7">
        <w:rPr>
          <w:i/>
        </w:rPr>
        <w:tab/>
      </w:r>
      <w:r>
        <w:rPr>
          <w:i/>
        </w:rPr>
        <w:tab/>
      </w:r>
      <w:r w:rsidRPr="002221A7">
        <w:rPr>
          <w:i/>
        </w:rPr>
        <w:t xml:space="preserve">If applicable, provide a copy and identify the date and page number of publication in the Federal Register of the agency's notice, required by 5 CFR 1320.8(d), soliciting comments on the information collection prior to submission to OMB. </w:t>
      </w:r>
      <w:r>
        <w:rPr>
          <w:i/>
        </w:rPr>
        <w:t xml:space="preserve"> </w:t>
      </w:r>
      <w:r w:rsidRPr="002221A7">
        <w:rPr>
          <w:i/>
        </w:rPr>
        <w:t xml:space="preserve">Summarize public comments received in response to that notice and describe actions taken by the agency in response to these comments.  Specifically address comments received on cost and hour burden. </w:t>
      </w:r>
    </w:p>
    <w:p w:rsidRPr="002221A7" w:rsidR="001410FF" w:rsidP="001410FF" w:rsidRDefault="001410FF" w14:paraId="5CB0290C" w14:textId="77777777">
      <w:pPr>
        <w:autoSpaceDE w:val="0"/>
        <w:autoSpaceDN w:val="0"/>
        <w:adjustRightInd w:val="0"/>
        <w:ind w:left="72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Pr>
          <w:i/>
        </w:rPr>
        <w:t>corded, disclosed, or reported.</w:t>
      </w:r>
    </w:p>
    <w:p w:rsidR="001410FF" w:rsidP="001410FF" w:rsidRDefault="001410FF" w14:paraId="6D238D38" w14:textId="77777777">
      <w:pPr>
        <w:autoSpaceDE w:val="0"/>
        <w:autoSpaceDN w:val="0"/>
        <w:adjustRightInd w:val="0"/>
        <w:ind w:left="540"/>
        <w:rPr>
          <w:i/>
        </w:rPr>
      </w:pPr>
    </w:p>
    <w:p w:rsidRPr="002221A7" w:rsidR="001410FF" w:rsidP="001410FF" w:rsidRDefault="001410FF" w14:paraId="07ED91B6" w14:textId="77777777">
      <w:pPr>
        <w:autoSpaceDE w:val="0"/>
        <w:autoSpaceDN w:val="0"/>
        <w:adjustRightInd w:val="0"/>
        <w:ind w:left="720"/>
        <w:rPr>
          <w:i/>
        </w:rPr>
      </w:pPr>
      <w:r w:rsidRPr="002221A7">
        <w:rPr>
          <w:i/>
        </w:rPr>
        <w:t>Consultation with representatives of those from whom information is to be obtained or those who must compile records should occur at least once every 3 years</w:t>
      </w:r>
      <w:r>
        <w:rPr>
          <w:i/>
        </w:rPr>
        <w:t>—</w:t>
      </w:r>
      <w:r w:rsidRPr="002221A7">
        <w:rPr>
          <w:i/>
        </w:rPr>
        <w:t>even if the collection of information activity is the same as in prior periods.  There may be circumstances that may preclude consultation in a specific situation.  These circumstances should be explained.</w:t>
      </w:r>
    </w:p>
    <w:p w:rsidR="001410FF" w:rsidP="00FB2DB3" w:rsidRDefault="001410FF" w14:paraId="3FFBAA0A" w14:textId="77777777"/>
    <w:p w:rsidRPr="000A758B" w:rsidR="000A758B" w:rsidP="000A758B" w:rsidRDefault="000A758B" w14:paraId="34B720F1" w14:textId="77777777">
      <w:pPr>
        <w:ind w:left="720"/>
      </w:pPr>
      <w:r w:rsidRPr="000A758B">
        <w:t xml:space="preserve">A 60-Day Notice for Public Comment was published in the </w:t>
      </w:r>
      <w:r w:rsidRPr="000A758B">
        <w:rPr>
          <w:i/>
        </w:rPr>
        <w:t>Federal Register</w:t>
      </w:r>
      <w:r w:rsidRPr="000A758B">
        <w:t xml:space="preserve"> on September </w:t>
      </w:r>
      <w:r>
        <w:t>2</w:t>
      </w:r>
      <w:r w:rsidRPr="000A758B">
        <w:t>5, 2019 (84 FR 50475).  No comments were received.</w:t>
      </w:r>
    </w:p>
    <w:p w:rsidRPr="00CE3C52" w:rsidR="00465EF1" w:rsidP="00771236" w:rsidRDefault="00465EF1" w14:paraId="373CA5E6" w14:textId="77777777">
      <w:pPr>
        <w:ind w:left="720"/>
      </w:pPr>
    </w:p>
    <w:p w:rsidRPr="008F4D44" w:rsidR="001410FF" w:rsidP="001410FF" w:rsidRDefault="001410FF" w14:paraId="2CB52BEB" w14:textId="77777777">
      <w:pPr>
        <w:tabs>
          <w:tab w:val="right" w:pos="360"/>
          <w:tab w:val="left" w:pos="540"/>
        </w:tabs>
        <w:autoSpaceDE w:val="0"/>
        <w:autoSpaceDN w:val="0"/>
        <w:adjustRightInd w:val="0"/>
        <w:ind w:left="720" w:hanging="720"/>
        <w:rPr>
          <w:i/>
        </w:rPr>
      </w:pPr>
      <w:r w:rsidRPr="008F4D44">
        <w:rPr>
          <w:i/>
        </w:rPr>
        <w:tab/>
        <w:t>9.</w:t>
      </w:r>
      <w:r w:rsidRPr="008F4D44">
        <w:rPr>
          <w:i/>
        </w:rPr>
        <w:tab/>
      </w:r>
      <w:r>
        <w:rPr>
          <w:i/>
        </w:rPr>
        <w:tab/>
      </w:r>
      <w:r w:rsidRPr="008F4D44">
        <w:rPr>
          <w:i/>
        </w:rPr>
        <w:t>Explain any decision to provide any payment or gift to respondents, other than remuneration of contractors or grantees.</w:t>
      </w:r>
    </w:p>
    <w:p w:rsidR="00FB2DB3" w:rsidP="00FB2DB3" w:rsidRDefault="00FB2DB3" w14:paraId="3D629529" w14:textId="77777777">
      <w:pPr>
        <w:tabs>
          <w:tab w:val="left" w:pos="-1440"/>
        </w:tabs>
      </w:pPr>
    </w:p>
    <w:p w:rsidR="00FB2DB3" w:rsidP="00FB2DB3" w:rsidRDefault="001410FF" w14:paraId="0A0127FB" w14:textId="77777777">
      <w:pPr>
        <w:tabs>
          <w:tab w:val="left" w:pos="-1440"/>
        </w:tabs>
      </w:pPr>
      <w:r>
        <w:tab/>
      </w:r>
      <w:r w:rsidR="00FB2DB3">
        <w:t>There are no payments to respondents.</w:t>
      </w:r>
    </w:p>
    <w:p w:rsidRPr="00CE3C52" w:rsidR="00184A38" w:rsidP="00184A38" w:rsidRDefault="00184A38" w14:paraId="696772BE" w14:textId="77777777">
      <w:pPr>
        <w:autoSpaceDE w:val="0"/>
        <w:autoSpaceDN w:val="0"/>
        <w:adjustRightInd w:val="0"/>
      </w:pPr>
    </w:p>
    <w:p w:rsidRPr="008F4D44" w:rsidR="00184A38" w:rsidP="00184A38" w:rsidRDefault="00184A38" w14:paraId="40A9C375" w14:textId="77777777">
      <w:pPr>
        <w:tabs>
          <w:tab w:val="right" w:pos="360"/>
          <w:tab w:val="left" w:pos="540"/>
        </w:tabs>
        <w:autoSpaceDE w:val="0"/>
        <w:autoSpaceDN w:val="0"/>
        <w:adjustRightInd w:val="0"/>
        <w:ind w:left="720" w:hanging="720"/>
        <w:rPr>
          <w:i/>
        </w:rPr>
      </w:pPr>
      <w:r w:rsidRPr="008F4D44">
        <w:rPr>
          <w:i/>
        </w:rPr>
        <w:tab/>
        <w:t>10.</w:t>
      </w:r>
      <w:r w:rsidRPr="008F4D44">
        <w:rPr>
          <w:i/>
        </w:rPr>
        <w:tab/>
      </w:r>
      <w:r>
        <w:rPr>
          <w:i/>
        </w:rPr>
        <w:tab/>
      </w:r>
      <w:r w:rsidRPr="008F4D44">
        <w:rPr>
          <w:i/>
        </w:rPr>
        <w:t>Describe any assurance of confidentiality provided to respondents and the basis for the assurance in statute, regulation, or agency policy.</w:t>
      </w:r>
    </w:p>
    <w:p w:rsidR="00FB2DB3" w:rsidP="00FB2DB3" w:rsidRDefault="00FB2DB3" w14:paraId="4BBC3093" w14:textId="77777777">
      <w:pPr>
        <w:tabs>
          <w:tab w:val="left" w:pos="-1440"/>
        </w:tabs>
      </w:pPr>
    </w:p>
    <w:p w:rsidR="00FB2DB3" w:rsidP="003E5C88" w:rsidRDefault="003E5C88" w14:paraId="0DA065C6" w14:textId="77777777">
      <w:pPr>
        <w:tabs>
          <w:tab w:val="left" w:pos="-1440"/>
        </w:tabs>
        <w:ind w:left="720"/>
      </w:pPr>
      <w:r>
        <w:t>No confidentiality statement is provided to respondents.  Responses are made available to the public.</w:t>
      </w:r>
    </w:p>
    <w:p w:rsidRPr="00CE3C52" w:rsidR="00184A38" w:rsidP="00184A38" w:rsidRDefault="00184A38" w14:paraId="5D6D25C2" w14:textId="77777777">
      <w:pPr>
        <w:autoSpaceDE w:val="0"/>
        <w:autoSpaceDN w:val="0"/>
        <w:adjustRightInd w:val="0"/>
      </w:pPr>
    </w:p>
    <w:p w:rsidRPr="008F4D44" w:rsidR="00184A38" w:rsidP="00184A38" w:rsidRDefault="00184A38" w14:paraId="3F4E7298" w14:textId="77777777">
      <w:pPr>
        <w:tabs>
          <w:tab w:val="right" w:pos="360"/>
          <w:tab w:val="left" w:pos="540"/>
        </w:tabs>
        <w:autoSpaceDE w:val="0"/>
        <w:autoSpaceDN w:val="0"/>
        <w:adjustRightInd w:val="0"/>
        <w:ind w:left="720" w:hanging="720"/>
        <w:rPr>
          <w:i/>
        </w:rPr>
      </w:pPr>
      <w:r w:rsidRPr="008F4D44">
        <w:rPr>
          <w:i/>
        </w:rPr>
        <w:tab/>
        <w:t>11.</w:t>
      </w:r>
      <w:r w:rsidRPr="008F4D44">
        <w:rPr>
          <w:i/>
        </w:rPr>
        <w:tab/>
      </w:r>
      <w:r>
        <w:rPr>
          <w:i/>
        </w:rPr>
        <w:tab/>
      </w:r>
      <w:r w:rsidRPr="008F4D44">
        <w:rPr>
          <w:i/>
        </w:rPr>
        <w:t xml:space="preserve">Provide additional justification for any questions of a sensitive nature, such as sexual behavior and attitudes, religious beliefs, and other matters that are commonly considered private. </w:t>
      </w:r>
      <w:r>
        <w:rPr>
          <w:i/>
        </w:rPr>
        <w:t xml:space="preserve"> </w:t>
      </w:r>
      <w:r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84A38" w:rsidP="00FB2DB3" w:rsidRDefault="00184A38" w14:paraId="3F8F195F" w14:textId="77777777"/>
    <w:p w:rsidR="00D14221" w:rsidP="00FB2DB3" w:rsidRDefault="00184A38" w14:paraId="6FCD176B" w14:textId="77777777">
      <w:pPr>
        <w:tabs>
          <w:tab w:val="left" w:pos="-1440"/>
        </w:tabs>
      </w:pPr>
      <w:r>
        <w:tab/>
      </w:r>
      <w:r w:rsidR="00FB2DB3">
        <w:t>The data collection includes no q</w:t>
      </w:r>
      <w:r w:rsidR="003E5C88">
        <w:t>uestions of a sensitive nature.</w:t>
      </w:r>
    </w:p>
    <w:p w:rsidRPr="00CE3C52" w:rsidR="00184A38" w:rsidP="00184A38" w:rsidRDefault="00184A38" w14:paraId="2A084FC5" w14:textId="77777777">
      <w:pPr>
        <w:autoSpaceDE w:val="0"/>
        <w:autoSpaceDN w:val="0"/>
        <w:adjustRightInd w:val="0"/>
      </w:pPr>
    </w:p>
    <w:p w:rsidR="00184A38" w:rsidP="00D836E2" w:rsidRDefault="00184A38" w14:paraId="1BE901A0" w14:textId="77777777">
      <w:pPr>
        <w:tabs>
          <w:tab w:val="right" w:pos="360"/>
        </w:tabs>
        <w:autoSpaceDE w:val="0"/>
        <w:autoSpaceDN w:val="0"/>
        <w:adjustRightInd w:val="0"/>
        <w:ind w:left="720" w:hanging="720"/>
        <w:rPr>
          <w:i/>
        </w:rPr>
      </w:pPr>
      <w:r w:rsidRPr="008F4D44">
        <w:rPr>
          <w:i/>
        </w:rPr>
        <w:tab/>
        <w:t>12.</w:t>
      </w:r>
      <w:r w:rsidRPr="008F4D44">
        <w:rPr>
          <w:i/>
        </w:rPr>
        <w:tab/>
        <w:t xml:space="preserve">Provide estimates of the hour burden of the collection of information. </w:t>
      </w:r>
      <w:r>
        <w:rPr>
          <w:i/>
        </w:rPr>
        <w:t xml:space="preserve"> </w:t>
      </w:r>
    </w:p>
    <w:p w:rsidR="00184A38" w:rsidP="00184A38" w:rsidRDefault="00184A38" w14:paraId="54F00E6C" w14:textId="77777777"/>
    <w:p w:rsidR="00184A38" w:rsidP="00184A38" w:rsidRDefault="00184A38" w14:paraId="18662106" w14:textId="77777777">
      <w:pPr>
        <w:ind w:left="720"/>
      </w:pPr>
      <w:r>
        <w:t xml:space="preserve">The Department estimates this annual collection to have 52 </w:t>
      </w:r>
      <w:r w:rsidR="00EB1E8D">
        <w:t>respondents</w:t>
      </w:r>
      <w:r>
        <w:t xml:space="preserve"> corresponding to the number of </w:t>
      </w:r>
      <w:r w:rsidR="003E5C88">
        <w:t xml:space="preserve">State grantees </w:t>
      </w:r>
      <w:r>
        <w:t xml:space="preserve">administering a </w:t>
      </w:r>
      <w:r w:rsidR="00D2443F">
        <w:t>TAA Program</w:t>
      </w:r>
      <w:r>
        <w:t xml:space="preserve">.  This includes all 50 States plus Puerto Rico and the District of Columbia.  Further, the Department estimates the collection will take </w:t>
      </w:r>
      <w:r w:rsidR="003E5C88">
        <w:t>30</w:t>
      </w:r>
      <w:r>
        <w:t xml:space="preserve"> minutes to complete based on estimates provided by four states.</w:t>
      </w:r>
    </w:p>
    <w:p w:rsidR="00184A38" w:rsidP="00184A38" w:rsidRDefault="00184A38" w14:paraId="210DAA37" w14:textId="77777777">
      <w:pPr>
        <w:pStyle w:val="NormalWeb"/>
        <w:spacing w:after="0" w:afterAutospacing="0"/>
        <w:ind w:left="720"/>
        <w:rPr>
          <w:rFonts w:cs="Arial"/>
          <w:color w:val="000000"/>
        </w:rPr>
      </w:pPr>
      <w:r>
        <w:t>The Department estimates a total annual cost of $</w:t>
      </w:r>
      <w:r w:rsidR="008D1C4A">
        <w:t>7,956</w:t>
      </w:r>
      <w:r>
        <w:t xml:space="preserve">.00.  </w:t>
      </w:r>
      <w:r>
        <w:rPr>
          <w:rFonts w:cs="Arial"/>
          <w:color w:val="000000"/>
        </w:rPr>
        <w:t xml:space="preserve">This estimate is based </w:t>
      </w:r>
      <w:r w:rsidR="00D2443F">
        <w:rPr>
          <w:rFonts w:cs="Arial"/>
          <w:color w:val="000000"/>
        </w:rPr>
        <w:t xml:space="preserve">on </w:t>
      </w:r>
      <w:r w:rsidR="008D1C4A">
        <w:rPr>
          <w:rFonts w:cs="Arial"/>
          <w:color w:val="000000"/>
        </w:rPr>
        <w:t xml:space="preserve">a median hourly earnings of </w:t>
      </w:r>
      <w:r>
        <w:rPr>
          <w:rFonts w:cs="Arial"/>
          <w:color w:val="000000"/>
        </w:rPr>
        <w:t>$</w:t>
      </w:r>
      <w:r w:rsidR="008D1C4A">
        <w:rPr>
          <w:rFonts w:cs="Arial"/>
          <w:color w:val="000000"/>
        </w:rPr>
        <w:t>30</w:t>
      </w:r>
      <w:r>
        <w:rPr>
          <w:rFonts w:cs="Arial"/>
          <w:color w:val="000000"/>
        </w:rPr>
        <w:t>.</w:t>
      </w:r>
      <w:r w:rsidR="008D1C4A">
        <w:rPr>
          <w:rFonts w:cs="Arial"/>
          <w:color w:val="000000"/>
        </w:rPr>
        <w:t>60</w:t>
      </w:r>
      <w:r>
        <w:rPr>
          <w:rFonts w:cs="Arial"/>
          <w:color w:val="000000"/>
        </w:rPr>
        <w:t xml:space="preserve"> average hourly earnings for managerial and professional workers as reported in the</w:t>
      </w:r>
      <w:r w:rsidR="008D1C4A">
        <w:rPr>
          <w:rFonts w:cs="Arial"/>
          <w:color w:val="000000"/>
        </w:rPr>
        <w:t xml:space="preserve"> </w:t>
      </w:r>
      <w:hyperlink w:history="1" r:id="rId12">
        <w:r w:rsidRPr="008D1C4A" w:rsidR="008D1C4A">
          <w:rPr>
            <w:rStyle w:val="Hyperlink"/>
            <w:rFonts w:cs="Arial"/>
          </w:rPr>
          <w:t>BLS Current Population Survey</w:t>
        </w:r>
      </w:hyperlink>
      <w:r w:rsidR="008D1C4A">
        <w:rPr>
          <w:rFonts w:cs="Arial"/>
          <w:color w:val="000000"/>
        </w:rPr>
        <w:t>, and assuming a 40</w:t>
      </w:r>
      <w:r w:rsidR="00B6088E">
        <w:rPr>
          <w:rFonts w:cs="Arial"/>
          <w:color w:val="000000"/>
        </w:rPr>
        <w:t>-</w:t>
      </w:r>
      <w:r w:rsidR="008D1C4A">
        <w:rPr>
          <w:rFonts w:cs="Arial"/>
          <w:color w:val="000000"/>
        </w:rPr>
        <w:t>hour work week.</w:t>
      </w:r>
      <w:r>
        <w:rPr>
          <w:rFonts w:cs="Arial"/>
          <w:color w:val="000000"/>
        </w:rPr>
        <w:t xml:space="preserve"> </w:t>
      </w:r>
      <w:r w:rsidR="008D1C4A">
        <w:rPr>
          <w:rFonts w:cs="Arial"/>
          <w:color w:val="000000"/>
        </w:rPr>
        <w:t xml:space="preserve"> </w:t>
      </w:r>
      <w:r>
        <w:rPr>
          <w:rFonts w:cs="Arial"/>
          <w:color w:val="000000"/>
        </w:rPr>
        <w:t xml:space="preserve">Finally, </w:t>
      </w:r>
      <w:r w:rsidR="003E5C88">
        <w:rPr>
          <w:rFonts w:cs="Arial"/>
          <w:color w:val="000000"/>
        </w:rPr>
        <w:t>State grantees</w:t>
      </w:r>
      <w:r>
        <w:rPr>
          <w:rFonts w:cs="Arial"/>
          <w:color w:val="000000"/>
        </w:rPr>
        <w:t xml:space="preserve"> are provided funding for administration and data reporting of the </w:t>
      </w:r>
      <w:r w:rsidR="00D2443F">
        <w:rPr>
          <w:rFonts w:cs="Arial"/>
          <w:color w:val="000000"/>
        </w:rPr>
        <w:t>TAA Program</w:t>
      </w:r>
      <w:r>
        <w:rPr>
          <w:rFonts w:cs="Arial"/>
          <w:color w:val="000000"/>
        </w:rPr>
        <w:t xml:space="preserve"> </w:t>
      </w:r>
      <w:r w:rsidR="003878F8">
        <w:rPr>
          <w:rFonts w:cs="Arial"/>
          <w:color w:val="000000"/>
        </w:rPr>
        <w:t>that will fully cover personnel costs of this collection.</w:t>
      </w:r>
      <w:r w:rsidDel="003878F8" w:rsidR="003878F8">
        <w:rPr>
          <w:rFonts w:cs="Arial"/>
          <w:color w:val="000000"/>
        </w:rPr>
        <w:t xml:space="preserve"> </w:t>
      </w:r>
    </w:p>
    <w:p w:rsidR="00184A38" w:rsidP="00184A38" w:rsidRDefault="00184A38" w14:paraId="2447BAF3" w14:textId="77777777"/>
    <w:p w:rsidR="00EB1E8D" w:rsidP="000A017D" w:rsidRDefault="00EB1E8D" w14:paraId="6EDBD43E" w14:textId="77777777">
      <w:pPr>
        <w:ind w:left="720"/>
      </w:pPr>
      <w:r>
        <w:rPr>
          <w:i/>
        </w:rPr>
        <w:t>The following table can be used as a guide to calculate the total burden of an information collection.</w:t>
      </w:r>
    </w:p>
    <w:p w:rsidR="00184A38" w:rsidP="00184A38" w:rsidRDefault="00184A38" w14:paraId="026A31CF" w14:textId="77777777"/>
    <w:p w:rsidR="000A758B" w:rsidP="00184A38" w:rsidRDefault="000A758B" w14:paraId="3F05793D" w14:textId="77777777"/>
    <w:p w:rsidR="000A758B" w:rsidP="00184A38" w:rsidRDefault="000A758B" w14:paraId="5008E4FD" w14:textId="77777777"/>
    <w:p w:rsidR="000A758B" w:rsidP="00184A38" w:rsidRDefault="000A758B" w14:paraId="0045A7DD" w14:textId="77777777"/>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530"/>
        <w:gridCol w:w="1350"/>
        <w:gridCol w:w="1350"/>
        <w:gridCol w:w="1170"/>
        <w:gridCol w:w="990"/>
        <w:gridCol w:w="900"/>
        <w:gridCol w:w="1350"/>
      </w:tblGrid>
      <w:tr w:rsidR="008D1C4A" w:rsidTr="008D1C4A" w14:paraId="081AECB1" w14:textId="77777777">
        <w:tc>
          <w:tcPr>
            <w:tcW w:w="1525" w:type="dxa"/>
            <w:tcBorders>
              <w:top w:val="single" w:color="auto" w:sz="4" w:space="0"/>
              <w:left w:val="single" w:color="auto" w:sz="4" w:space="0"/>
              <w:bottom w:val="single" w:color="auto" w:sz="4" w:space="0"/>
              <w:right w:val="single" w:color="auto" w:sz="4" w:space="0"/>
            </w:tcBorders>
            <w:shd w:val="clear" w:color="auto" w:fill="8DB3E2"/>
            <w:hideMark/>
          </w:tcPr>
          <w:p w:rsidR="00184A38" w:rsidP="00F37389" w:rsidRDefault="00184A38" w14:paraId="0B45769F" w14:textId="77777777">
            <w:pPr>
              <w:spacing w:line="276" w:lineRule="auto"/>
              <w:jc w:val="center"/>
              <w:rPr>
                <w:b/>
                <w:sz w:val="22"/>
                <w:szCs w:val="22"/>
              </w:rPr>
            </w:pPr>
            <w:r>
              <w:rPr>
                <w:b/>
                <w:sz w:val="22"/>
                <w:szCs w:val="22"/>
              </w:rPr>
              <w:t>Activity</w:t>
            </w:r>
          </w:p>
        </w:tc>
        <w:tc>
          <w:tcPr>
            <w:tcW w:w="1530" w:type="dxa"/>
            <w:tcBorders>
              <w:top w:val="single" w:color="auto" w:sz="4" w:space="0"/>
              <w:left w:val="single" w:color="auto" w:sz="4" w:space="0"/>
              <w:bottom w:val="single" w:color="auto" w:sz="4" w:space="0"/>
              <w:right w:val="single" w:color="auto" w:sz="4" w:space="0"/>
            </w:tcBorders>
            <w:shd w:val="clear" w:color="auto" w:fill="8DB3E2"/>
            <w:hideMark/>
          </w:tcPr>
          <w:p w:rsidR="00184A38" w:rsidP="00F37389" w:rsidRDefault="00184A38" w14:paraId="02E4611F" w14:textId="77777777">
            <w:pPr>
              <w:spacing w:line="276" w:lineRule="auto"/>
              <w:jc w:val="center"/>
              <w:rPr>
                <w:b/>
                <w:sz w:val="22"/>
                <w:szCs w:val="22"/>
              </w:rPr>
            </w:pPr>
            <w:r>
              <w:rPr>
                <w:b/>
                <w:sz w:val="22"/>
                <w:szCs w:val="22"/>
              </w:rPr>
              <w:t>Number of Respondents</w:t>
            </w:r>
          </w:p>
        </w:tc>
        <w:tc>
          <w:tcPr>
            <w:tcW w:w="1350" w:type="dxa"/>
            <w:tcBorders>
              <w:top w:val="single" w:color="auto" w:sz="4" w:space="0"/>
              <w:left w:val="single" w:color="auto" w:sz="4" w:space="0"/>
              <w:bottom w:val="single" w:color="auto" w:sz="4" w:space="0"/>
              <w:right w:val="single" w:color="auto" w:sz="4" w:space="0"/>
            </w:tcBorders>
            <w:shd w:val="clear" w:color="auto" w:fill="8DB3E2"/>
            <w:hideMark/>
          </w:tcPr>
          <w:p w:rsidR="00184A38" w:rsidP="00F37389" w:rsidRDefault="00184A38" w14:paraId="0E6E9C53" w14:textId="77777777">
            <w:pPr>
              <w:spacing w:line="276" w:lineRule="auto"/>
              <w:jc w:val="center"/>
              <w:rPr>
                <w:b/>
                <w:sz w:val="22"/>
                <w:szCs w:val="22"/>
              </w:rPr>
            </w:pPr>
            <w:r>
              <w:rPr>
                <w:b/>
                <w:sz w:val="22"/>
                <w:szCs w:val="22"/>
              </w:rPr>
              <w:t>Frequency</w:t>
            </w:r>
          </w:p>
        </w:tc>
        <w:tc>
          <w:tcPr>
            <w:tcW w:w="1350" w:type="dxa"/>
            <w:tcBorders>
              <w:top w:val="single" w:color="auto" w:sz="4" w:space="0"/>
              <w:left w:val="single" w:color="auto" w:sz="4" w:space="0"/>
              <w:bottom w:val="single" w:color="auto" w:sz="4" w:space="0"/>
              <w:right w:val="single" w:color="auto" w:sz="4" w:space="0"/>
            </w:tcBorders>
            <w:shd w:val="clear" w:color="auto" w:fill="8DB3E2"/>
            <w:hideMark/>
          </w:tcPr>
          <w:p w:rsidR="00184A38" w:rsidP="00F37389" w:rsidRDefault="00184A38" w14:paraId="446FDDF8" w14:textId="77777777">
            <w:pPr>
              <w:spacing w:line="276" w:lineRule="auto"/>
              <w:jc w:val="center"/>
              <w:rPr>
                <w:b/>
                <w:sz w:val="22"/>
                <w:szCs w:val="22"/>
              </w:rPr>
            </w:pPr>
            <w:r>
              <w:rPr>
                <w:b/>
                <w:sz w:val="22"/>
                <w:szCs w:val="22"/>
              </w:rPr>
              <w:t>Total Annual Responses</w:t>
            </w:r>
          </w:p>
        </w:tc>
        <w:tc>
          <w:tcPr>
            <w:tcW w:w="1170" w:type="dxa"/>
            <w:tcBorders>
              <w:top w:val="single" w:color="auto" w:sz="4" w:space="0"/>
              <w:left w:val="single" w:color="auto" w:sz="4" w:space="0"/>
              <w:bottom w:val="single" w:color="auto" w:sz="4" w:space="0"/>
              <w:right w:val="single" w:color="auto" w:sz="4" w:space="0"/>
            </w:tcBorders>
            <w:shd w:val="clear" w:color="auto" w:fill="8DB3E2"/>
            <w:hideMark/>
          </w:tcPr>
          <w:p w:rsidR="00184A38" w:rsidP="00F37389" w:rsidRDefault="00184A38" w14:paraId="12A35768" w14:textId="77777777">
            <w:pPr>
              <w:spacing w:line="276" w:lineRule="auto"/>
              <w:jc w:val="center"/>
              <w:rPr>
                <w:b/>
                <w:sz w:val="22"/>
                <w:szCs w:val="22"/>
              </w:rPr>
            </w:pPr>
            <w:r>
              <w:rPr>
                <w:b/>
                <w:sz w:val="22"/>
                <w:szCs w:val="22"/>
              </w:rPr>
              <w:t>Time Per Response</w:t>
            </w:r>
            <w:r w:rsidR="000A758B">
              <w:rPr>
                <w:b/>
                <w:sz w:val="22"/>
                <w:szCs w:val="22"/>
              </w:rPr>
              <w:t xml:space="preserve"> (in hours)</w:t>
            </w:r>
          </w:p>
        </w:tc>
        <w:tc>
          <w:tcPr>
            <w:tcW w:w="990" w:type="dxa"/>
            <w:tcBorders>
              <w:top w:val="single" w:color="auto" w:sz="4" w:space="0"/>
              <w:left w:val="single" w:color="auto" w:sz="4" w:space="0"/>
              <w:bottom w:val="single" w:color="auto" w:sz="4" w:space="0"/>
              <w:right w:val="single" w:color="auto" w:sz="4" w:space="0"/>
            </w:tcBorders>
            <w:shd w:val="clear" w:color="auto" w:fill="8DB3E2"/>
            <w:hideMark/>
          </w:tcPr>
          <w:p w:rsidR="00184A38" w:rsidP="00F37389" w:rsidRDefault="00184A38" w14:paraId="1F5CF472" w14:textId="77777777">
            <w:pPr>
              <w:spacing w:line="276" w:lineRule="auto"/>
              <w:jc w:val="center"/>
              <w:rPr>
                <w:b/>
                <w:sz w:val="22"/>
                <w:szCs w:val="22"/>
              </w:rPr>
            </w:pPr>
            <w:r>
              <w:rPr>
                <w:b/>
                <w:sz w:val="22"/>
                <w:szCs w:val="22"/>
              </w:rPr>
              <w:t>Total Annual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hideMark/>
          </w:tcPr>
          <w:p w:rsidR="00184A38" w:rsidP="00F37389" w:rsidRDefault="00184A38" w14:paraId="4C1A6DB7" w14:textId="77777777">
            <w:pPr>
              <w:spacing w:line="276" w:lineRule="auto"/>
              <w:jc w:val="center"/>
              <w:rPr>
                <w:b/>
                <w:sz w:val="22"/>
                <w:szCs w:val="22"/>
              </w:rPr>
            </w:pPr>
            <w:r>
              <w:rPr>
                <w:b/>
                <w:sz w:val="22"/>
                <w:szCs w:val="22"/>
              </w:rPr>
              <w:t>Hourly Rate*</w:t>
            </w:r>
          </w:p>
        </w:tc>
        <w:tc>
          <w:tcPr>
            <w:tcW w:w="1350" w:type="dxa"/>
            <w:tcBorders>
              <w:top w:val="single" w:color="auto" w:sz="4" w:space="0"/>
              <w:left w:val="single" w:color="auto" w:sz="4" w:space="0"/>
              <w:bottom w:val="single" w:color="auto" w:sz="4" w:space="0"/>
              <w:right w:val="single" w:color="auto" w:sz="4" w:space="0"/>
            </w:tcBorders>
            <w:shd w:val="clear" w:color="auto" w:fill="8DB3E2"/>
            <w:hideMark/>
          </w:tcPr>
          <w:p w:rsidR="00184A38" w:rsidP="00F37389" w:rsidRDefault="00184A38" w14:paraId="2CEFD714" w14:textId="77777777">
            <w:pPr>
              <w:spacing w:line="276" w:lineRule="auto"/>
              <w:jc w:val="center"/>
              <w:rPr>
                <w:b/>
                <w:sz w:val="22"/>
                <w:szCs w:val="22"/>
              </w:rPr>
            </w:pPr>
            <w:r>
              <w:rPr>
                <w:b/>
                <w:sz w:val="22"/>
                <w:szCs w:val="22"/>
              </w:rPr>
              <w:t>Monetized Value of Respondent Time</w:t>
            </w:r>
          </w:p>
        </w:tc>
      </w:tr>
      <w:tr w:rsidR="008D1C4A" w:rsidTr="008D1C4A" w14:paraId="372D4E93" w14:textId="77777777">
        <w:tc>
          <w:tcPr>
            <w:tcW w:w="1525" w:type="dxa"/>
            <w:tcBorders>
              <w:top w:val="single" w:color="auto" w:sz="4" w:space="0"/>
              <w:left w:val="single" w:color="auto" w:sz="4" w:space="0"/>
              <w:bottom w:val="single" w:color="auto" w:sz="4" w:space="0"/>
              <w:right w:val="single" w:color="auto" w:sz="4" w:space="0"/>
            </w:tcBorders>
            <w:vAlign w:val="bottom"/>
          </w:tcPr>
          <w:p w:rsidR="00184A38" w:rsidP="006712E2" w:rsidRDefault="00184A38" w14:paraId="0BF6EE4A" w14:textId="77777777">
            <w:pPr>
              <w:spacing w:line="276" w:lineRule="auto"/>
              <w:rPr>
                <w:sz w:val="22"/>
                <w:szCs w:val="22"/>
              </w:rPr>
            </w:pPr>
            <w:r>
              <w:rPr>
                <w:sz w:val="22"/>
                <w:szCs w:val="22"/>
              </w:rPr>
              <w:t>Collection Response</w:t>
            </w:r>
          </w:p>
        </w:tc>
        <w:tc>
          <w:tcPr>
            <w:tcW w:w="1530" w:type="dxa"/>
            <w:tcBorders>
              <w:top w:val="single" w:color="auto" w:sz="4" w:space="0"/>
              <w:left w:val="single" w:color="auto" w:sz="4" w:space="0"/>
              <w:bottom w:val="single" w:color="auto" w:sz="4" w:space="0"/>
              <w:right w:val="single" w:color="auto" w:sz="4" w:space="0"/>
            </w:tcBorders>
            <w:vAlign w:val="center"/>
          </w:tcPr>
          <w:p w:rsidR="00184A38" w:rsidP="008D1C4A" w:rsidRDefault="00184A38" w14:paraId="1B2031E6" w14:textId="77777777">
            <w:pPr>
              <w:spacing w:line="276" w:lineRule="auto"/>
              <w:jc w:val="center"/>
              <w:rPr>
                <w:sz w:val="22"/>
                <w:szCs w:val="22"/>
              </w:rPr>
            </w:pPr>
            <w:r>
              <w:rPr>
                <w:sz w:val="22"/>
                <w:szCs w:val="22"/>
              </w:rPr>
              <w:t>52</w:t>
            </w:r>
          </w:p>
        </w:tc>
        <w:tc>
          <w:tcPr>
            <w:tcW w:w="1350" w:type="dxa"/>
            <w:tcBorders>
              <w:top w:val="single" w:color="auto" w:sz="4" w:space="0"/>
              <w:left w:val="single" w:color="auto" w:sz="4" w:space="0"/>
              <w:bottom w:val="single" w:color="auto" w:sz="4" w:space="0"/>
              <w:right w:val="single" w:color="auto" w:sz="4" w:space="0"/>
            </w:tcBorders>
            <w:vAlign w:val="center"/>
          </w:tcPr>
          <w:p w:rsidR="00184A38" w:rsidP="008D1C4A" w:rsidRDefault="00AA58E7" w14:paraId="3D27140E" w14:textId="77777777">
            <w:pPr>
              <w:spacing w:line="276" w:lineRule="auto"/>
              <w:jc w:val="center"/>
              <w:rPr>
                <w:sz w:val="22"/>
                <w:szCs w:val="22"/>
              </w:rPr>
            </w:pPr>
            <w:r>
              <w:rPr>
                <w:sz w:val="22"/>
                <w:szCs w:val="22"/>
              </w:rPr>
              <w:t>Quarterly</w:t>
            </w:r>
          </w:p>
        </w:tc>
        <w:tc>
          <w:tcPr>
            <w:tcW w:w="1350" w:type="dxa"/>
            <w:tcBorders>
              <w:top w:val="single" w:color="auto" w:sz="4" w:space="0"/>
              <w:left w:val="single" w:color="auto" w:sz="4" w:space="0"/>
              <w:bottom w:val="single" w:color="auto" w:sz="4" w:space="0"/>
              <w:right w:val="single" w:color="auto" w:sz="4" w:space="0"/>
            </w:tcBorders>
            <w:vAlign w:val="center"/>
          </w:tcPr>
          <w:p w:rsidR="00184A38" w:rsidP="008D1C4A" w:rsidRDefault="003E5C88" w14:paraId="1F392C36" w14:textId="77777777">
            <w:pPr>
              <w:spacing w:line="276" w:lineRule="auto"/>
              <w:jc w:val="center"/>
              <w:rPr>
                <w:sz w:val="22"/>
                <w:szCs w:val="22"/>
              </w:rPr>
            </w:pPr>
            <w:r>
              <w:rPr>
                <w:sz w:val="22"/>
                <w:szCs w:val="22"/>
              </w:rPr>
              <w:t>208</w:t>
            </w:r>
          </w:p>
        </w:tc>
        <w:tc>
          <w:tcPr>
            <w:tcW w:w="1170" w:type="dxa"/>
            <w:tcBorders>
              <w:top w:val="single" w:color="auto" w:sz="4" w:space="0"/>
              <w:left w:val="single" w:color="auto" w:sz="4" w:space="0"/>
              <w:bottom w:val="single" w:color="auto" w:sz="4" w:space="0"/>
              <w:right w:val="single" w:color="auto" w:sz="4" w:space="0"/>
            </w:tcBorders>
            <w:vAlign w:val="center"/>
          </w:tcPr>
          <w:p w:rsidR="00184A38" w:rsidP="000A758B" w:rsidRDefault="003E5C88" w14:paraId="6F61E643" w14:textId="5FD85D86">
            <w:pPr>
              <w:spacing w:line="276" w:lineRule="auto"/>
              <w:jc w:val="center"/>
              <w:rPr>
                <w:sz w:val="22"/>
                <w:szCs w:val="22"/>
              </w:rPr>
            </w:pPr>
            <w:r>
              <w:rPr>
                <w:sz w:val="22"/>
                <w:szCs w:val="22"/>
              </w:rPr>
              <w:t>0.</w:t>
            </w:r>
            <w:r w:rsidR="00184A38">
              <w:rPr>
                <w:sz w:val="22"/>
                <w:szCs w:val="22"/>
              </w:rPr>
              <w:t xml:space="preserve">5 </w:t>
            </w:r>
          </w:p>
        </w:tc>
        <w:tc>
          <w:tcPr>
            <w:tcW w:w="990" w:type="dxa"/>
            <w:tcBorders>
              <w:top w:val="single" w:color="auto" w:sz="4" w:space="0"/>
              <w:left w:val="single" w:color="auto" w:sz="4" w:space="0"/>
              <w:bottom w:val="single" w:color="auto" w:sz="4" w:space="0"/>
              <w:right w:val="single" w:color="auto" w:sz="4" w:space="0"/>
            </w:tcBorders>
            <w:vAlign w:val="center"/>
          </w:tcPr>
          <w:p w:rsidR="00184A38" w:rsidP="008D1C4A" w:rsidRDefault="003E5C88" w14:paraId="19CB7F98" w14:textId="77777777">
            <w:pPr>
              <w:spacing w:line="276" w:lineRule="auto"/>
              <w:jc w:val="center"/>
              <w:rPr>
                <w:sz w:val="22"/>
                <w:szCs w:val="22"/>
              </w:rPr>
            </w:pPr>
            <w:r>
              <w:rPr>
                <w:sz w:val="22"/>
                <w:szCs w:val="22"/>
              </w:rPr>
              <w:t>104</w:t>
            </w:r>
          </w:p>
        </w:tc>
        <w:tc>
          <w:tcPr>
            <w:tcW w:w="900" w:type="dxa"/>
            <w:tcBorders>
              <w:top w:val="single" w:color="auto" w:sz="4" w:space="0"/>
              <w:left w:val="single" w:color="auto" w:sz="4" w:space="0"/>
              <w:bottom w:val="single" w:color="auto" w:sz="4" w:space="0"/>
              <w:right w:val="single" w:color="auto" w:sz="4" w:space="0"/>
            </w:tcBorders>
            <w:vAlign w:val="center"/>
          </w:tcPr>
          <w:p w:rsidR="00184A38" w:rsidP="008D1C4A" w:rsidRDefault="00184A38" w14:paraId="2EEAA962" w14:textId="77777777">
            <w:pPr>
              <w:spacing w:line="276" w:lineRule="auto"/>
              <w:jc w:val="center"/>
              <w:rPr>
                <w:sz w:val="22"/>
                <w:szCs w:val="22"/>
              </w:rPr>
            </w:pPr>
            <w:r>
              <w:rPr>
                <w:rFonts w:cs="Arial"/>
                <w:color w:val="000000"/>
              </w:rPr>
              <w:t>$</w:t>
            </w:r>
            <w:r w:rsidR="008D1C4A">
              <w:rPr>
                <w:rFonts w:cs="Arial"/>
                <w:color w:val="000000"/>
              </w:rPr>
              <w:t>30.60</w:t>
            </w:r>
          </w:p>
        </w:tc>
        <w:tc>
          <w:tcPr>
            <w:tcW w:w="1350" w:type="dxa"/>
            <w:tcBorders>
              <w:top w:val="single" w:color="auto" w:sz="4" w:space="0"/>
              <w:left w:val="single" w:color="auto" w:sz="4" w:space="0"/>
              <w:bottom w:val="single" w:color="auto" w:sz="4" w:space="0"/>
              <w:right w:val="single" w:color="auto" w:sz="4" w:space="0"/>
            </w:tcBorders>
            <w:vAlign w:val="center"/>
          </w:tcPr>
          <w:p w:rsidR="00184A38" w:rsidP="008D1C4A" w:rsidRDefault="00184A38" w14:paraId="7B70F328" w14:textId="77777777">
            <w:pPr>
              <w:spacing w:line="276" w:lineRule="auto"/>
              <w:jc w:val="center"/>
              <w:rPr>
                <w:sz w:val="22"/>
                <w:szCs w:val="22"/>
              </w:rPr>
            </w:pPr>
            <w:r>
              <w:rPr>
                <w:sz w:val="22"/>
                <w:szCs w:val="22"/>
              </w:rPr>
              <w:t>$</w:t>
            </w:r>
            <w:r w:rsidR="003E5C88">
              <w:rPr>
                <w:sz w:val="22"/>
                <w:szCs w:val="22"/>
              </w:rPr>
              <w:t>3,182.40</w:t>
            </w:r>
          </w:p>
        </w:tc>
      </w:tr>
      <w:tr w:rsidR="008D1C4A" w:rsidTr="008D1C4A" w14:paraId="4862275E" w14:textId="77777777">
        <w:tc>
          <w:tcPr>
            <w:tcW w:w="1525" w:type="dxa"/>
            <w:tcBorders>
              <w:top w:val="single" w:color="auto" w:sz="4" w:space="0"/>
              <w:left w:val="single" w:color="auto" w:sz="4" w:space="0"/>
              <w:bottom w:val="single" w:color="auto" w:sz="4" w:space="0"/>
              <w:right w:val="single" w:color="auto" w:sz="4" w:space="0"/>
            </w:tcBorders>
            <w:hideMark/>
          </w:tcPr>
          <w:p w:rsidR="008D1C4A" w:rsidP="008D1C4A" w:rsidRDefault="008D1C4A" w14:paraId="602C3FC8" w14:textId="77777777">
            <w:pPr>
              <w:spacing w:line="276" w:lineRule="auto"/>
              <w:rPr>
                <w:b/>
                <w:i/>
                <w:sz w:val="22"/>
                <w:szCs w:val="22"/>
              </w:rPr>
            </w:pPr>
            <w:r>
              <w:rPr>
                <w:b/>
                <w:i/>
                <w:sz w:val="22"/>
                <w:szCs w:val="22"/>
              </w:rPr>
              <w:t>Unduplicated Totals</w:t>
            </w:r>
          </w:p>
        </w:tc>
        <w:tc>
          <w:tcPr>
            <w:tcW w:w="1530" w:type="dxa"/>
            <w:tcBorders>
              <w:top w:val="single" w:color="auto" w:sz="4" w:space="0"/>
              <w:left w:val="single" w:color="auto" w:sz="4" w:space="0"/>
              <w:bottom w:val="single" w:color="auto" w:sz="4" w:space="0"/>
              <w:right w:val="single" w:color="auto" w:sz="4" w:space="0"/>
            </w:tcBorders>
            <w:vAlign w:val="center"/>
          </w:tcPr>
          <w:p w:rsidRPr="00D836E2" w:rsidR="008D1C4A" w:rsidP="008D1C4A" w:rsidRDefault="008D1C4A" w14:paraId="1C97C874" w14:textId="77777777">
            <w:pPr>
              <w:spacing w:line="276" w:lineRule="auto"/>
              <w:jc w:val="center"/>
              <w:rPr>
                <w:b/>
                <w:i/>
                <w:sz w:val="22"/>
                <w:szCs w:val="22"/>
              </w:rPr>
            </w:pPr>
            <w:r w:rsidRPr="00D836E2">
              <w:rPr>
                <w:b/>
                <w:i/>
                <w:sz w:val="22"/>
                <w:szCs w:val="22"/>
              </w:rPr>
              <w:t>52</w:t>
            </w:r>
          </w:p>
        </w:tc>
        <w:tc>
          <w:tcPr>
            <w:tcW w:w="1350" w:type="dxa"/>
            <w:tcBorders>
              <w:top w:val="single" w:color="auto" w:sz="4" w:space="0"/>
              <w:left w:val="single" w:color="auto" w:sz="4" w:space="0"/>
              <w:bottom w:val="single" w:color="auto" w:sz="4" w:space="0"/>
              <w:right w:val="single" w:color="auto" w:sz="4" w:space="0"/>
            </w:tcBorders>
            <w:vAlign w:val="center"/>
          </w:tcPr>
          <w:p w:rsidRPr="00D836E2" w:rsidR="008D1C4A" w:rsidP="008D1C4A" w:rsidRDefault="00EB1E8D" w14:paraId="05F1DA18" w14:textId="77777777">
            <w:pPr>
              <w:spacing w:line="276" w:lineRule="auto"/>
              <w:jc w:val="center"/>
              <w:rPr>
                <w:b/>
                <w:i/>
                <w:sz w:val="22"/>
                <w:szCs w:val="22"/>
              </w:rPr>
            </w:pPr>
            <w:r w:rsidRPr="00D836E2">
              <w:rPr>
                <w:b/>
                <w:i/>
                <w:sz w:val="22"/>
                <w:szCs w:val="22"/>
              </w:rPr>
              <w:t>--</w:t>
            </w:r>
          </w:p>
        </w:tc>
        <w:tc>
          <w:tcPr>
            <w:tcW w:w="1350" w:type="dxa"/>
            <w:tcBorders>
              <w:top w:val="single" w:color="auto" w:sz="4" w:space="0"/>
              <w:left w:val="single" w:color="auto" w:sz="4" w:space="0"/>
              <w:bottom w:val="single" w:color="auto" w:sz="4" w:space="0"/>
              <w:right w:val="single" w:color="auto" w:sz="4" w:space="0"/>
            </w:tcBorders>
            <w:vAlign w:val="center"/>
          </w:tcPr>
          <w:p w:rsidRPr="00D836E2" w:rsidR="008D1C4A" w:rsidP="008D1C4A" w:rsidRDefault="003E5C88" w14:paraId="2A4876EE" w14:textId="77777777">
            <w:pPr>
              <w:spacing w:line="276" w:lineRule="auto"/>
              <w:jc w:val="center"/>
              <w:rPr>
                <w:b/>
                <w:i/>
                <w:sz w:val="22"/>
                <w:szCs w:val="22"/>
              </w:rPr>
            </w:pPr>
            <w:r>
              <w:rPr>
                <w:b/>
                <w:i/>
                <w:sz w:val="22"/>
                <w:szCs w:val="22"/>
              </w:rPr>
              <w:t>208</w:t>
            </w:r>
          </w:p>
        </w:tc>
        <w:tc>
          <w:tcPr>
            <w:tcW w:w="1170" w:type="dxa"/>
            <w:tcBorders>
              <w:top w:val="single" w:color="auto" w:sz="4" w:space="0"/>
              <w:left w:val="single" w:color="auto" w:sz="4" w:space="0"/>
              <w:bottom w:val="single" w:color="auto" w:sz="4" w:space="0"/>
              <w:right w:val="single" w:color="auto" w:sz="4" w:space="0"/>
            </w:tcBorders>
            <w:vAlign w:val="center"/>
          </w:tcPr>
          <w:p w:rsidRPr="00D836E2" w:rsidR="008D1C4A" w:rsidP="008D1C4A" w:rsidRDefault="00EB1E8D" w14:paraId="39074262" w14:textId="77777777">
            <w:pPr>
              <w:spacing w:line="276" w:lineRule="auto"/>
              <w:jc w:val="center"/>
              <w:rPr>
                <w:b/>
                <w:i/>
                <w:sz w:val="22"/>
                <w:szCs w:val="22"/>
              </w:rPr>
            </w:pPr>
            <w:r w:rsidRPr="00D836E2">
              <w:rPr>
                <w:b/>
                <w:i/>
                <w:sz w:val="22"/>
                <w:szCs w:val="22"/>
              </w:rPr>
              <w:t>--</w:t>
            </w:r>
          </w:p>
        </w:tc>
        <w:tc>
          <w:tcPr>
            <w:tcW w:w="990" w:type="dxa"/>
            <w:tcBorders>
              <w:top w:val="single" w:color="auto" w:sz="4" w:space="0"/>
              <w:left w:val="single" w:color="auto" w:sz="4" w:space="0"/>
              <w:bottom w:val="single" w:color="auto" w:sz="4" w:space="0"/>
              <w:right w:val="single" w:color="auto" w:sz="4" w:space="0"/>
            </w:tcBorders>
            <w:vAlign w:val="center"/>
          </w:tcPr>
          <w:p w:rsidRPr="00D836E2" w:rsidR="008D1C4A" w:rsidP="008D1C4A" w:rsidRDefault="003E5C88" w14:paraId="668A6CBC" w14:textId="77777777">
            <w:pPr>
              <w:spacing w:line="276" w:lineRule="auto"/>
              <w:jc w:val="center"/>
              <w:rPr>
                <w:b/>
                <w:i/>
                <w:sz w:val="22"/>
                <w:szCs w:val="22"/>
              </w:rPr>
            </w:pPr>
            <w:r>
              <w:rPr>
                <w:b/>
                <w:i/>
                <w:sz w:val="22"/>
                <w:szCs w:val="22"/>
              </w:rPr>
              <w:t>104</w:t>
            </w:r>
          </w:p>
        </w:tc>
        <w:tc>
          <w:tcPr>
            <w:tcW w:w="900" w:type="dxa"/>
            <w:tcBorders>
              <w:top w:val="single" w:color="auto" w:sz="4" w:space="0"/>
              <w:left w:val="single" w:color="auto" w:sz="4" w:space="0"/>
              <w:bottom w:val="single" w:color="auto" w:sz="4" w:space="0"/>
              <w:right w:val="single" w:color="auto" w:sz="4" w:space="0"/>
            </w:tcBorders>
            <w:vAlign w:val="center"/>
          </w:tcPr>
          <w:p w:rsidRPr="00D836E2" w:rsidR="008D1C4A" w:rsidP="008D1C4A" w:rsidRDefault="00EB1E8D" w14:paraId="677A5EE8" w14:textId="77777777">
            <w:pPr>
              <w:spacing w:line="276" w:lineRule="auto"/>
              <w:jc w:val="center"/>
              <w:rPr>
                <w:b/>
                <w:i/>
                <w:sz w:val="22"/>
                <w:szCs w:val="22"/>
              </w:rPr>
            </w:pPr>
            <w:r w:rsidRPr="00D836E2">
              <w:rPr>
                <w:rFonts w:cs="Arial"/>
                <w:b/>
                <w:i/>
                <w:color w:val="000000"/>
              </w:rPr>
              <w:t>--</w:t>
            </w:r>
          </w:p>
        </w:tc>
        <w:tc>
          <w:tcPr>
            <w:tcW w:w="1350" w:type="dxa"/>
            <w:tcBorders>
              <w:top w:val="single" w:color="auto" w:sz="4" w:space="0"/>
              <w:left w:val="single" w:color="auto" w:sz="4" w:space="0"/>
              <w:bottom w:val="single" w:color="auto" w:sz="4" w:space="0"/>
              <w:right w:val="single" w:color="auto" w:sz="4" w:space="0"/>
            </w:tcBorders>
            <w:vAlign w:val="center"/>
          </w:tcPr>
          <w:p w:rsidRPr="00D836E2" w:rsidR="008D1C4A" w:rsidP="003E5C88" w:rsidRDefault="008D1C4A" w14:paraId="5C97D8B9" w14:textId="77777777">
            <w:pPr>
              <w:spacing w:line="276" w:lineRule="auto"/>
              <w:jc w:val="center"/>
              <w:rPr>
                <w:b/>
                <w:i/>
                <w:sz w:val="22"/>
                <w:szCs w:val="22"/>
              </w:rPr>
            </w:pPr>
            <w:r w:rsidRPr="00D836E2">
              <w:rPr>
                <w:b/>
                <w:i/>
                <w:sz w:val="22"/>
                <w:szCs w:val="22"/>
              </w:rPr>
              <w:t>$</w:t>
            </w:r>
            <w:r w:rsidR="003E5C88">
              <w:rPr>
                <w:b/>
                <w:i/>
                <w:sz w:val="22"/>
                <w:szCs w:val="22"/>
              </w:rPr>
              <w:t>3,182</w:t>
            </w:r>
            <w:r w:rsidRPr="00D836E2">
              <w:rPr>
                <w:b/>
                <w:i/>
                <w:sz w:val="22"/>
                <w:szCs w:val="22"/>
              </w:rPr>
              <w:t>.</w:t>
            </w:r>
            <w:r w:rsidR="003E5C88">
              <w:rPr>
                <w:b/>
                <w:i/>
                <w:sz w:val="22"/>
                <w:szCs w:val="22"/>
              </w:rPr>
              <w:t>4</w:t>
            </w:r>
            <w:r w:rsidRPr="00D836E2">
              <w:rPr>
                <w:b/>
                <w:i/>
                <w:sz w:val="22"/>
                <w:szCs w:val="22"/>
              </w:rPr>
              <w:t>0</w:t>
            </w:r>
          </w:p>
        </w:tc>
      </w:tr>
    </w:tbl>
    <w:p w:rsidR="00FB2DB3" w:rsidP="00FB2DB3" w:rsidRDefault="00EB1E8D" w14:paraId="788D2C25" w14:textId="77777777">
      <w:r>
        <w:rPr>
          <w:i/>
        </w:rPr>
        <w:t xml:space="preserve">* </w:t>
      </w:r>
      <w:r w:rsidRPr="009D5DA0" w:rsidR="009D5DA0">
        <w:rPr>
          <w:i/>
        </w:rPr>
        <w:t xml:space="preserve">This estimate is based </w:t>
      </w:r>
      <w:r w:rsidR="00D2443F">
        <w:rPr>
          <w:i/>
        </w:rPr>
        <w:t xml:space="preserve">on </w:t>
      </w:r>
      <w:r w:rsidRPr="009D5DA0" w:rsidR="009D5DA0">
        <w:rPr>
          <w:i/>
        </w:rPr>
        <w:t>a median hourly earnings of $30.60 average hourly earnings for managerial and professional workers as reported in the BLS Current Population Survey, and assuming a 40 hour work week.</w:t>
      </w:r>
      <w:r w:rsidR="009D5DA0">
        <w:rPr>
          <w:i/>
        </w:rPr>
        <w:t xml:space="preserve">  </w:t>
      </w:r>
      <w:r w:rsidR="000A017D">
        <w:rPr>
          <w:i/>
        </w:rPr>
        <w:t>See</w:t>
      </w:r>
      <w:r w:rsidR="009D5DA0">
        <w:rPr>
          <w:i/>
        </w:rPr>
        <w:t xml:space="preserve">: </w:t>
      </w:r>
      <w:hyperlink w:history="1" r:id="rId13">
        <w:r w:rsidRPr="00B06B9B" w:rsidR="000A017D">
          <w:rPr>
            <w:rStyle w:val="Hyperlink"/>
            <w:i/>
          </w:rPr>
          <w:t>https://www.bls.gov/cps/cpsaat39.htm</w:t>
        </w:r>
      </w:hyperlink>
    </w:p>
    <w:p w:rsidRPr="00CE3C52" w:rsidR="00444095" w:rsidP="00444095" w:rsidRDefault="00444095" w14:paraId="5AE36FF7" w14:textId="77777777">
      <w:pPr>
        <w:autoSpaceDE w:val="0"/>
        <w:autoSpaceDN w:val="0"/>
        <w:adjustRightInd w:val="0"/>
      </w:pPr>
    </w:p>
    <w:p w:rsidRPr="008F4D44" w:rsidR="00444095" w:rsidP="00444095" w:rsidRDefault="00444095" w14:paraId="624B3F8E" w14:textId="77777777">
      <w:pPr>
        <w:tabs>
          <w:tab w:val="right" w:pos="360"/>
        </w:tabs>
        <w:autoSpaceDE w:val="0"/>
        <w:autoSpaceDN w:val="0"/>
        <w:adjustRightInd w:val="0"/>
        <w:ind w:left="720" w:hanging="720"/>
        <w:rPr>
          <w:i/>
        </w:rPr>
      </w:pPr>
      <w:r w:rsidRPr="008F4D44">
        <w:rPr>
          <w:i/>
        </w:rPr>
        <w:tab/>
        <w:t>13.</w:t>
      </w:r>
      <w:r w:rsidRPr="008F4D44">
        <w:rPr>
          <w:i/>
        </w:rPr>
        <w:tab/>
        <w:t>Provide an estimate for the total annual cost burden to respondents or record keepers resulting from the collection of information.  (Do not include the cost of any hour burden already reflected on the burden worksheet).</w:t>
      </w:r>
    </w:p>
    <w:p w:rsidR="00FB2DB3" w:rsidP="00444095" w:rsidRDefault="00FB2DB3" w14:paraId="7BD208D8" w14:textId="77777777">
      <w:pPr>
        <w:pStyle w:val="NormalWeb"/>
        <w:spacing w:after="0" w:afterAutospacing="0"/>
        <w:ind w:left="720"/>
        <w:rPr>
          <w:rFonts w:cs="Arial"/>
          <w:color w:val="000000"/>
        </w:rPr>
      </w:pPr>
      <w:r>
        <w:rPr>
          <w:rFonts w:cs="Arial"/>
          <w:color w:val="000000"/>
        </w:rPr>
        <w:t>There are no capital or start-up costs involved in this collection.  There is no maintenance or services required for this collection.</w:t>
      </w:r>
    </w:p>
    <w:p w:rsidRPr="00CE3C52" w:rsidR="00444095" w:rsidP="00444095" w:rsidRDefault="00444095" w14:paraId="43AA33A4" w14:textId="77777777">
      <w:pPr>
        <w:autoSpaceDE w:val="0"/>
        <w:autoSpaceDN w:val="0"/>
        <w:adjustRightInd w:val="0"/>
      </w:pPr>
    </w:p>
    <w:p w:rsidRPr="008F4D44" w:rsidR="00444095" w:rsidP="00444095" w:rsidRDefault="00444095" w14:paraId="738BE714" w14:textId="77777777">
      <w:pPr>
        <w:tabs>
          <w:tab w:val="right" w:pos="360"/>
        </w:tabs>
        <w:autoSpaceDE w:val="0"/>
        <w:autoSpaceDN w:val="0"/>
        <w:adjustRightInd w:val="0"/>
        <w:ind w:left="720" w:hanging="720"/>
        <w:rPr>
          <w:i/>
        </w:rPr>
      </w:pPr>
      <w:r w:rsidRPr="008F4D44">
        <w:rPr>
          <w:i/>
        </w:rPr>
        <w:tab/>
        <w:t>14.</w:t>
      </w:r>
      <w:r w:rsidRPr="008F4D44">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11D12" w:rsidP="003E5C88" w:rsidRDefault="00FB2DB3" w14:paraId="592CD590" w14:textId="77777777">
      <w:pPr>
        <w:pStyle w:val="NormalWeb"/>
        <w:spacing w:after="0" w:afterAutospacing="0"/>
        <w:ind w:left="720"/>
        <w:rPr>
          <w:rFonts w:cs="Arial"/>
          <w:color w:val="000000"/>
        </w:rPr>
      </w:pPr>
      <w:r>
        <w:rPr>
          <w:rFonts w:cs="Arial"/>
          <w:color w:val="000000"/>
        </w:rPr>
        <w:t>The annualized cost to the Federal Government is $0 as the collection</w:t>
      </w:r>
      <w:r w:rsidR="003E5C88">
        <w:rPr>
          <w:rFonts w:cs="Arial"/>
          <w:color w:val="000000"/>
        </w:rPr>
        <w:t xml:space="preserve"> is fully integrated into pre-existing electronic systems.</w:t>
      </w:r>
    </w:p>
    <w:p w:rsidRPr="00CE3C52" w:rsidR="00444095" w:rsidP="00444095" w:rsidRDefault="00444095" w14:paraId="2809D359" w14:textId="77777777">
      <w:pPr>
        <w:autoSpaceDE w:val="0"/>
        <w:autoSpaceDN w:val="0"/>
        <w:adjustRightInd w:val="0"/>
      </w:pPr>
    </w:p>
    <w:p w:rsidRPr="008F4D44" w:rsidR="00444095" w:rsidP="00444095" w:rsidRDefault="00444095" w14:paraId="1BFDD59A" w14:textId="77777777">
      <w:pPr>
        <w:tabs>
          <w:tab w:val="right" w:pos="360"/>
        </w:tabs>
        <w:autoSpaceDE w:val="0"/>
        <w:autoSpaceDN w:val="0"/>
        <w:adjustRightInd w:val="0"/>
        <w:ind w:left="720" w:hanging="720"/>
        <w:rPr>
          <w:i/>
        </w:rPr>
      </w:pPr>
      <w:r w:rsidRPr="008F4D44">
        <w:rPr>
          <w:i/>
        </w:rPr>
        <w:tab/>
        <w:t>15.</w:t>
      </w:r>
      <w:r w:rsidRPr="008F4D44">
        <w:rPr>
          <w:i/>
        </w:rPr>
        <w:tab/>
        <w:t>Explain the reasons for any program changes or adjustments reported on the burden worksheet.</w:t>
      </w:r>
    </w:p>
    <w:p w:rsidR="00FB2DB3" w:rsidP="001973FB" w:rsidRDefault="003E5C88" w14:paraId="73F8275F" w14:textId="77777777">
      <w:pPr>
        <w:pStyle w:val="NormalWeb"/>
        <w:spacing w:after="0" w:afterAutospacing="0"/>
        <w:ind w:left="720"/>
      </w:pPr>
      <w:r>
        <w:t>This collection is being modified significantly as to no longer require the submission of individual participant records under the Trade Act</w:t>
      </w:r>
      <w:r w:rsidR="00D94BA4">
        <w:t>ivity</w:t>
      </w:r>
      <w:r>
        <w:t xml:space="preserve"> Participant Report (TAPR).  The prior TAPR data constituted the bulk of the burden of this collection, reducing the estimated total burden from </w:t>
      </w:r>
      <w:r w:rsidR="003F09C2">
        <w:t>18,500 hours to 104 hours</w:t>
      </w:r>
      <w:r w:rsidR="001973FB">
        <w:t>.</w:t>
      </w:r>
    </w:p>
    <w:p w:rsidRPr="00CE3C52" w:rsidR="00705AD3" w:rsidP="00705AD3" w:rsidRDefault="00705AD3" w14:paraId="120B4AB8" w14:textId="77777777">
      <w:pPr>
        <w:autoSpaceDE w:val="0"/>
        <w:autoSpaceDN w:val="0"/>
        <w:adjustRightInd w:val="0"/>
      </w:pPr>
    </w:p>
    <w:p w:rsidRPr="00030FA0" w:rsidR="00705AD3" w:rsidP="00705AD3" w:rsidRDefault="00705AD3" w14:paraId="563E3B33" w14:textId="77777777">
      <w:pPr>
        <w:tabs>
          <w:tab w:val="right" w:pos="360"/>
        </w:tabs>
        <w:autoSpaceDE w:val="0"/>
        <w:autoSpaceDN w:val="0"/>
        <w:adjustRightInd w:val="0"/>
        <w:ind w:left="720" w:hanging="720"/>
        <w:rPr>
          <w:i/>
        </w:rPr>
      </w:pPr>
      <w:r>
        <w:rPr>
          <w:i/>
        </w:rPr>
        <w:tab/>
      </w:r>
      <w:r w:rsidRPr="00030FA0">
        <w:rPr>
          <w:i/>
        </w:rPr>
        <w:t>16.</w:t>
      </w:r>
      <w:r>
        <w:rPr>
          <w:i/>
        </w:rPr>
        <w:tab/>
      </w:r>
      <w:r w:rsidRPr="00030FA0">
        <w:rPr>
          <w:i/>
        </w:rPr>
        <w:t xml:space="preserve">For collections of information whose results will be published, outline plans for tabulation and publication.  Address any complex analytical techniques that will be used. </w:t>
      </w:r>
      <w:r>
        <w:rPr>
          <w:i/>
        </w:rPr>
        <w:t xml:space="preserve"> </w:t>
      </w:r>
      <w:r w:rsidRPr="00030FA0">
        <w:rPr>
          <w:i/>
        </w:rPr>
        <w:t>Provide the time schedule for the entire project, including beginning and ending dates of the collection of information, completion of report, publication dates, and other actions.</w:t>
      </w:r>
    </w:p>
    <w:p w:rsidR="00FB2DB3" w:rsidP="00FB2DB3" w:rsidRDefault="00FB2DB3" w14:paraId="2C7202DF" w14:textId="77777777">
      <w:pPr>
        <w:tabs>
          <w:tab w:val="left" w:pos="-1440"/>
        </w:tabs>
      </w:pPr>
    </w:p>
    <w:p w:rsidR="00FB2DB3" w:rsidP="001973FB" w:rsidRDefault="001973FB" w14:paraId="2CE4FBB5" w14:textId="77777777">
      <w:pPr>
        <w:ind w:left="720"/>
        <w:rPr>
          <w:rFonts w:cs="Courier New"/>
        </w:rPr>
      </w:pPr>
      <w:r>
        <w:rPr>
          <w:rFonts w:cs="Courier New"/>
        </w:rPr>
        <w:t xml:space="preserve">Information provided in this collection is made available on the </w:t>
      </w:r>
      <w:r>
        <w:t xml:space="preserve">Department’s website for public viewing at: </w:t>
      </w:r>
      <w:hyperlink w:history="1" r:id="rId14">
        <w:r>
          <w:rPr>
            <w:rStyle w:val="Hyperlink"/>
          </w:rPr>
          <w:t>https://doleta.gov/tradeact/taa-data/participant-reporting/</w:t>
        </w:r>
      </w:hyperlink>
      <w:r>
        <w:t>.  No analytical techniques are used in the construction of this information, but submissions are reviewed to ensure no private information has been erroneously submitted.</w:t>
      </w:r>
    </w:p>
    <w:p w:rsidRPr="00CE3C52" w:rsidR="00705AD3" w:rsidP="00705AD3" w:rsidRDefault="00705AD3" w14:paraId="6799084C" w14:textId="77777777">
      <w:pPr>
        <w:autoSpaceDE w:val="0"/>
        <w:autoSpaceDN w:val="0"/>
        <w:adjustRightInd w:val="0"/>
      </w:pPr>
    </w:p>
    <w:p w:rsidRPr="00030FA0" w:rsidR="00705AD3" w:rsidP="00705AD3" w:rsidRDefault="00705AD3" w14:paraId="74E038A1" w14:textId="77777777">
      <w:pPr>
        <w:tabs>
          <w:tab w:val="right" w:pos="360"/>
        </w:tabs>
        <w:autoSpaceDE w:val="0"/>
        <w:autoSpaceDN w:val="0"/>
        <w:adjustRightInd w:val="0"/>
        <w:ind w:left="720" w:hanging="720"/>
        <w:rPr>
          <w:i/>
        </w:rPr>
      </w:pPr>
      <w:r w:rsidRPr="00030FA0">
        <w:rPr>
          <w:i/>
        </w:rPr>
        <w:tab/>
        <w:t>17.</w:t>
      </w:r>
      <w:r w:rsidRPr="00030FA0">
        <w:rPr>
          <w:i/>
        </w:rPr>
        <w:tab/>
        <w:t xml:space="preserve">If seeking approval </w:t>
      </w:r>
      <w:r>
        <w:rPr>
          <w:i/>
        </w:rPr>
        <w:t xml:space="preserve">not </w:t>
      </w:r>
      <w:r w:rsidRPr="00030FA0">
        <w:rPr>
          <w:i/>
        </w:rPr>
        <w:t xml:space="preserve">to display the expiration date for OMB approval of the information collection, explain the reasons that display would be inappropriate. </w:t>
      </w:r>
    </w:p>
    <w:p w:rsidR="00FB2DB3" w:rsidP="00FB2DB3" w:rsidRDefault="00FB2DB3" w14:paraId="58E95D57" w14:textId="77777777"/>
    <w:p w:rsidR="001973FB" w:rsidP="001973FB" w:rsidRDefault="001973FB" w14:paraId="0BAEBF54" w14:textId="77777777">
      <w:pPr>
        <w:tabs>
          <w:tab w:val="left" w:pos="-1440"/>
        </w:tabs>
        <w:ind w:left="720"/>
      </w:pPr>
      <w:r>
        <w:rPr>
          <w:rFonts w:cs="Courier New"/>
        </w:rPr>
        <w:t xml:space="preserve">The Department seeks approval to not display the expiration date on the form because the submission form is embedded in other workflows.  Furthermore, the screen and system used for collection is similarly used for other collections by other programs.  This collection is expected to be renewed in perpetuity as long as the information is required under </w:t>
      </w:r>
      <w:r>
        <w:t>Section 239(j)(1)(c) of the statute.</w:t>
      </w:r>
    </w:p>
    <w:p w:rsidR="001973FB" w:rsidP="001973FB" w:rsidRDefault="001973FB" w14:paraId="49EEC27F" w14:textId="77777777">
      <w:pPr>
        <w:tabs>
          <w:tab w:val="left" w:pos="-1440"/>
        </w:tabs>
        <w:ind w:left="720"/>
      </w:pPr>
    </w:p>
    <w:p w:rsidR="00705AD3" w:rsidP="00705AD3" w:rsidRDefault="00705AD3" w14:paraId="67A858D4" w14:textId="77777777">
      <w:pPr>
        <w:tabs>
          <w:tab w:val="right" w:pos="360"/>
        </w:tabs>
        <w:ind w:left="720" w:hanging="720"/>
        <w:rPr>
          <w:i/>
        </w:rPr>
      </w:pPr>
      <w:r w:rsidRPr="00030FA0">
        <w:rPr>
          <w:i/>
        </w:rPr>
        <w:tab/>
        <w:t>18.</w:t>
      </w:r>
      <w:r w:rsidRPr="00030FA0">
        <w:rPr>
          <w:i/>
        </w:rPr>
        <w:tab/>
        <w:t>Explain each exception to the topics of the certification statement identified in “Certification for Pape</w:t>
      </w:r>
      <w:r>
        <w:rPr>
          <w:i/>
        </w:rPr>
        <w:t>rwork Reduction Act Submissions.</w:t>
      </w:r>
      <w:r w:rsidRPr="00030FA0">
        <w:rPr>
          <w:i/>
        </w:rPr>
        <w:t>”</w:t>
      </w:r>
    </w:p>
    <w:p w:rsidR="00FB2DB3" w:rsidP="00FB2DB3" w:rsidRDefault="00FB2DB3" w14:paraId="40649CED" w14:textId="77777777"/>
    <w:p w:rsidR="00FB2DB3" w:rsidP="00705AD3" w:rsidRDefault="00FB2DB3" w14:paraId="6EE4F6C1" w14:textId="77777777">
      <w:pPr>
        <w:ind w:firstLine="720"/>
      </w:pPr>
      <w:r>
        <w:t>There are no exceptions to the certification statement.</w:t>
      </w:r>
    </w:p>
    <w:p w:rsidR="004204FF" w:rsidP="003F4C38" w:rsidRDefault="004204FF" w14:paraId="60DB2EF7" w14:textId="77777777">
      <w:pPr>
        <w:tabs>
          <w:tab w:val="right" w:pos="360"/>
        </w:tabs>
        <w:ind w:left="540" w:hanging="540"/>
        <w:rPr>
          <w:i/>
        </w:rPr>
      </w:pPr>
    </w:p>
    <w:p w:rsidR="003F4C38" w:rsidP="003F4C38" w:rsidRDefault="003F4C38" w14:paraId="53A5A673" w14:textId="77777777">
      <w:pPr>
        <w:tabs>
          <w:tab w:val="right" w:pos="360"/>
        </w:tabs>
        <w:ind w:left="540" w:hanging="540"/>
        <w:rPr>
          <w:i/>
        </w:rPr>
      </w:pPr>
    </w:p>
    <w:p w:rsidRPr="003F4C38" w:rsidR="003F4C38" w:rsidP="003F4C38" w:rsidRDefault="003F4C38" w14:paraId="14EF7920" w14:textId="77777777">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rsidR="004A1161" w:rsidP="00EA78D2" w:rsidRDefault="004A1161" w14:paraId="420670F4" w14:textId="77777777"/>
    <w:p w:rsidR="004A1161" w:rsidP="00FB2DB3" w:rsidRDefault="00FB2DB3" w14:paraId="0C28208D" w14:textId="77777777">
      <w:r>
        <w:t>This collection does not employ statistical methods.</w:t>
      </w:r>
    </w:p>
    <w:sectPr w:rsidR="004A1161" w:rsidSect="008D1C4A">
      <w:headerReference w:type="default"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637DF" w14:textId="77777777" w:rsidR="00857779" w:rsidRDefault="00857779" w:rsidP="00910252">
      <w:r>
        <w:separator/>
      </w:r>
    </w:p>
  </w:endnote>
  <w:endnote w:type="continuationSeparator" w:id="0">
    <w:p w14:paraId="3A05D925" w14:textId="77777777" w:rsidR="00857779" w:rsidRDefault="00857779"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E89A2" w14:textId="2D9A0534" w:rsidR="00910252" w:rsidRDefault="00910252">
    <w:pPr>
      <w:pStyle w:val="Footer"/>
      <w:jc w:val="center"/>
    </w:pPr>
    <w:r>
      <w:fldChar w:fldCharType="begin"/>
    </w:r>
    <w:r>
      <w:instrText xml:space="preserve"> PAGE   \* MERGEFORMAT </w:instrText>
    </w:r>
    <w:r>
      <w:fldChar w:fldCharType="separate"/>
    </w:r>
    <w:r w:rsidR="009C345C">
      <w:rPr>
        <w:noProof/>
      </w:rPr>
      <w:t>1</w:t>
    </w:r>
    <w:r>
      <w:rPr>
        <w:noProof/>
      </w:rPr>
      <w:fldChar w:fldCharType="end"/>
    </w:r>
  </w:p>
  <w:p w14:paraId="10B2C7A6" w14:textId="77777777" w:rsidR="00910252" w:rsidRDefault="0091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F9330" w14:textId="77777777" w:rsidR="00857779" w:rsidRDefault="00857779" w:rsidP="00910252">
      <w:r>
        <w:separator/>
      </w:r>
    </w:p>
  </w:footnote>
  <w:footnote w:type="continuationSeparator" w:id="0">
    <w:p w14:paraId="2F9B2E36" w14:textId="77777777" w:rsidR="00857779" w:rsidRDefault="00857779" w:rsidP="00910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47505" w14:textId="77777777" w:rsidR="00D45FEA" w:rsidRPr="00D45FEA" w:rsidRDefault="00D52BE2" w:rsidP="00D45FEA">
    <w:pPr>
      <w:pStyle w:val="Header"/>
      <w:tabs>
        <w:tab w:val="clear" w:pos="4680"/>
      </w:tabs>
      <w:jc w:val="both"/>
      <w:rPr>
        <w:sz w:val="20"/>
        <w:szCs w:val="20"/>
      </w:rPr>
    </w:pPr>
    <w:r>
      <w:rPr>
        <w:sz w:val="20"/>
        <w:szCs w:val="20"/>
      </w:rPr>
      <w:t>TAA Efforts to Improve Outcomes</w:t>
    </w:r>
  </w:p>
  <w:p w14:paraId="552A0E84" w14:textId="77777777" w:rsidR="00D45FEA" w:rsidRPr="00D45FEA" w:rsidRDefault="00492C77" w:rsidP="00D45FEA">
    <w:pPr>
      <w:pStyle w:val="Header"/>
      <w:tabs>
        <w:tab w:val="clear" w:pos="4680"/>
      </w:tabs>
      <w:jc w:val="both"/>
      <w:rPr>
        <w:sz w:val="20"/>
        <w:szCs w:val="20"/>
      </w:rPr>
    </w:pPr>
    <w:r w:rsidRPr="00492C77">
      <w:rPr>
        <w:sz w:val="20"/>
        <w:szCs w:val="20"/>
      </w:rPr>
      <w:t xml:space="preserve">OMB </w:t>
    </w:r>
    <w:r w:rsidR="00EB1E8D">
      <w:rPr>
        <w:sz w:val="20"/>
        <w:szCs w:val="20"/>
      </w:rPr>
      <w:t xml:space="preserve">Control </w:t>
    </w:r>
    <w:r w:rsidRPr="00492C77">
      <w:rPr>
        <w:sz w:val="20"/>
        <w:szCs w:val="20"/>
      </w:rPr>
      <w:t xml:space="preserve">No. </w:t>
    </w:r>
    <w:r w:rsidR="007B1541">
      <w:rPr>
        <w:sz w:val="20"/>
        <w:szCs w:val="20"/>
      </w:rPr>
      <w:t>1205</w:t>
    </w:r>
    <w:r w:rsidRPr="00492C77">
      <w:rPr>
        <w:sz w:val="20"/>
        <w:szCs w:val="20"/>
      </w:rPr>
      <w:t>-</w:t>
    </w:r>
    <w:r w:rsidR="00D52BE2">
      <w:rPr>
        <w:sz w:val="20"/>
        <w:szCs w:val="20"/>
      </w:rPr>
      <w:t>0392</w:t>
    </w:r>
  </w:p>
  <w:p w14:paraId="497BC5A7" w14:textId="07B2EFFA" w:rsidR="00D45FEA" w:rsidRDefault="00A23651" w:rsidP="00D45FEA">
    <w:pPr>
      <w:pStyle w:val="Header"/>
      <w:tabs>
        <w:tab w:val="clear" w:pos="4680"/>
      </w:tabs>
      <w:jc w:val="both"/>
      <w:rPr>
        <w:sz w:val="20"/>
        <w:szCs w:val="20"/>
      </w:rPr>
    </w:pPr>
    <w:r>
      <w:rPr>
        <w:sz w:val="20"/>
        <w:szCs w:val="20"/>
      </w:rPr>
      <w:t>12/31/2</w:t>
    </w:r>
    <w:r w:rsidR="009A6665">
      <w:rPr>
        <w:sz w:val="20"/>
        <w:szCs w:val="20"/>
      </w:rPr>
      <w:t>019</w:t>
    </w:r>
  </w:p>
  <w:p w14:paraId="2C5A807F" w14:textId="77777777" w:rsidR="00904938" w:rsidRDefault="00953421" w:rsidP="00D45FEA">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558E8D4"/>
    <w:lvl w:ilvl="0">
      <w:start w:val="1"/>
      <w:numFmt w:val="decimal"/>
      <w:pStyle w:val="Level1"/>
      <w:lvlText w:val="%1."/>
      <w:lvlJc w:val="left"/>
      <w:pPr>
        <w:tabs>
          <w:tab w:val="num" w:pos="720"/>
        </w:tabs>
        <w:ind w:left="720" w:hanging="720"/>
      </w:pPr>
      <w:rPr>
        <w:rFonts w:ascii="Courier New" w:hAnsi="Courier New" w:cs="Courier New"/>
        <w:sz w:val="24"/>
        <w:szCs w:val="24"/>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0C943854"/>
    <w:multiLevelType w:val="hybridMultilevel"/>
    <w:tmpl w:val="3DB4A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71216D"/>
    <w:multiLevelType w:val="hybridMultilevel"/>
    <w:tmpl w:val="F9E43EA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DDE09BA"/>
    <w:multiLevelType w:val="hybridMultilevel"/>
    <w:tmpl w:val="211E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224EE0"/>
    <w:multiLevelType w:val="hybridMultilevel"/>
    <w:tmpl w:val="6AC2E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7D45DA3"/>
    <w:multiLevelType w:val="hybridMultilevel"/>
    <w:tmpl w:val="E2383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lvlOverride w:ilvl="0">
      <w:lvl w:ilvl="0">
        <w:start w:val="1"/>
        <w:numFmt w:val="decimal"/>
        <w:pStyle w:val="Level1"/>
        <w:lvlText w:val="%1."/>
        <w:lvlJc w:val="left"/>
        <w:pPr>
          <w:tabs>
            <w:tab w:val="num" w:pos="360"/>
          </w:tabs>
          <w:ind w:left="0" w:firstLine="0"/>
        </w:pPr>
        <w:rPr>
          <w:rFonts w:ascii="Courier New" w:hAnsi="Courier New" w:cs="Times New Roman"/>
          <w:sz w:val="24"/>
          <w:szCs w:val="24"/>
        </w:rPr>
      </w:lvl>
    </w:lvlOverride>
    <w:lvlOverride w:ilvl="1">
      <w:lvl w:ilvl="1">
        <w:start w:val="1"/>
        <w:numFmt w:val="decimal"/>
        <w:lvlText w:val="%2"/>
        <w:lvlJc w:val="left"/>
        <w:pPr>
          <w:tabs>
            <w:tab w:val="num" w:pos="0"/>
          </w:tabs>
          <w:ind w:left="0" w:firstLine="0"/>
        </w:pPr>
        <w:rPr>
          <w:rFonts w:cs="Times New Roman"/>
        </w:rPr>
      </w:lvl>
    </w:lvlOverride>
    <w:lvlOverride w:ilvl="2">
      <w:lvl w:ilvl="2">
        <w:start w:val="1"/>
        <w:numFmt w:val="decimal"/>
        <w:lvlText w:val="%3"/>
        <w:lvlJc w:val="left"/>
        <w:pPr>
          <w:tabs>
            <w:tab w:val="num" w:pos="0"/>
          </w:tabs>
          <w:ind w:left="0" w:firstLine="0"/>
        </w:pPr>
        <w:rPr>
          <w:rFonts w:cs="Times New Roman"/>
        </w:rPr>
      </w:lvl>
    </w:lvlOverride>
    <w:lvlOverride w:ilvl="3">
      <w:lvl w:ilvl="3">
        <w:start w:val="1"/>
        <w:numFmt w:val="decimal"/>
        <w:lvlText w:val="%4"/>
        <w:lvlJc w:val="left"/>
        <w:pPr>
          <w:tabs>
            <w:tab w:val="num" w:pos="0"/>
          </w:tabs>
          <w:ind w:left="0" w:firstLine="0"/>
        </w:pPr>
        <w:rPr>
          <w:rFonts w:cs="Times New Roman"/>
        </w:rPr>
      </w:lvl>
    </w:lvlOverride>
    <w:lvlOverride w:ilvl="4">
      <w:lvl w:ilvl="4">
        <w:start w:val="1"/>
        <w:numFmt w:val="decimal"/>
        <w:lvlText w:val="%5"/>
        <w:lvlJc w:val="left"/>
        <w:pPr>
          <w:tabs>
            <w:tab w:val="num" w:pos="0"/>
          </w:tabs>
          <w:ind w:left="0" w:firstLine="0"/>
        </w:pPr>
        <w:rPr>
          <w:rFonts w:cs="Times New Roman"/>
        </w:rPr>
      </w:lvl>
    </w:lvlOverride>
    <w:lvlOverride w:ilvl="5">
      <w:lvl w:ilvl="5">
        <w:start w:val="1"/>
        <w:numFmt w:val="decimal"/>
        <w:lvlText w:val="%6"/>
        <w:lvlJc w:val="left"/>
        <w:pPr>
          <w:tabs>
            <w:tab w:val="num" w:pos="0"/>
          </w:tabs>
          <w:ind w:left="0" w:firstLine="0"/>
        </w:pPr>
        <w:rPr>
          <w:rFonts w:cs="Times New Roman"/>
        </w:rPr>
      </w:lvl>
    </w:lvlOverride>
    <w:lvlOverride w:ilvl="6">
      <w:lvl w:ilvl="6">
        <w:start w:val="1"/>
        <w:numFmt w:val="decimal"/>
        <w:lvlText w:val="%7"/>
        <w:lvlJc w:val="left"/>
        <w:pPr>
          <w:tabs>
            <w:tab w:val="num" w:pos="0"/>
          </w:tabs>
          <w:ind w:left="0" w:firstLine="0"/>
        </w:pPr>
        <w:rPr>
          <w:rFonts w:cs="Times New Roman"/>
        </w:rPr>
      </w:lvl>
    </w:lvlOverride>
    <w:lvlOverride w:ilvl="7">
      <w:lvl w:ilvl="7">
        <w:start w:val="1"/>
        <w:numFmt w:val="decimal"/>
        <w:lvlText w:val="%8"/>
        <w:lvlJc w:val="left"/>
        <w:pPr>
          <w:tabs>
            <w:tab w:val="num" w:pos="0"/>
          </w:tabs>
          <w:ind w:left="0" w:firstLine="0"/>
        </w:pPr>
        <w:rPr>
          <w:rFonts w:cs="Times New Roman"/>
        </w:rPr>
      </w:lvl>
    </w:lvlOverride>
    <w:lvlOverride w:ilvl="8">
      <w:lvl w:ilvl="8">
        <w:numFmt w:val="decimal"/>
        <w:lvlText w:val=""/>
        <w:lvlJc w:val="left"/>
        <w:pPr>
          <w:tabs>
            <w:tab w:val="num" w:pos="0"/>
          </w:tabs>
          <w:ind w:left="0" w:firstLine="0"/>
        </w:pPr>
        <w:rPr>
          <w:rFonts w:cs="Times New Roman"/>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D2"/>
    <w:rsid w:val="00030FA0"/>
    <w:rsid w:val="000442BD"/>
    <w:rsid w:val="000527D8"/>
    <w:rsid w:val="000A017D"/>
    <w:rsid w:val="000A758B"/>
    <w:rsid w:val="000C5B92"/>
    <w:rsid w:val="000C6056"/>
    <w:rsid w:val="001056E8"/>
    <w:rsid w:val="00106698"/>
    <w:rsid w:val="00134479"/>
    <w:rsid w:val="001410FF"/>
    <w:rsid w:val="00184A38"/>
    <w:rsid w:val="00184FE6"/>
    <w:rsid w:val="001973FB"/>
    <w:rsid w:val="001A2DDC"/>
    <w:rsid w:val="001A7B43"/>
    <w:rsid w:val="001B1C70"/>
    <w:rsid w:val="001B5B96"/>
    <w:rsid w:val="001C050B"/>
    <w:rsid w:val="001C1414"/>
    <w:rsid w:val="001C795C"/>
    <w:rsid w:val="001C7F55"/>
    <w:rsid w:val="001E721D"/>
    <w:rsid w:val="00216406"/>
    <w:rsid w:val="002221A7"/>
    <w:rsid w:val="00253165"/>
    <w:rsid w:val="00256343"/>
    <w:rsid w:val="0029478C"/>
    <w:rsid w:val="002B13B9"/>
    <w:rsid w:val="003032F8"/>
    <w:rsid w:val="00325959"/>
    <w:rsid w:val="00330858"/>
    <w:rsid w:val="00335C65"/>
    <w:rsid w:val="00353351"/>
    <w:rsid w:val="003669DA"/>
    <w:rsid w:val="003878F8"/>
    <w:rsid w:val="003A1B04"/>
    <w:rsid w:val="003C7B32"/>
    <w:rsid w:val="003E5C88"/>
    <w:rsid w:val="003F09C2"/>
    <w:rsid w:val="003F4C38"/>
    <w:rsid w:val="004016A5"/>
    <w:rsid w:val="004073C9"/>
    <w:rsid w:val="00417182"/>
    <w:rsid w:val="004204FF"/>
    <w:rsid w:val="00436C4E"/>
    <w:rsid w:val="00444095"/>
    <w:rsid w:val="00450283"/>
    <w:rsid w:val="00454C02"/>
    <w:rsid w:val="00460296"/>
    <w:rsid w:val="00465EF1"/>
    <w:rsid w:val="004728CF"/>
    <w:rsid w:val="004813CC"/>
    <w:rsid w:val="00485707"/>
    <w:rsid w:val="00492C77"/>
    <w:rsid w:val="00495B9F"/>
    <w:rsid w:val="004A1161"/>
    <w:rsid w:val="004B451E"/>
    <w:rsid w:val="004B774D"/>
    <w:rsid w:val="004E3C16"/>
    <w:rsid w:val="00507FD8"/>
    <w:rsid w:val="0052176B"/>
    <w:rsid w:val="00532EA6"/>
    <w:rsid w:val="005433DA"/>
    <w:rsid w:val="005749F8"/>
    <w:rsid w:val="0058705E"/>
    <w:rsid w:val="005D0578"/>
    <w:rsid w:val="005E4E80"/>
    <w:rsid w:val="00624A1D"/>
    <w:rsid w:val="00642E51"/>
    <w:rsid w:val="006460D2"/>
    <w:rsid w:val="0066182C"/>
    <w:rsid w:val="006712E2"/>
    <w:rsid w:val="00685F48"/>
    <w:rsid w:val="0069256F"/>
    <w:rsid w:val="00696E21"/>
    <w:rsid w:val="006C133A"/>
    <w:rsid w:val="006C725D"/>
    <w:rsid w:val="006D6C2A"/>
    <w:rsid w:val="006E0638"/>
    <w:rsid w:val="006F7B44"/>
    <w:rsid w:val="00705AD3"/>
    <w:rsid w:val="00707539"/>
    <w:rsid w:val="00747BE3"/>
    <w:rsid w:val="00771236"/>
    <w:rsid w:val="007924FA"/>
    <w:rsid w:val="007B02D5"/>
    <w:rsid w:val="007B1541"/>
    <w:rsid w:val="007B24DB"/>
    <w:rsid w:val="007C556E"/>
    <w:rsid w:val="007C6EA5"/>
    <w:rsid w:val="007F12A0"/>
    <w:rsid w:val="008103A8"/>
    <w:rsid w:val="00855EF6"/>
    <w:rsid w:val="00857779"/>
    <w:rsid w:val="008607B7"/>
    <w:rsid w:val="0088613F"/>
    <w:rsid w:val="008A07F2"/>
    <w:rsid w:val="008D1C4A"/>
    <w:rsid w:val="008D32B6"/>
    <w:rsid w:val="008F4D44"/>
    <w:rsid w:val="00904938"/>
    <w:rsid w:val="00910252"/>
    <w:rsid w:val="009336E6"/>
    <w:rsid w:val="00953421"/>
    <w:rsid w:val="009539B2"/>
    <w:rsid w:val="009603CE"/>
    <w:rsid w:val="00973CD5"/>
    <w:rsid w:val="00996590"/>
    <w:rsid w:val="009A6665"/>
    <w:rsid w:val="009B0753"/>
    <w:rsid w:val="009C0464"/>
    <w:rsid w:val="009C345C"/>
    <w:rsid w:val="009C5E8F"/>
    <w:rsid w:val="009D2A30"/>
    <w:rsid w:val="009D5DA0"/>
    <w:rsid w:val="00A12DB9"/>
    <w:rsid w:val="00A171C6"/>
    <w:rsid w:val="00A23651"/>
    <w:rsid w:val="00A66BD4"/>
    <w:rsid w:val="00A705A4"/>
    <w:rsid w:val="00A82059"/>
    <w:rsid w:val="00A833C7"/>
    <w:rsid w:val="00AA58E7"/>
    <w:rsid w:val="00AB427B"/>
    <w:rsid w:val="00AF37DB"/>
    <w:rsid w:val="00B10FD7"/>
    <w:rsid w:val="00B364A1"/>
    <w:rsid w:val="00B47592"/>
    <w:rsid w:val="00B6088E"/>
    <w:rsid w:val="00B62AFF"/>
    <w:rsid w:val="00B6771E"/>
    <w:rsid w:val="00B765B6"/>
    <w:rsid w:val="00B904E9"/>
    <w:rsid w:val="00B911FD"/>
    <w:rsid w:val="00B937E9"/>
    <w:rsid w:val="00B95617"/>
    <w:rsid w:val="00B97845"/>
    <w:rsid w:val="00BA6848"/>
    <w:rsid w:val="00BB3E7D"/>
    <w:rsid w:val="00BC4FB3"/>
    <w:rsid w:val="00BC7A03"/>
    <w:rsid w:val="00BD6330"/>
    <w:rsid w:val="00BE2A99"/>
    <w:rsid w:val="00BE38F5"/>
    <w:rsid w:val="00C11D12"/>
    <w:rsid w:val="00C239F6"/>
    <w:rsid w:val="00C30A42"/>
    <w:rsid w:val="00C339FD"/>
    <w:rsid w:val="00C441D3"/>
    <w:rsid w:val="00C45047"/>
    <w:rsid w:val="00C52BA5"/>
    <w:rsid w:val="00CB0F0F"/>
    <w:rsid w:val="00CE010C"/>
    <w:rsid w:val="00CE2E16"/>
    <w:rsid w:val="00D14221"/>
    <w:rsid w:val="00D2443F"/>
    <w:rsid w:val="00D3545C"/>
    <w:rsid w:val="00D45FEA"/>
    <w:rsid w:val="00D4730E"/>
    <w:rsid w:val="00D52BE2"/>
    <w:rsid w:val="00D54938"/>
    <w:rsid w:val="00D60DA7"/>
    <w:rsid w:val="00D819CD"/>
    <w:rsid w:val="00D836E2"/>
    <w:rsid w:val="00D94BA4"/>
    <w:rsid w:val="00DC3EEE"/>
    <w:rsid w:val="00DC5B18"/>
    <w:rsid w:val="00DD4CCE"/>
    <w:rsid w:val="00DF392D"/>
    <w:rsid w:val="00E023AF"/>
    <w:rsid w:val="00E05A9C"/>
    <w:rsid w:val="00E07162"/>
    <w:rsid w:val="00E25AF4"/>
    <w:rsid w:val="00E32E3E"/>
    <w:rsid w:val="00E43A4B"/>
    <w:rsid w:val="00EA78D2"/>
    <w:rsid w:val="00EB1E8D"/>
    <w:rsid w:val="00EF40D2"/>
    <w:rsid w:val="00F25EFF"/>
    <w:rsid w:val="00F37389"/>
    <w:rsid w:val="00F44D0F"/>
    <w:rsid w:val="00F46254"/>
    <w:rsid w:val="00F51AE1"/>
    <w:rsid w:val="00F52F68"/>
    <w:rsid w:val="00F54788"/>
    <w:rsid w:val="00F6618F"/>
    <w:rsid w:val="00F66CF6"/>
    <w:rsid w:val="00F7457F"/>
    <w:rsid w:val="00F95373"/>
    <w:rsid w:val="00FB2DB3"/>
    <w:rsid w:val="00FE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176807"/>
  <w15:docId w15:val="{5D55723C-0095-4476-9EB7-93209385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paragraph" w:styleId="NormalWeb">
    <w:name w:val="Normal (Web)"/>
    <w:basedOn w:val="Normal"/>
    <w:uiPriority w:val="99"/>
    <w:unhideWhenUsed/>
    <w:rsid w:val="00FB2DB3"/>
    <w:pPr>
      <w:spacing w:before="100" w:beforeAutospacing="1" w:after="100" w:afterAutospacing="1"/>
    </w:pPr>
  </w:style>
  <w:style w:type="paragraph" w:customStyle="1" w:styleId="Level1">
    <w:name w:val="Level 1"/>
    <w:basedOn w:val="Normal"/>
    <w:rsid w:val="00FB2DB3"/>
    <w:pPr>
      <w:widowControl w:val="0"/>
      <w:numPr>
        <w:numId w:val="2"/>
      </w:numPr>
      <w:autoSpaceDE w:val="0"/>
      <w:autoSpaceDN w:val="0"/>
      <w:adjustRightInd w:val="0"/>
      <w:ind w:left="720" w:hanging="720"/>
      <w:outlineLvl w:val="0"/>
    </w:pPr>
    <w:rPr>
      <w:rFonts w:ascii="Courier New" w:hAnsi="Courier New"/>
    </w:rPr>
  </w:style>
  <w:style w:type="character" w:styleId="Hyperlink">
    <w:name w:val="Hyperlink"/>
    <w:uiPriority w:val="99"/>
    <w:unhideWhenUsed/>
    <w:rsid w:val="008D1C4A"/>
    <w:rPr>
      <w:color w:val="0000FF"/>
      <w:u w:val="single"/>
    </w:rPr>
  </w:style>
  <w:style w:type="character" w:styleId="CommentReference">
    <w:name w:val="annotation reference"/>
    <w:uiPriority w:val="99"/>
    <w:semiHidden/>
    <w:unhideWhenUsed/>
    <w:rsid w:val="00EB1E8D"/>
    <w:rPr>
      <w:sz w:val="16"/>
      <w:szCs w:val="16"/>
    </w:rPr>
  </w:style>
  <w:style w:type="paragraph" w:styleId="CommentText">
    <w:name w:val="annotation text"/>
    <w:basedOn w:val="Normal"/>
    <w:link w:val="CommentTextChar"/>
    <w:uiPriority w:val="99"/>
    <w:semiHidden/>
    <w:unhideWhenUsed/>
    <w:rsid w:val="00EB1E8D"/>
    <w:rPr>
      <w:sz w:val="20"/>
      <w:szCs w:val="20"/>
    </w:rPr>
  </w:style>
  <w:style w:type="character" w:customStyle="1" w:styleId="CommentTextChar">
    <w:name w:val="Comment Text Char"/>
    <w:link w:val="CommentText"/>
    <w:uiPriority w:val="99"/>
    <w:semiHidden/>
    <w:rsid w:val="00EB1E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1E8D"/>
    <w:rPr>
      <w:b/>
      <w:bCs/>
    </w:rPr>
  </w:style>
  <w:style w:type="character" w:customStyle="1" w:styleId="CommentSubjectChar">
    <w:name w:val="Comment Subject Char"/>
    <w:link w:val="CommentSubject"/>
    <w:uiPriority w:val="99"/>
    <w:semiHidden/>
    <w:rsid w:val="00EB1E8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B1E8D"/>
    <w:rPr>
      <w:rFonts w:ascii="Segoe UI" w:hAnsi="Segoe UI" w:cs="Segoe UI"/>
      <w:sz w:val="18"/>
      <w:szCs w:val="18"/>
    </w:rPr>
  </w:style>
  <w:style w:type="character" w:customStyle="1" w:styleId="BalloonTextChar">
    <w:name w:val="Balloon Text Char"/>
    <w:link w:val="BalloonText"/>
    <w:uiPriority w:val="99"/>
    <w:semiHidden/>
    <w:rsid w:val="00EB1E8D"/>
    <w:rPr>
      <w:rFonts w:ascii="Segoe UI" w:eastAsia="Times New Roman" w:hAnsi="Segoe UI" w:cs="Segoe UI"/>
      <w:sz w:val="18"/>
      <w:szCs w:val="18"/>
    </w:rPr>
  </w:style>
  <w:style w:type="paragraph" w:styleId="Revision">
    <w:name w:val="Revision"/>
    <w:hidden/>
    <w:uiPriority w:val="99"/>
    <w:semiHidden/>
    <w:rsid w:val="000A017D"/>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527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24613">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204493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cps/cpsaat39.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cps/cpsaat39.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leta.gov/tradeact/taa-data/participant-report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leta.gov/tradeact/taa-data/participant-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F70C4-5184-42BF-9B7B-87FB5CB2E3A1}">
  <ds:schemaRefs>
    <ds:schemaRef ds:uri="http://schemas.microsoft.com/sharepoint/v3/contenttype/forms"/>
  </ds:schemaRefs>
</ds:datastoreItem>
</file>

<file path=customXml/itemProps2.xml><?xml version="1.0" encoding="utf-8"?>
<ds:datastoreItem xmlns:ds="http://schemas.openxmlformats.org/officeDocument/2006/customXml" ds:itemID="{4E1F2D05-1499-4D1D-903D-367BEA187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8D164-C5BD-41D4-987D-64D877F3B614}">
  <ds:schemaRefs>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b31e9ac3-e9ea-478f-867b-1d49b715581c"/>
    <ds:schemaRef ds:uri="http://schemas.microsoft.com/office/2006/metadata/properties"/>
  </ds:schemaRefs>
</ds:datastoreItem>
</file>

<file path=customXml/itemProps4.xml><?xml version="1.0" encoding="utf-8"?>
<ds:datastoreItem xmlns:ds="http://schemas.openxmlformats.org/officeDocument/2006/customXml" ds:itemID="{4EF8AB52-5207-4E62-A2B0-5B1FE4AD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1913</Words>
  <Characters>10906</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There are no special circumstances involved in this collection.</vt:lpstr>
    </vt:vector>
  </TitlesOfParts>
  <Company>U.S. Department of Labor</Company>
  <LinksUpToDate>false</LinksUpToDate>
  <CharactersWithSpaces>12794</CharactersWithSpaces>
  <SharedDoc>false</SharedDoc>
  <HLinks>
    <vt:vector size="24" baseType="variant">
      <vt:variant>
        <vt:i4>7471150</vt:i4>
      </vt:variant>
      <vt:variant>
        <vt:i4>9</vt:i4>
      </vt:variant>
      <vt:variant>
        <vt:i4>0</vt:i4>
      </vt:variant>
      <vt:variant>
        <vt:i4>5</vt:i4>
      </vt:variant>
      <vt:variant>
        <vt:lpwstr>https://doleta.gov/tradeact/taa-data/participant-reporting/</vt:lpwstr>
      </vt:variant>
      <vt:variant>
        <vt:lpwstr/>
      </vt:variant>
      <vt:variant>
        <vt:i4>4980808</vt:i4>
      </vt:variant>
      <vt:variant>
        <vt:i4>6</vt:i4>
      </vt:variant>
      <vt:variant>
        <vt:i4>0</vt:i4>
      </vt:variant>
      <vt:variant>
        <vt:i4>5</vt:i4>
      </vt:variant>
      <vt:variant>
        <vt:lpwstr>https://www.bls.gov/cps/cpsaat39.htm</vt:lpwstr>
      </vt:variant>
      <vt:variant>
        <vt:lpwstr/>
      </vt:variant>
      <vt:variant>
        <vt:i4>4980808</vt:i4>
      </vt:variant>
      <vt:variant>
        <vt:i4>3</vt:i4>
      </vt:variant>
      <vt:variant>
        <vt:i4>0</vt:i4>
      </vt:variant>
      <vt:variant>
        <vt:i4>5</vt:i4>
      </vt:variant>
      <vt:variant>
        <vt:lpwstr>https://www.bls.gov/cps/cpsaat39.htm</vt:lpwstr>
      </vt:variant>
      <vt:variant>
        <vt:lpwstr/>
      </vt:variant>
      <vt:variant>
        <vt:i4>7471150</vt:i4>
      </vt:variant>
      <vt:variant>
        <vt:i4>0</vt:i4>
      </vt:variant>
      <vt:variant>
        <vt:i4>0</vt:i4>
      </vt:variant>
      <vt:variant>
        <vt:i4>5</vt:i4>
      </vt:variant>
      <vt:variant>
        <vt:lpwstr>https://doleta.gov/tradeact/taa-data/participant-reporting/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Michel - OASAM OCIO</dc:creator>
  <cp:keywords/>
  <cp:lastModifiedBy>Kelley, Maya - ETA</cp:lastModifiedBy>
  <cp:revision>3</cp:revision>
  <cp:lastPrinted>2019-02-25T19:39:00Z</cp:lastPrinted>
  <dcterms:created xsi:type="dcterms:W3CDTF">2020-01-30T16:40:00Z</dcterms:created>
  <dcterms:modified xsi:type="dcterms:W3CDTF">2020-01-30T16:42:00Z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