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1201" w:rsidR="0027668F" w:rsidP="00B22B91" w:rsidRDefault="0027668F" w14:paraId="02806874" w14:textId="77777777">
      <w:pPr>
        <w:widowControl/>
        <w:jc w:val="center"/>
        <w:rPr>
          <w:b/>
          <w:bCs/>
        </w:rPr>
      </w:pPr>
      <w:bookmarkStart w:name="_GoBack" w:id="0"/>
      <w:bookmarkEnd w:id="0"/>
      <w:r w:rsidRPr="00591201">
        <w:rPr>
          <w:b/>
          <w:bCs/>
        </w:rPr>
        <w:t>SUPPORTING STATEMENT FOR THE</w:t>
      </w:r>
    </w:p>
    <w:p w:rsidRPr="00591201" w:rsidR="0027668F" w:rsidP="00B22B91" w:rsidRDefault="0027668F" w14:paraId="1333E5F0" w14:textId="77777777">
      <w:pPr>
        <w:widowControl/>
        <w:jc w:val="center"/>
        <w:rPr>
          <w:b/>
          <w:bCs/>
        </w:rPr>
      </w:pPr>
      <w:r w:rsidRPr="00591201">
        <w:rPr>
          <w:b/>
          <w:bCs/>
        </w:rPr>
        <w:t>INFORMATION COLLECTION REQUIREMENT OF THE</w:t>
      </w:r>
    </w:p>
    <w:p w:rsidRPr="00591201" w:rsidR="00BD69D0" w:rsidP="00B22B91" w:rsidRDefault="007F643E" w14:paraId="4908D9B8" w14:textId="77777777">
      <w:pPr>
        <w:widowControl/>
        <w:jc w:val="center"/>
        <w:rPr>
          <w:b/>
          <w:bCs/>
        </w:rPr>
      </w:pPr>
      <w:r w:rsidRPr="00591201">
        <w:rPr>
          <w:b/>
          <w:bCs/>
        </w:rPr>
        <w:t xml:space="preserve">STANDARD </w:t>
      </w:r>
      <w:r w:rsidRPr="00591201" w:rsidR="003B7D7E">
        <w:rPr>
          <w:b/>
          <w:bCs/>
        </w:rPr>
        <w:t>ON</w:t>
      </w:r>
      <w:r w:rsidRPr="00591201" w:rsidR="00B22B02">
        <w:rPr>
          <w:b/>
          <w:bCs/>
        </w:rPr>
        <w:t xml:space="preserve"> </w:t>
      </w:r>
      <w:r w:rsidRPr="00591201" w:rsidR="00BD69D0">
        <w:rPr>
          <w:b/>
          <w:bCs/>
        </w:rPr>
        <w:t xml:space="preserve">SPECIAL </w:t>
      </w:r>
      <w:r w:rsidRPr="00591201" w:rsidR="0027668F">
        <w:rPr>
          <w:b/>
          <w:bCs/>
        </w:rPr>
        <w:t>DIPPING AND COATING OPERATIONS</w:t>
      </w:r>
      <w:r w:rsidRPr="00591201" w:rsidR="00C92A4F">
        <w:rPr>
          <w:b/>
          <w:bCs/>
        </w:rPr>
        <w:t xml:space="preserve"> </w:t>
      </w:r>
      <w:r w:rsidRPr="00591201" w:rsidR="0027668F">
        <w:rPr>
          <w:b/>
          <w:bCs/>
        </w:rPr>
        <w:t>(DIP TANKS)</w:t>
      </w:r>
    </w:p>
    <w:p w:rsidRPr="00591201" w:rsidR="0027668F" w:rsidP="00B22B91" w:rsidRDefault="0027668F" w14:paraId="739534CB" w14:textId="77777777">
      <w:pPr>
        <w:widowControl/>
        <w:jc w:val="center"/>
        <w:rPr>
          <w:b/>
          <w:bCs/>
        </w:rPr>
      </w:pPr>
      <w:r w:rsidRPr="00591201">
        <w:rPr>
          <w:b/>
          <w:bCs/>
        </w:rPr>
        <w:t>(29 CFR 1910.126(g)(4))</w:t>
      </w:r>
      <w:r w:rsidRPr="00591201">
        <w:rPr>
          <w:rStyle w:val="FootnoteReference"/>
          <w:vertAlign w:val="superscript"/>
        </w:rPr>
        <w:footnoteReference w:id="1"/>
      </w:r>
    </w:p>
    <w:p w:rsidRPr="00591201" w:rsidR="00562301" w:rsidP="00B22B91" w:rsidRDefault="00562301" w14:paraId="3E173E7E" w14:textId="77777777">
      <w:pPr>
        <w:widowControl/>
        <w:jc w:val="center"/>
        <w:rPr>
          <w:b/>
          <w:bCs/>
        </w:rPr>
      </w:pPr>
      <w:r w:rsidRPr="00591201">
        <w:rPr>
          <w:b/>
          <w:bCs/>
        </w:rPr>
        <w:t>OFFICE OF MANAGEMENT AND BUDGET (OMB)</w:t>
      </w:r>
    </w:p>
    <w:p w:rsidRPr="00AC3C19" w:rsidR="002E43BC" w:rsidP="00BD69D0" w:rsidRDefault="00562301" w14:paraId="1CC52D3C" w14:textId="77777777">
      <w:pPr>
        <w:pStyle w:val="Subtitle"/>
        <w:rPr>
          <w:rFonts w:ascii="Times New Roman" w:hAnsi="Times New Roman"/>
          <w:b/>
        </w:rPr>
      </w:pPr>
      <w:r w:rsidRPr="00AC3C19">
        <w:rPr>
          <w:rFonts w:ascii="Times New Roman" w:hAnsi="Times New Roman"/>
          <w:b/>
        </w:rPr>
        <w:t xml:space="preserve">CONTROL NUMBER </w:t>
      </w:r>
      <w:r w:rsidRPr="00AC3C19" w:rsidR="002E43BC">
        <w:rPr>
          <w:rFonts w:ascii="Times New Roman" w:hAnsi="Times New Roman"/>
          <w:b/>
        </w:rPr>
        <w:t>1218-0237 (</w:t>
      </w:r>
      <w:r w:rsidR="00F8403F">
        <w:rPr>
          <w:rFonts w:ascii="Times New Roman" w:hAnsi="Times New Roman"/>
          <w:b/>
        </w:rPr>
        <w:t xml:space="preserve">January </w:t>
      </w:r>
      <w:r w:rsidRPr="00AC3C19" w:rsidR="00F8403F">
        <w:rPr>
          <w:rFonts w:ascii="Times New Roman" w:hAnsi="Times New Roman"/>
          <w:b/>
        </w:rPr>
        <w:t>2020</w:t>
      </w:r>
      <w:r w:rsidRPr="00AC3C19" w:rsidR="002E43BC">
        <w:rPr>
          <w:rFonts w:ascii="Times New Roman" w:hAnsi="Times New Roman"/>
          <w:b/>
        </w:rPr>
        <w:t>)</w:t>
      </w:r>
    </w:p>
    <w:p w:rsidRPr="00591201" w:rsidR="00C36A2C" w:rsidP="00AC3C19" w:rsidRDefault="00C36A2C" w14:paraId="536518E2" w14:textId="77777777"/>
    <w:p w:rsidRPr="00AC3C19" w:rsidR="00C36A2C" w:rsidP="00AC3C19" w:rsidRDefault="00C36A2C" w14:paraId="687877E1" w14:textId="77777777">
      <w:r w:rsidRPr="00591201">
        <w:t>This ICR seeks to extend authorization without change.</w:t>
      </w:r>
    </w:p>
    <w:p w:rsidRPr="00AC3C19" w:rsidR="0027668F" w:rsidP="00B22B91" w:rsidRDefault="0027668F" w14:paraId="709BF483" w14:textId="77777777">
      <w:pPr>
        <w:widowControl/>
      </w:pPr>
    </w:p>
    <w:p w:rsidRPr="00591201" w:rsidR="0027668F" w:rsidP="00B22B91" w:rsidRDefault="004B3241" w14:paraId="2A003682" w14:textId="77777777">
      <w:pPr>
        <w:widowControl/>
        <w:numPr>
          <w:ilvl w:val="0"/>
          <w:numId w:val="6"/>
        </w:numPr>
        <w:tabs>
          <w:tab w:val="left" w:pos="270"/>
        </w:tabs>
        <w:ind w:left="360"/>
      </w:pPr>
      <w:r>
        <w:rPr>
          <w:b/>
          <w:bCs/>
        </w:rPr>
        <w:t xml:space="preserve"> </w:t>
      </w:r>
      <w:r w:rsidRPr="00591201" w:rsidR="0027668F">
        <w:rPr>
          <w:b/>
          <w:bCs/>
        </w:rPr>
        <w:t>JUSTIFICATION</w:t>
      </w:r>
    </w:p>
    <w:p w:rsidRPr="00591201" w:rsidR="00D344AE" w:rsidP="00D344AE" w:rsidRDefault="00D344AE" w14:paraId="6537E8E0" w14:textId="77777777">
      <w:pPr>
        <w:widowControl/>
        <w:tabs>
          <w:tab w:val="left" w:pos="270"/>
        </w:tabs>
        <w:ind w:left="360"/>
      </w:pPr>
    </w:p>
    <w:p w:rsidRPr="00AC3C19" w:rsidR="0027668F" w:rsidP="00B22B91" w:rsidRDefault="0027668F" w14:paraId="2CEDB670" w14:textId="77777777">
      <w:pPr>
        <w:widowControl/>
      </w:pPr>
      <w:r w:rsidRPr="00AC3C19">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C3C19" w:rsidR="0027668F" w:rsidP="00B22B91" w:rsidRDefault="0027668F" w14:paraId="367CB118" w14:textId="77777777">
      <w:pPr>
        <w:widowControl/>
      </w:pPr>
    </w:p>
    <w:p w:rsidRPr="00310FE6" w:rsidR="0027668F" w:rsidP="00B22B91" w:rsidRDefault="0027668F" w14:paraId="68A2A75B" w14:textId="77777777">
      <w:pPr>
        <w:widowControl/>
      </w:pPr>
      <w:r w:rsidRPr="00591201">
        <w:t>The Occupational Safety and Health Act’s (OSH Act) main objective is to “assure so far as possible every working man and woman in the Nation safe and healthful working conditions and to preserve our human resources” (29 U.S.C. 651)</w:t>
      </w:r>
      <w:r w:rsidRPr="00591201" w:rsidR="00562301">
        <w:t>.</w:t>
      </w:r>
      <w:r w:rsidRPr="00A32672">
        <w:t xml:space="preserve">  To achieve this objective, the OSH Act specifically authorizes “the development and promulgation of occupational safety and health standards” (29 U.S.C. 651)</w:t>
      </w:r>
      <w:r w:rsidRPr="00A32672" w:rsidR="00562301">
        <w:t>.</w:t>
      </w:r>
      <w:r w:rsidRPr="00890D4D">
        <w:t xml:space="preserve">  In addition, the OSH Act specifies that “[e]ach employer shall make, keep and preserve, and make available to the Secretary . . . such records . . . as the Secretary . . . may prescribe by regulation as necessary or appropriate for the enforcement</w:t>
      </w:r>
      <w:r w:rsidRPr="00310FE6" w:rsidR="00834AFF">
        <w:t xml:space="preserve"> of this Act . . . ” (29 U.S.C. </w:t>
      </w:r>
      <w:r w:rsidRPr="00310FE6">
        <w:t>657)</w:t>
      </w:r>
      <w:r w:rsidRPr="00310FE6" w:rsidR="00562301">
        <w:t>.</w:t>
      </w:r>
    </w:p>
    <w:p w:rsidRPr="00310FE6" w:rsidR="0027668F" w:rsidP="00B22B91" w:rsidRDefault="0027668F" w14:paraId="42FB2C65" w14:textId="77777777">
      <w:pPr>
        <w:widowControl/>
      </w:pPr>
    </w:p>
    <w:p w:rsidRPr="001556A7" w:rsidR="0027668F" w:rsidP="00B22B91" w:rsidRDefault="0027668F" w14:paraId="38E2EC78" w14:textId="77777777">
      <w:pPr>
        <w:widowControl/>
      </w:pPr>
      <w:r w:rsidRPr="00A21698">
        <w:t xml:space="preserve">Under the authority granted by the OSH Act, the Occupational Safety and Health Administration (OSHA) published a </w:t>
      </w:r>
      <w:r w:rsidRPr="00A21698" w:rsidR="004F1FEE">
        <w:t>Standard</w:t>
      </w:r>
      <w:r w:rsidRPr="00A21698">
        <w:t xml:space="preserve"> on Dipping and Coating Operations (Dip Tanks)</w:t>
      </w:r>
      <w:r w:rsidRPr="00BA53C1" w:rsidR="004F1FEE">
        <w:t xml:space="preserve"> (the “Standard”)</w:t>
      </w:r>
      <w:r w:rsidRPr="00BA53C1">
        <w:t xml:space="preserve">.  </w:t>
      </w:r>
      <w:r w:rsidRPr="00BA53C1" w:rsidR="00562301">
        <w:t xml:space="preserve">Section </w:t>
      </w:r>
      <w:r w:rsidRPr="001556A7">
        <w:t xml:space="preserve">1910.126(g)(4) is to ensure that employers make </w:t>
      </w:r>
      <w:r w:rsidRPr="001556A7" w:rsidR="000B7968">
        <w:t>worker</w:t>
      </w:r>
      <w:r w:rsidRPr="001556A7">
        <w:t xml:space="preserve">s aware of the minimum distance between goods being electrostatically deteared.  Items 2 and 12 below list and describe the specific information collection requirement of the </w:t>
      </w:r>
      <w:r w:rsidRPr="001556A7" w:rsidR="004F1FEE">
        <w:t>Standard.</w:t>
      </w:r>
    </w:p>
    <w:p w:rsidRPr="00B44CEB" w:rsidR="0027668F" w:rsidP="00B22B91" w:rsidRDefault="0027668F" w14:paraId="74967FE6" w14:textId="77777777">
      <w:pPr>
        <w:widowControl/>
      </w:pPr>
    </w:p>
    <w:p w:rsidRPr="00AC3C19" w:rsidR="0027668F" w:rsidP="00B22B91" w:rsidRDefault="0027668F" w14:paraId="4CB57F42" w14:textId="77777777">
      <w:pPr>
        <w:widowControl/>
      </w:pPr>
      <w:r w:rsidRPr="00AC3C19">
        <w:rPr>
          <w:b/>
          <w:bCs/>
        </w:rPr>
        <w:t>2.  Indicate how, by whom, and for what purpose the information is to be used.  Except for a new collection, indicate the actual use the Agency has made of the information received from the current collection.</w:t>
      </w:r>
    </w:p>
    <w:p w:rsidRPr="00AC3C19" w:rsidR="0027668F" w:rsidP="00B22B91" w:rsidRDefault="0027668F" w14:paraId="69DFE59C" w14:textId="77777777">
      <w:pPr>
        <w:widowControl/>
      </w:pPr>
    </w:p>
    <w:p w:rsidRPr="00A32672" w:rsidR="0027668F" w:rsidP="00B22B91" w:rsidRDefault="0027668F" w14:paraId="4D787B52" w14:textId="77777777">
      <w:pPr>
        <w:widowControl/>
      </w:pPr>
      <w:r w:rsidRPr="00591201">
        <w:rPr>
          <w:b/>
          <w:bCs/>
        </w:rPr>
        <w:t>Dipping and Coating Operations (Dip Tanks)</w:t>
      </w:r>
      <w:r w:rsidRPr="00591201" w:rsidR="00663D36">
        <w:rPr>
          <w:b/>
          <w:bCs/>
        </w:rPr>
        <w:t xml:space="preserve"> </w:t>
      </w:r>
      <w:r w:rsidRPr="00591201">
        <w:rPr>
          <w:b/>
          <w:bCs/>
        </w:rPr>
        <w:t>(§ 1910.126</w:t>
      </w:r>
      <w:r w:rsidRPr="00A32672" w:rsidR="002E43BC">
        <w:rPr>
          <w:b/>
          <w:bCs/>
        </w:rPr>
        <w:t>(g)(4))</w:t>
      </w:r>
    </w:p>
    <w:p w:rsidRPr="00AC3C19" w:rsidR="0027668F" w:rsidP="00B22B91" w:rsidRDefault="0027668F" w14:paraId="221FD6FA" w14:textId="77777777">
      <w:pPr>
        <w:widowControl/>
      </w:pPr>
    </w:p>
    <w:p w:rsidRPr="00A32672" w:rsidR="0027668F" w:rsidP="00B22B91" w:rsidRDefault="0027668F" w14:paraId="3A86F4A9" w14:textId="77777777">
      <w:pPr>
        <w:widowControl/>
      </w:pPr>
      <w:r w:rsidRPr="00591201">
        <w:t xml:space="preserve">As specified in paragraph (g)(4), employers </w:t>
      </w:r>
      <w:r w:rsidRPr="00591201" w:rsidR="002E43BC">
        <w:t xml:space="preserve">must </w:t>
      </w:r>
      <w:r w:rsidRPr="00A32672">
        <w:t>conspicuously post on a sign the minimum safe distance of at least twice the sparking distance between goods being electrostatically deteared and the electrodes or conductors of the electrostatic equipment.</w:t>
      </w:r>
    </w:p>
    <w:p w:rsidRPr="00AC3C19" w:rsidR="0068122D" w:rsidP="00B22B91" w:rsidRDefault="0068122D" w14:paraId="6664C7F1" w14:textId="77777777">
      <w:pPr>
        <w:widowControl/>
        <w:rPr>
          <w:b/>
          <w:bCs/>
        </w:rPr>
      </w:pPr>
    </w:p>
    <w:p w:rsidRPr="00AC3C19" w:rsidR="0027668F" w:rsidP="00B22B91" w:rsidRDefault="0027668F" w14:paraId="43574C81" w14:textId="77777777">
      <w:pPr>
        <w:widowControl/>
      </w:pPr>
      <w:r w:rsidRPr="00AC3C19">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C3C19" w:rsidR="0027668F" w:rsidP="00B22B91" w:rsidRDefault="0027668F" w14:paraId="071ED68B" w14:textId="77777777">
      <w:pPr>
        <w:widowControl/>
      </w:pPr>
    </w:p>
    <w:p w:rsidRPr="00AC3C19" w:rsidR="0027668F" w:rsidP="00B22B91" w:rsidRDefault="0027668F" w14:paraId="451958A1" w14:textId="77777777">
      <w:pPr>
        <w:widowControl/>
      </w:pPr>
      <w:r w:rsidRPr="00591201">
        <w:t xml:space="preserve">Employers may use improved information technology when establishing and maintaining the required record.  OSHA wrote the paperwork requirement of the </w:t>
      </w:r>
      <w:r w:rsidRPr="00591201" w:rsidR="004F1FEE">
        <w:t>Standard</w:t>
      </w:r>
      <w:r w:rsidRPr="00A32672">
        <w:t xml:space="preserve"> in performance-oriented language, i.e., in terms of </w:t>
      </w:r>
      <w:r w:rsidRPr="00A32672">
        <w:rPr>
          <w:u w:val="single"/>
        </w:rPr>
        <w:t>what</w:t>
      </w:r>
      <w:r w:rsidRPr="00890D4D">
        <w:t xml:space="preserve"> data to collect, not </w:t>
      </w:r>
      <w:r w:rsidRPr="00310FE6">
        <w:rPr>
          <w:u w:val="single"/>
        </w:rPr>
        <w:t>how</w:t>
      </w:r>
      <w:r w:rsidRPr="00310FE6">
        <w:t xml:space="preserve"> to collect the data.</w:t>
      </w:r>
    </w:p>
    <w:p w:rsidRPr="00AC3C19" w:rsidR="0027668F" w:rsidP="00B22B91" w:rsidRDefault="0027668F" w14:paraId="7869F2EC" w14:textId="77777777">
      <w:pPr>
        <w:widowControl/>
      </w:pPr>
    </w:p>
    <w:p w:rsidRPr="00AC3C19" w:rsidR="0027668F" w:rsidP="00B22B91" w:rsidRDefault="0027668F" w14:paraId="13995128" w14:textId="77777777">
      <w:pPr>
        <w:widowControl/>
      </w:pPr>
      <w:r w:rsidRPr="00AC3C19">
        <w:rPr>
          <w:b/>
          <w:bCs/>
        </w:rPr>
        <w:t xml:space="preserve">4.  Describe efforts to identify duplication.  Show specifically why any similar information already available cannot be used or modified for use for the purposes described in Item </w:t>
      </w:r>
      <w:r w:rsidRPr="00AC3C19" w:rsidR="00001E0E">
        <w:rPr>
          <w:b/>
          <w:bCs/>
        </w:rPr>
        <w:t>A.</w:t>
      </w:r>
      <w:r w:rsidRPr="00AC3C19">
        <w:rPr>
          <w:b/>
          <w:bCs/>
        </w:rPr>
        <w:t>2 above.</w:t>
      </w:r>
    </w:p>
    <w:p w:rsidRPr="00AC3C19" w:rsidR="0027668F" w:rsidP="00B22B91" w:rsidRDefault="0027668F" w14:paraId="7BCB2419" w14:textId="77777777">
      <w:pPr>
        <w:widowControl/>
      </w:pPr>
    </w:p>
    <w:p w:rsidRPr="00AC3C19" w:rsidR="0027668F" w:rsidP="00B22B91" w:rsidRDefault="0027668F" w14:paraId="3B34D89B" w14:textId="77777777">
      <w:pPr>
        <w:widowControl/>
      </w:pPr>
      <w:r w:rsidRPr="00591201">
        <w:t>The requirements to collect and maintain information are specific to each employer involved, and no other source or agency duplicates the requirement or can make the required information available to OSHA (i.e., the required information is available only from employers).</w:t>
      </w:r>
    </w:p>
    <w:p w:rsidRPr="00AC3C19" w:rsidR="0027668F" w:rsidP="00B22B91" w:rsidRDefault="0027668F" w14:paraId="75668028" w14:textId="77777777">
      <w:pPr>
        <w:widowControl/>
      </w:pPr>
    </w:p>
    <w:p w:rsidRPr="00AC3C19" w:rsidR="0027668F" w:rsidP="00B22B91" w:rsidRDefault="0027668F" w14:paraId="784F742A" w14:textId="77777777">
      <w:pPr>
        <w:widowControl/>
      </w:pPr>
      <w:r w:rsidRPr="00AC3C19">
        <w:rPr>
          <w:b/>
          <w:bCs/>
        </w:rPr>
        <w:t>5.  If the collection of information impacts small businesses or other small entities, descri</w:t>
      </w:r>
      <w:r w:rsidRPr="00AC3C19" w:rsidR="00BF3394">
        <w:rPr>
          <w:b/>
          <w:bCs/>
        </w:rPr>
        <w:t xml:space="preserve">be any methods used to minimize </w:t>
      </w:r>
      <w:r w:rsidRPr="00AC3C19">
        <w:rPr>
          <w:b/>
          <w:bCs/>
        </w:rPr>
        <w:t>burden.</w:t>
      </w:r>
    </w:p>
    <w:p w:rsidRPr="00AC3C19" w:rsidR="0027668F" w:rsidP="00B22B91" w:rsidRDefault="0027668F" w14:paraId="1B28765B" w14:textId="77777777">
      <w:pPr>
        <w:widowControl/>
      </w:pPr>
    </w:p>
    <w:p w:rsidRPr="00AC3C19" w:rsidR="0027668F" w:rsidP="00B22B91" w:rsidRDefault="0027668F" w14:paraId="7A5147B6" w14:textId="77777777">
      <w:pPr>
        <w:widowControl/>
      </w:pPr>
      <w:r w:rsidRPr="00591201">
        <w:t>The information</w:t>
      </w:r>
      <w:r w:rsidRPr="00591201" w:rsidR="00562301">
        <w:t xml:space="preserve"> </w:t>
      </w:r>
      <w:r w:rsidRPr="00591201">
        <w:t>collection requi</w:t>
      </w:r>
      <w:r w:rsidRPr="00A32672">
        <w:t xml:space="preserve">rement of the </w:t>
      </w:r>
      <w:r w:rsidRPr="00A32672" w:rsidR="004F1FEE">
        <w:t>Standard</w:t>
      </w:r>
      <w:r w:rsidRPr="00890D4D">
        <w:t xml:space="preserve"> does not have a significant impact on a substantial number of small entities.</w:t>
      </w:r>
    </w:p>
    <w:p w:rsidRPr="00AC3C19" w:rsidR="0027668F" w:rsidP="00B22B91" w:rsidRDefault="0027668F" w14:paraId="1B391C56" w14:textId="77777777">
      <w:pPr>
        <w:widowControl/>
      </w:pPr>
    </w:p>
    <w:p w:rsidRPr="00AC3C19" w:rsidR="0027668F" w:rsidP="00B22B91" w:rsidRDefault="0027668F" w14:paraId="7900D599" w14:textId="77777777">
      <w:pPr>
        <w:widowControl/>
      </w:pPr>
      <w:r w:rsidRPr="00AC3C19">
        <w:rPr>
          <w:b/>
          <w:bCs/>
        </w:rPr>
        <w:t>6.  Describe the consequence to Federal program or policy activities if the collection is not conducted or is conducted less frequently, as well as any technical or legal obstacles to reducing burden.</w:t>
      </w:r>
    </w:p>
    <w:p w:rsidRPr="00AC3C19" w:rsidR="0027668F" w:rsidP="00B22B91" w:rsidRDefault="0027668F" w14:paraId="300F3DED" w14:textId="77777777">
      <w:pPr>
        <w:widowControl/>
      </w:pPr>
    </w:p>
    <w:p w:rsidR="0027668F" w:rsidP="00B22B91" w:rsidRDefault="0027668F" w14:paraId="53C783F0" w14:textId="77777777">
      <w:pPr>
        <w:widowControl/>
      </w:pPr>
      <w:r w:rsidRPr="00591201">
        <w:t>The information</w:t>
      </w:r>
      <w:r w:rsidRPr="00591201" w:rsidR="00562301">
        <w:t xml:space="preserve"> </w:t>
      </w:r>
      <w:r w:rsidRPr="00591201">
        <w:t xml:space="preserve">collection frequencies specified by the </w:t>
      </w:r>
      <w:r w:rsidRPr="00A32672" w:rsidR="004F1FEE">
        <w:t>Standard</w:t>
      </w:r>
      <w:r w:rsidRPr="00A32672">
        <w:t xml:space="preserve"> are the minimum</w:t>
      </w:r>
      <w:r w:rsidRPr="00890D4D" w:rsidR="00BD1016">
        <w:t xml:space="preserve"> </w:t>
      </w:r>
      <w:r w:rsidRPr="00310FE6">
        <w:t xml:space="preserve">frequencies necessary to ensure that employers inform </w:t>
      </w:r>
      <w:r w:rsidRPr="00310FE6" w:rsidR="000B7968">
        <w:t>worker</w:t>
      </w:r>
      <w:r w:rsidRPr="00310FE6">
        <w:t>s of the minimum safe sparking distance between goods being electrostatically deteared and the electrodes or conductors of the electrostatic equipment.</w:t>
      </w:r>
    </w:p>
    <w:p w:rsidR="00A847AB" w:rsidP="00B22B91" w:rsidRDefault="00A847AB" w14:paraId="281D7C09" w14:textId="77777777">
      <w:pPr>
        <w:widowControl/>
      </w:pPr>
    </w:p>
    <w:p w:rsidRPr="00AC3C19" w:rsidR="0027668F" w:rsidP="00B22B91" w:rsidRDefault="0027668F" w14:paraId="0E2C23B0" w14:textId="77777777">
      <w:pPr>
        <w:widowControl/>
        <w:ind w:left="450" w:hanging="450"/>
        <w:rPr>
          <w:b/>
          <w:bCs/>
        </w:rPr>
      </w:pPr>
      <w:r w:rsidRPr="00AC3C19">
        <w:rPr>
          <w:b/>
          <w:bCs/>
        </w:rPr>
        <w:t>7.  Explain any special circumstances that would cause an information collection to be conducted in a manner:</w:t>
      </w:r>
    </w:p>
    <w:p w:rsidRPr="00AC3C19" w:rsidR="00562301" w:rsidP="00B22B91" w:rsidRDefault="00562301" w14:paraId="4E61D62D" w14:textId="77777777">
      <w:pPr>
        <w:widowControl/>
        <w:rPr>
          <w:b/>
          <w:bCs/>
        </w:rPr>
      </w:pPr>
    </w:p>
    <w:p w:rsidRPr="00AC3C19" w:rsidR="0027668F" w:rsidP="00B22B91" w:rsidRDefault="00BB33A0" w14:paraId="1A6261E1" w14:textId="77777777">
      <w:pPr>
        <w:widowControl/>
        <w:numPr>
          <w:ilvl w:val="0"/>
          <w:numId w:val="2"/>
        </w:numPr>
        <w:rPr>
          <w:b/>
          <w:bCs/>
        </w:rPr>
      </w:pPr>
      <w:r w:rsidRPr="00AC3C19">
        <w:rPr>
          <w:b/>
          <w:bCs/>
        </w:rPr>
        <w:t>r</w:t>
      </w:r>
      <w:r w:rsidRPr="00AC3C19" w:rsidR="0027668F">
        <w:rPr>
          <w:b/>
          <w:bCs/>
        </w:rPr>
        <w:t>equiring respondents to report information to the agency more often than quarterly;</w:t>
      </w:r>
    </w:p>
    <w:p w:rsidRPr="00AC3C19" w:rsidR="00562301" w:rsidP="00B22B91" w:rsidRDefault="00562301" w14:paraId="4B51ACEF" w14:textId="77777777">
      <w:pPr>
        <w:widowControl/>
        <w:ind w:left="450" w:hanging="450"/>
        <w:rPr>
          <w:b/>
          <w:bCs/>
        </w:rPr>
      </w:pPr>
    </w:p>
    <w:p w:rsidRPr="00AC3C19" w:rsidR="0027668F" w:rsidP="00B22B91" w:rsidRDefault="00BB33A0" w14:paraId="17642F82" w14:textId="77777777">
      <w:pPr>
        <w:widowControl/>
        <w:numPr>
          <w:ilvl w:val="0"/>
          <w:numId w:val="2"/>
        </w:numPr>
        <w:rPr>
          <w:b/>
          <w:bCs/>
        </w:rPr>
      </w:pPr>
      <w:r w:rsidRPr="00AC3C19">
        <w:rPr>
          <w:b/>
          <w:bCs/>
        </w:rPr>
        <w:t>r</w:t>
      </w:r>
      <w:r w:rsidRPr="00AC3C19" w:rsidR="0027668F">
        <w:rPr>
          <w:b/>
          <w:bCs/>
        </w:rPr>
        <w:t>equiring respondents to prepare a written response to a collection of information in fewer than 30 days after receipt of it;</w:t>
      </w:r>
    </w:p>
    <w:p w:rsidRPr="00AC3C19" w:rsidR="0027668F" w:rsidP="00B22B91" w:rsidRDefault="0027668F" w14:paraId="797F4A2B" w14:textId="77777777">
      <w:pPr>
        <w:widowControl/>
        <w:rPr>
          <w:b/>
          <w:bCs/>
        </w:rPr>
      </w:pPr>
    </w:p>
    <w:p w:rsidRPr="00AC3C19" w:rsidR="0027668F" w:rsidP="00B22B91" w:rsidRDefault="00BB33A0" w14:paraId="234D3973" w14:textId="77777777">
      <w:pPr>
        <w:widowControl/>
        <w:numPr>
          <w:ilvl w:val="0"/>
          <w:numId w:val="2"/>
        </w:numPr>
        <w:rPr>
          <w:b/>
          <w:bCs/>
        </w:rPr>
      </w:pPr>
      <w:r w:rsidRPr="00AC3C19">
        <w:rPr>
          <w:b/>
          <w:bCs/>
        </w:rPr>
        <w:t>r</w:t>
      </w:r>
      <w:r w:rsidRPr="00AC3C19" w:rsidR="0027668F">
        <w:rPr>
          <w:b/>
          <w:bCs/>
        </w:rPr>
        <w:t>equiring respondents to submit more than an original and two copies of any document;</w:t>
      </w:r>
    </w:p>
    <w:p w:rsidRPr="00AC3C19" w:rsidR="0027668F" w:rsidP="00B22B91" w:rsidRDefault="0027668F" w14:paraId="64A1C4EB" w14:textId="77777777">
      <w:pPr>
        <w:widowControl/>
        <w:rPr>
          <w:b/>
          <w:bCs/>
        </w:rPr>
      </w:pPr>
    </w:p>
    <w:p w:rsidRPr="00AC3C19" w:rsidR="0027668F" w:rsidP="00B22B91" w:rsidRDefault="00BB33A0" w14:paraId="2D0C6AE7" w14:textId="77777777">
      <w:pPr>
        <w:widowControl/>
        <w:numPr>
          <w:ilvl w:val="0"/>
          <w:numId w:val="2"/>
        </w:numPr>
        <w:rPr>
          <w:b/>
          <w:bCs/>
        </w:rPr>
      </w:pPr>
      <w:r w:rsidRPr="00AC3C19">
        <w:rPr>
          <w:b/>
          <w:bCs/>
        </w:rPr>
        <w:t>r</w:t>
      </w:r>
      <w:r w:rsidRPr="00AC3C19" w:rsidR="0027668F">
        <w:rPr>
          <w:b/>
          <w:bCs/>
        </w:rPr>
        <w:t>equiring respondents to retain records, other than health, medical, government contract, grant-in-aid, or tax records for more than three years;</w:t>
      </w:r>
    </w:p>
    <w:p w:rsidRPr="00AC3C19" w:rsidR="0027668F" w:rsidP="00B22B91" w:rsidRDefault="0027668F" w14:paraId="506DD93D" w14:textId="77777777">
      <w:pPr>
        <w:widowControl/>
        <w:rPr>
          <w:b/>
          <w:bCs/>
        </w:rPr>
      </w:pPr>
    </w:p>
    <w:p w:rsidRPr="00AC3C19" w:rsidR="0027668F" w:rsidP="00B22B91" w:rsidRDefault="00BB33A0" w14:paraId="2133D147" w14:textId="77777777">
      <w:pPr>
        <w:widowControl/>
        <w:numPr>
          <w:ilvl w:val="0"/>
          <w:numId w:val="2"/>
        </w:numPr>
        <w:rPr>
          <w:b/>
          <w:bCs/>
        </w:rPr>
      </w:pPr>
      <w:r w:rsidRPr="00AC3C19">
        <w:rPr>
          <w:b/>
          <w:bCs/>
        </w:rPr>
        <w:t>i</w:t>
      </w:r>
      <w:r w:rsidRPr="00AC3C19" w:rsidR="0027668F">
        <w:rPr>
          <w:b/>
          <w:bCs/>
        </w:rPr>
        <w:t>n connection with a statistical survey, that is not designed to produce valid and reliable results that can be generalized to the universe of study;</w:t>
      </w:r>
    </w:p>
    <w:p w:rsidRPr="00AC3C19" w:rsidR="0027668F" w:rsidP="00B22B91" w:rsidRDefault="0027668F" w14:paraId="5BF05BA5" w14:textId="77777777">
      <w:pPr>
        <w:widowControl/>
        <w:rPr>
          <w:b/>
          <w:bCs/>
        </w:rPr>
      </w:pPr>
    </w:p>
    <w:p w:rsidRPr="00AC3C19" w:rsidR="0027668F" w:rsidP="00B22B91" w:rsidRDefault="00BB33A0" w14:paraId="2EF8B464" w14:textId="77777777">
      <w:pPr>
        <w:widowControl/>
        <w:numPr>
          <w:ilvl w:val="0"/>
          <w:numId w:val="2"/>
        </w:numPr>
        <w:rPr>
          <w:b/>
          <w:bCs/>
        </w:rPr>
      </w:pPr>
      <w:r w:rsidRPr="00AC3C19">
        <w:rPr>
          <w:b/>
          <w:bCs/>
        </w:rPr>
        <w:t>r</w:t>
      </w:r>
      <w:r w:rsidRPr="00AC3C19" w:rsidR="0027668F">
        <w:rPr>
          <w:b/>
          <w:bCs/>
        </w:rPr>
        <w:t>equiring the use of a statistical data classification that has not been reviewed and approved by OMB;</w:t>
      </w:r>
    </w:p>
    <w:p w:rsidRPr="00AC3C19" w:rsidR="0027668F" w:rsidP="00B22B91" w:rsidRDefault="0027668F" w14:paraId="162D25F0" w14:textId="77777777">
      <w:pPr>
        <w:widowControl/>
        <w:rPr>
          <w:b/>
          <w:bCs/>
        </w:rPr>
        <w:sectPr w:rsidRPr="00AC3C19" w:rsidR="0027668F">
          <w:headerReference w:type="default" r:id="rId11"/>
          <w:footerReference w:type="default" r:id="rId12"/>
          <w:type w:val="continuous"/>
          <w:pgSz w:w="12240" w:h="15840"/>
          <w:pgMar w:top="1440" w:right="1440" w:bottom="1440" w:left="1440" w:header="1440" w:footer="1440" w:gutter="0"/>
          <w:cols w:space="720"/>
          <w:noEndnote/>
        </w:sectPr>
      </w:pPr>
    </w:p>
    <w:p w:rsidRPr="00AC3C19" w:rsidR="00D00533" w:rsidP="00B22B91" w:rsidRDefault="0027668F" w14:paraId="5D153836" w14:textId="77777777">
      <w:pPr>
        <w:widowControl/>
        <w:rPr>
          <w:b/>
          <w:bCs/>
        </w:rPr>
      </w:pPr>
      <w:r w:rsidRPr="00AC3C19">
        <w:rPr>
          <w:b/>
          <w:bCs/>
        </w:rPr>
        <w:t xml:space="preserve">     </w:t>
      </w:r>
    </w:p>
    <w:p w:rsidRPr="00AC3C19" w:rsidR="0027668F" w:rsidP="00B22B91" w:rsidRDefault="00BB33A0" w14:paraId="121A4929" w14:textId="77777777">
      <w:pPr>
        <w:widowControl/>
        <w:numPr>
          <w:ilvl w:val="0"/>
          <w:numId w:val="2"/>
        </w:numPr>
        <w:rPr>
          <w:b/>
          <w:bCs/>
        </w:rPr>
      </w:pPr>
      <w:r w:rsidRPr="00AC3C19">
        <w:rPr>
          <w:b/>
          <w:bCs/>
        </w:rPr>
        <w:t>t</w:t>
      </w:r>
      <w:r w:rsidRPr="00AC3C19" w:rsidR="0027668F">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C3C19" w:rsidR="0027668F" w:rsidP="00B22B91" w:rsidRDefault="0027668F" w14:paraId="15755FB2" w14:textId="77777777">
      <w:pPr>
        <w:widowControl/>
        <w:rPr>
          <w:b/>
          <w:bCs/>
        </w:rPr>
      </w:pPr>
    </w:p>
    <w:p w:rsidRPr="00AC3C19" w:rsidR="0027668F" w:rsidP="00B22B91" w:rsidRDefault="00BB33A0" w14:paraId="52E4F32C" w14:textId="77777777">
      <w:pPr>
        <w:widowControl/>
        <w:numPr>
          <w:ilvl w:val="0"/>
          <w:numId w:val="2"/>
        </w:numPr>
      </w:pPr>
      <w:r w:rsidRPr="00AC3C19">
        <w:rPr>
          <w:b/>
          <w:bCs/>
        </w:rPr>
        <w:t>r</w:t>
      </w:r>
      <w:r w:rsidRPr="00AC3C19" w:rsidR="0027668F">
        <w:rPr>
          <w:b/>
          <w:bCs/>
        </w:rPr>
        <w:t>equiring respondents to submit proprietary trade secret, or other confidential information unless the agency can demonstrate that it has instituted procedures to protect the information's confidentiality to the extent permitted by law.</w:t>
      </w:r>
    </w:p>
    <w:p w:rsidRPr="00AC3C19" w:rsidR="0027668F" w:rsidP="00B22B91" w:rsidRDefault="0027668F" w14:paraId="3451D213" w14:textId="77777777">
      <w:pPr>
        <w:widowControl/>
      </w:pPr>
    </w:p>
    <w:p w:rsidRPr="00591201" w:rsidR="0027668F" w:rsidP="00B22B91" w:rsidRDefault="0027668F" w14:paraId="41F4FCBE" w14:textId="77777777">
      <w:pPr>
        <w:widowControl/>
      </w:pPr>
      <w:r w:rsidRPr="00591201">
        <w:t>No special circumstances exist that require employers to collect information in the manner or using the procedures described in this item.</w:t>
      </w:r>
    </w:p>
    <w:p w:rsidRPr="00591201" w:rsidR="0027668F" w:rsidP="00B22B91" w:rsidRDefault="0027668F" w14:paraId="6E90D6B1" w14:textId="77777777">
      <w:pPr>
        <w:widowControl/>
      </w:pPr>
    </w:p>
    <w:p w:rsidRPr="00AC3C19" w:rsidR="0027668F" w:rsidP="00B22B91" w:rsidRDefault="0027668F" w14:paraId="4589440E" w14:textId="77777777">
      <w:pPr>
        <w:widowControl/>
        <w:rPr>
          <w:b/>
          <w:bCs/>
        </w:rPr>
      </w:pPr>
      <w:r w:rsidRPr="00AC3C19">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C3C19" w:rsidR="0027668F" w:rsidP="00B22B91" w:rsidRDefault="0027668F" w14:paraId="3E049B63" w14:textId="77777777">
      <w:pPr>
        <w:widowControl/>
        <w:rPr>
          <w:b/>
          <w:bCs/>
        </w:rPr>
      </w:pPr>
      <w:r w:rsidRPr="00AC3C1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C3C19" w:rsidR="0027668F" w:rsidP="00B22B91" w:rsidRDefault="0027668F" w14:paraId="51C9F7AF" w14:textId="77777777">
      <w:pPr>
        <w:widowControl/>
        <w:rPr>
          <w:b/>
          <w:bCs/>
        </w:rPr>
      </w:pPr>
    </w:p>
    <w:p w:rsidRPr="00AC3C19" w:rsidR="0027668F" w:rsidP="00B22B91" w:rsidRDefault="0027668F" w14:paraId="4C2FE2CB" w14:textId="77777777">
      <w:pPr>
        <w:widowControl/>
        <w:tabs>
          <w:tab w:val="left" w:pos="0"/>
        </w:tabs>
      </w:pPr>
      <w:r w:rsidRPr="00AC3C19">
        <w:rPr>
          <w:b/>
          <w:bCs/>
        </w:rPr>
        <w:t>Consultation with representatives of those from whom information is to be obtained or those who must compile records should occur at least once every 3 years, even if the collection</w:t>
      </w:r>
      <w:r w:rsidRPr="00AC3C19" w:rsidR="00F678BD">
        <w:rPr>
          <w:b/>
          <w:bCs/>
        </w:rPr>
        <w:t xml:space="preserve"> </w:t>
      </w:r>
      <w:r w:rsidRPr="00AC3C19">
        <w:rPr>
          <w:b/>
          <w:bCs/>
        </w:rPr>
        <w:t>of</w:t>
      </w:r>
      <w:r w:rsidRPr="00AC3C19" w:rsidR="00F678BD">
        <w:rPr>
          <w:b/>
          <w:bCs/>
        </w:rPr>
        <w:t xml:space="preserve"> </w:t>
      </w:r>
      <w:r w:rsidRPr="00AC3C19">
        <w:rPr>
          <w:b/>
          <w:bCs/>
        </w:rPr>
        <w:t>information activity is the same as in prior periods.  There may be circumstances that may preclude consultation in a specific situation.  These circumstances should be explained.</w:t>
      </w:r>
    </w:p>
    <w:p w:rsidRPr="00AC3C19" w:rsidR="0027668F" w:rsidP="00B22B91" w:rsidRDefault="0027668F" w14:paraId="641C6700" w14:textId="77777777">
      <w:pPr>
        <w:widowControl/>
      </w:pPr>
    </w:p>
    <w:p w:rsidRPr="00B44CEB" w:rsidR="00E20BDB" w:rsidP="00F61983" w:rsidRDefault="00E20BDB" w14:paraId="30A8625D" w14:textId="77777777">
      <w:pPr>
        <w:widowControl/>
      </w:pPr>
      <w:r w:rsidRPr="00591201">
        <w:t>As required by the Paperwork Reduction Act of 1995 (44 U.S.C.2506 (c)(2)(A)), OSHA publish</w:t>
      </w:r>
      <w:r w:rsidR="006059C2">
        <w:t>ed</w:t>
      </w:r>
      <w:r w:rsidRPr="00A32672">
        <w:t xml:space="preserve"> </w:t>
      </w:r>
      <w:r w:rsidR="006059C2">
        <w:t xml:space="preserve">a </w:t>
      </w:r>
      <w:r w:rsidRPr="00A32672">
        <w:t xml:space="preserve">notice in the </w:t>
      </w:r>
      <w:r w:rsidRPr="00AC3C19">
        <w:rPr>
          <w:bCs/>
        </w:rPr>
        <w:t>Federal</w:t>
      </w:r>
      <w:r w:rsidRPr="00591201">
        <w:rPr>
          <w:b/>
          <w:bCs/>
          <w:i/>
        </w:rPr>
        <w:t xml:space="preserve"> </w:t>
      </w:r>
      <w:r w:rsidRPr="00AC3C19">
        <w:rPr>
          <w:bCs/>
        </w:rPr>
        <w:t>Register</w:t>
      </w:r>
      <w:r w:rsidRPr="00591201">
        <w:rPr>
          <w:bCs/>
        </w:rPr>
        <w:t xml:space="preserve"> </w:t>
      </w:r>
      <w:r w:rsidR="00700876">
        <w:rPr>
          <w:bCs/>
        </w:rPr>
        <w:t xml:space="preserve">on November 8, 2019 (84 FR 60454) </w:t>
      </w:r>
      <w:r w:rsidRPr="00A32672">
        <w:rPr>
          <w:bCs/>
        </w:rPr>
        <w:t>requesting public comment on its proposed extension of the information collection requirements contained in</w:t>
      </w:r>
      <w:r w:rsidRPr="00A32672">
        <w:t xml:space="preserve"> the Standard on </w:t>
      </w:r>
      <w:r w:rsidRPr="00310FE6" w:rsidR="00352185">
        <w:t>Dipping and Coating Operations (</w:t>
      </w:r>
      <w:r w:rsidRPr="00310FE6" w:rsidR="00BF30A6">
        <w:t>D</w:t>
      </w:r>
      <w:r w:rsidRPr="00310FE6" w:rsidR="00352185">
        <w:t>ip Tanks)</w:t>
      </w:r>
      <w:r w:rsidRPr="00310FE6" w:rsidR="00BA576A">
        <w:t xml:space="preserve"> (29 CFR 1910.1</w:t>
      </w:r>
      <w:r w:rsidRPr="00310FE6" w:rsidR="00352185">
        <w:t>26</w:t>
      </w:r>
      <w:r w:rsidRPr="00310FE6" w:rsidR="00BA576A">
        <w:t xml:space="preserve">). This </w:t>
      </w:r>
      <w:r w:rsidRPr="00310FE6">
        <w:t xml:space="preserve">notice </w:t>
      </w:r>
      <w:r w:rsidR="00700876">
        <w:t>was</w:t>
      </w:r>
      <w:r w:rsidRPr="00A21698" w:rsidR="00BA576A">
        <w:t xml:space="preserve"> </w:t>
      </w:r>
      <w:r w:rsidRPr="00A21698">
        <w:t xml:space="preserve">part of a preclearance consultation program </w:t>
      </w:r>
      <w:r w:rsidRPr="00BA53C1" w:rsidR="00BA576A">
        <w:t xml:space="preserve">that </w:t>
      </w:r>
      <w:r w:rsidRPr="00BA53C1">
        <w:t>provi</w:t>
      </w:r>
      <w:r w:rsidRPr="00BA53C1" w:rsidR="00BA576A">
        <w:t>d</w:t>
      </w:r>
      <w:r w:rsidRPr="00BA53C1" w:rsidR="004969C9">
        <w:t>e</w:t>
      </w:r>
      <w:r w:rsidR="00700876">
        <w:t>d</w:t>
      </w:r>
      <w:r w:rsidRPr="001556A7">
        <w:t xml:space="preserve"> th</w:t>
      </w:r>
      <w:r w:rsidRPr="001556A7" w:rsidR="00BA576A">
        <w:t>e</w:t>
      </w:r>
      <w:r w:rsidRPr="004B60D7" w:rsidR="003740F4">
        <w:t xml:space="preserve"> </w:t>
      </w:r>
      <w:r w:rsidRPr="004B60D7" w:rsidR="00BA576A">
        <w:t>general public and government agenc</w:t>
      </w:r>
      <w:r w:rsidRPr="00B44CEB" w:rsidR="003740F4">
        <w:t>ies with an</w:t>
      </w:r>
      <w:r w:rsidRPr="00B44CEB" w:rsidR="00BA576A">
        <w:t xml:space="preserve"> </w:t>
      </w:r>
      <w:r w:rsidRPr="00B44CEB">
        <w:t>opportunity to comment</w:t>
      </w:r>
      <w:r w:rsidRPr="00B44CEB" w:rsidR="00BA576A">
        <w:t xml:space="preserve">.  The Agency </w:t>
      </w:r>
      <w:r w:rsidR="00700876">
        <w:t>did not receive any</w:t>
      </w:r>
      <w:r w:rsidR="00A847AB">
        <w:t xml:space="preserve"> public</w:t>
      </w:r>
      <w:r w:rsidR="00700876">
        <w:t xml:space="preserve"> comments </w:t>
      </w:r>
      <w:r w:rsidRPr="00B44CEB" w:rsidR="00BA576A">
        <w:t>in response to this notice.</w:t>
      </w:r>
    </w:p>
    <w:p w:rsidRPr="008055AD" w:rsidR="00E20BDB" w:rsidP="00F61983" w:rsidRDefault="00E20BDB" w14:paraId="46D24AD3" w14:textId="77777777">
      <w:pPr>
        <w:widowControl/>
      </w:pPr>
    </w:p>
    <w:p w:rsidRPr="00591201" w:rsidR="0027668F" w:rsidP="00B22B91" w:rsidRDefault="0027668F" w14:paraId="0C8D4D9B" w14:textId="77777777">
      <w:pPr>
        <w:widowControl/>
      </w:pPr>
      <w:r w:rsidRPr="00AC3C19">
        <w:rPr>
          <w:b/>
          <w:bCs/>
        </w:rPr>
        <w:t xml:space="preserve">9.  Explain any decision to provide any payment or gift to respondents, other than </w:t>
      </w:r>
      <w:r w:rsidRPr="00AC3C19" w:rsidR="00137063">
        <w:rPr>
          <w:b/>
          <w:bCs/>
        </w:rPr>
        <w:t>remuneration</w:t>
      </w:r>
      <w:r w:rsidRPr="00AC3C19">
        <w:rPr>
          <w:b/>
          <w:bCs/>
        </w:rPr>
        <w:t xml:space="preserve"> of contractors or grantees.</w:t>
      </w:r>
    </w:p>
    <w:p w:rsidRPr="00591201" w:rsidR="0027668F" w:rsidP="00B22B91" w:rsidRDefault="0027668F" w14:paraId="23E6FBB1" w14:textId="77777777">
      <w:pPr>
        <w:widowControl/>
      </w:pPr>
    </w:p>
    <w:p w:rsidRPr="00310FE6" w:rsidR="0027668F" w:rsidP="00B22B91" w:rsidRDefault="0027668F" w14:paraId="6F527A9B" w14:textId="77777777">
      <w:pPr>
        <w:widowControl/>
      </w:pPr>
      <w:r w:rsidRPr="00A32672">
        <w:t xml:space="preserve">The Agency will </w:t>
      </w:r>
      <w:r w:rsidRPr="00310FE6">
        <w:rPr>
          <w:u w:val="single"/>
        </w:rPr>
        <w:t>not</w:t>
      </w:r>
      <w:r w:rsidRPr="00310FE6">
        <w:t xml:space="preserve"> provide payments or gifts to the respondents.</w:t>
      </w:r>
    </w:p>
    <w:p w:rsidRPr="00310FE6" w:rsidR="0027668F" w:rsidP="00B22B91" w:rsidRDefault="0027668F" w14:paraId="4A368D2F" w14:textId="77777777">
      <w:pPr>
        <w:widowControl/>
      </w:pPr>
    </w:p>
    <w:p w:rsidRPr="00591201" w:rsidR="0027668F" w:rsidP="00B22B91" w:rsidRDefault="0027668F" w14:paraId="29D32E19" w14:textId="77777777">
      <w:pPr>
        <w:widowControl/>
      </w:pPr>
      <w:r w:rsidRPr="00AC3C19">
        <w:rPr>
          <w:b/>
          <w:bCs/>
        </w:rPr>
        <w:t>10.  Describe any assurance of confidentiality provided to respondents</w:t>
      </w:r>
      <w:r w:rsidRPr="00AC3C19" w:rsidR="000531A3">
        <w:rPr>
          <w:b/>
          <w:bCs/>
        </w:rPr>
        <w:t xml:space="preserve"> </w:t>
      </w:r>
      <w:r w:rsidRPr="00AC3C19">
        <w:rPr>
          <w:b/>
          <w:bCs/>
        </w:rPr>
        <w:t>and the basis for the assurance in statute, regulation, or agency policy.</w:t>
      </w:r>
    </w:p>
    <w:p w:rsidRPr="00591201" w:rsidR="0027668F" w:rsidP="00B22B91" w:rsidRDefault="0027668F" w14:paraId="259C4FBF" w14:textId="77777777">
      <w:pPr>
        <w:widowControl/>
      </w:pPr>
    </w:p>
    <w:p w:rsidRPr="00310FE6" w:rsidR="0027668F" w:rsidP="00B22B91" w:rsidRDefault="0027668F" w14:paraId="78AC23FB" w14:textId="77777777">
      <w:pPr>
        <w:widowControl/>
      </w:pPr>
      <w:r w:rsidRPr="00A32672">
        <w:t xml:space="preserve">The paperwork requirement in the </w:t>
      </w:r>
      <w:r w:rsidRPr="00310FE6" w:rsidR="004F1FEE">
        <w:t>Standard</w:t>
      </w:r>
      <w:r w:rsidRPr="00310FE6">
        <w:t xml:space="preserve"> does not require the collection of confidential information.</w:t>
      </w:r>
    </w:p>
    <w:p w:rsidRPr="00AC3C19" w:rsidR="0027668F" w:rsidP="00B22B91" w:rsidRDefault="0027668F" w14:paraId="7EED4CF7" w14:textId="77777777">
      <w:pPr>
        <w:widowControl/>
        <w:sectPr w:rsidRPr="00AC3C19" w:rsidR="0027668F">
          <w:type w:val="continuous"/>
          <w:pgSz w:w="12240" w:h="15840"/>
          <w:pgMar w:top="1440" w:right="1440" w:bottom="1440" w:left="1440" w:header="1440" w:footer="1440" w:gutter="0"/>
          <w:cols w:space="720"/>
          <w:noEndnote/>
        </w:sectPr>
      </w:pPr>
    </w:p>
    <w:p w:rsidRPr="00AC3C19" w:rsidR="001D786A" w:rsidP="00B22B91" w:rsidRDefault="001D786A" w14:paraId="70AE9870" w14:textId="77777777">
      <w:pPr>
        <w:widowControl/>
        <w:rPr>
          <w:b/>
          <w:bCs/>
        </w:rPr>
      </w:pPr>
    </w:p>
    <w:p w:rsidRPr="00591201" w:rsidR="0027668F" w:rsidP="00B22B91" w:rsidRDefault="0027668F" w14:paraId="751AF280" w14:textId="77777777">
      <w:pPr>
        <w:widowControl/>
      </w:pPr>
      <w:r w:rsidRPr="00AC3C19">
        <w:rPr>
          <w:b/>
          <w:bCs/>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591201" w:rsidR="0027668F" w:rsidP="00B22B91" w:rsidRDefault="0027668F" w14:paraId="25D61568" w14:textId="77777777">
      <w:pPr>
        <w:widowControl/>
      </w:pPr>
    </w:p>
    <w:p w:rsidRPr="00310FE6" w:rsidR="0027668F" w:rsidP="00B22B91" w:rsidRDefault="0027668F" w14:paraId="210008D4" w14:textId="77777777">
      <w:pPr>
        <w:widowControl/>
      </w:pPr>
      <w:r w:rsidRPr="00A32672">
        <w:t xml:space="preserve">The paperwork requirement in the </w:t>
      </w:r>
      <w:r w:rsidRPr="00310FE6" w:rsidR="004F1FEE">
        <w:t>Standard</w:t>
      </w:r>
      <w:r w:rsidRPr="00310FE6">
        <w:t xml:space="preserve"> does not require the collection of sensitive information.</w:t>
      </w:r>
    </w:p>
    <w:p w:rsidRPr="00310FE6" w:rsidR="0027668F" w:rsidP="00B22B91" w:rsidRDefault="0027668F" w14:paraId="195F82E3" w14:textId="77777777">
      <w:pPr>
        <w:widowControl/>
      </w:pPr>
    </w:p>
    <w:p w:rsidRPr="00AC3C19" w:rsidR="0027668F" w:rsidP="00B22B91" w:rsidRDefault="0027668F" w14:paraId="002CF817" w14:textId="77777777">
      <w:pPr>
        <w:widowControl/>
        <w:rPr>
          <w:b/>
          <w:bCs/>
        </w:rPr>
      </w:pPr>
      <w:r w:rsidRPr="00AC3C19">
        <w:rPr>
          <w:b/>
          <w:bCs/>
        </w:rPr>
        <w:t>12.  Provide estimates of the hour burden of the collection of information.  The statement should:</w:t>
      </w:r>
    </w:p>
    <w:p w:rsidRPr="00AC3C19" w:rsidR="0027668F" w:rsidP="00B22B91" w:rsidRDefault="0027668F" w14:paraId="5836319E" w14:textId="77777777">
      <w:pPr>
        <w:widowControl/>
        <w:rPr>
          <w:b/>
          <w:bCs/>
        </w:rPr>
      </w:pPr>
    </w:p>
    <w:p w:rsidRPr="00AC3C19" w:rsidR="0027668F" w:rsidP="00B22B91" w:rsidRDefault="0027668F" w14:paraId="321A5B22" w14:textId="77777777">
      <w:pPr>
        <w:widowControl/>
        <w:numPr>
          <w:ilvl w:val="0"/>
          <w:numId w:val="3"/>
        </w:numPr>
        <w:rPr>
          <w:b/>
          <w:bCs/>
        </w:rPr>
      </w:pPr>
      <w:r w:rsidRPr="00AC3C1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inactivity, size, or complexity, show the range of estimated hour burden, and explain the reasons for the variance</w:t>
      </w:r>
      <w:r w:rsidRPr="00AC3C19" w:rsidR="005247D8">
        <w:rPr>
          <w:b/>
          <w:bCs/>
        </w:rPr>
        <w:t xml:space="preserve">.  </w:t>
      </w:r>
      <w:r w:rsidRPr="00AC3C19">
        <w:rPr>
          <w:b/>
          <w:bCs/>
        </w:rPr>
        <w:t>Generally, estimates should not include burden hours for customary and usual business practices.</w:t>
      </w:r>
    </w:p>
    <w:p w:rsidRPr="00AC3C19" w:rsidR="0027668F" w:rsidP="00B22B91" w:rsidRDefault="0027668F" w14:paraId="3826FC52" w14:textId="77777777">
      <w:pPr>
        <w:widowControl/>
        <w:rPr>
          <w:b/>
          <w:bCs/>
        </w:rPr>
      </w:pPr>
    </w:p>
    <w:p w:rsidRPr="00AC3C19" w:rsidR="0027668F" w:rsidP="00B22B91" w:rsidRDefault="0027668F" w14:paraId="4AAAAEE1" w14:textId="77777777">
      <w:pPr>
        <w:widowControl/>
        <w:numPr>
          <w:ilvl w:val="0"/>
          <w:numId w:val="3"/>
        </w:numPr>
        <w:rPr>
          <w:b/>
          <w:bCs/>
        </w:rPr>
      </w:pPr>
      <w:r w:rsidRPr="00AC3C19">
        <w:rPr>
          <w:b/>
          <w:bCs/>
        </w:rPr>
        <w:t xml:space="preserve">If this request for approval covers more than one form, provide separate hour burden estimates for each </w:t>
      </w:r>
      <w:r w:rsidRPr="00AC3C19" w:rsidR="00001E0E">
        <w:rPr>
          <w:b/>
          <w:bCs/>
        </w:rPr>
        <w:t>form.</w:t>
      </w:r>
    </w:p>
    <w:p w:rsidRPr="00AC3C19" w:rsidR="00DC42A7" w:rsidP="00B22B91" w:rsidRDefault="00DC42A7" w14:paraId="1103C675" w14:textId="77777777">
      <w:pPr>
        <w:pStyle w:val="ListParagraph"/>
        <w:widowControl/>
        <w:rPr>
          <w:b/>
          <w:bCs/>
        </w:rPr>
      </w:pPr>
    </w:p>
    <w:p w:rsidRPr="00591201" w:rsidR="0027668F" w:rsidP="00B22B91" w:rsidRDefault="000D32FE" w14:paraId="58E12C60" w14:textId="77777777">
      <w:pPr>
        <w:widowControl/>
        <w:ind w:left="720" w:hanging="360"/>
      </w:pPr>
      <w:r w:rsidRPr="00AC3C19">
        <w:rPr>
          <w:b/>
          <w:bCs/>
        </w:rPr>
        <w:t>•</w:t>
      </w:r>
      <w:r w:rsidRPr="00AC3C19">
        <w:rPr>
          <w:b/>
          <w:bCs/>
        </w:rPr>
        <w:tab/>
      </w:r>
      <w:r w:rsidRPr="00AC3C19" w:rsidR="0027668F">
        <w:rPr>
          <w:b/>
          <w:bCs/>
        </w:rPr>
        <w:t xml:space="preserve">Provide estimates of annualized cost to respondents for the hour burdens for collections of </w:t>
      </w:r>
      <w:r w:rsidRPr="00AC3C19" w:rsidR="00736A57">
        <w:rPr>
          <w:b/>
          <w:bCs/>
        </w:rPr>
        <w:t>information, identifying</w:t>
      </w:r>
      <w:r w:rsidRPr="00AC3C19" w:rsidR="0027668F">
        <w:rPr>
          <w:b/>
          <w:bCs/>
        </w:rPr>
        <w:t xml:space="preserve"> and using appropriate wage</w:t>
      </w:r>
      <w:r w:rsidRPr="00AC3C19" w:rsidR="00746041">
        <w:rPr>
          <w:b/>
          <w:bCs/>
        </w:rPr>
        <w:t xml:space="preserve"> </w:t>
      </w:r>
      <w:r w:rsidRPr="00AC3C19" w:rsidR="0027668F">
        <w:rPr>
          <w:b/>
          <w:bCs/>
        </w:rPr>
        <w:t>rate categories.</w:t>
      </w:r>
      <w:r w:rsidRPr="00AC3C19" w:rsidR="004F1FEE">
        <w:rPr>
          <w:b/>
          <w:bCs/>
        </w:rPr>
        <w:t xml:space="preserve">  The cost of contracting out or paying outside parties for information collection activities should not be included here.  Instead</w:t>
      </w:r>
      <w:r w:rsidRPr="00AC3C19" w:rsidR="00746041">
        <w:rPr>
          <w:b/>
          <w:bCs/>
        </w:rPr>
        <w:t>,</w:t>
      </w:r>
      <w:r w:rsidRPr="00AC3C19" w:rsidR="004F1FEE">
        <w:rPr>
          <w:b/>
          <w:bCs/>
        </w:rPr>
        <w:t xml:space="preserve"> </w:t>
      </w:r>
      <w:r w:rsidRPr="00AC3C19" w:rsidR="00746041">
        <w:rPr>
          <w:b/>
          <w:bCs/>
        </w:rPr>
        <w:t>this</w:t>
      </w:r>
      <w:r w:rsidRPr="00AC3C19" w:rsidR="000F086A">
        <w:rPr>
          <w:b/>
          <w:bCs/>
        </w:rPr>
        <w:t xml:space="preserve"> shoul</w:t>
      </w:r>
      <w:r w:rsidRPr="00AC3C19" w:rsidR="00A550F7">
        <w:rPr>
          <w:b/>
          <w:bCs/>
        </w:rPr>
        <w:t>d</w:t>
      </w:r>
      <w:r w:rsidRPr="00AC3C19" w:rsidR="004F1FEE">
        <w:rPr>
          <w:b/>
          <w:bCs/>
        </w:rPr>
        <w:t xml:space="preserve"> be included in Item 1</w:t>
      </w:r>
      <w:r w:rsidRPr="00AC3C19" w:rsidR="00746041">
        <w:rPr>
          <w:b/>
          <w:bCs/>
        </w:rPr>
        <w:t>4</w:t>
      </w:r>
      <w:r w:rsidRPr="00AC3C19" w:rsidR="004F1FEE">
        <w:rPr>
          <w:b/>
          <w:bCs/>
        </w:rPr>
        <w:t>.</w:t>
      </w:r>
    </w:p>
    <w:p w:rsidRPr="00591201" w:rsidR="0027668F" w:rsidP="00B22B91" w:rsidRDefault="0027668F" w14:paraId="51704FB7" w14:textId="77777777">
      <w:pPr>
        <w:widowControl/>
      </w:pPr>
    </w:p>
    <w:p w:rsidRPr="00310FE6" w:rsidR="0027668F" w:rsidP="00B22B91" w:rsidRDefault="0027668F" w14:paraId="5CAF0E73" w14:textId="77777777">
      <w:pPr>
        <w:widowControl/>
        <w:rPr>
          <w:b/>
          <w:bCs/>
          <w:u w:val="single"/>
        </w:rPr>
      </w:pPr>
      <w:r w:rsidRPr="00A32672">
        <w:rPr>
          <w:b/>
          <w:bCs/>
          <w:u w:val="single"/>
        </w:rPr>
        <w:t>Burden</w:t>
      </w:r>
      <w:r w:rsidRPr="00A32672" w:rsidR="000D32FE">
        <w:rPr>
          <w:b/>
          <w:bCs/>
          <w:u w:val="single"/>
        </w:rPr>
        <w:t xml:space="preserve"> </w:t>
      </w:r>
      <w:r w:rsidRPr="00310FE6">
        <w:rPr>
          <w:b/>
          <w:bCs/>
          <w:u w:val="single"/>
        </w:rPr>
        <w:t>Hour and Cost Determinations</w:t>
      </w:r>
    </w:p>
    <w:p w:rsidRPr="00310FE6" w:rsidR="00C83FF0" w:rsidP="00B22B91" w:rsidRDefault="00C83FF0" w14:paraId="42CA2BFE" w14:textId="77777777">
      <w:pPr>
        <w:widowControl/>
        <w:rPr>
          <w:b/>
          <w:bCs/>
          <w:u w:val="single"/>
        </w:rPr>
      </w:pPr>
    </w:p>
    <w:p w:rsidR="005314A2" w:rsidP="00B22B91" w:rsidRDefault="00F2322F" w14:paraId="61067D6C" w14:textId="77777777">
      <w:pPr>
        <w:widowControl/>
      </w:pPr>
      <w:r w:rsidRPr="00AC3C19">
        <w:t xml:space="preserve">OSHA has determined that where electrostatic equipment is being used, the information has already been ascertained and that the “safe distance” has been displayed on a sign in a permanent manner.  The Agency does not believe that this equipment is currently being manufactured or used due to changes in technology.  OSHA does not believe there is any burden associated with the information collection requirement in the provision; however, in accordance with regulation 5 CFR 1320.3(c)(4)(i), which deems any rule of general applicability to involve 10 or more persons, </w:t>
      </w:r>
      <w:r w:rsidR="00351552">
        <w:t>OSHA</w:t>
      </w:r>
      <w:r w:rsidRPr="00AC3C19">
        <w:t xml:space="preserve"> is claiming a burden of 10 responses that each impose a burden of 5 minutes</w:t>
      </w:r>
      <w:r w:rsidR="00351552">
        <w:t xml:space="preserve"> (5/60 hour)</w:t>
      </w:r>
      <w:r w:rsidRPr="00AC3C19" w:rsidR="004B1A65">
        <w:t>.</w:t>
      </w:r>
      <w:r w:rsidR="00351552">
        <w:t xml:space="preserve">  </w:t>
      </w:r>
      <w:r w:rsidRPr="00310FE6" w:rsidR="005314A2">
        <w:t>OSHA has determined that where electrostatic equipment is being used, the information has al</w:t>
      </w:r>
      <w:r w:rsidRPr="00A21698" w:rsidR="005314A2">
        <w:t xml:space="preserve">ready been ascertained and that the “safe distance” has been displayed on a sign in a permanent manner. The Agency does not believe that this equipment is currently being manufactured or used due to changes in technology.  </w:t>
      </w:r>
    </w:p>
    <w:p w:rsidR="00351552" w:rsidP="006F568F" w:rsidRDefault="00351552" w14:paraId="51068362" w14:textId="77777777">
      <w:pPr>
        <w:rPr>
          <w:rFonts w:eastAsia="Calibri"/>
        </w:rPr>
      </w:pPr>
    </w:p>
    <w:p w:rsidRPr="006B6DC0" w:rsidR="006F568F" w:rsidP="006F568F" w:rsidRDefault="006F568F" w14:paraId="01EB16B4" w14:textId="77777777">
      <w:pPr>
        <w:rPr>
          <w:rFonts w:eastAsia="Calibri"/>
        </w:rPr>
      </w:pPr>
      <w:r w:rsidRPr="006B6DC0">
        <w:rPr>
          <w:rFonts w:eastAsia="Calibri"/>
        </w:rPr>
        <w:t xml:space="preserve">The Agency determined the wage rate from mean hourly wage earnings to represent the cost of employee time. </w:t>
      </w:r>
      <w:r w:rsidRPr="006B6DC0">
        <w:t>The following hourly wage rate</w:t>
      </w:r>
      <w:r w:rsidR="007B42B1">
        <w:t xml:space="preserve"> was </w:t>
      </w:r>
      <w:r w:rsidRPr="006B6DC0">
        <w:t xml:space="preserve">derived from the </w:t>
      </w:r>
      <w:r w:rsidRPr="006B6DC0">
        <w:rPr>
          <w:i/>
        </w:rPr>
        <w:t>National Occupational Employment and Wage Estimates United States, May 2018</w:t>
      </w:r>
      <w:r w:rsidRPr="006B6DC0">
        <w:t>, published by the Bureau of Labor Statistics</w:t>
      </w:r>
      <w:r w:rsidR="007B42B1">
        <w:t xml:space="preserve"> (BLS), U.S. Department of Labor</w:t>
      </w:r>
      <w:r w:rsidRPr="006B6DC0">
        <w:t xml:space="preserve">. </w:t>
      </w:r>
      <w:r w:rsidRPr="006B6DC0">
        <w:rPr>
          <w:rFonts w:eastAsia="Calibri"/>
        </w:rPr>
        <w:t xml:space="preserve"> For the relevant standard occupational classification category, OSHA used the wage rate reported in </w:t>
      </w:r>
      <w:r w:rsidR="007B42B1">
        <w:rPr>
          <w:rFonts w:eastAsia="Calibri"/>
        </w:rPr>
        <w:t>BLS’</w:t>
      </w:r>
      <w:r w:rsidRPr="006B6DC0">
        <w:rPr>
          <w:rFonts w:eastAsia="Calibri"/>
        </w:rPr>
        <w:t xml:space="preserve">, </w:t>
      </w:r>
      <w:r w:rsidRPr="006B6DC0">
        <w:rPr>
          <w:rFonts w:eastAsia="Calibri"/>
          <w:i/>
        </w:rPr>
        <w:t>Occupation</w:t>
      </w:r>
      <w:r w:rsidR="006E4665">
        <w:rPr>
          <w:rFonts w:eastAsia="Calibri"/>
          <w:i/>
        </w:rPr>
        <w:t xml:space="preserve">al Employment Statistics (OES), </w:t>
      </w:r>
      <w:r w:rsidRPr="006B6DC0">
        <w:rPr>
          <w:rFonts w:eastAsia="Calibri"/>
          <w:i/>
        </w:rPr>
        <w:t>May 2018</w:t>
      </w:r>
      <w:r w:rsidRPr="006B6DC0">
        <w:rPr>
          <w:rFonts w:eastAsia="Calibri"/>
        </w:rPr>
        <w:t xml:space="preserve"> [date accessed: October 18, 2019].  (OES data is available at </w:t>
      </w:r>
      <w:hyperlink w:history="1" r:id="rId13">
        <w:r w:rsidRPr="006B6DC0">
          <w:rPr>
            <w:rFonts w:eastAsia="Calibri"/>
            <w:u w:val="single"/>
          </w:rPr>
          <w:t>https://www.bls.gov/oes/tables.htm</w:t>
        </w:r>
      </w:hyperlink>
      <w:r w:rsidRPr="006B6DC0">
        <w:rPr>
          <w:rFonts w:eastAsia="Calibri"/>
        </w:rPr>
        <w:t>.  To access a wage rate, select the year, “Occupation Profiles,” and the Standard Occupational Classification (SOC) code.)</w:t>
      </w:r>
    </w:p>
    <w:p w:rsidRPr="006B6DC0" w:rsidR="006F568F" w:rsidP="006F568F" w:rsidRDefault="006F568F" w14:paraId="32D2B189" w14:textId="77777777">
      <w:pPr>
        <w:rPr>
          <w:rFonts w:eastAsia="Calibri"/>
        </w:rPr>
      </w:pPr>
    </w:p>
    <w:p w:rsidR="005B4CD3" w:rsidP="000B2F2C" w:rsidRDefault="006F568F" w14:paraId="57F1ACD0" w14:textId="77777777">
      <w:pPr>
        <w:rPr>
          <w:rFonts w:eastAsia="Calibri"/>
        </w:rPr>
      </w:pPr>
      <w:r w:rsidRPr="006B6DC0">
        <w:rPr>
          <w:rFonts w:eastAsia="Calibri"/>
        </w:rPr>
        <w:t>To account for fringe benefits, the Agency used the Bureau of Labor Statistics’ (BLS) March 2019 National Compensation Survey</w:t>
      </w:r>
      <w:r w:rsidRPr="006B6DC0">
        <w:rPr>
          <w:rFonts w:eastAsia="Calibri"/>
          <w:i/>
        </w:rPr>
        <w:t xml:space="preserve">. </w:t>
      </w:r>
      <w:r w:rsidRPr="006B6DC0">
        <w:rPr>
          <w:rFonts w:eastAsia="Calibri"/>
        </w:rPr>
        <w:t xml:space="preserve"> Fringe markup is from the following BLS release: </w:t>
      </w:r>
      <w:r w:rsidRPr="006B6DC0">
        <w:rPr>
          <w:rFonts w:eastAsia="Calibri"/>
          <w:i/>
        </w:rPr>
        <w:t xml:space="preserve">Employer Costs for Employee Compensation </w:t>
      </w:r>
      <w:r w:rsidRPr="006B6DC0">
        <w:rPr>
          <w:rFonts w:eastAsia="Calibri"/>
        </w:rPr>
        <w:t>news release text; released 10:00 AM (EDT), June 2019 (</w:t>
      </w:r>
      <w:hyperlink w:history="1" r:id="rId14">
        <w:r w:rsidRPr="006B6DC0">
          <w:rPr>
            <w:rStyle w:val="Hyperlink"/>
            <w:rFonts w:eastAsia="Calibri"/>
          </w:rPr>
          <w:t>https://www.bls.gov/news.release/pdf/ecec.pdf</w:t>
        </w:r>
      </w:hyperlink>
      <w:r w:rsidRPr="006B6DC0">
        <w:rPr>
          <w:rFonts w:eastAsia="Calibri"/>
        </w:rPr>
        <w:t>). BLS reported that for civilian workers, fringe benefits accounted for 31.4 percent of total compensation and wages accounted for the remaining 68.6 percent.  To calculate the loaded hourly wage</w:t>
      </w:r>
      <w:r w:rsidR="005B4CD3">
        <w:rPr>
          <w:rFonts w:eastAsia="Calibri"/>
        </w:rPr>
        <w:t>,</w:t>
      </w:r>
      <w:r w:rsidRPr="006B6DC0">
        <w:rPr>
          <w:rFonts w:eastAsia="Calibri"/>
        </w:rPr>
        <w:t xml:space="preserve"> the Agency divided the mean hourly wage by</w:t>
      </w:r>
      <w:r w:rsidRPr="006B6DC0">
        <w:t xml:space="preserve"> 1 minus the fringe benefits</w:t>
      </w:r>
      <w:r w:rsidRPr="006B6DC0">
        <w:rPr>
          <w:rFonts w:eastAsia="Calibri"/>
        </w:rPr>
        <w:t>.</w:t>
      </w:r>
      <w:r>
        <w:rPr>
          <w:rFonts w:eastAsia="Calibri"/>
        </w:rPr>
        <w:t xml:space="preserve"> </w:t>
      </w:r>
    </w:p>
    <w:p w:rsidR="005B4CD3" w:rsidP="000B2F2C" w:rsidRDefault="005B4CD3" w14:paraId="6D7F8273" w14:textId="77777777">
      <w:pPr>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0"/>
        <w:gridCol w:w="1566"/>
        <w:gridCol w:w="1264"/>
        <w:gridCol w:w="2235"/>
        <w:gridCol w:w="1705"/>
      </w:tblGrid>
      <w:tr w:rsidRPr="00B979D3" w:rsidR="005B4CD3" w:rsidTr="00AC2499" w14:paraId="082CFC38" w14:textId="77777777">
        <w:tc>
          <w:tcPr>
            <w:tcW w:w="9350" w:type="dxa"/>
            <w:gridSpan w:val="5"/>
            <w:shd w:val="clear" w:color="auto" w:fill="D9D9D9" w:themeFill="background1" w:themeFillShade="D9"/>
          </w:tcPr>
          <w:p w:rsidRPr="00AC2499" w:rsidR="005B4CD3" w:rsidP="005B4CD3" w:rsidRDefault="005B4CD3" w14:paraId="4FBC5C47" w14:textId="77777777">
            <w:pPr>
              <w:keepLines/>
              <w:jc w:val="center"/>
              <w:rPr>
                <w:rFonts w:eastAsia="Calibri"/>
                <w:b/>
                <w:sz w:val="22"/>
                <w:szCs w:val="22"/>
              </w:rPr>
            </w:pPr>
            <w:r w:rsidRPr="00AC2499">
              <w:rPr>
                <w:rFonts w:eastAsia="Calibri"/>
                <w:b/>
                <w:sz w:val="22"/>
                <w:szCs w:val="22"/>
              </w:rPr>
              <w:t>WAGE HOUR ESTIMATE</w:t>
            </w:r>
          </w:p>
        </w:tc>
      </w:tr>
      <w:tr w:rsidRPr="00B979D3" w:rsidR="005B4CD3" w:rsidTr="00AC2499" w14:paraId="4A2E524D" w14:textId="77777777">
        <w:tc>
          <w:tcPr>
            <w:tcW w:w="2580" w:type="dxa"/>
            <w:shd w:val="clear" w:color="auto" w:fill="auto"/>
          </w:tcPr>
          <w:p w:rsidRPr="00B979D3" w:rsidR="005B4CD3" w:rsidP="006F21C1" w:rsidRDefault="005B4CD3" w14:paraId="40D49D73" w14:textId="77777777">
            <w:pPr>
              <w:keepLines/>
              <w:rPr>
                <w:rFonts w:eastAsia="Calibri"/>
                <w:b/>
              </w:rPr>
            </w:pPr>
            <w:r w:rsidRPr="00B979D3">
              <w:rPr>
                <w:rFonts w:eastAsia="Calibri"/>
                <w:b/>
              </w:rPr>
              <w:t>Occupational Title</w:t>
            </w:r>
          </w:p>
        </w:tc>
        <w:tc>
          <w:tcPr>
            <w:tcW w:w="1566" w:type="dxa"/>
            <w:shd w:val="clear" w:color="auto" w:fill="auto"/>
          </w:tcPr>
          <w:p w:rsidRPr="00AC2499" w:rsidR="005B4CD3" w:rsidP="006F21C1" w:rsidRDefault="005B4CD3" w14:paraId="37A92BF4" w14:textId="77777777">
            <w:pPr>
              <w:keepLines/>
              <w:jc w:val="center"/>
              <w:rPr>
                <w:rFonts w:eastAsia="Calibri"/>
                <w:b/>
                <w:sz w:val="22"/>
                <w:szCs w:val="22"/>
              </w:rPr>
            </w:pPr>
            <w:r w:rsidRPr="00AC2499">
              <w:rPr>
                <w:rFonts w:eastAsia="Calibri"/>
                <w:b/>
                <w:sz w:val="22"/>
                <w:szCs w:val="22"/>
              </w:rPr>
              <w:t>Standard Occupation Code</w:t>
            </w:r>
          </w:p>
        </w:tc>
        <w:tc>
          <w:tcPr>
            <w:tcW w:w="1264" w:type="dxa"/>
            <w:shd w:val="clear" w:color="auto" w:fill="auto"/>
          </w:tcPr>
          <w:p w:rsidRPr="00AC2499" w:rsidR="005B4CD3" w:rsidP="006F21C1" w:rsidRDefault="005B4CD3" w14:paraId="70080E0C" w14:textId="77777777">
            <w:pPr>
              <w:keepLines/>
              <w:jc w:val="center"/>
              <w:rPr>
                <w:rFonts w:eastAsia="Calibri"/>
                <w:b/>
                <w:sz w:val="22"/>
                <w:szCs w:val="22"/>
              </w:rPr>
            </w:pPr>
            <w:r w:rsidRPr="00AC2499">
              <w:rPr>
                <w:rFonts w:eastAsia="Calibri"/>
                <w:b/>
                <w:sz w:val="22"/>
                <w:szCs w:val="22"/>
              </w:rPr>
              <w:t>Mean Hourly Wage Rate (A)</w:t>
            </w:r>
          </w:p>
        </w:tc>
        <w:tc>
          <w:tcPr>
            <w:tcW w:w="2235" w:type="dxa"/>
            <w:shd w:val="clear" w:color="auto" w:fill="auto"/>
          </w:tcPr>
          <w:p w:rsidRPr="00AC2499" w:rsidR="005B4CD3" w:rsidP="00AC2499" w:rsidRDefault="005B4CD3" w14:paraId="000FDD79" w14:textId="77777777">
            <w:pPr>
              <w:jc w:val="center"/>
              <w:rPr>
                <w:rFonts w:eastAsia="Calibri"/>
                <w:b/>
                <w:sz w:val="22"/>
                <w:szCs w:val="22"/>
              </w:rPr>
            </w:pPr>
            <w:r w:rsidRPr="00AC2499">
              <w:rPr>
                <w:rFonts w:eastAsia="Calibri"/>
                <w:b/>
                <w:sz w:val="22"/>
                <w:szCs w:val="22"/>
              </w:rPr>
              <w:t>Fringe Benefits (B)</w:t>
            </w:r>
          </w:p>
        </w:tc>
        <w:tc>
          <w:tcPr>
            <w:tcW w:w="1705" w:type="dxa"/>
            <w:shd w:val="clear" w:color="auto" w:fill="auto"/>
          </w:tcPr>
          <w:p w:rsidR="005B4CD3" w:rsidP="00AC2499" w:rsidRDefault="005B4CD3" w14:paraId="7BB008DA" w14:textId="77777777">
            <w:pPr>
              <w:keepLines/>
              <w:jc w:val="center"/>
              <w:rPr>
                <w:rFonts w:eastAsia="Calibri"/>
                <w:b/>
                <w:sz w:val="22"/>
                <w:szCs w:val="22"/>
              </w:rPr>
            </w:pPr>
            <w:r w:rsidRPr="00AC2499">
              <w:rPr>
                <w:rFonts w:eastAsia="Calibri"/>
                <w:b/>
                <w:sz w:val="22"/>
                <w:szCs w:val="22"/>
              </w:rPr>
              <w:t xml:space="preserve">Loaded Hourly Wage Rate </w:t>
            </w:r>
          </w:p>
          <w:p w:rsidRPr="00AC2499" w:rsidR="005B4CD3" w:rsidP="00AC2499" w:rsidRDefault="005B4CD3" w14:paraId="2B507F3F" w14:textId="77777777">
            <w:pPr>
              <w:keepLines/>
              <w:jc w:val="center"/>
              <w:rPr>
                <w:rFonts w:eastAsia="Calibri"/>
                <w:b/>
                <w:sz w:val="22"/>
                <w:szCs w:val="22"/>
              </w:rPr>
            </w:pPr>
            <w:r w:rsidRPr="00AC2499">
              <w:rPr>
                <w:rFonts w:eastAsia="Calibri"/>
                <w:b/>
                <w:sz w:val="22"/>
                <w:szCs w:val="22"/>
              </w:rPr>
              <w:t>(C) = (A)/(1-(B)</w:t>
            </w:r>
          </w:p>
        </w:tc>
      </w:tr>
      <w:tr w:rsidRPr="00B979D3" w:rsidR="005B4CD3" w:rsidTr="00AC2499" w14:paraId="22E6F941" w14:textId="77777777">
        <w:tc>
          <w:tcPr>
            <w:tcW w:w="2580" w:type="dxa"/>
            <w:shd w:val="clear" w:color="auto" w:fill="auto"/>
          </w:tcPr>
          <w:p w:rsidR="005B4CD3" w:rsidP="006F21C1" w:rsidRDefault="005B4CD3" w14:paraId="6E183993" w14:textId="77777777">
            <w:pPr>
              <w:keepLines/>
              <w:rPr>
                <w:rFonts w:eastAsia="Calibri"/>
              </w:rPr>
            </w:pPr>
            <w:r>
              <w:t>Production Worker</w:t>
            </w:r>
          </w:p>
          <w:p w:rsidRPr="00B979D3" w:rsidR="005B4CD3" w:rsidP="006F21C1" w:rsidRDefault="005B4CD3" w14:paraId="3265A1EE" w14:textId="77777777">
            <w:pPr>
              <w:keepLines/>
              <w:rPr>
                <w:rFonts w:eastAsia="Calibri"/>
              </w:rPr>
            </w:pPr>
          </w:p>
        </w:tc>
        <w:tc>
          <w:tcPr>
            <w:tcW w:w="1566" w:type="dxa"/>
            <w:shd w:val="clear" w:color="auto" w:fill="auto"/>
          </w:tcPr>
          <w:p w:rsidRPr="00B979D3" w:rsidR="005B4CD3" w:rsidP="00E45DC8" w:rsidRDefault="00E45DC8" w14:paraId="00020619" w14:textId="77777777">
            <w:pPr>
              <w:keepLines/>
              <w:jc w:val="center"/>
              <w:rPr>
                <w:rFonts w:eastAsia="Calibri"/>
              </w:rPr>
            </w:pPr>
            <w:r>
              <w:rPr>
                <w:rFonts w:eastAsia="Calibri"/>
              </w:rPr>
              <w:t>51</w:t>
            </w:r>
            <w:r w:rsidR="005B4CD3">
              <w:rPr>
                <w:rFonts w:eastAsia="Calibri"/>
              </w:rPr>
              <w:t>-91</w:t>
            </w:r>
            <w:r>
              <w:rPr>
                <w:rFonts w:eastAsia="Calibri"/>
              </w:rPr>
              <w:t>99</w:t>
            </w:r>
          </w:p>
        </w:tc>
        <w:tc>
          <w:tcPr>
            <w:tcW w:w="1264" w:type="dxa"/>
            <w:shd w:val="clear" w:color="auto" w:fill="auto"/>
          </w:tcPr>
          <w:p w:rsidRPr="00B979D3" w:rsidR="005B4CD3" w:rsidP="00E45DC8" w:rsidRDefault="005B4CD3" w14:paraId="68B0B05E" w14:textId="77777777">
            <w:pPr>
              <w:keepLines/>
              <w:jc w:val="center"/>
              <w:rPr>
                <w:rFonts w:eastAsia="Calibri"/>
              </w:rPr>
            </w:pPr>
            <w:r>
              <w:rPr>
                <w:rFonts w:eastAsia="Calibri"/>
              </w:rPr>
              <w:t>$</w:t>
            </w:r>
            <w:r w:rsidR="00E45DC8">
              <w:rPr>
                <w:rFonts w:eastAsia="Calibri"/>
              </w:rPr>
              <w:t>1</w:t>
            </w:r>
            <w:r>
              <w:rPr>
                <w:rFonts w:eastAsia="Calibri"/>
              </w:rPr>
              <w:t>6.</w:t>
            </w:r>
            <w:r w:rsidR="00E45DC8">
              <w:rPr>
                <w:rFonts w:eastAsia="Calibri"/>
              </w:rPr>
              <w:t>58</w:t>
            </w:r>
          </w:p>
        </w:tc>
        <w:tc>
          <w:tcPr>
            <w:tcW w:w="2235" w:type="dxa"/>
            <w:shd w:val="clear" w:color="auto" w:fill="auto"/>
          </w:tcPr>
          <w:p w:rsidRPr="00B979D3" w:rsidR="005B4CD3" w:rsidP="006F21C1" w:rsidRDefault="005B4CD3" w14:paraId="5D6AE455" w14:textId="77777777">
            <w:pPr>
              <w:keepLines/>
              <w:jc w:val="center"/>
              <w:rPr>
                <w:rFonts w:eastAsia="Calibri"/>
              </w:rPr>
            </w:pPr>
            <w:r>
              <w:t>.314</w:t>
            </w:r>
          </w:p>
        </w:tc>
        <w:tc>
          <w:tcPr>
            <w:tcW w:w="1705" w:type="dxa"/>
            <w:shd w:val="clear" w:color="auto" w:fill="auto"/>
          </w:tcPr>
          <w:p w:rsidRPr="00B979D3" w:rsidR="005B4CD3" w:rsidP="00586507" w:rsidRDefault="005B4CD3" w14:paraId="68C684F1" w14:textId="77777777">
            <w:pPr>
              <w:keepLines/>
              <w:jc w:val="center"/>
              <w:rPr>
                <w:rFonts w:eastAsia="Calibri"/>
              </w:rPr>
            </w:pPr>
            <w:r w:rsidRPr="00B979D3">
              <w:rPr>
                <w:rFonts w:eastAsia="Calibri"/>
              </w:rPr>
              <w:t>$</w:t>
            </w:r>
            <w:r w:rsidR="00586507">
              <w:rPr>
                <w:rFonts w:eastAsia="Calibri"/>
              </w:rPr>
              <w:t>24.1</w:t>
            </w:r>
            <w:r w:rsidR="00700876">
              <w:rPr>
                <w:rFonts w:eastAsia="Calibri"/>
              </w:rPr>
              <w:t>7</w:t>
            </w:r>
          </w:p>
        </w:tc>
      </w:tr>
    </w:tbl>
    <w:p w:rsidRPr="00AC3C19" w:rsidR="00A3630F" w:rsidP="000B2F2C" w:rsidRDefault="00A3630F" w14:paraId="11F4F514" w14:textId="77777777">
      <w:pPr>
        <w:rPr>
          <w:rFonts w:eastAsia="Calibri"/>
          <w:color w:val="FF0000"/>
        </w:rPr>
      </w:pPr>
    </w:p>
    <w:p w:rsidR="008036D3" w:rsidP="008036D3" w:rsidRDefault="008036D3" w14:paraId="7D6AB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Pr="00310FE6" w:rsidR="0027668F" w:rsidP="00B22B91" w:rsidRDefault="0027668F" w14:paraId="0227EA12" w14:textId="77777777">
      <w:pPr>
        <w:widowControl/>
        <w:rPr>
          <w:b/>
        </w:rPr>
      </w:pPr>
      <w:r w:rsidRPr="00A32672">
        <w:rPr>
          <w:b/>
          <w:u w:val="single"/>
        </w:rPr>
        <w:t>Displaying the Minimum Safe Distance (§ 1910.126(g)(4))</w:t>
      </w:r>
    </w:p>
    <w:p w:rsidRPr="00310FE6" w:rsidR="0027668F" w:rsidP="00B22B91" w:rsidRDefault="0027668F" w14:paraId="504B5AAD" w14:textId="77777777">
      <w:pPr>
        <w:widowControl/>
      </w:pPr>
    </w:p>
    <w:p w:rsidR="0027668F" w:rsidP="00B22B91" w:rsidRDefault="0027668F" w14:paraId="75E28A25" w14:textId="77777777">
      <w:pPr>
        <w:widowControl/>
      </w:pPr>
      <w:r w:rsidRPr="00310FE6">
        <w:t>This provision requires the employer to determine how far away goods being electrostatically deteared should be separated from electrodes or conductors.  This distance is called the “safe d</w:t>
      </w:r>
      <w:r w:rsidRPr="00A21698">
        <w:t xml:space="preserve">istance.” </w:t>
      </w:r>
      <w:r w:rsidRPr="00A21698" w:rsidR="001B55C7">
        <w:t xml:space="preserve"> </w:t>
      </w:r>
      <w:r w:rsidRPr="00BA53C1">
        <w:t>This minimum distance must be displayed conspicuously on a sign located near the equipment.</w:t>
      </w:r>
    </w:p>
    <w:p w:rsidR="007B42B1" w:rsidP="00B22B91" w:rsidRDefault="007B42B1" w14:paraId="0EDAA27C" w14:textId="77777777">
      <w:pPr>
        <w:widowControl/>
      </w:pPr>
    </w:p>
    <w:p w:rsidRPr="00AC3C19" w:rsidR="00F31978" w:rsidP="00F31978" w:rsidRDefault="00F31978" w14:paraId="74981808" w14:textId="77777777">
      <w:pPr>
        <w:keepLines/>
        <w:ind w:firstLine="720"/>
        <w:rPr>
          <w:b/>
          <w:bCs/>
        </w:rPr>
      </w:pPr>
      <w:r w:rsidRPr="00AC3C19">
        <w:rPr>
          <w:b/>
          <w:bCs/>
        </w:rPr>
        <w:t xml:space="preserve">Burden hours: </w:t>
      </w:r>
      <w:r w:rsidRPr="00351552">
        <w:rPr>
          <w:bCs/>
        </w:rPr>
        <w:t>10</w:t>
      </w:r>
      <w:r w:rsidRPr="00AC2499">
        <w:t xml:space="preserve"> nonfarm </w:t>
      </w:r>
      <w:r w:rsidRPr="00351552">
        <w:t>x 5/60 hour = 1 hour</w:t>
      </w:r>
      <w:r w:rsidR="00351552">
        <w:t xml:space="preserve"> (rounded)</w:t>
      </w:r>
    </w:p>
    <w:p w:rsidRPr="00AC3C19" w:rsidR="00F31978" w:rsidP="00F31978" w:rsidRDefault="00F31978" w14:paraId="09DED276" w14:textId="77777777">
      <w:pPr>
        <w:keepLines/>
      </w:pPr>
      <w:r w:rsidRPr="00AC3C19">
        <w:rPr>
          <w:b/>
          <w:bCs/>
        </w:rPr>
        <w:t xml:space="preserve">                </w:t>
      </w:r>
      <w:r w:rsidRPr="00AC3C19">
        <w:rPr>
          <w:b/>
          <w:bCs/>
        </w:rPr>
        <w:tab/>
        <w:t xml:space="preserve">    Cost: </w:t>
      </w:r>
      <w:r w:rsidRPr="00AC3C19">
        <w:rPr>
          <w:bCs/>
        </w:rPr>
        <w:t xml:space="preserve"> 1</w:t>
      </w:r>
      <w:r w:rsidRPr="00AC3C19">
        <w:rPr>
          <w:b/>
          <w:bCs/>
        </w:rPr>
        <w:t xml:space="preserve"> </w:t>
      </w:r>
      <w:r w:rsidRPr="00AC3C19" w:rsidR="00166F45">
        <w:t>hour</w:t>
      </w:r>
      <w:r w:rsidRPr="00AC3C19">
        <w:t xml:space="preserve"> x $</w:t>
      </w:r>
      <w:r w:rsidR="00FF5CFE">
        <w:t>24.1</w:t>
      </w:r>
      <w:r w:rsidR="000733CB">
        <w:t>7</w:t>
      </w:r>
      <w:r w:rsidR="00FF5CFE">
        <w:t xml:space="preserve"> </w:t>
      </w:r>
      <w:r w:rsidRPr="00AC3C19">
        <w:t>= $</w:t>
      </w:r>
      <w:r w:rsidR="00864CE7">
        <w:t>24</w:t>
      </w:r>
    </w:p>
    <w:p w:rsidRPr="00BA53C1" w:rsidR="00F31978" w:rsidP="00B22B91" w:rsidRDefault="00F31978" w14:paraId="443CAD8B" w14:textId="77777777">
      <w:pPr>
        <w:widowControl/>
      </w:pPr>
    </w:p>
    <w:p w:rsidRPr="00AC3C19" w:rsidR="0027668F" w:rsidP="00B22B91" w:rsidRDefault="0027668F" w14:paraId="66DA7B92" w14:textId="77777777">
      <w:pPr>
        <w:widowControl/>
        <w:tabs>
          <w:tab w:val="left" w:pos="0"/>
        </w:tabs>
      </w:pPr>
      <w:r w:rsidRPr="00AC3C19">
        <w:rPr>
          <w:b/>
          <w:bCs/>
        </w:rPr>
        <w:t>13.  Provide an estimate of the total annual cost burden to respondents or recordkeepers re</w:t>
      </w:r>
      <w:r w:rsidRPr="00AC3C19" w:rsidR="00DC42A7">
        <w:rPr>
          <w:b/>
          <w:bCs/>
        </w:rPr>
        <w:t xml:space="preserve">sulting from the collection </w:t>
      </w:r>
      <w:r w:rsidRPr="00AC3C19">
        <w:rPr>
          <w:b/>
          <w:bCs/>
        </w:rPr>
        <w:t>of information.  (Do not include the cost of any hour burden shown in Items 12 and 14.)</w:t>
      </w:r>
    </w:p>
    <w:p w:rsidRPr="00AC3C19" w:rsidR="0027668F" w:rsidP="00B22B91" w:rsidRDefault="0027668F" w14:paraId="66C37437" w14:textId="77777777">
      <w:pPr>
        <w:widowControl/>
      </w:pPr>
    </w:p>
    <w:p w:rsidRPr="00A32672" w:rsidR="0027668F" w:rsidP="00B22B91" w:rsidRDefault="0027668F" w14:paraId="734E5C8F" w14:textId="77777777">
      <w:pPr>
        <w:widowControl/>
      </w:pPr>
      <w:r w:rsidRPr="00591201">
        <w:t xml:space="preserve">Costs under this </w:t>
      </w:r>
      <w:r w:rsidRPr="00591201" w:rsidR="00F877D0">
        <w:t>I</w:t>
      </w:r>
      <w:r w:rsidRPr="00591201">
        <w:t xml:space="preserve">tem for complying with this </w:t>
      </w:r>
      <w:r w:rsidRPr="00591201" w:rsidR="00F877D0">
        <w:t>S</w:t>
      </w:r>
      <w:r w:rsidRPr="00A32672">
        <w:t>tandard are included under those costs in Item 12.</w:t>
      </w:r>
    </w:p>
    <w:p w:rsidRPr="00A32672" w:rsidR="0027668F" w:rsidP="00B22B91" w:rsidRDefault="0027668F" w14:paraId="2041E073" w14:textId="77777777">
      <w:pPr>
        <w:widowControl/>
      </w:pPr>
    </w:p>
    <w:p w:rsidRPr="00AC3C19" w:rsidR="0027668F" w:rsidP="00B22B91" w:rsidRDefault="0027668F" w14:paraId="1A4C510E" w14:textId="77777777">
      <w:pPr>
        <w:widowControl/>
      </w:pPr>
      <w:r w:rsidRPr="00AC3C1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7668F" w:rsidP="00B22B91" w:rsidRDefault="0027668F" w14:paraId="7CCE3F2E" w14:textId="77777777">
      <w:pPr>
        <w:widowControl/>
      </w:pPr>
    </w:p>
    <w:p w:rsidR="0027668F" w:rsidP="00B22B91" w:rsidRDefault="0027668F" w14:paraId="0F5AB14A" w14:textId="77777777">
      <w:pPr>
        <w:widowControl/>
      </w:pPr>
      <w:r w:rsidRPr="00591201">
        <w:t>There are no costs to the Federal Government</w:t>
      </w:r>
      <w:r w:rsidR="00FB2D28">
        <w:t>.</w:t>
      </w:r>
      <w:r w:rsidRPr="00591201">
        <w:t>.</w:t>
      </w:r>
    </w:p>
    <w:p w:rsidR="00D94A2A" w:rsidP="00B22B91" w:rsidRDefault="00D94A2A" w14:paraId="255014D0" w14:textId="77777777">
      <w:pPr>
        <w:widowControl/>
        <w:rPr>
          <w:b/>
          <w:bCs/>
        </w:rPr>
      </w:pPr>
    </w:p>
    <w:p w:rsidRPr="00AC3C19" w:rsidR="0027668F" w:rsidP="00B22B91" w:rsidRDefault="0027668F" w14:paraId="0C3B3A7F" w14:textId="77777777">
      <w:pPr>
        <w:widowControl/>
        <w:rPr>
          <w:b/>
          <w:bCs/>
        </w:rPr>
      </w:pPr>
      <w:r w:rsidRPr="00AC3C19">
        <w:rPr>
          <w:b/>
          <w:bCs/>
        </w:rPr>
        <w:t>15.  Explain the reasons for any program changes or adjustments</w:t>
      </w:r>
      <w:r w:rsidRPr="00AC3C19" w:rsidR="00A550F7">
        <w:rPr>
          <w:b/>
          <w:bCs/>
        </w:rPr>
        <w:t>.</w:t>
      </w:r>
      <w:r w:rsidRPr="00AC3C19">
        <w:rPr>
          <w:b/>
          <w:bCs/>
        </w:rPr>
        <w:t xml:space="preserve"> </w:t>
      </w:r>
    </w:p>
    <w:p w:rsidRPr="00AC3C19" w:rsidR="00E82140" w:rsidP="00B22B91" w:rsidRDefault="00E82140" w14:paraId="573FBFD3" w14:textId="77777777">
      <w:pPr>
        <w:widowControl/>
        <w:rPr>
          <w:b/>
          <w:bCs/>
        </w:rPr>
      </w:pPr>
    </w:p>
    <w:p w:rsidRPr="00C76F36" w:rsidR="00166F45" w:rsidP="00166F45" w:rsidRDefault="00166F45" w14:paraId="43AEE981" w14:textId="77777777">
      <w:pPr>
        <w:widowControl/>
      </w:pPr>
      <w:r w:rsidRPr="00C76F36">
        <w:t xml:space="preserve">The Agency is requesting to retain its previous burden hour estimate of one (1) hour. There are no program changes or adjustments associated with this Information Collection Request. The Agency has correspondingly adjusted the per response burden to maintain a time burden as close as is possible to the actual time of </w:t>
      </w:r>
      <w:r w:rsidR="00A847AB">
        <w:t xml:space="preserve">50/60 </w:t>
      </w:r>
      <w:r w:rsidRPr="00C76F36">
        <w:t>hour</w:t>
      </w:r>
      <w:r w:rsidR="00A847AB">
        <w:t>s</w:t>
      </w:r>
      <w:r w:rsidRPr="00C76F36">
        <w:t xml:space="preserve"> (1 hour).  OSHA is requesting that OMB extend its approval of the information collection requirement contained in the Standard on Additional Requirements for Special Dipping and Coating Operations (Dip Tanks) (29 CFR 1910.126(g)(4)).  This provision requires the employer to determine how far away goods being electrostatically deteared should be separated from electrodes or conductors.  This distance is called the “safe distance.”  This minimum distance must be displayed conspicuously on a sign located near the equipment.</w:t>
      </w:r>
    </w:p>
    <w:p w:rsidR="00E90444" w:rsidP="00E90444" w:rsidRDefault="00E90444" w14:paraId="2840CA43" w14:textId="77777777"/>
    <w:p w:rsidR="00166F45" w:rsidP="00E90444" w:rsidRDefault="00166F45" w14:paraId="589C425B" w14:textId="77777777">
      <w:r w:rsidRPr="00C76F36">
        <w:t xml:space="preserve">OSHA has determined that where electrostatic equipment is being used, the information has already been ascertained and that the “safe distance” has been displayed on a sign in a permanent manner.  </w:t>
      </w:r>
    </w:p>
    <w:p w:rsidRPr="00AC3C19" w:rsidR="00E82140" w:rsidP="00B22B91" w:rsidRDefault="00E82140" w14:paraId="7DAA8AFA" w14:textId="77777777">
      <w:pPr>
        <w:widowControl/>
        <w:rPr>
          <w:b/>
          <w:bCs/>
        </w:rPr>
      </w:pPr>
    </w:p>
    <w:p w:rsidR="00540FD2" w:rsidP="00B22B91" w:rsidRDefault="0027668F" w14:paraId="12A28492" w14:textId="77777777">
      <w:pPr>
        <w:widowControl/>
      </w:pPr>
      <w:r w:rsidRPr="00AC3C19">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40FD2" w:rsidP="00B22B91" w:rsidRDefault="00540FD2" w14:paraId="7FC4904E" w14:textId="77777777">
      <w:pPr>
        <w:widowControl/>
      </w:pPr>
    </w:p>
    <w:p w:rsidRPr="00AC3C19" w:rsidR="0027668F" w:rsidP="00B22B91" w:rsidRDefault="0027668F" w14:paraId="32E0F42D" w14:textId="77777777">
      <w:pPr>
        <w:widowControl/>
      </w:pPr>
      <w:r w:rsidRPr="00591201">
        <w:t xml:space="preserve">OSHA will not publish the information collected under the </w:t>
      </w:r>
      <w:r w:rsidRPr="00591201" w:rsidR="00F877D0">
        <w:t>S</w:t>
      </w:r>
      <w:r w:rsidRPr="00591201">
        <w:t>tandard.</w:t>
      </w:r>
    </w:p>
    <w:p w:rsidRPr="00AC3C19" w:rsidR="0027668F" w:rsidP="00B22B91" w:rsidRDefault="0027668F" w14:paraId="7B04354A" w14:textId="77777777">
      <w:pPr>
        <w:widowControl/>
      </w:pPr>
    </w:p>
    <w:p w:rsidRPr="00AC3C19" w:rsidR="0027668F" w:rsidP="00B22B91" w:rsidRDefault="0027668F" w14:paraId="6B7D5B01" w14:textId="77777777">
      <w:pPr>
        <w:widowControl/>
      </w:pPr>
      <w:r w:rsidRPr="00AC3C19">
        <w:rPr>
          <w:b/>
          <w:bCs/>
        </w:rPr>
        <w:t xml:space="preserve">17.  If seeking approval to not display the expiration date for OMB approval of the information collection, explain the </w:t>
      </w:r>
      <w:r w:rsidRPr="00AC3C19" w:rsidR="00BB33A0">
        <w:rPr>
          <w:b/>
          <w:bCs/>
        </w:rPr>
        <w:t>reasons that display would be inappropriate</w:t>
      </w:r>
      <w:r w:rsidRPr="00AC3C19">
        <w:rPr>
          <w:b/>
          <w:bCs/>
        </w:rPr>
        <w:t>.</w:t>
      </w:r>
    </w:p>
    <w:p w:rsidRPr="00AC3C19" w:rsidR="0027668F" w:rsidP="00B22B91" w:rsidRDefault="0027668F" w14:paraId="431930C5" w14:textId="77777777">
      <w:pPr>
        <w:widowControl/>
      </w:pPr>
    </w:p>
    <w:p w:rsidR="00510318" w:rsidP="00B22B91" w:rsidRDefault="009953CD" w14:paraId="3870D5B3" w14:textId="77777777">
      <w:pPr>
        <w:widowControl/>
      </w:pPr>
      <w:r w:rsidRPr="00591201">
        <w:t>OSHA lists current valid control numbers in §§1910.8, 1915.8, 1917.4, 1918.4 and 1926.5 and publishes the expiration date in a Federal Register notice announcing OMB approval of the information collection requirements (see 5 CFR 1320.3(f)(3)).  OSHA believes that this is the most appropriate and accurate mechanism to inform interested parties of these expiration dates.</w:t>
      </w:r>
    </w:p>
    <w:p w:rsidR="00A847AB" w:rsidP="00B22B91" w:rsidRDefault="00A847AB" w14:paraId="5BC30F97" w14:textId="77777777">
      <w:pPr>
        <w:widowControl/>
      </w:pPr>
    </w:p>
    <w:p w:rsidR="00D94A2A" w:rsidP="00B22B91" w:rsidRDefault="00D94A2A" w14:paraId="6539EC58" w14:textId="77777777">
      <w:pPr>
        <w:widowControl/>
        <w:rPr>
          <w:b/>
          <w:bCs/>
        </w:rPr>
      </w:pPr>
    </w:p>
    <w:p w:rsidRPr="00591201" w:rsidR="0027668F" w:rsidP="00B22B91" w:rsidRDefault="0027668F" w14:paraId="7A2CD9A9" w14:textId="77777777">
      <w:pPr>
        <w:widowControl/>
      </w:pPr>
      <w:r w:rsidRPr="00AC3C19">
        <w:rPr>
          <w:b/>
          <w:bCs/>
        </w:rPr>
        <w:t>18.  Explain each exception to the certification</w:t>
      </w:r>
      <w:r w:rsidRPr="00AC3C19" w:rsidR="00BD69D0">
        <w:rPr>
          <w:b/>
          <w:bCs/>
        </w:rPr>
        <w:t xml:space="preserve"> </w:t>
      </w:r>
      <w:r w:rsidRPr="00AC3C19">
        <w:rPr>
          <w:b/>
          <w:bCs/>
        </w:rPr>
        <w:t>statement</w:t>
      </w:r>
      <w:r w:rsidRPr="00AC3C19" w:rsidR="00BB33A0">
        <w:rPr>
          <w:b/>
          <w:bCs/>
        </w:rPr>
        <w:t>.</w:t>
      </w:r>
    </w:p>
    <w:p w:rsidRPr="00591201" w:rsidR="0027668F" w:rsidP="00B22B91" w:rsidRDefault="0027668F" w14:paraId="25A7259A" w14:textId="77777777">
      <w:pPr>
        <w:widowControl/>
      </w:pPr>
    </w:p>
    <w:p w:rsidRPr="00A32672" w:rsidR="0027668F" w:rsidP="00B22B91" w:rsidRDefault="0027668F" w14:paraId="185A4C81" w14:textId="77777777">
      <w:pPr>
        <w:widowControl/>
      </w:pPr>
      <w:r w:rsidRPr="00A32672">
        <w:t>OSHA is not seeking an exception to the certification statement.</w:t>
      </w:r>
    </w:p>
    <w:p w:rsidRPr="00310FE6" w:rsidR="00834AFF" w:rsidP="00B22B91" w:rsidRDefault="00834AFF" w14:paraId="5B35B63F" w14:textId="77777777">
      <w:pPr>
        <w:widowControl/>
      </w:pPr>
    </w:p>
    <w:p w:rsidRPr="00310FE6" w:rsidR="00834AFF" w:rsidP="00A447D9" w:rsidRDefault="00834AFF" w14:paraId="369D705F" w14:textId="77777777">
      <w:pPr>
        <w:widowControl/>
        <w:numPr>
          <w:ilvl w:val="0"/>
          <w:numId w:val="7"/>
        </w:numPr>
        <w:tabs>
          <w:tab w:val="left" w:pos="450"/>
        </w:tabs>
        <w:ind w:left="540" w:hanging="540"/>
        <w:rPr>
          <w:b/>
        </w:rPr>
      </w:pPr>
      <w:r w:rsidRPr="00310FE6">
        <w:rPr>
          <w:b/>
        </w:rPr>
        <w:t>COLLECTION OF INFORMATION EMPLOYING STATISTICAL METHODS.</w:t>
      </w:r>
    </w:p>
    <w:p w:rsidRPr="00A21698" w:rsidR="00834AFF" w:rsidP="00B22B91" w:rsidRDefault="00834AFF" w14:paraId="50ECAC0D" w14:textId="77777777">
      <w:pPr>
        <w:widowControl/>
      </w:pPr>
    </w:p>
    <w:p w:rsidR="0027668F" w:rsidP="00B22B91" w:rsidRDefault="00834AFF" w14:paraId="229149C3" w14:textId="77777777">
      <w:pPr>
        <w:widowControl/>
      </w:pPr>
      <w:r w:rsidRPr="00BA53C1">
        <w:t>This supporting statement does not contain any collection of information requirements that employ statistical methods.</w:t>
      </w:r>
    </w:p>
    <w:sectPr w:rsidR="0027668F" w:rsidSect="0027668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AAEB3" w14:textId="77777777" w:rsidR="00041DEF" w:rsidRDefault="00041DEF">
      <w:r>
        <w:separator/>
      </w:r>
    </w:p>
  </w:endnote>
  <w:endnote w:type="continuationSeparator" w:id="0">
    <w:p w14:paraId="2A84387D" w14:textId="77777777" w:rsidR="00041DEF" w:rsidRDefault="0004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D52E" w14:textId="77777777" w:rsidR="00B07345" w:rsidRDefault="00B07345">
    <w:pPr>
      <w:spacing w:line="240" w:lineRule="exact"/>
    </w:pPr>
  </w:p>
  <w:p w14:paraId="0AEFFBE3" w14:textId="344929F3" w:rsidR="00B07345" w:rsidRDefault="005B451A">
    <w:pPr>
      <w:framePr w:w="9361" w:wrap="notBeside" w:vAnchor="text" w:hAnchor="text" w:x="1" w:y="1"/>
      <w:jc w:val="center"/>
    </w:pPr>
    <w:r>
      <w:fldChar w:fldCharType="begin"/>
    </w:r>
    <w:r w:rsidR="00B07345">
      <w:instrText xml:space="preserve">PAGE </w:instrText>
    </w:r>
    <w:r>
      <w:fldChar w:fldCharType="separate"/>
    </w:r>
    <w:r w:rsidR="00962582">
      <w:rPr>
        <w:noProof/>
      </w:rPr>
      <w:t>8</w:t>
    </w:r>
    <w:r>
      <w:fldChar w:fldCharType="end"/>
    </w:r>
  </w:p>
  <w:p w14:paraId="339EF374" w14:textId="77777777" w:rsidR="00B07345" w:rsidRDefault="00B0734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7E7E4" w14:textId="77777777" w:rsidR="00041DEF" w:rsidRDefault="00041DEF">
      <w:r>
        <w:separator/>
      </w:r>
    </w:p>
  </w:footnote>
  <w:footnote w:type="continuationSeparator" w:id="0">
    <w:p w14:paraId="494ACF99" w14:textId="77777777" w:rsidR="00041DEF" w:rsidRDefault="00041DEF">
      <w:r>
        <w:continuationSeparator/>
      </w:r>
    </w:p>
  </w:footnote>
  <w:footnote w:id="1">
    <w:p w14:paraId="481F582B" w14:textId="77777777" w:rsidR="00B07345" w:rsidRDefault="00B07345">
      <w:pPr>
        <w:spacing w:after="240"/>
        <w:ind w:firstLine="720"/>
        <w:rPr>
          <w:sz w:val="20"/>
          <w:szCs w:val="20"/>
        </w:rPr>
      </w:pPr>
      <w:r>
        <w:rPr>
          <w:rStyle w:val="FootnoteReference"/>
          <w:vertAlign w:val="superscript"/>
        </w:rPr>
        <w:footnoteRef/>
      </w:r>
      <w:r>
        <w:rPr>
          <w:sz w:val="20"/>
          <w:szCs w:val="20"/>
        </w:rPr>
        <w:t>The purpose of this supporting statement is to analyze and describe the burden hours and costs associated with the provision of the Standard that contains a paperwork requirement, and does not provide information or guidance on how to comply with or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84F0" w14:textId="77777777" w:rsidR="00B44CEB" w:rsidRPr="00AC3C19" w:rsidRDefault="00175EBB">
    <w:pPr>
      <w:pStyle w:val="Header"/>
      <w:rPr>
        <w:sz w:val="20"/>
        <w:szCs w:val="20"/>
      </w:rPr>
    </w:pPr>
    <w:r>
      <w:rPr>
        <w:sz w:val="20"/>
        <w:szCs w:val="20"/>
      </w:rPr>
      <w:t>Standard on Special Dipping and Coating Operations (</w:t>
    </w:r>
    <w:r w:rsidR="00B44CEB" w:rsidRPr="00AC3C19">
      <w:rPr>
        <w:sz w:val="20"/>
        <w:szCs w:val="20"/>
      </w:rPr>
      <w:t>D</w:t>
    </w:r>
    <w:r>
      <w:rPr>
        <w:sz w:val="20"/>
        <w:szCs w:val="20"/>
      </w:rPr>
      <w:t>ip Tanks)</w:t>
    </w:r>
  </w:p>
  <w:p w14:paraId="6663E641" w14:textId="77777777" w:rsidR="00B44CEB" w:rsidRPr="00AC3C19" w:rsidRDefault="00B44CEB">
    <w:pPr>
      <w:pStyle w:val="Header"/>
      <w:rPr>
        <w:sz w:val="20"/>
        <w:szCs w:val="20"/>
      </w:rPr>
    </w:pPr>
    <w:r w:rsidRPr="00AC3C19">
      <w:rPr>
        <w:sz w:val="20"/>
        <w:szCs w:val="20"/>
      </w:rPr>
      <w:t>O</w:t>
    </w:r>
    <w:r w:rsidR="00FE3B3F">
      <w:rPr>
        <w:sz w:val="20"/>
        <w:szCs w:val="20"/>
      </w:rPr>
      <w:t>MB Control N</w:t>
    </w:r>
    <w:r w:rsidR="00175EBB">
      <w:rPr>
        <w:sz w:val="20"/>
        <w:szCs w:val="20"/>
      </w:rPr>
      <w:t>umber 1218-0237</w:t>
    </w:r>
  </w:p>
  <w:p w14:paraId="218545E6" w14:textId="77777777" w:rsidR="00B44CEB" w:rsidRDefault="00FE3B3F">
    <w:pPr>
      <w:pStyle w:val="Header"/>
    </w:pPr>
    <w:r>
      <w:t>January 2020</w:t>
    </w:r>
  </w:p>
  <w:p w14:paraId="10D74CD1" w14:textId="77777777" w:rsidR="00B44CEB" w:rsidRDefault="00B44CEB">
    <w:pPr>
      <w:pStyle w:val="Header"/>
    </w:pPr>
  </w:p>
  <w:p w14:paraId="2EAAB39C" w14:textId="77777777" w:rsidR="00D33EE9" w:rsidRDefault="00D3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F374842"/>
    <w:multiLevelType w:val="hybridMultilevel"/>
    <w:tmpl w:val="E1D4389A"/>
    <w:lvl w:ilvl="0" w:tplc="82C891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9520D"/>
    <w:multiLevelType w:val="multilevel"/>
    <w:tmpl w:val="B67432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B6A37"/>
    <w:multiLevelType w:val="hybridMultilevel"/>
    <w:tmpl w:val="6DE69244"/>
    <w:lvl w:ilvl="0" w:tplc="D8D4FE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B6ECD"/>
    <w:multiLevelType w:val="hybridMultilevel"/>
    <w:tmpl w:val="FEB298A0"/>
    <w:lvl w:ilvl="0" w:tplc="500C56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B49C4"/>
    <w:multiLevelType w:val="hybridMultilevel"/>
    <w:tmpl w:val="FFA60F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96D20"/>
    <w:multiLevelType w:val="hybridMultilevel"/>
    <w:tmpl w:val="A2AE9C20"/>
    <w:lvl w:ilvl="0" w:tplc="500C56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D22AA6"/>
    <w:multiLevelType w:val="hybridMultilevel"/>
    <w:tmpl w:val="B6743270"/>
    <w:lvl w:ilvl="0" w:tplc="500C56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8F"/>
    <w:rsid w:val="00001E0E"/>
    <w:rsid w:val="0000448E"/>
    <w:rsid w:val="0002300D"/>
    <w:rsid w:val="00040953"/>
    <w:rsid w:val="00040F75"/>
    <w:rsid w:val="00041DEF"/>
    <w:rsid w:val="000531A3"/>
    <w:rsid w:val="000733CB"/>
    <w:rsid w:val="00085444"/>
    <w:rsid w:val="0009235F"/>
    <w:rsid w:val="000952A1"/>
    <w:rsid w:val="000A0144"/>
    <w:rsid w:val="000B2F2C"/>
    <w:rsid w:val="000B6C1C"/>
    <w:rsid w:val="000B7968"/>
    <w:rsid w:val="000D0860"/>
    <w:rsid w:val="000D1805"/>
    <w:rsid w:val="000D32FE"/>
    <w:rsid w:val="000D3D0C"/>
    <w:rsid w:val="000D584A"/>
    <w:rsid w:val="000F086A"/>
    <w:rsid w:val="00110D48"/>
    <w:rsid w:val="00116341"/>
    <w:rsid w:val="00121152"/>
    <w:rsid w:val="0012364C"/>
    <w:rsid w:val="00124928"/>
    <w:rsid w:val="00131966"/>
    <w:rsid w:val="00137063"/>
    <w:rsid w:val="0014662C"/>
    <w:rsid w:val="00151990"/>
    <w:rsid w:val="001556A7"/>
    <w:rsid w:val="00157DA2"/>
    <w:rsid w:val="00166F45"/>
    <w:rsid w:val="00175D6E"/>
    <w:rsid w:val="00175EBB"/>
    <w:rsid w:val="00193552"/>
    <w:rsid w:val="001953C7"/>
    <w:rsid w:val="001A1904"/>
    <w:rsid w:val="001B55C7"/>
    <w:rsid w:val="001C7CB2"/>
    <w:rsid w:val="001D786A"/>
    <w:rsid w:val="001E4F80"/>
    <w:rsid w:val="001E7AF0"/>
    <w:rsid w:val="001F798B"/>
    <w:rsid w:val="00200F07"/>
    <w:rsid w:val="0020316F"/>
    <w:rsid w:val="00204329"/>
    <w:rsid w:val="00211C2B"/>
    <w:rsid w:val="00213714"/>
    <w:rsid w:val="00224BDB"/>
    <w:rsid w:val="00233628"/>
    <w:rsid w:val="00237B57"/>
    <w:rsid w:val="00261A3A"/>
    <w:rsid w:val="00275CFA"/>
    <w:rsid w:val="0027668F"/>
    <w:rsid w:val="00295DF8"/>
    <w:rsid w:val="002B3615"/>
    <w:rsid w:val="002D13BB"/>
    <w:rsid w:val="002E43BC"/>
    <w:rsid w:val="002E472A"/>
    <w:rsid w:val="002F192B"/>
    <w:rsid w:val="002F2FD9"/>
    <w:rsid w:val="00300804"/>
    <w:rsid w:val="00303339"/>
    <w:rsid w:val="00310FE6"/>
    <w:rsid w:val="003259E3"/>
    <w:rsid w:val="003277C5"/>
    <w:rsid w:val="00330898"/>
    <w:rsid w:val="00343884"/>
    <w:rsid w:val="00351552"/>
    <w:rsid w:val="00352185"/>
    <w:rsid w:val="00360E1F"/>
    <w:rsid w:val="00370A5F"/>
    <w:rsid w:val="003740F4"/>
    <w:rsid w:val="00376898"/>
    <w:rsid w:val="00376DE0"/>
    <w:rsid w:val="0038560E"/>
    <w:rsid w:val="003A0594"/>
    <w:rsid w:val="003A6C9A"/>
    <w:rsid w:val="003B335D"/>
    <w:rsid w:val="003B5D38"/>
    <w:rsid w:val="003B7D7E"/>
    <w:rsid w:val="003D6D92"/>
    <w:rsid w:val="003E3503"/>
    <w:rsid w:val="003F7BD0"/>
    <w:rsid w:val="00400548"/>
    <w:rsid w:val="00400D7B"/>
    <w:rsid w:val="0040576D"/>
    <w:rsid w:val="00414771"/>
    <w:rsid w:val="0041772D"/>
    <w:rsid w:val="00425162"/>
    <w:rsid w:val="00431136"/>
    <w:rsid w:val="00437957"/>
    <w:rsid w:val="004572D4"/>
    <w:rsid w:val="00463F27"/>
    <w:rsid w:val="00474D55"/>
    <w:rsid w:val="004811F6"/>
    <w:rsid w:val="00485F62"/>
    <w:rsid w:val="0048715B"/>
    <w:rsid w:val="00487BF2"/>
    <w:rsid w:val="004969C9"/>
    <w:rsid w:val="004A02FC"/>
    <w:rsid w:val="004A7EF4"/>
    <w:rsid w:val="004B1A65"/>
    <w:rsid w:val="004B3241"/>
    <w:rsid w:val="004B60D7"/>
    <w:rsid w:val="004C0FFB"/>
    <w:rsid w:val="004D431C"/>
    <w:rsid w:val="004E5233"/>
    <w:rsid w:val="004E7746"/>
    <w:rsid w:val="004F1FEE"/>
    <w:rsid w:val="004F228E"/>
    <w:rsid w:val="004F4500"/>
    <w:rsid w:val="00510318"/>
    <w:rsid w:val="00510D91"/>
    <w:rsid w:val="00512822"/>
    <w:rsid w:val="005247D8"/>
    <w:rsid w:val="005257C7"/>
    <w:rsid w:val="005314A2"/>
    <w:rsid w:val="00531A3F"/>
    <w:rsid w:val="00540FD2"/>
    <w:rsid w:val="005437D0"/>
    <w:rsid w:val="00545FED"/>
    <w:rsid w:val="0055512F"/>
    <w:rsid w:val="0055640A"/>
    <w:rsid w:val="00556D78"/>
    <w:rsid w:val="00557F4E"/>
    <w:rsid w:val="00562301"/>
    <w:rsid w:val="005627DD"/>
    <w:rsid w:val="00586507"/>
    <w:rsid w:val="00586C51"/>
    <w:rsid w:val="00591201"/>
    <w:rsid w:val="005A02A0"/>
    <w:rsid w:val="005A59DB"/>
    <w:rsid w:val="005B451A"/>
    <w:rsid w:val="005B4CD3"/>
    <w:rsid w:val="005C484C"/>
    <w:rsid w:val="005D284F"/>
    <w:rsid w:val="005D4A7D"/>
    <w:rsid w:val="005E5403"/>
    <w:rsid w:val="005E62CD"/>
    <w:rsid w:val="005F38A1"/>
    <w:rsid w:val="005F3D98"/>
    <w:rsid w:val="005F67DA"/>
    <w:rsid w:val="00601ED9"/>
    <w:rsid w:val="006059C2"/>
    <w:rsid w:val="0061190F"/>
    <w:rsid w:val="006229CD"/>
    <w:rsid w:val="00631CB7"/>
    <w:rsid w:val="00642D2E"/>
    <w:rsid w:val="00655E10"/>
    <w:rsid w:val="00657A57"/>
    <w:rsid w:val="00660D05"/>
    <w:rsid w:val="00663D36"/>
    <w:rsid w:val="0068122D"/>
    <w:rsid w:val="006972AA"/>
    <w:rsid w:val="006B0CFC"/>
    <w:rsid w:val="006C6D89"/>
    <w:rsid w:val="006D21AD"/>
    <w:rsid w:val="006E4665"/>
    <w:rsid w:val="006E6E7B"/>
    <w:rsid w:val="006F568F"/>
    <w:rsid w:val="00700876"/>
    <w:rsid w:val="0070537A"/>
    <w:rsid w:val="007226FE"/>
    <w:rsid w:val="007328BD"/>
    <w:rsid w:val="00734275"/>
    <w:rsid w:val="00736A57"/>
    <w:rsid w:val="00745AC0"/>
    <w:rsid w:val="00746041"/>
    <w:rsid w:val="00751BC4"/>
    <w:rsid w:val="00766083"/>
    <w:rsid w:val="007846FC"/>
    <w:rsid w:val="00786213"/>
    <w:rsid w:val="0079072C"/>
    <w:rsid w:val="00792190"/>
    <w:rsid w:val="007A07EB"/>
    <w:rsid w:val="007A6A50"/>
    <w:rsid w:val="007A7BAA"/>
    <w:rsid w:val="007B3597"/>
    <w:rsid w:val="007B42B1"/>
    <w:rsid w:val="007C0D64"/>
    <w:rsid w:val="007E26A6"/>
    <w:rsid w:val="007F643E"/>
    <w:rsid w:val="007F6F5A"/>
    <w:rsid w:val="008036D3"/>
    <w:rsid w:val="008055AD"/>
    <w:rsid w:val="00831170"/>
    <w:rsid w:val="00833AD6"/>
    <w:rsid w:val="00833E36"/>
    <w:rsid w:val="00834AFF"/>
    <w:rsid w:val="00840416"/>
    <w:rsid w:val="00864CE7"/>
    <w:rsid w:val="00874FFE"/>
    <w:rsid w:val="00890D4D"/>
    <w:rsid w:val="00893D87"/>
    <w:rsid w:val="008A43FD"/>
    <w:rsid w:val="008A697D"/>
    <w:rsid w:val="008B54B6"/>
    <w:rsid w:val="008C1C38"/>
    <w:rsid w:val="008C65E5"/>
    <w:rsid w:val="008D0E40"/>
    <w:rsid w:val="008D5E44"/>
    <w:rsid w:val="008E5773"/>
    <w:rsid w:val="008E584A"/>
    <w:rsid w:val="008F2BD4"/>
    <w:rsid w:val="008F6D9A"/>
    <w:rsid w:val="0092399F"/>
    <w:rsid w:val="00931B37"/>
    <w:rsid w:val="009363B6"/>
    <w:rsid w:val="00940D00"/>
    <w:rsid w:val="00953523"/>
    <w:rsid w:val="00962582"/>
    <w:rsid w:val="00970702"/>
    <w:rsid w:val="00971179"/>
    <w:rsid w:val="00972D05"/>
    <w:rsid w:val="00976B1D"/>
    <w:rsid w:val="009953CD"/>
    <w:rsid w:val="009A118F"/>
    <w:rsid w:val="009A7F25"/>
    <w:rsid w:val="009B312A"/>
    <w:rsid w:val="009C15FD"/>
    <w:rsid w:val="009D023C"/>
    <w:rsid w:val="009D0718"/>
    <w:rsid w:val="009E3341"/>
    <w:rsid w:val="009F0762"/>
    <w:rsid w:val="00A068A6"/>
    <w:rsid w:val="00A06A91"/>
    <w:rsid w:val="00A108A8"/>
    <w:rsid w:val="00A11705"/>
    <w:rsid w:val="00A129AD"/>
    <w:rsid w:val="00A21698"/>
    <w:rsid w:val="00A22DB1"/>
    <w:rsid w:val="00A32672"/>
    <w:rsid w:val="00A3336C"/>
    <w:rsid w:val="00A35AB2"/>
    <w:rsid w:val="00A3630F"/>
    <w:rsid w:val="00A447D9"/>
    <w:rsid w:val="00A550F7"/>
    <w:rsid w:val="00A64D2B"/>
    <w:rsid w:val="00A80801"/>
    <w:rsid w:val="00A83F50"/>
    <w:rsid w:val="00A847AB"/>
    <w:rsid w:val="00AA2616"/>
    <w:rsid w:val="00AA4B76"/>
    <w:rsid w:val="00AB55C2"/>
    <w:rsid w:val="00AC2499"/>
    <w:rsid w:val="00AC3C19"/>
    <w:rsid w:val="00AC6C0B"/>
    <w:rsid w:val="00AD632B"/>
    <w:rsid w:val="00AD63F1"/>
    <w:rsid w:val="00AD7589"/>
    <w:rsid w:val="00AD75C2"/>
    <w:rsid w:val="00AE4781"/>
    <w:rsid w:val="00AE6752"/>
    <w:rsid w:val="00AF0245"/>
    <w:rsid w:val="00B07345"/>
    <w:rsid w:val="00B0774C"/>
    <w:rsid w:val="00B1296F"/>
    <w:rsid w:val="00B22B02"/>
    <w:rsid w:val="00B22B91"/>
    <w:rsid w:val="00B25776"/>
    <w:rsid w:val="00B3108E"/>
    <w:rsid w:val="00B33B7A"/>
    <w:rsid w:val="00B363C8"/>
    <w:rsid w:val="00B44CEB"/>
    <w:rsid w:val="00B53C0E"/>
    <w:rsid w:val="00B64792"/>
    <w:rsid w:val="00B660F0"/>
    <w:rsid w:val="00B7072C"/>
    <w:rsid w:val="00B70D47"/>
    <w:rsid w:val="00B80B56"/>
    <w:rsid w:val="00B853DA"/>
    <w:rsid w:val="00B920A5"/>
    <w:rsid w:val="00BA53C1"/>
    <w:rsid w:val="00BA576A"/>
    <w:rsid w:val="00BB33A0"/>
    <w:rsid w:val="00BB5DED"/>
    <w:rsid w:val="00BD1016"/>
    <w:rsid w:val="00BD390B"/>
    <w:rsid w:val="00BD55FC"/>
    <w:rsid w:val="00BD69D0"/>
    <w:rsid w:val="00BE0C84"/>
    <w:rsid w:val="00BE2C5C"/>
    <w:rsid w:val="00BE356C"/>
    <w:rsid w:val="00BE4C54"/>
    <w:rsid w:val="00BE5CDB"/>
    <w:rsid w:val="00BF30A6"/>
    <w:rsid w:val="00BF3394"/>
    <w:rsid w:val="00C00261"/>
    <w:rsid w:val="00C032D8"/>
    <w:rsid w:val="00C21C3A"/>
    <w:rsid w:val="00C246C6"/>
    <w:rsid w:val="00C2692E"/>
    <w:rsid w:val="00C3000E"/>
    <w:rsid w:val="00C36A2C"/>
    <w:rsid w:val="00C37DC2"/>
    <w:rsid w:val="00C400CD"/>
    <w:rsid w:val="00C42348"/>
    <w:rsid w:val="00C459FD"/>
    <w:rsid w:val="00C55214"/>
    <w:rsid w:val="00C6127D"/>
    <w:rsid w:val="00C6412D"/>
    <w:rsid w:val="00C66172"/>
    <w:rsid w:val="00C74D9A"/>
    <w:rsid w:val="00C8237C"/>
    <w:rsid w:val="00C83FF0"/>
    <w:rsid w:val="00C86D51"/>
    <w:rsid w:val="00C92A4F"/>
    <w:rsid w:val="00C92DEF"/>
    <w:rsid w:val="00CB636E"/>
    <w:rsid w:val="00CC1D31"/>
    <w:rsid w:val="00CE085E"/>
    <w:rsid w:val="00D00533"/>
    <w:rsid w:val="00D07D68"/>
    <w:rsid w:val="00D2198F"/>
    <w:rsid w:val="00D22BEF"/>
    <w:rsid w:val="00D33EE9"/>
    <w:rsid w:val="00D344AE"/>
    <w:rsid w:val="00D75521"/>
    <w:rsid w:val="00D76CC7"/>
    <w:rsid w:val="00D87D04"/>
    <w:rsid w:val="00D92D8F"/>
    <w:rsid w:val="00D94A2A"/>
    <w:rsid w:val="00D94D60"/>
    <w:rsid w:val="00D97B3C"/>
    <w:rsid w:val="00DA34E4"/>
    <w:rsid w:val="00DB2B98"/>
    <w:rsid w:val="00DC35B6"/>
    <w:rsid w:val="00DC42A7"/>
    <w:rsid w:val="00DD4F4C"/>
    <w:rsid w:val="00E12731"/>
    <w:rsid w:val="00E20BDB"/>
    <w:rsid w:val="00E34B26"/>
    <w:rsid w:val="00E45DC8"/>
    <w:rsid w:val="00E5127A"/>
    <w:rsid w:val="00E57E12"/>
    <w:rsid w:val="00E70BA0"/>
    <w:rsid w:val="00E82140"/>
    <w:rsid w:val="00E90444"/>
    <w:rsid w:val="00E92FBC"/>
    <w:rsid w:val="00E9479D"/>
    <w:rsid w:val="00EA26FC"/>
    <w:rsid w:val="00EB74E1"/>
    <w:rsid w:val="00ED3788"/>
    <w:rsid w:val="00ED46C6"/>
    <w:rsid w:val="00EF520E"/>
    <w:rsid w:val="00EF544E"/>
    <w:rsid w:val="00F006FE"/>
    <w:rsid w:val="00F10399"/>
    <w:rsid w:val="00F21BE7"/>
    <w:rsid w:val="00F2322F"/>
    <w:rsid w:val="00F31978"/>
    <w:rsid w:val="00F40F2C"/>
    <w:rsid w:val="00F442C5"/>
    <w:rsid w:val="00F513B5"/>
    <w:rsid w:val="00F52E4A"/>
    <w:rsid w:val="00F55F4B"/>
    <w:rsid w:val="00F607F1"/>
    <w:rsid w:val="00F61983"/>
    <w:rsid w:val="00F623B8"/>
    <w:rsid w:val="00F63029"/>
    <w:rsid w:val="00F678BD"/>
    <w:rsid w:val="00F8142D"/>
    <w:rsid w:val="00F8403F"/>
    <w:rsid w:val="00F877D0"/>
    <w:rsid w:val="00F97F2C"/>
    <w:rsid w:val="00FB167D"/>
    <w:rsid w:val="00FB2D28"/>
    <w:rsid w:val="00FB7D23"/>
    <w:rsid w:val="00FD55F5"/>
    <w:rsid w:val="00FE3B3F"/>
    <w:rsid w:val="00FF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7ECD66D3"/>
  <w15:docId w15:val="{77BF06FD-D1C6-4ACC-9466-C7E5AF7D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1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B451A"/>
  </w:style>
  <w:style w:type="paragraph" w:styleId="BalloonText">
    <w:name w:val="Balloon Text"/>
    <w:basedOn w:val="Normal"/>
    <w:semiHidden/>
    <w:rsid w:val="002E43BC"/>
    <w:rPr>
      <w:rFonts w:ascii="Tahoma" w:hAnsi="Tahoma" w:cs="Tahoma"/>
      <w:sz w:val="16"/>
      <w:szCs w:val="16"/>
    </w:rPr>
  </w:style>
  <w:style w:type="paragraph" w:styleId="Footer">
    <w:name w:val="footer"/>
    <w:basedOn w:val="Normal"/>
    <w:rsid w:val="00175D6E"/>
    <w:pPr>
      <w:tabs>
        <w:tab w:val="center" w:pos="4320"/>
        <w:tab w:val="right" w:pos="8640"/>
      </w:tabs>
    </w:pPr>
  </w:style>
  <w:style w:type="character" w:styleId="PageNumber">
    <w:name w:val="page number"/>
    <w:basedOn w:val="DefaultParagraphFont"/>
    <w:rsid w:val="00175D6E"/>
  </w:style>
  <w:style w:type="paragraph" w:styleId="ListParagraph">
    <w:name w:val="List Paragraph"/>
    <w:basedOn w:val="Normal"/>
    <w:uiPriority w:val="34"/>
    <w:qFormat/>
    <w:rsid w:val="00DC42A7"/>
    <w:pPr>
      <w:ind w:left="720"/>
    </w:pPr>
  </w:style>
  <w:style w:type="character" w:styleId="Hyperlink">
    <w:name w:val="Hyperlink"/>
    <w:rsid w:val="007E26A6"/>
    <w:rPr>
      <w:color w:val="0000FF"/>
      <w:u w:val="single"/>
    </w:rPr>
  </w:style>
  <w:style w:type="paragraph" w:styleId="CommentText">
    <w:name w:val="annotation text"/>
    <w:basedOn w:val="Normal"/>
    <w:link w:val="CommentTextChar"/>
    <w:unhideWhenUsed/>
    <w:rsid w:val="005C484C"/>
    <w:rPr>
      <w:sz w:val="20"/>
      <w:szCs w:val="20"/>
    </w:rPr>
  </w:style>
  <w:style w:type="character" w:customStyle="1" w:styleId="CommentTextChar">
    <w:name w:val="Comment Text Char"/>
    <w:basedOn w:val="DefaultParagraphFont"/>
    <w:link w:val="CommentText"/>
    <w:rsid w:val="005C484C"/>
  </w:style>
  <w:style w:type="character" w:styleId="CommentReference">
    <w:name w:val="annotation reference"/>
    <w:unhideWhenUsed/>
    <w:rsid w:val="005C484C"/>
    <w:rPr>
      <w:sz w:val="16"/>
      <w:szCs w:val="16"/>
    </w:rPr>
  </w:style>
  <w:style w:type="paragraph" w:styleId="Header">
    <w:name w:val="header"/>
    <w:basedOn w:val="Normal"/>
    <w:link w:val="HeaderChar"/>
    <w:uiPriority w:val="99"/>
    <w:rsid w:val="004572D4"/>
    <w:pPr>
      <w:tabs>
        <w:tab w:val="center" w:pos="4680"/>
        <w:tab w:val="right" w:pos="9360"/>
      </w:tabs>
    </w:pPr>
  </w:style>
  <w:style w:type="character" w:customStyle="1" w:styleId="HeaderChar">
    <w:name w:val="Header Char"/>
    <w:link w:val="Header"/>
    <w:uiPriority w:val="99"/>
    <w:rsid w:val="004572D4"/>
    <w:rPr>
      <w:sz w:val="24"/>
      <w:szCs w:val="24"/>
    </w:rPr>
  </w:style>
  <w:style w:type="character" w:styleId="FollowedHyperlink">
    <w:name w:val="FollowedHyperlink"/>
    <w:rsid w:val="00972D05"/>
    <w:rPr>
      <w:color w:val="800080"/>
      <w:u w:val="single"/>
    </w:rPr>
  </w:style>
  <w:style w:type="paragraph" w:styleId="Subtitle">
    <w:name w:val="Subtitle"/>
    <w:basedOn w:val="Normal"/>
    <w:next w:val="Normal"/>
    <w:link w:val="SubtitleChar"/>
    <w:qFormat/>
    <w:rsid w:val="00BD69D0"/>
    <w:pPr>
      <w:spacing w:after="60"/>
      <w:jc w:val="center"/>
      <w:outlineLvl w:val="1"/>
    </w:pPr>
    <w:rPr>
      <w:rFonts w:ascii="Cambria" w:hAnsi="Cambria"/>
    </w:rPr>
  </w:style>
  <w:style w:type="character" w:customStyle="1" w:styleId="SubtitleChar">
    <w:name w:val="Subtitle Char"/>
    <w:link w:val="Subtitle"/>
    <w:rsid w:val="00BD69D0"/>
    <w:rPr>
      <w:rFonts w:ascii="Cambria" w:eastAsia="Times New Roman" w:hAnsi="Cambria" w:cs="Times New Roman"/>
      <w:sz w:val="24"/>
      <w:szCs w:val="24"/>
    </w:rPr>
  </w:style>
  <w:style w:type="paragraph" w:styleId="CommentSubject">
    <w:name w:val="annotation subject"/>
    <w:basedOn w:val="CommentText"/>
    <w:next w:val="CommentText"/>
    <w:link w:val="CommentSubjectChar"/>
    <w:rsid w:val="006059C2"/>
    <w:rPr>
      <w:b/>
      <w:bCs/>
    </w:rPr>
  </w:style>
  <w:style w:type="character" w:customStyle="1" w:styleId="CommentSubjectChar">
    <w:name w:val="Comment Subject Char"/>
    <w:link w:val="CommentSubject"/>
    <w:rsid w:val="006059C2"/>
    <w:rPr>
      <w:b/>
      <w:bCs/>
    </w:rPr>
  </w:style>
  <w:style w:type="character" w:customStyle="1" w:styleId="datavalue1">
    <w:name w:val="datavalue1"/>
    <w:rsid w:val="0055640A"/>
  </w:style>
  <w:style w:type="paragraph" w:styleId="HTMLPreformatted">
    <w:name w:val="HTML Preformatted"/>
    <w:basedOn w:val="Normal"/>
    <w:link w:val="HTMLPreformattedChar"/>
    <w:uiPriority w:val="99"/>
    <w:unhideWhenUsed/>
    <w:rsid w:val="00A363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A3630F"/>
    <w:rPr>
      <w:rFonts w:ascii="Courier New" w:hAnsi="Courier New" w:cs="Courier New"/>
    </w:rPr>
  </w:style>
  <w:style w:type="paragraph" w:styleId="FootnoteText">
    <w:name w:val="footnote text"/>
    <w:basedOn w:val="Normal"/>
    <w:link w:val="FootnoteTextChar"/>
    <w:uiPriority w:val="99"/>
    <w:rsid w:val="005B4CD3"/>
    <w:rPr>
      <w:rFonts w:ascii="Courier" w:hAnsi="Courier"/>
      <w:sz w:val="20"/>
      <w:szCs w:val="20"/>
    </w:rPr>
  </w:style>
  <w:style w:type="character" w:customStyle="1" w:styleId="FootnoteTextChar">
    <w:name w:val="Footnote Text Char"/>
    <w:basedOn w:val="DefaultParagraphFont"/>
    <w:link w:val="FootnoteText"/>
    <w:uiPriority w:val="99"/>
    <w:rsid w:val="005B4CD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357563">
      <w:bodyDiv w:val="1"/>
      <w:marLeft w:val="0"/>
      <w:marRight w:val="0"/>
      <w:marTop w:val="0"/>
      <w:marBottom w:val="0"/>
      <w:divBdr>
        <w:top w:val="none" w:sz="0" w:space="0" w:color="auto"/>
        <w:left w:val="none" w:sz="0" w:space="0" w:color="auto"/>
        <w:bottom w:val="none" w:sz="0" w:space="0" w:color="auto"/>
        <w:right w:val="none" w:sz="0" w:space="0" w:color="auto"/>
      </w:divBdr>
      <w:divsChild>
        <w:div w:id="216164719">
          <w:marLeft w:val="0"/>
          <w:marRight w:val="0"/>
          <w:marTop w:val="0"/>
          <w:marBottom w:val="0"/>
          <w:divBdr>
            <w:top w:val="none" w:sz="0" w:space="0" w:color="auto"/>
            <w:left w:val="none" w:sz="0" w:space="0" w:color="auto"/>
            <w:bottom w:val="none" w:sz="0" w:space="0" w:color="auto"/>
            <w:right w:val="none" w:sz="0" w:space="0" w:color="auto"/>
          </w:divBdr>
          <w:divsChild>
            <w:div w:id="1336112026">
              <w:marLeft w:val="0"/>
              <w:marRight w:val="0"/>
              <w:marTop w:val="0"/>
              <w:marBottom w:val="0"/>
              <w:divBdr>
                <w:top w:val="none" w:sz="0" w:space="0" w:color="auto"/>
                <w:left w:val="none" w:sz="0" w:space="0" w:color="auto"/>
                <w:bottom w:val="none" w:sz="0" w:space="0" w:color="auto"/>
                <w:right w:val="none" w:sz="0" w:space="0" w:color="auto"/>
              </w:divBdr>
              <w:divsChild>
                <w:div w:id="10432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table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95A3-CC1E-4EA4-A9A1-5C51DA67A996}">
  <ds:schemaRefs>
    <ds:schemaRef ds:uri="http://schemas.microsoft.com/sharepoint/v3/contenttype/forms"/>
  </ds:schemaRefs>
</ds:datastoreItem>
</file>

<file path=customXml/itemProps2.xml><?xml version="1.0" encoding="utf-8"?>
<ds:datastoreItem xmlns:ds="http://schemas.openxmlformats.org/officeDocument/2006/customXml" ds:itemID="{EA62E083-1C3C-4DEE-B5B0-041AFC45F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F116-8290-4C9D-B8D5-4A106826D0CD}">
  <ds:schemaRef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C1D9C99-D1BC-4944-BC00-82738E09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2348</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USDOL/OSHA</Company>
  <LinksUpToDate>false</LinksUpToDate>
  <CharactersWithSpaces>15796</CharactersWithSpaces>
  <SharedDoc>false</SharedDoc>
  <HLinks>
    <vt:vector size="18" baseType="variant">
      <vt:variant>
        <vt:i4>4456556</vt:i4>
      </vt:variant>
      <vt:variant>
        <vt:i4>6</vt:i4>
      </vt:variant>
      <vt:variant>
        <vt:i4>0</vt:i4>
      </vt:variant>
      <vt:variant>
        <vt:i4>5</vt:i4>
      </vt:variant>
      <vt:variant>
        <vt:lpwstr>https://www.bls.gov/news.release/archives/empsit_07052019.pdf</vt:lpwstr>
      </vt:variant>
      <vt:variant>
        <vt:lpwstr/>
      </vt: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TKenney</dc:creator>
  <cp:lastModifiedBy>Kenney, Theda - OSHA</cp:lastModifiedBy>
  <cp:revision>2</cp:revision>
  <cp:lastPrinted>2019-12-11T17:28:00Z</cp:lastPrinted>
  <dcterms:created xsi:type="dcterms:W3CDTF">2020-01-30T20:33:00Z</dcterms:created>
  <dcterms:modified xsi:type="dcterms:W3CDTF">2020-01-30T20:33:00Z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