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AD3" w:rsidP="001A1AD3" w:rsidRDefault="001A1AD3" w14:paraId="7D7C61E7" w14:textId="77777777">
      <w:pPr>
        <w:pStyle w:val="H2Chapter"/>
      </w:pPr>
      <w:bookmarkStart w:name="_Toc496104729" w:id="0"/>
      <w:bookmarkStart w:name="_GoBack" w:id="1"/>
      <w:bookmarkEnd w:id="1"/>
      <w:r w:rsidRPr="00E54502">
        <w:t>Part A: Justification</w:t>
      </w:r>
      <w:bookmarkEnd w:id="0"/>
    </w:p>
    <w:p w:rsidR="00707247" w:rsidP="002742FF" w:rsidRDefault="00707247" w14:paraId="27C4DF18" w14:textId="77777777">
      <w:pPr>
        <w:spacing w:line="240" w:lineRule="auto"/>
        <w:contextualSpacing/>
      </w:pPr>
      <w:r>
        <w:t xml:space="preserve">The </w:t>
      </w:r>
      <w:r w:rsidR="001E70D6">
        <w:t xml:space="preserve">Chief </w:t>
      </w:r>
      <w:proofErr w:type="spellStart"/>
      <w:r w:rsidR="001E70D6">
        <w:t>EvaluationOffice</w:t>
      </w:r>
      <w:proofErr w:type="spellEnd"/>
      <w:r w:rsidR="001E70D6">
        <w:t xml:space="preserve"> of the </w:t>
      </w:r>
      <w:r>
        <w:t>U.S. Department of Labor</w:t>
      </w:r>
      <w:r w:rsidR="00D56C65">
        <w:t>’s</w:t>
      </w:r>
      <w:r>
        <w:t xml:space="preserve"> (DOL)</w:t>
      </w:r>
      <w:r w:rsidR="00D56C65">
        <w:t xml:space="preserve"> in collaboration with the Employment and Training Administration, </w:t>
      </w:r>
      <w:r>
        <w:t>has commissioned an</w:t>
      </w:r>
      <w:r w:rsidR="00D56C65">
        <w:t xml:space="preserve"> </w:t>
      </w:r>
      <w:r>
        <w:t xml:space="preserve">evaluation of the </w:t>
      </w:r>
      <w:r w:rsidR="00D56C65">
        <w:t xml:space="preserve">National Health Emergency (NHE) </w:t>
      </w:r>
      <w:r w:rsidR="00B52A26">
        <w:t xml:space="preserve">Dislocated Worker Demonstration </w:t>
      </w:r>
      <w:r w:rsidR="00D56C65">
        <w:t>Grants to Address the Opioid Crisis</w:t>
      </w:r>
      <w:r w:rsidR="00A74983">
        <w:t>. These grants enable states to test innovative approaches to address the economic and workforce-related impacts of the opioid epidemic.</w:t>
      </w:r>
      <w:r>
        <w:t xml:space="preserve"> </w:t>
      </w:r>
      <w:r w:rsidR="00CC786E">
        <w:t>The</w:t>
      </w:r>
      <w:r>
        <w:t xml:space="preserve"> evaluation</w:t>
      </w:r>
      <w:r w:rsidR="00CC786E">
        <w:t xml:space="preserve"> of the NHE Grants to Address the Opioid Crisis</w:t>
      </w:r>
      <w:r>
        <w:t xml:space="preserve"> offers a unique opportunity to build know</w:t>
      </w:r>
      <w:r w:rsidR="002C5064">
        <w:t>ledge about the implementation of these approaches</w:t>
      </w:r>
      <w:r w:rsidR="002742FF">
        <w:t xml:space="preserve">, identify </w:t>
      </w:r>
      <w:r w:rsidR="0059081C">
        <w:t xml:space="preserve">perceived </w:t>
      </w:r>
      <w:r w:rsidR="002742FF">
        <w:t>challenges and promising practices, and share information with grantees and other stakeholders as they seek to address the opioid crisis</w:t>
      </w:r>
      <w:r>
        <w:t xml:space="preserve">. Mathematica Policy Research and its subcontractor Social Policy Research Associates have been contracted to conduct an implementation evaluation. </w:t>
      </w:r>
      <w:r w:rsidR="00F11201">
        <w:t>A</w:t>
      </w:r>
      <w:r w:rsidR="000E5529">
        <w:t xml:space="preserve">s required by the </w:t>
      </w:r>
      <w:r w:rsidR="00C84DB0">
        <w:t>P</w:t>
      </w:r>
      <w:r w:rsidR="000E5529">
        <w:t>aperwork Reduction Act (P</w:t>
      </w:r>
      <w:r w:rsidR="00C84DB0">
        <w:t>RA</w:t>
      </w:r>
      <w:r w:rsidR="000E5529">
        <w:t xml:space="preserve">), </w:t>
      </w:r>
      <w:r w:rsidR="00F11201">
        <w:t xml:space="preserve">this </w:t>
      </w:r>
      <w:r>
        <w:t xml:space="preserve">package requests clearance for </w:t>
      </w:r>
      <w:r w:rsidR="00AB34B8">
        <w:t>t</w:t>
      </w:r>
      <w:r w:rsidR="00F11201">
        <w:t>he</w:t>
      </w:r>
      <w:r w:rsidR="003B3E57">
        <w:t xml:space="preserve"> </w:t>
      </w:r>
      <w:r w:rsidR="00F11201">
        <w:t>following data collection tools as part of the</w:t>
      </w:r>
      <w:r w:rsidR="00A87A24">
        <w:t xml:space="preserve"> implementation evaluation</w:t>
      </w:r>
      <w:r>
        <w:t>:</w:t>
      </w:r>
    </w:p>
    <w:p w:rsidR="00C84DB0" w:rsidP="00C84DB0" w:rsidRDefault="00C84DB0" w14:paraId="46AF5F14" w14:textId="77777777">
      <w:pPr>
        <w:spacing w:line="240" w:lineRule="auto"/>
        <w:contextualSpacing/>
      </w:pPr>
    </w:p>
    <w:p w:rsidR="00707247" w:rsidP="00707247" w:rsidRDefault="00FD1FE6" w14:paraId="50DF676B" w14:textId="77777777">
      <w:pPr>
        <w:pStyle w:val="NumberedBullet"/>
      </w:pPr>
      <w:r>
        <w:t>Administrator and staff</w:t>
      </w:r>
      <w:r w:rsidRPr="00BA48EF" w:rsidR="00BA48EF">
        <w:t xml:space="preserve"> interview protocol </w:t>
      </w:r>
      <w:r w:rsidR="0096578D">
        <w:t xml:space="preserve"> </w:t>
      </w:r>
    </w:p>
    <w:p w:rsidRPr="00BA48EF" w:rsidR="00BA48EF" w:rsidP="00BA48EF" w:rsidRDefault="008768E8" w14:paraId="258F55F4" w14:textId="77777777">
      <w:pPr>
        <w:pStyle w:val="NumberedBullet"/>
      </w:pPr>
      <w:r>
        <w:t>Interview r</w:t>
      </w:r>
      <w:r w:rsidR="00F11201">
        <w:t>espondent</w:t>
      </w:r>
      <w:r w:rsidR="00FD1FE6">
        <w:t xml:space="preserve"> </w:t>
      </w:r>
      <w:r w:rsidR="001A5355">
        <w:t>information form</w:t>
      </w:r>
    </w:p>
    <w:p w:rsidR="00C84DB0" w:rsidP="00C84DB0" w:rsidRDefault="00F11201" w14:paraId="06E14291" w14:textId="77777777">
      <w:pPr>
        <w:pStyle w:val="NumberedBullet"/>
      </w:pPr>
      <w:r>
        <w:t>Program p</w:t>
      </w:r>
      <w:r w:rsidR="00BA48EF">
        <w:t>articipant focus group protocol</w:t>
      </w:r>
    </w:p>
    <w:p w:rsidRPr="00C84DB0" w:rsidR="0082498B" w:rsidP="00C84DB0" w:rsidRDefault="0082498B" w14:paraId="0AC36EC0" w14:textId="77777777">
      <w:pPr>
        <w:pStyle w:val="NumberedBullet"/>
      </w:pPr>
      <w:r>
        <w:t>Participant focus group information form</w:t>
      </w:r>
    </w:p>
    <w:p w:rsidR="00707247" w:rsidP="00707247" w:rsidRDefault="00707247" w14:paraId="067C6677" w14:textId="77777777">
      <w:pPr>
        <w:pStyle w:val="H3Alpha"/>
      </w:pPr>
      <w:bookmarkStart w:name="_Toc496104730" w:id="2"/>
      <w:r>
        <w:t xml:space="preserve">1. </w:t>
      </w:r>
      <w:r w:rsidR="001E70D6">
        <w:t xml:space="preserve"> </w:t>
      </w:r>
      <w:r w:rsidRPr="00C51490" w:rsidR="001E70D6">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2"/>
    </w:p>
    <w:p w:rsidR="008930BB" w:rsidP="008930BB" w:rsidRDefault="008930BB" w14:paraId="6D7384DF" w14:textId="77777777">
      <w:pPr>
        <w:autoSpaceDE w:val="0"/>
        <w:autoSpaceDN w:val="0"/>
        <w:adjustRightInd w:val="0"/>
        <w:spacing w:line="240" w:lineRule="auto"/>
        <w:ind w:firstLine="0"/>
        <w:rPr>
          <w:rFonts w:eastAsiaTheme="minorEastAsia"/>
          <w:szCs w:val="24"/>
        </w:rPr>
      </w:pPr>
      <w:r>
        <w:rPr>
          <w:rFonts w:eastAsiaTheme="minorEastAsia"/>
          <w:szCs w:val="24"/>
        </w:rPr>
        <w:tab/>
        <w:t>The widely publicized impacts of the opioid crisis are so staggering that the Secretary of</w:t>
      </w:r>
    </w:p>
    <w:p w:rsidR="00E43640" w:rsidP="000D0E16" w:rsidRDefault="008930BB" w14:paraId="03BD4E36" w14:textId="77777777">
      <w:pPr>
        <w:autoSpaceDE w:val="0"/>
        <w:autoSpaceDN w:val="0"/>
        <w:adjustRightInd w:val="0"/>
        <w:spacing w:line="240" w:lineRule="auto"/>
        <w:ind w:firstLine="0"/>
        <w:rPr>
          <w:rFonts w:eastAsiaTheme="minorEastAsia"/>
          <w:szCs w:val="24"/>
        </w:rPr>
      </w:pPr>
      <w:r>
        <w:rPr>
          <w:rFonts w:eastAsiaTheme="minorEastAsia"/>
          <w:szCs w:val="24"/>
        </w:rPr>
        <w:t>Health and Human Services declared the crisis a national public health emergency in October 2017.</w:t>
      </w:r>
      <w:r w:rsidRPr="00381825" w:rsidR="00381825">
        <w:t xml:space="preserve"> </w:t>
      </w:r>
      <w:r w:rsidRPr="00E43640" w:rsidR="00E43640">
        <w:rPr>
          <w:rFonts w:eastAsiaTheme="minorEastAsia"/>
          <w:szCs w:val="24"/>
        </w:rPr>
        <w:t>The</w:t>
      </w:r>
      <w:r w:rsidR="00E43640">
        <w:rPr>
          <w:rFonts w:eastAsiaTheme="minorEastAsia"/>
          <w:szCs w:val="24"/>
        </w:rPr>
        <w:t xml:space="preserve"> </w:t>
      </w:r>
      <w:r w:rsidRPr="00E43640" w:rsidR="00E43640">
        <w:rPr>
          <w:rFonts w:eastAsiaTheme="minorEastAsia"/>
          <w:szCs w:val="24"/>
        </w:rPr>
        <w:t>crisis is affecting local community service and workforce programs that are increasingly forced</w:t>
      </w:r>
      <w:r w:rsidR="00E43640">
        <w:rPr>
          <w:rFonts w:eastAsiaTheme="minorEastAsia"/>
          <w:szCs w:val="24"/>
        </w:rPr>
        <w:t xml:space="preserve"> </w:t>
      </w:r>
      <w:r w:rsidRPr="00E43640" w:rsidR="00E43640">
        <w:rPr>
          <w:rFonts w:eastAsiaTheme="minorEastAsia"/>
          <w:szCs w:val="24"/>
        </w:rPr>
        <w:t>to address opioid issues in their service delivery</w:t>
      </w:r>
      <w:r w:rsidR="00E43640">
        <w:rPr>
          <w:rFonts w:eastAsiaTheme="minorEastAsia"/>
          <w:szCs w:val="24"/>
        </w:rPr>
        <w:t xml:space="preserve">. </w:t>
      </w:r>
      <w:r w:rsidRPr="00E43640" w:rsidR="00E43640">
        <w:rPr>
          <w:rFonts w:eastAsiaTheme="minorEastAsia"/>
          <w:szCs w:val="24"/>
        </w:rPr>
        <w:t xml:space="preserve">As part of the response to this crisis, </w:t>
      </w:r>
      <w:r w:rsidRPr="002308B7" w:rsidR="00E42C89">
        <w:rPr>
          <w:rFonts w:eastAsiaTheme="minorEastAsia"/>
          <w:szCs w:val="24"/>
        </w:rPr>
        <w:t xml:space="preserve">in </w:t>
      </w:r>
      <w:r w:rsidRPr="002308B7" w:rsidR="00160175">
        <w:rPr>
          <w:rFonts w:eastAsiaTheme="minorEastAsia"/>
          <w:szCs w:val="24"/>
        </w:rPr>
        <w:t xml:space="preserve">July </w:t>
      </w:r>
      <w:r w:rsidRPr="002308B7" w:rsidR="00E42C89">
        <w:rPr>
          <w:rFonts w:eastAsiaTheme="minorEastAsia"/>
          <w:szCs w:val="24"/>
        </w:rPr>
        <w:t>2018,</w:t>
      </w:r>
      <w:r w:rsidR="00E42C89">
        <w:rPr>
          <w:rFonts w:eastAsiaTheme="minorEastAsia"/>
          <w:szCs w:val="24"/>
        </w:rPr>
        <w:t xml:space="preserve"> </w:t>
      </w:r>
      <w:r w:rsidRPr="00E43640" w:rsidR="00E43640">
        <w:rPr>
          <w:rFonts w:eastAsiaTheme="minorEastAsia"/>
          <w:szCs w:val="24"/>
        </w:rPr>
        <w:t xml:space="preserve">DOL </w:t>
      </w:r>
      <w:r w:rsidR="00D14402">
        <w:rPr>
          <w:rFonts w:eastAsiaTheme="minorEastAsia"/>
          <w:szCs w:val="24"/>
        </w:rPr>
        <w:t xml:space="preserve">awarded an initial set of </w:t>
      </w:r>
      <w:r w:rsidRPr="00D14402" w:rsidR="00D14402">
        <w:rPr>
          <w:rFonts w:eastAsiaTheme="minorEastAsia"/>
          <w:szCs w:val="24"/>
        </w:rPr>
        <w:t>NHE grants totaling $22 million to six states</w:t>
      </w:r>
      <w:r w:rsidR="00D14402">
        <w:rPr>
          <w:rFonts w:eastAsiaTheme="minorEastAsia"/>
          <w:szCs w:val="24"/>
        </w:rPr>
        <w:t xml:space="preserve"> </w:t>
      </w:r>
      <w:r w:rsidRPr="00D14402" w:rsidR="00D14402">
        <w:rPr>
          <w:rFonts w:eastAsiaTheme="minorEastAsia"/>
          <w:szCs w:val="24"/>
        </w:rPr>
        <w:t>(Alaska, Maryland, New Hampshire, Pennsylvania, Rhode Island, and Washington)</w:t>
      </w:r>
      <w:r w:rsidR="00D14402">
        <w:rPr>
          <w:rFonts w:eastAsiaTheme="minorEastAsia"/>
          <w:szCs w:val="24"/>
        </w:rPr>
        <w:t xml:space="preserve">. </w:t>
      </w:r>
      <w:r w:rsidR="003A3276">
        <w:rPr>
          <w:rFonts w:eastAsiaTheme="minorEastAsia"/>
          <w:szCs w:val="24"/>
        </w:rPr>
        <w:t>The purpose of these two-year grants is to support state implementation of approaches including services for people or family members affected by opioid addiction, training for workers to address the crisis, and system</w:t>
      </w:r>
      <w:r w:rsidR="000D0E16">
        <w:rPr>
          <w:rFonts w:eastAsiaTheme="minorEastAsia"/>
          <w:szCs w:val="24"/>
        </w:rPr>
        <w:t>-</w:t>
      </w:r>
      <w:r w:rsidR="003A3276">
        <w:rPr>
          <w:rFonts w:eastAsiaTheme="minorEastAsia"/>
          <w:szCs w:val="24"/>
        </w:rPr>
        <w:t>wide investments to align workforce services with services provided by other organizations in the community.</w:t>
      </w:r>
      <w:r w:rsidR="000D0E16">
        <w:rPr>
          <w:rFonts w:eastAsiaTheme="minorEastAsia"/>
          <w:szCs w:val="24"/>
        </w:rPr>
        <w:t xml:space="preserve"> </w:t>
      </w:r>
    </w:p>
    <w:p w:rsidR="00E43640" w:rsidP="00381825" w:rsidRDefault="00E43640" w14:paraId="106E1003" w14:textId="77777777">
      <w:pPr>
        <w:autoSpaceDE w:val="0"/>
        <w:autoSpaceDN w:val="0"/>
        <w:adjustRightInd w:val="0"/>
        <w:spacing w:line="240" w:lineRule="auto"/>
        <w:ind w:firstLine="0"/>
        <w:rPr>
          <w:rFonts w:eastAsiaTheme="minorEastAsia"/>
          <w:szCs w:val="24"/>
        </w:rPr>
      </w:pPr>
    </w:p>
    <w:p w:rsidR="00E02C70" w:rsidP="00915658" w:rsidRDefault="00915658" w14:paraId="696904E0" w14:textId="77777777">
      <w:pPr>
        <w:autoSpaceDE w:val="0"/>
        <w:autoSpaceDN w:val="0"/>
        <w:adjustRightInd w:val="0"/>
        <w:spacing w:line="240" w:lineRule="auto"/>
        <w:ind w:firstLine="0"/>
        <w:rPr>
          <w:rFonts w:eastAsiaTheme="minorEastAsia"/>
          <w:szCs w:val="24"/>
        </w:rPr>
      </w:pPr>
      <w:r>
        <w:tab/>
      </w:r>
      <w:r w:rsidR="00E02C70">
        <w:t>A letter to states announcing the availability of the NHE grants described the grants as</w:t>
      </w:r>
      <w:r w:rsidR="00544D4A">
        <w:t>,</w:t>
      </w:r>
      <w:r w:rsidR="00E02C70">
        <w:t xml:space="preserve"> </w:t>
      </w:r>
      <w:r w:rsidRPr="00E02C70" w:rsidR="00E02C70">
        <w:t>“DOL’s first phase of funding opportunities meant to counter the</w:t>
      </w:r>
      <w:r w:rsidR="00E02C70">
        <w:t xml:space="preserve"> employment impacts of the opioid crisis and encourage training opportunities for skilled professions positioned to impact the underlying causes of the crisis.” The letter encouraged states to consider </w:t>
      </w:r>
      <w:r w:rsidRPr="00E02C70" w:rsidR="00E02C70">
        <w:t>“innovative approaches” and to “creatively align and deliver career, training, and supportive services to best serve the affected individuals.”</w:t>
      </w:r>
      <w:r>
        <w:t xml:space="preserve"> </w:t>
      </w:r>
      <w:r>
        <w:rPr>
          <w:rFonts w:eastAsiaTheme="minorEastAsia"/>
          <w:szCs w:val="24"/>
        </w:rPr>
        <w:t>In addition, grantees were required to identify partners that would ensure the goals of their projects would be met. Potential partners included at least one local workforce development board or American Job Center; employers or industry organizations; community health providers; justice or law enforcement organizations; community-based organizations; or educational institutions.</w:t>
      </w:r>
    </w:p>
    <w:p w:rsidRPr="00E02C70" w:rsidR="003C7441" w:rsidP="00915658" w:rsidRDefault="003C7441" w14:paraId="7CECF1A5" w14:textId="77777777">
      <w:pPr>
        <w:autoSpaceDE w:val="0"/>
        <w:autoSpaceDN w:val="0"/>
        <w:adjustRightInd w:val="0"/>
        <w:spacing w:line="240" w:lineRule="auto"/>
        <w:ind w:firstLine="0"/>
      </w:pPr>
    </w:p>
    <w:p w:rsidR="00E02C70" w:rsidP="00E02C70" w:rsidRDefault="003C7441" w14:paraId="28FF32D7" w14:textId="1ACFD6C5">
      <w:pPr>
        <w:pStyle w:val="NormalSS"/>
      </w:pPr>
      <w:r w:rsidRPr="003C7441">
        <w:t>Understanding the implementation and context of the NHE grantees’ program is essential for identifying promising practices that contribute to the body of evidence on workforce strategies to address the opioid crisis</w:t>
      </w:r>
      <w:r w:rsidR="00D12755">
        <w:t>, an area for which there is very limited research to date (see discussion below on the literature review)</w:t>
      </w:r>
      <w:r w:rsidRPr="003C7441" w:rsidR="00D12755">
        <w:t>.</w:t>
      </w:r>
      <w:r w:rsidR="00D12755">
        <w:t xml:space="preserve"> </w:t>
      </w:r>
      <w:r>
        <w:t xml:space="preserve">Collecting qualitative </w:t>
      </w:r>
      <w:r w:rsidR="00D45EDA">
        <w:t xml:space="preserve">data </w:t>
      </w:r>
      <w:r>
        <w:t>from grantees</w:t>
      </w:r>
      <w:r w:rsidR="00D45EDA">
        <w:t xml:space="preserve"> and participants </w:t>
      </w:r>
      <w:r>
        <w:t xml:space="preserve">will facilitate </w:t>
      </w:r>
      <w:r w:rsidRPr="003C7441">
        <w:t>a</w:t>
      </w:r>
      <w:r w:rsidR="006957AE">
        <w:t>n</w:t>
      </w:r>
      <w:r w:rsidRPr="003C7441">
        <w:t xml:space="preserve"> understanding of each grant’s context; structure, management, and partnerships; planned and implemented activities; program participants and experiences; and </w:t>
      </w:r>
      <w:r w:rsidR="0059081C">
        <w:t xml:space="preserve">perceived </w:t>
      </w:r>
      <w:r w:rsidRPr="003C7441">
        <w:t>challenges and successes, as well as implementation factors that lead to similarities and differences across the grantees.</w:t>
      </w:r>
      <w:r w:rsidR="00091D61">
        <w:t xml:space="preserve"> </w:t>
      </w:r>
      <w:r w:rsidR="00C33650">
        <w:t xml:space="preserve"> </w:t>
      </w:r>
      <w:r w:rsidR="00D12755">
        <w:t xml:space="preserve">This exploratory study is examining grant implementation by NHE grantees and </w:t>
      </w:r>
      <w:proofErr w:type="spellStart"/>
      <w:r w:rsidR="00D12755">
        <w:t>subgrantees</w:t>
      </w:r>
      <w:proofErr w:type="spellEnd"/>
      <w:r w:rsidR="00D12755">
        <w:t xml:space="preserve">, and will </w:t>
      </w:r>
      <w:proofErr w:type="spellStart"/>
      <w:r w:rsidR="00D12755">
        <w:t>contribte</w:t>
      </w:r>
      <w:proofErr w:type="spellEnd"/>
      <w:r w:rsidR="00D12755">
        <w:t xml:space="preserve"> to the ongoing dialogue of a field in its nascent stages.  </w:t>
      </w:r>
    </w:p>
    <w:p w:rsidRPr="005F410C" w:rsidR="00D12755" w:rsidP="00D12755" w:rsidRDefault="00D12755" w14:paraId="11E08DC3" w14:textId="77777777">
      <w:pPr>
        <w:pStyle w:val="NormalSS"/>
      </w:pPr>
      <w:r>
        <w:t xml:space="preserve">As part of the evaluation, the contractor conducted a literature review to summarize evidence on topics related to the </w:t>
      </w:r>
      <w:proofErr w:type="gramStart"/>
      <w:r>
        <w:t>intersection  of</w:t>
      </w:r>
      <w:proofErr w:type="gramEnd"/>
      <w:r>
        <w:t xml:space="preserve"> employment and the opioid crisis.</w:t>
      </w:r>
      <w:r w:rsidRPr="005F410C">
        <w:t xml:space="preserve"> </w:t>
      </w:r>
      <w:r>
        <w:t xml:space="preserve">The contractor performed an extensive </w:t>
      </w:r>
      <w:r w:rsidRPr="005F410C">
        <w:t>examin</w:t>
      </w:r>
      <w:r>
        <w:t xml:space="preserve">ation </w:t>
      </w:r>
      <w:proofErr w:type="gramStart"/>
      <w:r>
        <w:t xml:space="preserve">of </w:t>
      </w:r>
      <w:r w:rsidRPr="005F410C">
        <w:t xml:space="preserve"> existing</w:t>
      </w:r>
      <w:proofErr w:type="gramEnd"/>
      <w:r w:rsidRPr="005F410C">
        <w:t xml:space="preserve"> research on employment services for people with opioid use disorder, employer practices for addressing opioid use disorder, and considerations for developing the health care workforce to address the opioid crisis (Vine et al. 2020). A key conclusion from this review is that the existing literature is limited in size and scope, and there are critical gaps in the current knowledge base. Most significantly, very few studies examine employment interventions for people with opioid use disorder</w:t>
      </w:r>
      <w:r>
        <w:t xml:space="preserve">. </w:t>
      </w:r>
      <w:r w:rsidRPr="005F410C">
        <w:t>Another important consideration is that none of the existing studies</w:t>
      </w:r>
      <w:r>
        <w:t xml:space="preserve"> </w:t>
      </w:r>
      <w:r w:rsidRPr="005F410C">
        <w:t xml:space="preserve">examined interventions implemented within the </w:t>
      </w:r>
      <w:r>
        <w:t xml:space="preserve">public </w:t>
      </w:r>
      <w:r w:rsidRPr="005F410C">
        <w:t>workforce system</w:t>
      </w:r>
      <w:r>
        <w:t xml:space="preserve"> in the U.S</w:t>
      </w:r>
      <w:r w:rsidRPr="005F410C">
        <w:t xml:space="preserve">. </w:t>
      </w:r>
    </w:p>
    <w:p w:rsidR="00D12755" w:rsidP="00D12755" w:rsidRDefault="00D12755" w14:paraId="0525C1EB" w14:textId="77777777">
      <w:pPr>
        <w:pStyle w:val="NormalSS"/>
      </w:pPr>
      <w:proofErr w:type="gramStart"/>
      <w:r w:rsidRPr="005F410C">
        <w:t xml:space="preserve">The </w:t>
      </w:r>
      <w:r>
        <w:t xml:space="preserve">data collected using the questions in this ICR will thus be the first effort to identify in depth how State workforce agencies and their local </w:t>
      </w:r>
      <w:proofErr w:type="spellStart"/>
      <w:r>
        <w:t>subgrantees</w:t>
      </w:r>
      <w:proofErr w:type="spellEnd"/>
      <w:r>
        <w:t xml:space="preserve"> used funds under a discretionary grant (</w:t>
      </w:r>
      <w:proofErr w:type="spellStart"/>
      <w:r>
        <w:t>ie</w:t>
      </w:r>
      <w:proofErr w:type="spellEnd"/>
      <w:r>
        <w:t xml:space="preserve">., </w:t>
      </w:r>
      <w:r w:rsidRPr="005F410C">
        <w:t xml:space="preserve">the NHE </w:t>
      </w:r>
      <w:r>
        <w:t xml:space="preserve">dislocated worker </w:t>
      </w:r>
      <w:r w:rsidRPr="005F410C">
        <w:t>demonstration grants</w:t>
      </w:r>
      <w:r>
        <w:t>)</w:t>
      </w:r>
      <w:r w:rsidRPr="005F410C">
        <w:t xml:space="preserve"> </w:t>
      </w:r>
      <w:r>
        <w:t>to provide services,  create partnerships as required under the grants,</w:t>
      </w:r>
      <w:r w:rsidRPr="005F410C">
        <w:t xml:space="preserve"> </w:t>
      </w:r>
      <w:r>
        <w:t xml:space="preserve">develop </w:t>
      </w:r>
      <w:r w:rsidRPr="005F410C">
        <w:t>new service models</w:t>
      </w:r>
      <w:r>
        <w:t>, and keep track of service levels and results</w:t>
      </w:r>
      <w:r w:rsidRPr="005F410C">
        <w:t>.</w:t>
      </w:r>
      <w:proofErr w:type="gramEnd"/>
      <w:r w:rsidRPr="005F410C">
        <w:t xml:space="preserve">  Although this implementation study will not examine the effectiveness of the various interventions, it will document </w:t>
      </w:r>
      <w:r>
        <w:t xml:space="preserve">types of </w:t>
      </w:r>
      <w:r w:rsidRPr="005F410C">
        <w:t xml:space="preserve">service provision and partnership development, as well as challenges and lessons learned from these experiences. </w:t>
      </w:r>
    </w:p>
    <w:p w:rsidR="00D70DEE" w:rsidP="00D70DEE" w:rsidRDefault="00D70DEE" w14:paraId="7474A05F" w14:textId="77777777">
      <w:pPr>
        <w:pStyle w:val="NormalSS"/>
        <w:ind w:firstLine="0"/>
      </w:pPr>
      <w:r w:rsidRPr="0031638A">
        <w:rPr>
          <w:b/>
        </w:rPr>
        <w:t>Citation of sections of laws that justify this information collection:</w:t>
      </w:r>
      <w:r>
        <w:t xml:space="preserve"> The NHE grant program and subsequent evaluation are authorized by Title 29 of the American Competitiveness and Workforce Improvement Act, which states that “the Secretary of Labor shall . . . award grants to eligible entities to provide job training and related activities for workers to assist them in obtaining or upgrading employment in industries and economic sectors . . . projected to experience significant growth and ensure that job training and related activities funded by such grants are coordinated with the public workforce investment system (29 USC 3224(a)).” </w:t>
      </w:r>
    </w:p>
    <w:p w:rsidR="00F6774C" w:rsidP="00F6774C" w:rsidRDefault="00F6774C" w14:paraId="393949E8" w14:textId="77777777">
      <w:pPr>
        <w:pStyle w:val="NormalSS"/>
        <w:ind w:firstLine="0"/>
      </w:pPr>
      <w:r>
        <w:tab/>
      </w:r>
      <w:r w:rsidR="00D70DEE">
        <w:t>T</w:t>
      </w:r>
      <w:r w:rsidRPr="002F31D9" w:rsidR="00D70DEE">
        <w:t>his pac</w:t>
      </w:r>
      <w:r w:rsidR="00D70DEE">
        <w:t>kage requests clearance for four</w:t>
      </w:r>
      <w:r w:rsidRPr="002F31D9" w:rsidR="00D70DEE">
        <w:t xml:space="preserve"> additional data collection activities </w:t>
      </w:r>
      <w:r w:rsidR="00D70DEE">
        <w:t xml:space="preserve">which need to start in August 2020 </w:t>
      </w:r>
      <w:r w:rsidRPr="002F31D9" w:rsidR="00D70DEE">
        <w:t>as part o</w:t>
      </w:r>
      <w:r w:rsidR="00D70DEE">
        <w:t>f the implementation evaluation.</w:t>
      </w:r>
      <w:r w:rsidRPr="00924CD3" w:rsidR="00D70DEE">
        <w:t xml:space="preserve"> </w:t>
      </w:r>
      <w:r w:rsidR="00D70DEE">
        <w:t xml:space="preserve">Given that the NHE grants </w:t>
      </w:r>
      <w:r w:rsidR="007927B3">
        <w:t xml:space="preserve">involve opioid use disorder and employment which is a </w:t>
      </w:r>
      <w:r w:rsidR="00D70DEE">
        <w:t xml:space="preserve">priority for </w:t>
      </w:r>
      <w:r w:rsidR="007927B3">
        <w:t>DOL</w:t>
      </w:r>
      <w:r w:rsidR="00D70DEE">
        <w:t>, a timely start to the information collection is critical for providing DOL near real-time information about how the grants were implemented as well as if and how they were adapted during the COVID-19 pandemic</w:t>
      </w:r>
      <w:r w:rsidR="007927B3">
        <w:t>.</w:t>
      </w:r>
      <w:r>
        <w:t xml:space="preserve"> </w:t>
      </w:r>
    </w:p>
    <w:p w:rsidR="008E1F00" w:rsidP="008E1F00" w:rsidRDefault="008E1F00" w14:paraId="65D52A9C" w14:textId="77777777">
      <w:pPr>
        <w:pStyle w:val="H3Alpha"/>
      </w:pPr>
      <w:bookmarkStart w:name="_Toc496104734" w:id="3"/>
      <w:r>
        <w:lastRenderedPageBreak/>
        <w:t>2.</w:t>
      </w:r>
      <w:r w:rsidRPr="00B42785" w:rsidR="00B42785">
        <w:rPr>
          <w:rFonts w:ascii="Times New Roman" w:hAnsi="Times New Roman"/>
          <w:i/>
        </w:rPr>
        <w:t xml:space="preserve"> </w:t>
      </w:r>
      <w:r w:rsidRPr="00C51490" w:rsidR="00B42785">
        <w:rPr>
          <w:rFonts w:ascii="Times New Roman" w:hAnsi="Times New Roman"/>
          <w:i/>
        </w:rPr>
        <w:t>Indicate how, by whom, and for what purpose the information is to be used.  Except for a new collection, indicate the actual use the agency has made of the information received from the current collection.</w:t>
      </w:r>
      <w:r>
        <w:t xml:space="preserve"> </w:t>
      </w:r>
      <w:bookmarkEnd w:id="3"/>
    </w:p>
    <w:p w:rsidR="00B24C5A" w:rsidP="00BA476C" w:rsidRDefault="008E1F00" w14:paraId="3DD0A100" w14:textId="48416FB8">
      <w:pPr>
        <w:pStyle w:val="NormalSS"/>
      </w:pPr>
      <w:r>
        <w:t xml:space="preserve">The data collected through the activities summarized in this request will be used by DOL to comprehensively describe implementation of the </w:t>
      </w:r>
      <w:r w:rsidR="00D8589F">
        <w:t xml:space="preserve">NHE </w:t>
      </w:r>
      <w:r>
        <w:t xml:space="preserve">grant program, including </w:t>
      </w:r>
      <w:r w:rsidR="00D8589F">
        <w:t xml:space="preserve">grantees’ </w:t>
      </w:r>
      <w:r>
        <w:t>partnerships, training and support services provided, target population, and common implementation successes and challenges. These data will provide DOL and other policymakers with important information to guide management decisions</w:t>
      </w:r>
      <w:r w:rsidR="000E5529">
        <w:t>, support</w:t>
      </w:r>
      <w:r>
        <w:t xml:space="preserve"> future planning efforts regarding such grant programs</w:t>
      </w:r>
      <w:r w:rsidR="000E5529">
        <w:t>, and share</w:t>
      </w:r>
      <w:r w:rsidR="0094263E">
        <w:t xml:space="preserve"> information on the implementation</w:t>
      </w:r>
      <w:r w:rsidR="000E5529">
        <w:t xml:space="preserve"> </w:t>
      </w:r>
      <w:r w:rsidR="0036189F">
        <w:t xml:space="preserve">of </w:t>
      </w:r>
      <w:r w:rsidR="00BA476C">
        <w:t xml:space="preserve">various </w:t>
      </w:r>
      <w:r w:rsidR="003B147F">
        <w:t xml:space="preserve">approaches </w:t>
      </w:r>
      <w:r w:rsidR="00BA476C">
        <w:t>to delivering workforce services to individuals and communities affected by opioid addiction</w:t>
      </w:r>
      <w:r w:rsidR="0062096B">
        <w:t>.</w:t>
      </w:r>
    </w:p>
    <w:p w:rsidR="00B24C5A" w:rsidP="00B24C5A" w:rsidRDefault="002A75EB" w14:paraId="07BD6049" w14:textId="77777777">
      <w:pPr>
        <w:pStyle w:val="H4Number"/>
      </w:pPr>
      <w:r>
        <w:t>1</w:t>
      </w:r>
      <w:r w:rsidR="00B24C5A">
        <w:t>.</w:t>
      </w:r>
      <w:r w:rsidR="00B24C5A">
        <w:tab/>
        <w:t>Overview of the evaluation</w:t>
      </w:r>
    </w:p>
    <w:p w:rsidR="00B24C5A" w:rsidP="00976EC6" w:rsidRDefault="00B24C5A" w14:paraId="0723777C" w14:textId="77777777">
      <w:pPr>
        <w:pStyle w:val="NormalSS"/>
      </w:pPr>
      <w:r>
        <w:t xml:space="preserve">The evaluation of </w:t>
      </w:r>
      <w:r w:rsidR="002B6DE0">
        <w:t xml:space="preserve">the NHE grants </w:t>
      </w:r>
      <w:r>
        <w:t xml:space="preserve">will take place over </w:t>
      </w:r>
      <w:r w:rsidR="002B6DE0">
        <w:t>three</w:t>
      </w:r>
      <w:r>
        <w:t xml:space="preserve"> years (201</w:t>
      </w:r>
      <w:r w:rsidR="002B6DE0">
        <w:t>8 to 2021</w:t>
      </w:r>
      <w:r>
        <w:t>)</w:t>
      </w:r>
      <w:r w:rsidR="006F4AC9">
        <w:t xml:space="preserve"> and</w:t>
      </w:r>
      <w:r>
        <w:t xml:space="preserve"> will address the following research questions:</w:t>
      </w:r>
    </w:p>
    <w:p w:rsidR="00B24C5A" w:rsidP="00B24C5A" w:rsidRDefault="00C62753" w14:paraId="76AB94E7" w14:textId="77777777">
      <w:pPr>
        <w:pStyle w:val="NumberedBullet"/>
        <w:numPr>
          <w:ilvl w:val="0"/>
          <w:numId w:val="34"/>
        </w:numPr>
        <w:ind w:left="432" w:hanging="432"/>
      </w:pPr>
      <w:r>
        <w:rPr>
          <w:rFonts w:eastAsiaTheme="minorEastAsia"/>
          <w:szCs w:val="24"/>
        </w:rPr>
        <w:t xml:space="preserve">How </w:t>
      </w:r>
      <w:proofErr w:type="gramStart"/>
      <w:r>
        <w:rPr>
          <w:rFonts w:eastAsiaTheme="minorEastAsia"/>
          <w:szCs w:val="24"/>
        </w:rPr>
        <w:t>were the grants implemented and what</w:t>
      </w:r>
      <w:proofErr w:type="gramEnd"/>
      <w:r>
        <w:rPr>
          <w:rFonts w:eastAsiaTheme="minorEastAsia"/>
          <w:szCs w:val="24"/>
        </w:rPr>
        <w:t xml:space="preserve"> </w:t>
      </w:r>
      <w:r w:rsidR="0059081C">
        <w:rPr>
          <w:rFonts w:eastAsiaTheme="minorEastAsia"/>
          <w:szCs w:val="24"/>
        </w:rPr>
        <w:t xml:space="preserve">perceived </w:t>
      </w:r>
      <w:r>
        <w:rPr>
          <w:rFonts w:eastAsiaTheme="minorEastAsia"/>
          <w:szCs w:val="24"/>
        </w:rPr>
        <w:t xml:space="preserve">factors influenced implementation and </w:t>
      </w:r>
      <w:r w:rsidR="00B52A26">
        <w:rPr>
          <w:rFonts w:eastAsiaTheme="minorEastAsia"/>
          <w:szCs w:val="24"/>
        </w:rPr>
        <w:t>participant outcomes</w:t>
      </w:r>
      <w:r>
        <w:rPr>
          <w:rFonts w:eastAsiaTheme="minorEastAsia"/>
          <w:szCs w:val="24"/>
        </w:rPr>
        <w:t>?</w:t>
      </w:r>
    </w:p>
    <w:p w:rsidRPr="00040B64" w:rsidR="0094263E" w:rsidP="0094263E" w:rsidRDefault="00C62753" w14:paraId="5821DF73" w14:textId="394A3AFA">
      <w:pPr>
        <w:pStyle w:val="NumberedBullet"/>
        <w:numPr>
          <w:ilvl w:val="0"/>
          <w:numId w:val="34"/>
        </w:numPr>
        <w:ind w:left="432" w:hanging="432"/>
      </w:pPr>
      <w:r>
        <w:rPr>
          <w:rFonts w:eastAsiaTheme="minorEastAsia"/>
          <w:szCs w:val="24"/>
        </w:rPr>
        <w:t>Who were the major partners involved and what services did they provide?</w:t>
      </w:r>
    </w:p>
    <w:p w:rsidRPr="00040B64" w:rsidR="0094263E" w:rsidP="0094263E" w:rsidRDefault="0094263E" w14:paraId="6FC5577E" w14:textId="495F8B3C">
      <w:pPr>
        <w:pStyle w:val="NumberedBullet"/>
        <w:numPr>
          <w:ilvl w:val="0"/>
          <w:numId w:val="34"/>
        </w:numPr>
        <w:ind w:left="432" w:hanging="432"/>
      </w:pPr>
      <w:r>
        <w:rPr>
          <w:rFonts w:eastAsiaTheme="minorEastAsia"/>
          <w:szCs w:val="24"/>
        </w:rPr>
        <w:t xml:space="preserve">What theory of change and evidence on intervention, recovery, and/or program services, if any, did grantees use to inform program services? </w:t>
      </w:r>
    </w:p>
    <w:p w:rsidRPr="00C62753" w:rsidR="00C62753" w:rsidP="00C62753" w:rsidRDefault="00C62753" w14:paraId="52E7EC00" w14:textId="77777777">
      <w:pPr>
        <w:pStyle w:val="NumberedBullet"/>
        <w:numPr>
          <w:ilvl w:val="0"/>
          <w:numId w:val="34"/>
        </w:numPr>
        <w:ind w:left="432" w:hanging="432"/>
      </w:pPr>
      <w:r w:rsidRPr="00C62753">
        <w:rPr>
          <w:rFonts w:eastAsiaTheme="minorEastAsia"/>
          <w:szCs w:val="24"/>
        </w:rPr>
        <w:t xml:space="preserve">What </w:t>
      </w:r>
      <w:r w:rsidR="00AF6DE3">
        <w:rPr>
          <w:rFonts w:eastAsiaTheme="minorEastAsia"/>
          <w:szCs w:val="24"/>
        </w:rPr>
        <w:t xml:space="preserve">perceived </w:t>
      </w:r>
      <w:r w:rsidRPr="00C62753">
        <w:rPr>
          <w:rFonts w:eastAsiaTheme="minorEastAsia"/>
          <w:szCs w:val="24"/>
        </w:rPr>
        <w:t>challenges did grantees encounter in implementation and how were those addressed?</w:t>
      </w:r>
    </w:p>
    <w:p w:rsidRPr="00B52A26" w:rsidR="00341EEF" w:rsidP="00B52A26" w:rsidRDefault="008E6C8B" w14:paraId="26559A7D" w14:textId="77777777">
      <w:pPr>
        <w:pStyle w:val="NormalSS"/>
        <w:rPr>
          <w:rFonts w:eastAsiaTheme="minorEastAsia"/>
          <w:szCs w:val="24"/>
        </w:rPr>
      </w:pPr>
      <w:r>
        <w:t>To answer these research questions, the implementation evaluation</w:t>
      </w:r>
      <w:r w:rsidR="00F746C3">
        <w:t xml:space="preserve"> includes</w:t>
      </w:r>
      <w:r w:rsidR="002B0C44">
        <w:t xml:space="preserve"> a</w:t>
      </w:r>
      <w:r w:rsidR="00B24C5A">
        <w:t xml:space="preserve"> review of grant documents</w:t>
      </w:r>
      <w:r w:rsidR="002B0C44">
        <w:t xml:space="preserve"> from all</w:t>
      </w:r>
      <w:r w:rsidR="00BB732F">
        <w:t xml:space="preserve"> six</w:t>
      </w:r>
      <w:r w:rsidR="002B0C44">
        <w:t xml:space="preserve"> grantees</w:t>
      </w:r>
      <w:r w:rsidR="005E5C36">
        <w:t>,</w:t>
      </w:r>
      <w:r w:rsidR="00F746C3">
        <w:t xml:space="preserve"> </w:t>
      </w:r>
      <w:r w:rsidR="002340AB">
        <w:t xml:space="preserve">interviews with </w:t>
      </w:r>
      <w:r w:rsidR="00E020F4">
        <w:t xml:space="preserve">state and local </w:t>
      </w:r>
      <w:r w:rsidRPr="00F746C3" w:rsidR="00F746C3">
        <w:t xml:space="preserve">program </w:t>
      </w:r>
      <w:r w:rsidR="00BB732F">
        <w:t>administrators and staff</w:t>
      </w:r>
      <w:r w:rsidR="005E5C36">
        <w:t>, and</w:t>
      </w:r>
      <w:r w:rsidR="002340AB">
        <w:t xml:space="preserve"> </w:t>
      </w:r>
      <w:r w:rsidR="00357209">
        <w:t>partic</w:t>
      </w:r>
      <w:r w:rsidR="0096578D">
        <w:t>i</w:t>
      </w:r>
      <w:r w:rsidR="00357209">
        <w:t>pant</w:t>
      </w:r>
      <w:r w:rsidRPr="00F746C3" w:rsidR="00F746C3">
        <w:t xml:space="preserve"> </w:t>
      </w:r>
      <w:r w:rsidR="00707ED3">
        <w:t xml:space="preserve">focus groups </w:t>
      </w:r>
      <w:r w:rsidR="002E1A05">
        <w:t xml:space="preserve">during </w:t>
      </w:r>
      <w:r w:rsidR="00BB732F">
        <w:t>site visits to all six grantees</w:t>
      </w:r>
      <w:r w:rsidR="005E5C36">
        <w:t>.</w:t>
      </w:r>
      <w:r w:rsidR="00FE2CE8">
        <w:t xml:space="preserve"> </w:t>
      </w:r>
      <w:r w:rsidR="00A93EB7">
        <w:t xml:space="preserve">During multiday </w:t>
      </w:r>
      <w:r w:rsidR="00FE2CE8">
        <w:t>visits</w:t>
      </w:r>
      <w:r w:rsidR="00A93EB7">
        <w:t>, the site visit team</w:t>
      </w:r>
      <w:r w:rsidR="00FE2CE8">
        <w:t xml:space="preserve"> will </w:t>
      </w:r>
      <w:r w:rsidRPr="00FE2CE8" w:rsidR="00FE2CE8">
        <w:t xml:space="preserve">collect information about grantee’s state and community context, strategies and approach to service delivery, target populations and recruiting, the nature of partners’ involvement in grant activities, </w:t>
      </w:r>
      <w:r w:rsidR="00AF6DE3">
        <w:t>perceived</w:t>
      </w:r>
      <w:r w:rsidR="0069754D">
        <w:t xml:space="preserve"> </w:t>
      </w:r>
      <w:r w:rsidRPr="00FE2CE8" w:rsidR="00FE2CE8">
        <w:t>successes and challenges, and other topics.</w:t>
      </w:r>
      <w:r w:rsidR="00FE2CE8">
        <w:t xml:space="preserve"> </w:t>
      </w:r>
    </w:p>
    <w:p w:rsidR="00B24C5A" w:rsidP="00B24C5A" w:rsidRDefault="002A75EB" w14:paraId="3D1462C2" w14:textId="77777777">
      <w:pPr>
        <w:pStyle w:val="H4Number"/>
      </w:pPr>
      <w:r>
        <w:t>2</w:t>
      </w:r>
      <w:r w:rsidR="00B24C5A">
        <w:t>.</w:t>
      </w:r>
      <w:r w:rsidR="00B24C5A">
        <w:tab/>
        <w:t>Overview of the data collection</w:t>
      </w:r>
    </w:p>
    <w:p w:rsidRPr="00B52A26" w:rsidR="0062096B" w:rsidP="00B52A26" w:rsidRDefault="009634F0" w14:paraId="521D92E7" w14:textId="77777777">
      <w:pPr>
        <w:pStyle w:val="NormalSS"/>
        <w:rPr>
          <w:rFonts w:eastAsiaTheme="minorEastAsia"/>
        </w:rPr>
      </w:pPr>
      <w:r>
        <w:tab/>
      </w:r>
      <w:r w:rsidR="00B24C5A">
        <w:t xml:space="preserve">Understanding the implementation </w:t>
      </w:r>
      <w:r w:rsidR="00205838">
        <w:t>of the NHE grants</w:t>
      </w:r>
      <w:r w:rsidR="00B24C5A">
        <w:t xml:space="preserve"> requires data collection from multiple sources. The implementation evaluation data collection</w:t>
      </w:r>
      <w:r w:rsidR="006527B6">
        <w:t xml:space="preserve"> instruments included in</w:t>
      </w:r>
      <w:r w:rsidR="00B24C5A">
        <w:t xml:space="preserve"> th</w:t>
      </w:r>
      <w:r w:rsidR="00FB43C7">
        <w:t>is clearance request include</w:t>
      </w:r>
      <w:r w:rsidR="00397B93">
        <w:t xml:space="preserve"> the protocols </w:t>
      </w:r>
      <w:r w:rsidR="00393278">
        <w:t>that will be used to conduct</w:t>
      </w:r>
      <w:r w:rsidR="00FB43C7">
        <w:t xml:space="preserve"> in-person interviews</w:t>
      </w:r>
      <w:r w:rsidR="00FF3FDB">
        <w:t xml:space="preserve"> </w:t>
      </w:r>
      <w:r w:rsidR="00393278">
        <w:t xml:space="preserve">and focus groups </w:t>
      </w:r>
      <w:r w:rsidR="00C27EB8">
        <w:t xml:space="preserve">during site visits </w:t>
      </w:r>
      <w:r w:rsidR="00C55FF4">
        <w:t xml:space="preserve">to </w:t>
      </w:r>
      <w:r w:rsidR="00E95C9B">
        <w:t>all six grantees</w:t>
      </w:r>
      <w:r w:rsidR="00EF3159">
        <w:t>.</w:t>
      </w:r>
      <w:r w:rsidRPr="005145F6" w:rsidR="005145F6">
        <w:t xml:space="preserve"> </w:t>
      </w:r>
      <w:r w:rsidR="00616774">
        <w:t>These in-</w:t>
      </w:r>
      <w:r w:rsidR="001101A5">
        <w:t>person</w:t>
      </w:r>
      <w:r w:rsidR="00616774">
        <w:t xml:space="preserve"> interviews</w:t>
      </w:r>
      <w:r w:rsidR="001101A5">
        <w:t xml:space="preserve"> will be semi-structured and tailored to the circumstances of each grantee.</w:t>
      </w:r>
      <w:r w:rsidR="0054788F">
        <w:t xml:space="preserve"> Over the course of </w:t>
      </w:r>
      <w:r w:rsidR="00C55FF4">
        <w:t xml:space="preserve">a multiday </w:t>
      </w:r>
      <w:r w:rsidR="0054788F">
        <w:t xml:space="preserve">site visit, </w:t>
      </w:r>
      <w:r w:rsidR="0054788F">
        <w:rPr>
          <w:rFonts w:eastAsiaTheme="minorEastAsia"/>
        </w:rPr>
        <w:t xml:space="preserve">the site visit team will spend </w:t>
      </w:r>
      <w:r w:rsidR="00C55FF4">
        <w:rPr>
          <w:rFonts w:eastAsiaTheme="minorEastAsia"/>
        </w:rPr>
        <w:t>time</w:t>
      </w:r>
      <w:r w:rsidR="0054788F">
        <w:rPr>
          <w:rFonts w:eastAsiaTheme="minorEastAsia"/>
        </w:rPr>
        <w:t xml:space="preserve"> at the state level, interviewing the state grantee and state-level partners, and at </w:t>
      </w:r>
      <w:r w:rsidR="00CB1343">
        <w:rPr>
          <w:rFonts w:eastAsiaTheme="minorEastAsia"/>
        </w:rPr>
        <w:t xml:space="preserve">select </w:t>
      </w:r>
      <w:r w:rsidR="0054788F">
        <w:rPr>
          <w:rFonts w:eastAsiaTheme="minorEastAsia"/>
        </w:rPr>
        <w:t>local areas participating in the grant.</w:t>
      </w:r>
      <w:r w:rsidR="009F7FBD">
        <w:rPr>
          <w:rFonts w:eastAsiaTheme="minorEastAsia"/>
        </w:rPr>
        <w:t xml:space="preserve"> For grantees providing services in </w:t>
      </w:r>
      <w:r w:rsidR="00E67A20">
        <w:rPr>
          <w:rFonts w:eastAsiaTheme="minorEastAsia"/>
        </w:rPr>
        <w:t xml:space="preserve">many </w:t>
      </w:r>
      <w:r w:rsidR="009F7FBD">
        <w:rPr>
          <w:rFonts w:eastAsiaTheme="minorEastAsia"/>
        </w:rPr>
        <w:t xml:space="preserve">locations, we will work with the identified grantee liaison to identify local areas in which to conduct the field work. To the extent possible, we will work with the liaison to identify </w:t>
      </w:r>
      <w:r w:rsidR="00C26682">
        <w:rPr>
          <w:rFonts w:eastAsiaTheme="minorEastAsia"/>
        </w:rPr>
        <w:t>geographic diversity in the local areas visit</w:t>
      </w:r>
    </w:p>
    <w:p w:rsidR="00B24C5A" w:rsidP="00B52A26" w:rsidRDefault="005145F6" w14:paraId="53998D5F" w14:textId="77777777">
      <w:pPr>
        <w:pStyle w:val="NormalSS"/>
      </w:pPr>
      <w:r>
        <w:lastRenderedPageBreak/>
        <w:t>This package seeks clearance for</w:t>
      </w:r>
      <w:r w:rsidRPr="00B61EED">
        <w:t xml:space="preserve"> </w:t>
      </w:r>
      <w:r w:rsidR="00AF3F7F">
        <w:t xml:space="preserve">interview </w:t>
      </w:r>
      <w:r w:rsidR="00A60ABF">
        <w:t xml:space="preserve">protocols </w:t>
      </w:r>
      <w:r w:rsidR="005D69F6">
        <w:t xml:space="preserve">and information forms </w:t>
      </w:r>
      <w:r w:rsidR="00A60ABF">
        <w:t xml:space="preserve">for </w:t>
      </w:r>
      <w:r w:rsidR="00705C78">
        <w:t>two</w:t>
      </w:r>
      <w:r w:rsidR="00AF3F7F">
        <w:t xml:space="preserve"> types of respondents:</w:t>
      </w:r>
      <w:r>
        <w:t xml:space="preserve"> </w:t>
      </w:r>
      <w:r w:rsidR="00705C78">
        <w:t>state and local program administrators, staff, and partners;</w:t>
      </w:r>
      <w:r>
        <w:t xml:space="preserve"> and </w:t>
      </w:r>
      <w:r w:rsidR="006527B6">
        <w:t xml:space="preserve">small groups of current </w:t>
      </w:r>
      <w:r>
        <w:t>program participants.</w:t>
      </w:r>
      <w:r w:rsidR="00EF3159">
        <w:t xml:space="preserve"> </w:t>
      </w:r>
    </w:p>
    <w:p w:rsidRPr="00931AB6" w:rsidR="00B24C5A" w:rsidP="00B24C5A" w:rsidRDefault="00214FEE" w14:paraId="44D14D1A" w14:textId="77777777">
      <w:pPr>
        <w:pStyle w:val="NumberedBullet"/>
        <w:numPr>
          <w:ilvl w:val="0"/>
          <w:numId w:val="35"/>
        </w:numPr>
        <w:ind w:left="432" w:hanging="432"/>
      </w:pPr>
      <w:r>
        <w:rPr>
          <w:b/>
        </w:rPr>
        <w:t>State and local administrator, staff, and partner</w:t>
      </w:r>
      <w:r w:rsidRPr="00B67A6B" w:rsidR="00FF3FDB">
        <w:rPr>
          <w:b/>
        </w:rPr>
        <w:t xml:space="preserve"> </w:t>
      </w:r>
      <w:r w:rsidR="00AC1D7D">
        <w:rPr>
          <w:b/>
        </w:rPr>
        <w:t>interview protocol</w:t>
      </w:r>
      <w:r w:rsidRPr="00B67A6B" w:rsidR="00B24C5A">
        <w:rPr>
          <w:b/>
        </w:rPr>
        <w:t>.</w:t>
      </w:r>
      <w:r w:rsidRPr="00B67A6B" w:rsidR="00017E28">
        <w:rPr>
          <w:b/>
        </w:rPr>
        <w:t xml:space="preserve"> </w:t>
      </w:r>
      <w:r w:rsidR="00AC1D7D">
        <w:t>This protocol will be used to conduct i</w:t>
      </w:r>
      <w:r w:rsidRPr="00B67A6B" w:rsidR="00017E28">
        <w:t>n-</w:t>
      </w:r>
      <w:r w:rsidRPr="00B67A6B" w:rsidR="003B5912">
        <w:t xml:space="preserve">person </w:t>
      </w:r>
      <w:r w:rsidRPr="00B67A6B" w:rsidR="00017E28">
        <w:t xml:space="preserve">interviews </w:t>
      </w:r>
      <w:r w:rsidRPr="00B67A6B" w:rsidR="001101A5">
        <w:t>with</w:t>
      </w:r>
      <w:r w:rsidRPr="00B67A6B" w:rsidR="00C27EB8">
        <w:t xml:space="preserve"> </w:t>
      </w:r>
      <w:r w:rsidR="000E6979">
        <w:t xml:space="preserve">state administrators, state grant directors, state partners, local </w:t>
      </w:r>
      <w:proofErr w:type="spellStart"/>
      <w:r w:rsidR="000E6979">
        <w:t>subgrant</w:t>
      </w:r>
      <w:proofErr w:type="spellEnd"/>
      <w:r w:rsidR="000E6979">
        <w:t xml:space="preserve"> directors, frontline staff, employers, and local partners</w:t>
      </w:r>
      <w:r w:rsidRPr="00B67A6B" w:rsidR="00017E28">
        <w:t xml:space="preserve">. </w:t>
      </w:r>
      <w:r w:rsidRPr="00B67A6B" w:rsidR="005535C7">
        <w:t>Th</w:t>
      </w:r>
      <w:r w:rsidR="00CB1511">
        <w:t xml:space="preserve">is protocol </w:t>
      </w:r>
      <w:r w:rsidRPr="00B67A6B" w:rsidR="00F64AE8">
        <w:t xml:space="preserve">will cover </w:t>
      </w:r>
      <w:r w:rsidR="00161B0F">
        <w:t xml:space="preserve">the rationale behind grant plans and activities, the context of the state’s opioid crisis and other initiatives addressing it, and implementation progress, successes, and challenges. </w:t>
      </w:r>
      <w:r w:rsidR="00135B66">
        <w:t>I</w:t>
      </w:r>
      <w:r w:rsidRPr="00B67A6B" w:rsidR="003B5912">
        <w:t>n-person</w:t>
      </w:r>
      <w:r w:rsidRPr="00B67A6B" w:rsidR="001273A8">
        <w:t xml:space="preserve"> interview</w:t>
      </w:r>
      <w:r w:rsidR="00135B66">
        <w:t>s are</w:t>
      </w:r>
      <w:r w:rsidRPr="00B67A6B" w:rsidR="00B24C5A">
        <w:t xml:space="preserve"> expected to take </w:t>
      </w:r>
      <w:r w:rsidR="0027708E">
        <w:t>an average of</w:t>
      </w:r>
      <w:r w:rsidR="009515A7">
        <w:t xml:space="preserve"> 60</w:t>
      </w:r>
      <w:r w:rsidR="001F7901">
        <w:t xml:space="preserve"> </w:t>
      </w:r>
      <w:r w:rsidR="00AC0600">
        <w:t>minutes, depending on respondent type.</w:t>
      </w:r>
      <w:r w:rsidRPr="00931AB6" w:rsidR="003B5912">
        <w:t xml:space="preserve"> </w:t>
      </w:r>
    </w:p>
    <w:p w:rsidRPr="00B67A6B" w:rsidR="00213E2C" w:rsidP="00213E2C" w:rsidRDefault="008768E8" w14:paraId="2C87C540" w14:textId="77777777">
      <w:pPr>
        <w:pStyle w:val="NumberedBullet"/>
        <w:numPr>
          <w:ilvl w:val="0"/>
          <w:numId w:val="35"/>
        </w:numPr>
        <w:ind w:left="432" w:hanging="432"/>
      </w:pPr>
      <w:r>
        <w:rPr>
          <w:b/>
        </w:rPr>
        <w:t>Interview r</w:t>
      </w:r>
      <w:r w:rsidR="00213E2C">
        <w:rPr>
          <w:b/>
        </w:rPr>
        <w:t xml:space="preserve">espondent </w:t>
      </w:r>
      <w:r w:rsidR="00253292">
        <w:rPr>
          <w:b/>
        </w:rPr>
        <w:t>information form</w:t>
      </w:r>
      <w:r w:rsidR="00213E2C">
        <w:rPr>
          <w:b/>
        </w:rPr>
        <w:t xml:space="preserve">. </w:t>
      </w:r>
      <w:r w:rsidR="00213E2C">
        <w:t xml:space="preserve">This </w:t>
      </w:r>
      <w:r w:rsidR="00253292">
        <w:t>form</w:t>
      </w:r>
      <w:r w:rsidR="00213E2C">
        <w:t xml:space="preserve"> will </w:t>
      </w:r>
      <w:r w:rsidR="00A66080">
        <w:t xml:space="preserve">be </w:t>
      </w:r>
      <w:r w:rsidR="000412BD">
        <w:t xml:space="preserve">sent by email to administrators and staff who will be interviewed during in-person site visits. In cases where respondents do not complete the form in advance, it will </w:t>
      </w:r>
      <w:r w:rsidR="00213E2C">
        <w:t>be administrated before the start of each administrator and staff interview. The respondent will complete a short questionnaire that includes basic background information, such as their highest education level and experience</w:t>
      </w:r>
      <w:r w:rsidR="00B850CF">
        <w:t xml:space="preserve">. </w:t>
      </w:r>
      <w:r w:rsidR="00213E2C">
        <w:t xml:space="preserve">The </w:t>
      </w:r>
      <w:r w:rsidR="00253292">
        <w:t>form</w:t>
      </w:r>
      <w:r w:rsidR="00213E2C">
        <w:t xml:space="preserve"> is expected to take </w:t>
      </w:r>
      <w:r w:rsidR="001E5BA9">
        <w:t>five</w:t>
      </w:r>
      <w:r w:rsidR="00213E2C">
        <w:t xml:space="preserve"> minutes to complete.</w:t>
      </w:r>
    </w:p>
    <w:p w:rsidR="007C7440" w:rsidP="00D2427A" w:rsidRDefault="00AC1D7D" w14:paraId="6FA6E3D1" w14:textId="77777777">
      <w:pPr>
        <w:pStyle w:val="NumberedBullet"/>
        <w:numPr>
          <w:ilvl w:val="0"/>
          <w:numId w:val="35"/>
        </w:numPr>
        <w:ind w:left="432" w:hanging="432"/>
      </w:pPr>
      <w:r>
        <w:rPr>
          <w:b/>
        </w:rPr>
        <w:t xml:space="preserve">Participant </w:t>
      </w:r>
      <w:r w:rsidR="008F10BA">
        <w:rPr>
          <w:b/>
        </w:rPr>
        <w:t xml:space="preserve">focus group </w:t>
      </w:r>
      <w:r>
        <w:rPr>
          <w:b/>
        </w:rPr>
        <w:t>protocol</w:t>
      </w:r>
      <w:r w:rsidRPr="00B67A6B" w:rsidR="00FB43C7">
        <w:rPr>
          <w:b/>
        </w:rPr>
        <w:t>.</w:t>
      </w:r>
      <w:r>
        <w:rPr>
          <w:b/>
        </w:rPr>
        <w:t xml:space="preserve"> </w:t>
      </w:r>
      <w:r w:rsidRPr="00AC1D7D">
        <w:t>This protocol will be used to conduct</w:t>
      </w:r>
      <w:r>
        <w:rPr>
          <w:b/>
        </w:rPr>
        <w:t xml:space="preserve"> </w:t>
      </w:r>
      <w:r w:rsidR="008F10BA">
        <w:t xml:space="preserve">focus groups </w:t>
      </w:r>
      <w:r w:rsidRPr="00B67A6B" w:rsidR="001273A8">
        <w:t xml:space="preserve">with </w:t>
      </w:r>
      <w:r w:rsidR="00B34959">
        <w:t>up to 10</w:t>
      </w:r>
      <w:r w:rsidRPr="00B67A6B" w:rsidR="001273A8">
        <w:t xml:space="preserve"> participants at each</w:t>
      </w:r>
      <w:r w:rsidRPr="00B67A6B" w:rsidR="00A7074C">
        <w:t xml:space="preserve"> visited</w:t>
      </w:r>
      <w:r w:rsidRPr="00B67A6B" w:rsidR="001273A8">
        <w:t xml:space="preserve"> site. </w:t>
      </w:r>
      <w:r w:rsidR="00CB1511">
        <w:t>This protocol</w:t>
      </w:r>
      <w:r w:rsidRPr="00B67A6B" w:rsidR="00FC6E7D">
        <w:t xml:space="preserve"> will gather</w:t>
      </w:r>
      <w:r w:rsidRPr="00B67A6B" w:rsidR="001273A8">
        <w:t xml:space="preserve"> data on their backgrounds, </w:t>
      </w:r>
      <w:r w:rsidR="00B34959">
        <w:t>employment experience</w:t>
      </w:r>
      <w:r w:rsidRPr="00B67A6B" w:rsidR="001273A8">
        <w:t xml:space="preserve">, </w:t>
      </w:r>
      <w:r w:rsidR="00B34959">
        <w:t>motivation for participation, and description and assessment of training received</w:t>
      </w:r>
      <w:r w:rsidRPr="00B67A6B" w:rsidR="001273A8">
        <w:t xml:space="preserve">. </w:t>
      </w:r>
      <w:r w:rsidRPr="00B67A6B" w:rsidR="000D0EAE">
        <w:t>Th</w:t>
      </w:r>
      <w:r w:rsidR="00B324C5">
        <w:t xml:space="preserve">ese groups </w:t>
      </w:r>
      <w:r w:rsidRPr="00B67A6B" w:rsidR="00A7074C">
        <w:t xml:space="preserve">will be conducted in </w:t>
      </w:r>
      <w:r w:rsidRPr="00B67A6B" w:rsidR="000D0EAE">
        <w:t xml:space="preserve">person and </w:t>
      </w:r>
      <w:r w:rsidR="00D943E8">
        <w:t>are</w:t>
      </w:r>
      <w:r w:rsidRPr="00B67A6B" w:rsidR="00D943E8">
        <w:t xml:space="preserve"> </w:t>
      </w:r>
      <w:r w:rsidRPr="00B67A6B" w:rsidR="000D0EAE">
        <w:t xml:space="preserve">expected to take approximately </w:t>
      </w:r>
      <w:r w:rsidRPr="00CD1A9E" w:rsidR="000A2C54">
        <w:t>60</w:t>
      </w:r>
      <w:r w:rsidRPr="00B67A6B" w:rsidR="008F10BA">
        <w:t xml:space="preserve"> </w:t>
      </w:r>
      <w:r w:rsidRPr="00B67A6B" w:rsidR="000D0EAE">
        <w:t>minutes to complete.</w:t>
      </w:r>
    </w:p>
    <w:p w:rsidR="001E5BA9" w:rsidP="00D2427A" w:rsidRDefault="001E5BA9" w14:paraId="707EB246" w14:textId="77777777">
      <w:pPr>
        <w:pStyle w:val="NumberedBullet"/>
        <w:numPr>
          <w:ilvl w:val="0"/>
          <w:numId w:val="35"/>
        </w:numPr>
        <w:ind w:left="432" w:hanging="432"/>
      </w:pPr>
      <w:r w:rsidRPr="007C7440">
        <w:rPr>
          <w:b/>
        </w:rPr>
        <w:t xml:space="preserve">Participant focus group information form. </w:t>
      </w:r>
      <w:r w:rsidRPr="00F318E2">
        <w:t xml:space="preserve">This form will be distributed to focus group participants for completion at the beginning of each focus group. </w:t>
      </w:r>
      <w:r w:rsidRPr="00DC5669">
        <w:t xml:space="preserve">The information form will collect details on </w:t>
      </w:r>
      <w:r w:rsidR="007C7440">
        <w:t>how participants</w:t>
      </w:r>
      <w:r w:rsidRPr="007C7440" w:rsidR="007C7440">
        <w:t xml:space="preserve"> were referred to the program, how long they have been involved, and th</w:t>
      </w:r>
      <w:r w:rsidR="007D78F6">
        <w:t>eir previous work experience</w:t>
      </w:r>
      <w:r w:rsidR="007C7440">
        <w:t xml:space="preserve">. </w:t>
      </w:r>
      <w:r w:rsidRPr="00994A4D">
        <w:t>The form is expected to take approximately five minutes to complete.</w:t>
      </w:r>
    </w:p>
    <w:p w:rsidR="008E1F00" w:rsidP="008E1F00" w:rsidRDefault="008E1F00" w14:paraId="478A1041" w14:textId="77777777">
      <w:pPr>
        <w:pStyle w:val="NormalSS"/>
      </w:pPr>
      <w:r w:rsidRPr="00B67A6B">
        <w:t xml:space="preserve">Proposed uses for each data collection activity are described in Table A.1. </w:t>
      </w:r>
    </w:p>
    <w:p w:rsidR="000D0779" w:rsidP="008E1F00" w:rsidRDefault="008E1F00" w14:paraId="169E6BF3" w14:textId="77777777">
      <w:pPr>
        <w:pStyle w:val="MarkforTableTitle"/>
      </w:pPr>
      <w:r>
        <w:t>Table A.1. How data will be used, by data collection activity</w:t>
      </w:r>
    </w:p>
    <w:tbl>
      <w:tblPr>
        <w:tblStyle w:val="MPRBaseTable"/>
        <w:tblW w:w="5000" w:type="pct"/>
        <w:tblLook w:val="04A0" w:firstRow="1" w:lastRow="0" w:firstColumn="1" w:lastColumn="0" w:noHBand="0" w:noVBand="1"/>
      </w:tblPr>
      <w:tblGrid>
        <w:gridCol w:w="2304"/>
        <w:gridCol w:w="7056"/>
      </w:tblGrid>
      <w:tr w:rsidRPr="005B281E" w:rsidR="008E1F00" w:rsidTr="003F44C3" w14:paraId="0296AD0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31" w:type="pct"/>
          </w:tcPr>
          <w:p w:rsidRPr="008E1F00" w:rsidR="008E1F00" w:rsidP="008E1F00" w:rsidRDefault="008E1F00" w14:paraId="56A0170D" w14:textId="77777777">
            <w:pPr>
              <w:pStyle w:val="TableHeaderLeft"/>
            </w:pPr>
            <w:r w:rsidRPr="008E1F00">
              <w:t>Data collection activity</w:t>
            </w:r>
          </w:p>
        </w:tc>
        <w:tc>
          <w:tcPr>
            <w:tcW w:w="3769" w:type="pct"/>
          </w:tcPr>
          <w:p w:rsidRPr="008E1F00" w:rsidR="008E1F00" w:rsidP="008E1F00" w:rsidRDefault="008E1F00" w14:paraId="56A13C64" w14:textId="77777777">
            <w:pPr>
              <w:pStyle w:val="TableHeaderCenter"/>
              <w:cnfStyle w:val="100000000000" w:firstRow="1" w:lastRow="0" w:firstColumn="0" w:lastColumn="0" w:oddVBand="0" w:evenVBand="0" w:oddHBand="0" w:evenHBand="0" w:firstRowFirstColumn="0" w:firstRowLastColumn="0" w:lastRowFirstColumn="0" w:lastRowLastColumn="0"/>
            </w:pPr>
            <w:r w:rsidRPr="008E1F00">
              <w:t>How the data will be used</w:t>
            </w:r>
          </w:p>
        </w:tc>
      </w:tr>
      <w:tr w:rsidRPr="005B281E" w:rsidR="008E1F00" w:rsidTr="003F44C3" w14:paraId="1D7A82D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1" w:type="pct"/>
          </w:tcPr>
          <w:p w:rsidRPr="00986786" w:rsidR="008E1F00" w:rsidP="003F44C3" w:rsidRDefault="003F44C3" w14:paraId="6978EA8A" w14:textId="77777777">
            <w:pPr>
              <w:pStyle w:val="TableText"/>
              <w:spacing w:before="60" w:after="60"/>
              <w:ind w:left="360" w:hanging="360"/>
              <w:contextualSpacing w:val="0"/>
            </w:pPr>
            <w:r w:rsidRPr="00986786">
              <w:t>1.</w:t>
            </w:r>
            <w:r w:rsidRPr="00986786">
              <w:tab/>
            </w:r>
            <w:r w:rsidRPr="00213E2C" w:rsidR="00213E2C">
              <w:t>State and local administrator, staff, and partner interview</w:t>
            </w:r>
          </w:p>
        </w:tc>
        <w:tc>
          <w:tcPr>
            <w:tcW w:w="3769" w:type="pct"/>
          </w:tcPr>
          <w:p w:rsidRPr="00986786" w:rsidR="008E1F00" w:rsidP="00D12755" w:rsidRDefault="00940DF0" w14:paraId="5ECA99C8" w14:textId="27323C9D">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pPr>
            <w:r>
              <w:t xml:space="preserve">Data from </w:t>
            </w:r>
            <w:r w:rsidR="002863D7">
              <w:t xml:space="preserve">in-person </w:t>
            </w:r>
            <w:r w:rsidRPr="00986786" w:rsidR="00986786">
              <w:t>interviews</w:t>
            </w:r>
            <w:r w:rsidRPr="00986786" w:rsidR="008E1F00">
              <w:t xml:space="preserve"> </w:t>
            </w:r>
            <w:r w:rsidR="002F3061">
              <w:t xml:space="preserve">with </w:t>
            </w:r>
            <w:r w:rsidR="00213E2C">
              <w:t>NHE state</w:t>
            </w:r>
            <w:r w:rsidR="002F3061">
              <w:t xml:space="preserve"> </w:t>
            </w:r>
            <w:r w:rsidR="00213E2C">
              <w:t xml:space="preserve">administrators and staff, local </w:t>
            </w:r>
            <w:proofErr w:type="spellStart"/>
            <w:r w:rsidR="00213E2C">
              <w:t>subgrant</w:t>
            </w:r>
            <w:proofErr w:type="spellEnd"/>
            <w:r w:rsidR="00213E2C">
              <w:t xml:space="preserve"> administrators and staff,</w:t>
            </w:r>
            <w:r w:rsidR="002F3061">
              <w:t xml:space="preserve"> and partner staff </w:t>
            </w:r>
            <w:r>
              <w:t xml:space="preserve">will be used </w:t>
            </w:r>
            <w:r w:rsidR="002F3061">
              <w:t xml:space="preserve">to describe </w:t>
            </w:r>
            <w:r w:rsidRPr="00213E2C" w:rsidR="00213E2C">
              <w:t>state and community context, strategies and approach to service delivery,</w:t>
            </w:r>
            <w:r w:rsidRPr="00213E2C" w:rsidR="00D12755">
              <w:t xml:space="preserve"> </w:t>
            </w:r>
            <w:r w:rsidR="00D12755">
              <w:t xml:space="preserve">theory of change and evidence base for intervention design, </w:t>
            </w:r>
            <w:r w:rsidR="00091D61">
              <w:t xml:space="preserve"> </w:t>
            </w:r>
            <w:r w:rsidRPr="00213E2C" w:rsidR="00213E2C">
              <w:t>target populations and recruiting, the nature of partners’ involvement in grant activities, successes and challenges, and other topics.</w:t>
            </w:r>
          </w:p>
        </w:tc>
      </w:tr>
      <w:tr w:rsidRPr="005B281E" w:rsidR="008E1F00" w:rsidTr="003F44C3" w14:paraId="7FE7D33D"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1" w:type="pct"/>
          </w:tcPr>
          <w:p w:rsidRPr="002F3061" w:rsidR="008E1F00" w:rsidP="008768E8" w:rsidRDefault="003F44C3" w14:paraId="7FFA759A" w14:textId="77777777">
            <w:pPr>
              <w:pStyle w:val="TableText"/>
              <w:spacing w:before="60" w:after="60"/>
              <w:ind w:left="360" w:hanging="360"/>
              <w:contextualSpacing w:val="0"/>
            </w:pPr>
            <w:r w:rsidRPr="002F3061">
              <w:t>2.</w:t>
            </w:r>
            <w:r w:rsidRPr="002F3061">
              <w:tab/>
            </w:r>
            <w:r w:rsidR="008768E8">
              <w:t>Interview r</w:t>
            </w:r>
            <w:r w:rsidR="00213E2C">
              <w:t xml:space="preserve">espondent </w:t>
            </w:r>
            <w:r w:rsidR="004F2430">
              <w:t>information forms</w:t>
            </w:r>
          </w:p>
        </w:tc>
        <w:tc>
          <w:tcPr>
            <w:tcW w:w="3769" w:type="pct"/>
          </w:tcPr>
          <w:p w:rsidRPr="002F3061" w:rsidR="008E1F00" w:rsidP="00940DF0" w:rsidRDefault="00940DF0" w14:paraId="467E8CAE" w14:textId="77777777">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pPr>
            <w:r>
              <w:t>Data will be used to summarize</w:t>
            </w:r>
            <w:r w:rsidR="00213E2C">
              <w:t xml:space="preserve"> basic background information about respondents</w:t>
            </w:r>
            <w:r w:rsidRPr="009D4DCA" w:rsidR="009D4DCA">
              <w:t>.</w:t>
            </w:r>
          </w:p>
        </w:tc>
      </w:tr>
      <w:tr w:rsidRPr="005B281E" w:rsidR="00986786" w:rsidTr="003F44C3" w14:paraId="7D0DAC3E"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1" w:type="pct"/>
          </w:tcPr>
          <w:p w:rsidRPr="002863D7" w:rsidR="00986786" w:rsidRDefault="00986786" w14:paraId="7B9FB7CE" w14:textId="77777777">
            <w:pPr>
              <w:pStyle w:val="TableText"/>
              <w:spacing w:before="60" w:after="60"/>
              <w:ind w:left="360" w:hanging="360"/>
            </w:pPr>
            <w:r w:rsidRPr="002863D7">
              <w:t>3.</w:t>
            </w:r>
            <w:r w:rsidRPr="002863D7">
              <w:tab/>
              <w:t xml:space="preserve">Participant </w:t>
            </w:r>
            <w:r w:rsidR="00707ED3">
              <w:t>focus groups</w:t>
            </w:r>
          </w:p>
        </w:tc>
        <w:tc>
          <w:tcPr>
            <w:tcW w:w="3769" w:type="pct"/>
          </w:tcPr>
          <w:p w:rsidRPr="002863D7" w:rsidR="00986786" w:rsidP="00940DF0" w:rsidRDefault="00940DF0" w14:paraId="395B425D" w14:textId="77777777">
            <w:pPr>
              <w:pStyle w:val="TableText"/>
              <w:spacing w:before="60" w:after="60"/>
              <w:cnfStyle w:val="000000100000" w:firstRow="0" w:lastRow="0" w:firstColumn="0" w:lastColumn="0" w:oddVBand="0" w:evenVBand="0" w:oddHBand="1" w:evenHBand="0" w:firstRowFirstColumn="0" w:firstRowLastColumn="0" w:lastRowFirstColumn="0" w:lastRowLastColumn="0"/>
            </w:pPr>
            <w:r>
              <w:t xml:space="preserve">Data will be used to </w:t>
            </w:r>
            <w:r w:rsidRPr="002863D7" w:rsidR="00986786">
              <w:t xml:space="preserve">describe </w:t>
            </w:r>
            <w:r w:rsidRPr="002863D7" w:rsidR="00896C83">
              <w:t xml:space="preserve">participant </w:t>
            </w:r>
            <w:r w:rsidR="001E0523">
              <w:t xml:space="preserve">backgrounds, </w:t>
            </w:r>
            <w:r>
              <w:t xml:space="preserve">program experiences, </w:t>
            </w:r>
            <w:r w:rsidR="001E0523">
              <w:t>and expectations.</w:t>
            </w:r>
          </w:p>
        </w:tc>
      </w:tr>
      <w:tr w:rsidRPr="005B281E" w:rsidR="00D2427A" w:rsidTr="003F44C3" w14:paraId="402B0E34"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1" w:type="pct"/>
          </w:tcPr>
          <w:p w:rsidRPr="002863D7" w:rsidR="00D2427A" w:rsidRDefault="00D2427A" w14:paraId="1095CB26" w14:textId="77777777">
            <w:pPr>
              <w:pStyle w:val="TableText"/>
              <w:spacing w:before="60" w:after="60"/>
              <w:ind w:left="360" w:hanging="360"/>
            </w:pPr>
            <w:r>
              <w:t>4</w:t>
            </w:r>
            <w:r w:rsidRPr="002863D7">
              <w:t>.</w:t>
            </w:r>
            <w:r w:rsidRPr="002863D7">
              <w:tab/>
              <w:t xml:space="preserve">Participant </w:t>
            </w:r>
            <w:r>
              <w:t>focus group information form</w:t>
            </w:r>
          </w:p>
        </w:tc>
        <w:tc>
          <w:tcPr>
            <w:tcW w:w="3769" w:type="pct"/>
          </w:tcPr>
          <w:p w:rsidRPr="002863D7" w:rsidR="00D2427A" w:rsidP="001E0523" w:rsidRDefault="00940DF0" w14:paraId="5D9F37C3" w14:textId="77777777">
            <w:pPr>
              <w:pStyle w:val="TableText"/>
              <w:spacing w:before="60" w:after="60"/>
              <w:cnfStyle w:val="000000010000" w:firstRow="0" w:lastRow="0" w:firstColumn="0" w:lastColumn="0" w:oddVBand="0" w:evenVBand="0" w:oddHBand="0" w:evenHBand="1" w:firstRowFirstColumn="0" w:firstRowLastColumn="0" w:lastRowFirstColumn="0" w:lastRowLastColumn="0"/>
            </w:pPr>
            <w:r>
              <w:t>Data will be used to summarize</w:t>
            </w:r>
            <w:r w:rsidRPr="002863D7" w:rsidR="00D2427A">
              <w:t xml:space="preserve"> </w:t>
            </w:r>
            <w:r w:rsidR="00D2427A">
              <w:t xml:space="preserve">characteristics of the </w:t>
            </w:r>
            <w:r w:rsidR="00AF6DE3">
              <w:t>individuals</w:t>
            </w:r>
            <w:r w:rsidR="00D2427A">
              <w:t xml:space="preserve"> participating in the focus groups.</w:t>
            </w:r>
          </w:p>
        </w:tc>
      </w:tr>
    </w:tbl>
    <w:p w:rsidR="00C046EB" w:rsidP="00C046EB" w:rsidRDefault="00C046EB" w14:paraId="4ECCBCFA" w14:textId="77777777">
      <w:pPr>
        <w:pStyle w:val="NormalSS"/>
      </w:pPr>
      <w:bookmarkStart w:name="_Toc496104735" w:id="4"/>
    </w:p>
    <w:p w:rsidR="003F44C3" w:rsidP="003F44C3" w:rsidRDefault="003F44C3" w14:paraId="1F7AA5BA" w14:textId="77777777">
      <w:pPr>
        <w:pStyle w:val="H3Alpha"/>
      </w:pPr>
      <w:r>
        <w:lastRenderedPageBreak/>
        <w:t>3.</w:t>
      </w:r>
      <w:r w:rsidR="00A60971">
        <w:t xml:space="preserve"> </w:t>
      </w:r>
      <w:r w:rsidRPr="00946B48" w:rsidR="00A60971">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sidR="00A60971">
        <w:rPr>
          <w:rFonts w:ascii="Times New Roman" w:hAnsi="Times New Roman"/>
          <w:i/>
        </w:rPr>
        <w:t xml:space="preserve">ting this means of collection. </w:t>
      </w:r>
      <w:r w:rsidRPr="00946B48" w:rsidR="00A60971">
        <w:rPr>
          <w:rFonts w:ascii="Times New Roman" w:hAnsi="Times New Roman"/>
          <w:i/>
        </w:rPr>
        <w:t>Also describe any consideration of using information technology to reduce burden.</w:t>
      </w:r>
      <w:r>
        <w:t xml:space="preserve"> </w:t>
      </w:r>
      <w:bookmarkEnd w:id="4"/>
    </w:p>
    <w:p w:rsidRPr="00B61EED" w:rsidR="002863D7" w:rsidP="002863D7" w:rsidRDefault="00583CD1" w14:paraId="3F34A16B" w14:textId="77777777">
      <w:pPr>
        <w:pStyle w:val="NormalSS"/>
      </w:pPr>
      <w:bookmarkStart w:name="_Toc496104736" w:id="5"/>
      <w:r>
        <w:t xml:space="preserve">The evaluation team will primarily use email to help facilitate the logistics and scheduling of the site visits and interviews to reduce the burden on participants. </w:t>
      </w:r>
      <w:r w:rsidR="002863D7">
        <w:t>Site visitors for the</w:t>
      </w:r>
      <w:r w:rsidR="00785B52">
        <w:t xml:space="preserve"> evaluation of</w:t>
      </w:r>
      <w:r w:rsidR="002863D7">
        <w:t xml:space="preserve"> </w:t>
      </w:r>
      <w:r w:rsidR="000020B1">
        <w:t>the NHE grants</w:t>
      </w:r>
      <w:r w:rsidR="002863D7">
        <w:t xml:space="preserve"> will use electronic audio recorders to record the semi-structured interviews. This will allow the visitors to conduct interviews in the shortest amount of time possible, as they will not be required to use interview time to take notes on the content of the conversation. There will be no other information technology used by site visitors. </w:t>
      </w:r>
    </w:p>
    <w:p w:rsidR="00A60971" w:rsidP="00A60971" w:rsidRDefault="003F44C3" w14:paraId="61215F55" w14:textId="77777777">
      <w:pPr>
        <w:pStyle w:val="H3Alpha"/>
        <w:ind w:left="0" w:firstLine="0"/>
      </w:pPr>
      <w:r>
        <w:t xml:space="preserve">4. </w:t>
      </w:r>
      <w:r w:rsidRPr="00946B48" w:rsidR="00A60971">
        <w:rPr>
          <w:rFonts w:ascii="Times New Roman" w:hAnsi="Times New Roman"/>
          <w:i/>
        </w:rPr>
        <w:t>Describe efforts to identify duplication. Show specifically why any similar information already available cannot be used or modified for use for the purposes described in Item 2 above.</w:t>
      </w:r>
    </w:p>
    <w:bookmarkEnd w:id="5"/>
    <w:p w:rsidR="003F44C3" w:rsidP="003F44C3" w:rsidRDefault="003F44C3" w14:paraId="58533B6F" w14:textId="77777777">
      <w:pPr>
        <w:pStyle w:val="NormalSS"/>
      </w:pPr>
      <w:r>
        <w:t>The evaluation</w:t>
      </w:r>
      <w:r w:rsidR="00785B52">
        <w:t xml:space="preserve"> of </w:t>
      </w:r>
      <w:r w:rsidR="000020B1">
        <w:t>the NHE grants</w:t>
      </w:r>
      <w:r>
        <w:t xml:space="preserve"> will not require collection of information that is available through alternate sources. For example, </w:t>
      </w:r>
      <w:r w:rsidR="00BC5EAE">
        <w:t xml:space="preserve">the </w:t>
      </w:r>
      <w:r w:rsidR="00AF7247">
        <w:t>evaluation</w:t>
      </w:r>
      <w:r w:rsidR="00BC5EAE">
        <w:t xml:space="preserve"> </w:t>
      </w:r>
      <w:r>
        <w:t xml:space="preserve">will use available information from grantee applications to ensure that </w:t>
      </w:r>
      <w:r w:rsidR="00BC5EAE">
        <w:t xml:space="preserve">data collected </w:t>
      </w:r>
      <w:r>
        <w:t xml:space="preserve">through </w:t>
      </w:r>
      <w:r w:rsidR="00AB34B8">
        <w:t>interview</w:t>
      </w:r>
      <w:r w:rsidR="000020B1">
        <w:t>s</w:t>
      </w:r>
      <w:r w:rsidR="00AB34B8">
        <w:t xml:space="preserve"> and focus groups </w:t>
      </w:r>
      <w:r w:rsidR="00031F73">
        <w:t xml:space="preserve">are </w:t>
      </w:r>
      <w:r w:rsidR="00AB34B8">
        <w:t>not available elsewhere</w:t>
      </w:r>
      <w:r w:rsidR="00B03384">
        <w:t>.</w:t>
      </w:r>
    </w:p>
    <w:p w:rsidR="003F44C3" w:rsidP="003F44C3" w:rsidRDefault="003F44C3" w14:paraId="0C1BFF53" w14:textId="77777777">
      <w:pPr>
        <w:pStyle w:val="H3Alpha"/>
      </w:pPr>
      <w:bookmarkStart w:name="_Toc496104737" w:id="6"/>
      <w:r>
        <w:t>5.</w:t>
      </w:r>
      <w:r w:rsidRPr="00A60971" w:rsidR="00A60971">
        <w:rPr>
          <w:rFonts w:ascii="Times New Roman" w:hAnsi="Times New Roman"/>
          <w:i/>
        </w:rPr>
        <w:t xml:space="preserve"> </w:t>
      </w:r>
      <w:r w:rsidRPr="00946B48" w:rsidR="00A60971">
        <w:rPr>
          <w:rFonts w:ascii="Times New Roman" w:hAnsi="Times New Roman"/>
          <w:i/>
        </w:rPr>
        <w:t>If the collection of information impacts small businesses or other small entities, describe any methods used to minimize burden</w:t>
      </w:r>
      <w:r w:rsidR="00A60971">
        <w:rPr>
          <w:rFonts w:ascii="Times New Roman" w:hAnsi="Times New Roman"/>
          <w:i/>
        </w:rPr>
        <w:t xml:space="preserve">. </w:t>
      </w:r>
      <w:r>
        <w:t xml:space="preserve"> </w:t>
      </w:r>
      <w:bookmarkEnd w:id="6"/>
    </w:p>
    <w:p w:rsidR="003F44C3" w:rsidP="003F44C3" w:rsidRDefault="00AB11A2" w14:paraId="291EB925" w14:textId="77777777">
      <w:pPr>
        <w:pStyle w:val="NormalSS"/>
      </w:pPr>
      <w:r>
        <w:t>Interviews could be conducted with</w:t>
      </w:r>
      <w:r w:rsidR="00564491">
        <w:t xml:space="preserve"> employers </w:t>
      </w:r>
      <w:r>
        <w:t>or program stakeholders</w:t>
      </w:r>
      <w:r w:rsidR="00293AC3">
        <w:t xml:space="preserve"> </w:t>
      </w:r>
      <w:r w:rsidR="00283CBE">
        <w:t>from</w:t>
      </w:r>
      <w:r w:rsidR="00564491">
        <w:t xml:space="preserve"> </w:t>
      </w:r>
      <w:r w:rsidR="003F44C3">
        <w:t xml:space="preserve">small </w:t>
      </w:r>
      <w:r w:rsidR="00B03384">
        <w:t>businesses or other small entities</w:t>
      </w:r>
      <w:r w:rsidR="00EA7B4F">
        <w:t xml:space="preserve">, if they are participating as </w:t>
      </w:r>
      <w:proofErr w:type="spellStart"/>
      <w:r w:rsidR="00EA7B4F">
        <w:t>subgrantees</w:t>
      </w:r>
      <w:proofErr w:type="spellEnd"/>
      <w:r w:rsidR="00EA7B4F">
        <w:t xml:space="preserve"> or partners in the NHE grants</w:t>
      </w:r>
      <w:r w:rsidR="00B03384">
        <w:t xml:space="preserve">. </w:t>
      </w:r>
      <w:r w:rsidR="002A1D82">
        <w:t>We</w:t>
      </w:r>
      <w:r w:rsidR="00C03BFC">
        <w:t xml:space="preserve"> </w:t>
      </w:r>
      <w:r w:rsidR="003F44C3">
        <w:t>will only request information required for the intended use and minimize burden by restricting the length of</w:t>
      </w:r>
      <w:r w:rsidR="00564491">
        <w:t xml:space="preserve"> interviews </w:t>
      </w:r>
      <w:r w:rsidR="003F44C3">
        <w:t>to the minimum required</w:t>
      </w:r>
      <w:r w:rsidR="00283CBE">
        <w:t xml:space="preserve"> time</w:t>
      </w:r>
      <w:r w:rsidR="003F44C3">
        <w:t>.</w:t>
      </w:r>
    </w:p>
    <w:p w:rsidR="003F44C3" w:rsidP="003F44C3" w:rsidRDefault="003F44C3" w14:paraId="1AB17771" w14:textId="77777777">
      <w:pPr>
        <w:pStyle w:val="H3Alpha"/>
      </w:pPr>
      <w:bookmarkStart w:name="_Toc496104738" w:id="7"/>
      <w:r>
        <w:t>6.</w:t>
      </w:r>
      <w:r w:rsidRPr="00A60971" w:rsidR="00A60971">
        <w:rPr>
          <w:rFonts w:ascii="Times New Roman" w:hAnsi="Times New Roman"/>
          <w:i/>
        </w:rPr>
        <w:t xml:space="preserve"> </w:t>
      </w:r>
      <w:r w:rsidRPr="00946B48" w:rsidR="00A60971">
        <w:rPr>
          <w:rFonts w:ascii="Times New Roman" w:hAnsi="Times New Roman"/>
          <w:i/>
        </w:rPr>
        <w:t>Describe the consequence to Federal program or policy activities if the collection is not conducted or is conducted less frequently, as well as any technical or legal obstacles to reducing burden.</w:t>
      </w:r>
      <w:r>
        <w:t xml:space="preserve"> </w:t>
      </w:r>
      <w:bookmarkEnd w:id="7"/>
    </w:p>
    <w:p w:rsidR="00A2291C" w:rsidP="00A2291C" w:rsidRDefault="00C2151E" w14:paraId="253FE9F7" w14:textId="77777777">
      <w:pPr>
        <w:pStyle w:val="NormalSS"/>
      </w:pPr>
      <w:r>
        <w:t>If the interview</w:t>
      </w:r>
      <w:r w:rsidR="00CB1511">
        <w:t>s</w:t>
      </w:r>
      <w:r>
        <w:t xml:space="preserve"> </w:t>
      </w:r>
      <w:r w:rsidR="000B14C4">
        <w:t>are not conducted</w:t>
      </w:r>
      <w:r w:rsidR="003F44C3">
        <w:t xml:space="preserve">, DOL and other stakeholders will not have the information necessary to </w:t>
      </w:r>
      <w:r w:rsidR="0080183F">
        <w:t xml:space="preserve">answer </w:t>
      </w:r>
      <w:r w:rsidR="009133B3">
        <w:t xml:space="preserve">the evaluation’s </w:t>
      </w:r>
      <w:r w:rsidR="0080183F">
        <w:t>key</w:t>
      </w:r>
      <w:r w:rsidR="0045560A">
        <w:t xml:space="preserve"> research questions</w:t>
      </w:r>
      <w:r w:rsidR="009133B3">
        <w:t>.</w:t>
      </w:r>
      <w:r w:rsidR="00F2675A">
        <w:t xml:space="preserve"> </w:t>
      </w:r>
      <w:r w:rsidRPr="00F2675A" w:rsidR="00F2675A">
        <w:t>Without collecting the informati</w:t>
      </w:r>
      <w:r w:rsidR="0030009A">
        <w:t>on specified in the site visit</w:t>
      </w:r>
      <w:r w:rsidRPr="00F2675A" w:rsidR="00F2675A">
        <w:t xml:space="preserve"> interviews, a comprehensive implementation analysis of </w:t>
      </w:r>
      <w:r w:rsidR="0030009A">
        <w:t>the NHE grants</w:t>
      </w:r>
      <w:r w:rsidRPr="00F2675A" w:rsidR="00F2675A">
        <w:t xml:space="preserve"> could not occur. This would prevent information being provided to policymakers about the context in which the partnerships and programs operate</w:t>
      </w:r>
      <w:r w:rsidR="00CB0699">
        <w:t>d</w:t>
      </w:r>
      <w:r w:rsidRPr="00F2675A" w:rsidR="00F2675A">
        <w:t xml:space="preserve">, any operational challenges faced by grantees and partners, how the partnerships and services </w:t>
      </w:r>
      <w:r w:rsidRPr="00F2675A" w:rsidR="00CB0699">
        <w:t>evolve</w:t>
      </w:r>
      <w:r w:rsidR="00CB0699">
        <w:t xml:space="preserve">d </w:t>
      </w:r>
      <w:r w:rsidRPr="00F2675A" w:rsidR="00F2675A">
        <w:t>over time</w:t>
      </w:r>
      <w:r w:rsidR="006527B6">
        <w:t xml:space="preserve">, whether the approaches were </w:t>
      </w:r>
      <w:r w:rsidR="00B31A22">
        <w:t xml:space="preserve">perceived to be </w:t>
      </w:r>
      <w:r w:rsidR="006527B6">
        <w:t xml:space="preserve">effective and </w:t>
      </w:r>
      <w:r w:rsidR="0036189F">
        <w:t xml:space="preserve">implications for interpreting results, or implications for program improvement </w:t>
      </w:r>
      <w:r w:rsidR="006527B6">
        <w:t>based on evidence obtained through the evaluation</w:t>
      </w:r>
      <w:r w:rsidRPr="00F2675A" w:rsidR="00F2675A">
        <w:t>.</w:t>
      </w:r>
      <w:r w:rsidR="005A0972">
        <w:t xml:space="preserve"> </w:t>
      </w:r>
    </w:p>
    <w:p w:rsidR="003F44C3" w:rsidP="003F44C3" w:rsidRDefault="003F44C3" w14:paraId="1FFF8040" w14:textId="77777777">
      <w:pPr>
        <w:pStyle w:val="H3Alpha"/>
      </w:pPr>
      <w:bookmarkStart w:name="_Toc496104739" w:id="8"/>
      <w:r>
        <w:t xml:space="preserve">7. </w:t>
      </w:r>
      <w:r w:rsidRPr="00A60971" w:rsidR="00A60971">
        <w:rPr>
          <w:rFonts w:ascii="Times New Roman" w:hAnsi="Times New Roman"/>
          <w:i/>
        </w:rPr>
        <w:t xml:space="preserve"> </w:t>
      </w:r>
      <w:r w:rsidRPr="00946B48" w:rsidR="00A60971">
        <w:rPr>
          <w:rFonts w:ascii="Times New Roman" w:hAnsi="Times New Roman"/>
          <w:i/>
        </w:rPr>
        <w:t>Explain any special circumstances that would cause an information collection to be conducted in a manner:</w:t>
      </w:r>
      <w:bookmarkEnd w:id="8"/>
    </w:p>
    <w:p w:rsidR="003F44C3" w:rsidP="003F44C3" w:rsidRDefault="003F44C3" w14:paraId="27E7D0B9" w14:textId="77777777">
      <w:pPr>
        <w:pStyle w:val="NormalSS"/>
      </w:pPr>
      <w:r>
        <w:t>No special circumstances apply to this data collection.</w:t>
      </w:r>
    </w:p>
    <w:p w:rsidR="003F44C3" w:rsidP="003F44C3" w:rsidRDefault="003F44C3" w14:paraId="033F08E6" w14:textId="77777777">
      <w:pPr>
        <w:pStyle w:val="H3Alpha"/>
      </w:pPr>
      <w:bookmarkStart w:name="_Toc496104740" w:id="9"/>
      <w:r>
        <w:t>8.</w:t>
      </w:r>
      <w:r w:rsidRPr="0059084F" w:rsidR="0059084F">
        <w:rPr>
          <w:rFonts w:ascii="Times New Roman" w:hAnsi="Times New Roman"/>
          <w:i/>
        </w:rPr>
        <w:t xml:space="preserve"> </w:t>
      </w:r>
      <w:r w:rsidRPr="005C45D4" w:rsidR="0059084F">
        <w:rPr>
          <w:rFonts w:ascii="Times New Roman" w:hAnsi="Times New Roman"/>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w:t>
      </w:r>
      <w:r w:rsidRPr="005C45D4" w:rsidR="0059084F">
        <w:rPr>
          <w:rFonts w:ascii="Times New Roman" w:hAnsi="Times New Roman"/>
          <w:i/>
        </w:rPr>
        <w:lastRenderedPageBreak/>
        <w:t>notice and describe actions taken by the agency in response to these comments. Specifically address comments received on cost and hour burden.</w:t>
      </w:r>
      <w:r>
        <w:t xml:space="preserve"> </w:t>
      </w:r>
      <w:bookmarkEnd w:id="9"/>
    </w:p>
    <w:p w:rsidR="00A73B77" w:rsidP="00A73B77" w:rsidRDefault="00A73B77" w14:paraId="2445222B" w14:textId="77777777">
      <w:pPr>
        <w:pStyle w:val="NormalSS"/>
      </w:pPr>
      <w:r>
        <w:tab/>
        <w:t xml:space="preserve">A 60-day notice to solicit public comments was published in the </w:t>
      </w:r>
      <w:r w:rsidRPr="003F44C3">
        <w:rPr>
          <w:i/>
        </w:rPr>
        <w:t>Federal Register</w:t>
      </w:r>
      <w:r>
        <w:t xml:space="preserve">, </w:t>
      </w:r>
      <w:r w:rsidRPr="00DB7515">
        <w:t>8</w:t>
      </w:r>
      <w:r>
        <w:t>3</w:t>
      </w:r>
      <w:r w:rsidRPr="00DB7515">
        <w:t xml:space="preserve"> FR </w:t>
      </w:r>
      <w:r w:rsidRPr="003F597A">
        <w:t>54943</w:t>
      </w:r>
      <w:r>
        <w:t xml:space="preserve"> on Dece</w:t>
      </w:r>
      <w:r w:rsidR="00FE6D1E">
        <w:t>m</w:t>
      </w:r>
      <w:r>
        <w:t xml:space="preserve">ber 26, 2018. One comment was received. It suggested </w:t>
      </w:r>
      <w:r w:rsidR="0067307E">
        <w:t xml:space="preserve">that our funding should be routed elsewhere. CEO responded in acknowledgement of the comment. </w:t>
      </w:r>
    </w:p>
    <w:p w:rsidRPr="00946B48" w:rsidR="0067307E" w:rsidP="0067307E" w:rsidRDefault="0067307E" w14:paraId="0B3C9176" w14:textId="77777777">
      <w:pPr>
        <w:spacing w:line="240" w:lineRule="auto"/>
        <w:rPr>
          <w:i/>
        </w:rPr>
      </w:pPr>
      <w:r w:rsidRPr="00946B48">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67307E" w:rsidP="0067307E" w:rsidRDefault="0067307E" w14:paraId="2DA50B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rPr>
      </w:pPr>
      <w:r w:rsidRPr="00946B48">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73B77" w:rsidR="0067307E" w:rsidP="00A92DC9" w:rsidRDefault="0067307E" w14:paraId="2FA69C03" w14:textId="77777777">
      <w:pPr>
        <w:pStyle w:val="NormalSS"/>
      </w:pPr>
    </w:p>
    <w:p w:rsidR="00EE33B1" w:rsidRDefault="00FD1588" w14:paraId="25BBFD34" w14:textId="77777777">
      <w:pPr>
        <w:spacing w:after="240" w:line="240" w:lineRule="auto"/>
        <w:ind w:firstLine="0"/>
      </w:pPr>
      <w:r>
        <w:tab/>
        <w:t>Mathematica and Social Policy Research Associates did not consult with any outside individuals on the design of this evaluation.</w:t>
      </w:r>
    </w:p>
    <w:p w:rsidR="00EE33B1" w:rsidP="00EE33B1" w:rsidRDefault="00EE33B1" w14:paraId="37ED6CC3" w14:textId="77777777">
      <w:pPr>
        <w:pStyle w:val="H3Alpha"/>
      </w:pPr>
      <w:bookmarkStart w:name="_Toc496104743" w:id="10"/>
      <w:r>
        <w:t>9.</w:t>
      </w:r>
      <w:r w:rsidRPr="00CD482B" w:rsidR="00CD482B">
        <w:rPr>
          <w:rFonts w:ascii="Times New Roman" w:hAnsi="Times New Roman"/>
          <w:i/>
          <w:sz w:val="24"/>
        </w:rPr>
        <w:t xml:space="preserve"> </w:t>
      </w:r>
      <w:r w:rsidRPr="00A92DC9" w:rsidR="00CD482B">
        <w:rPr>
          <w:rFonts w:ascii="Times New Roman" w:hAnsi="Times New Roman"/>
          <w:i/>
        </w:rPr>
        <w:t>Explain any decision to provide any payment or gift to respondents, other than remuneration of contractors or grantees.</w:t>
      </w:r>
      <w:r>
        <w:t xml:space="preserve"> </w:t>
      </w:r>
      <w:bookmarkEnd w:id="10"/>
    </w:p>
    <w:p w:rsidR="00EE33B1" w:rsidP="00EE33B1" w:rsidRDefault="00EE33B1" w14:paraId="2A724983" w14:textId="77777777">
      <w:pPr>
        <w:pStyle w:val="NormalSS"/>
      </w:pPr>
      <w:r>
        <w:t>There are no payments or gifts to program and partner staff</w:t>
      </w:r>
      <w:r w:rsidR="00F2675A">
        <w:t>, as activities</w:t>
      </w:r>
      <w:r>
        <w:t xml:space="preserve"> are expected to be carried out in the course of their employment, and no additional compensation will be provided outside of their normal pay. </w:t>
      </w:r>
      <w:r w:rsidR="00F2675A">
        <w:t xml:space="preserve">Respondents participating in the participant focus groups will receive </w:t>
      </w:r>
      <w:r w:rsidRPr="00FD1588" w:rsidR="00F2675A">
        <w:t xml:space="preserve">a </w:t>
      </w:r>
      <w:r w:rsidRPr="00FD1588" w:rsidR="00B14326">
        <w:t>$40</w:t>
      </w:r>
      <w:r w:rsidR="00F2675A">
        <w:t xml:space="preserve"> gift card.</w:t>
      </w:r>
    </w:p>
    <w:p w:rsidR="00EE33B1" w:rsidP="00EE33B1" w:rsidRDefault="00EE33B1" w14:paraId="7D7AE3CE" w14:textId="77777777">
      <w:pPr>
        <w:pStyle w:val="H3Alpha"/>
      </w:pPr>
      <w:bookmarkStart w:name="_Toc496104744" w:id="11"/>
      <w:r>
        <w:t>10.</w:t>
      </w:r>
      <w:r w:rsidR="00CD482B">
        <w:t xml:space="preserve"> </w:t>
      </w:r>
      <w:r w:rsidRPr="00946B48" w:rsidR="00CD482B">
        <w:rPr>
          <w:rFonts w:ascii="Times New Roman" w:hAnsi="Times New Roman"/>
          <w:i/>
        </w:rPr>
        <w:t xml:space="preserve">Describe any assurance of </w:t>
      </w:r>
      <w:r w:rsidR="00CD482B">
        <w:rPr>
          <w:rFonts w:ascii="Times New Roman" w:hAnsi="Times New Roman"/>
          <w:i/>
        </w:rPr>
        <w:t>privacy</w:t>
      </w:r>
      <w:r w:rsidRPr="00946B48" w:rsidR="00CD482B">
        <w:rPr>
          <w:rFonts w:ascii="Times New Roman" w:hAnsi="Times New Roman"/>
          <w:i/>
        </w:rPr>
        <w:t xml:space="preserve"> provided to respondents and the basis for the assurance in statute, regulation, or agency policy</w:t>
      </w:r>
      <w:r>
        <w:t xml:space="preserve"> </w:t>
      </w:r>
      <w:bookmarkEnd w:id="11"/>
    </w:p>
    <w:p w:rsidR="00EE33B1" w:rsidP="00EE33B1" w:rsidRDefault="00EE33B1" w14:paraId="6E823F08" w14:textId="77777777">
      <w:pPr>
        <w:pStyle w:val="NormalSS"/>
      </w:pPr>
      <w:r>
        <w:t xml:space="preserve">Information collected will be kept private to the extent permitted by law. The </w:t>
      </w:r>
      <w:r w:rsidR="00AF7247">
        <w:t>evaluation</w:t>
      </w:r>
      <w:r w:rsidR="001C0F00">
        <w:t xml:space="preserve"> team</w:t>
      </w:r>
      <w:r>
        <w:t xml:space="preserve"> complies with DOL data security requirements by implementing security controls for processes that it routinely uses in projects that involve sensitive data. Further, the </w:t>
      </w:r>
      <w:r w:rsidR="00AF7247">
        <w:t>evaluation</w:t>
      </w:r>
      <w:r>
        <w:t xml:space="preserve"> is being conducted in accordance with all relevant regulations and requirements</w:t>
      </w:r>
      <w:r w:rsidR="00F01C78">
        <w:t>.</w:t>
      </w:r>
      <w:r>
        <w:t xml:space="preserve"> </w:t>
      </w:r>
    </w:p>
    <w:p w:rsidR="00CD482B" w:rsidP="00CD482B" w:rsidRDefault="00EE33B1" w14:paraId="15B91703" w14:textId="77777777">
      <w:pPr>
        <w:pStyle w:val="H3Alpha"/>
        <w:ind w:left="0" w:firstLine="0"/>
        <w:rPr>
          <w:rFonts w:ascii="Times New Roman" w:hAnsi="Times New Roman"/>
          <w:i/>
        </w:rPr>
      </w:pPr>
      <w:bookmarkStart w:name="_Toc496104745" w:id="12"/>
      <w:r>
        <w:t xml:space="preserve">11. </w:t>
      </w:r>
      <w:r w:rsidRPr="00946B48" w:rsidR="00CD482B">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2"/>
    <w:p w:rsidR="00EE33B1" w:rsidP="00A14A6C" w:rsidRDefault="00EE33B1" w14:paraId="78B4805D" w14:textId="77777777">
      <w:pPr>
        <w:pStyle w:val="H3Alpha"/>
        <w:ind w:left="0" w:firstLine="0"/>
      </w:pPr>
    </w:p>
    <w:p w:rsidR="00EE33B1" w:rsidP="00EE33B1" w:rsidRDefault="00F707EE" w14:paraId="3FAD6B6B" w14:textId="77777777">
      <w:pPr>
        <w:pStyle w:val="NormalSS"/>
      </w:pPr>
      <w:r>
        <w:t xml:space="preserve">There are no sensitive questions included in </w:t>
      </w:r>
      <w:r w:rsidR="00B21E40">
        <w:t xml:space="preserve">the interview protocols for </w:t>
      </w:r>
      <w:r w:rsidR="00BC4637">
        <w:t xml:space="preserve">state </w:t>
      </w:r>
      <w:r w:rsidRPr="00BC4637" w:rsidR="00BC4637">
        <w:t>and local administrator</w:t>
      </w:r>
      <w:r w:rsidR="00BC4637">
        <w:t>s</w:t>
      </w:r>
      <w:r w:rsidRPr="00BC4637" w:rsidR="00BC4637">
        <w:t>, staff, and partner</w:t>
      </w:r>
      <w:r w:rsidR="00EC6836">
        <w:t>s</w:t>
      </w:r>
      <w:r w:rsidR="00B769E6">
        <w:t xml:space="preserve">. Participant </w:t>
      </w:r>
      <w:r w:rsidR="00707ED3">
        <w:t xml:space="preserve">focus groups </w:t>
      </w:r>
      <w:r w:rsidR="00B769E6">
        <w:t xml:space="preserve">will collect </w:t>
      </w:r>
      <w:r w:rsidR="00A7074C">
        <w:t xml:space="preserve">demographic </w:t>
      </w:r>
      <w:r w:rsidR="00B769E6">
        <w:t>data such as gender,</w:t>
      </w:r>
      <w:r w:rsidR="00A7074C">
        <w:t xml:space="preserve"> employment status</w:t>
      </w:r>
      <w:r w:rsidR="00B769E6">
        <w:t>,</w:t>
      </w:r>
      <w:r w:rsidR="00A7074C">
        <w:t xml:space="preserve"> education level, and sources of financial support. </w:t>
      </w:r>
      <w:r w:rsidR="00BC4637">
        <w:t xml:space="preserve">In addition, participant focus groups will collect information on how the opioid epidemic has affected participants’ communities, the availability of jobs in participants’ communities, and </w:t>
      </w:r>
      <w:r w:rsidR="00A7074C">
        <w:t xml:space="preserve">participant backgrounds and </w:t>
      </w:r>
      <w:r w:rsidR="002768F8">
        <w:t>reasons for seeking services through</w:t>
      </w:r>
      <w:r w:rsidR="00A7074C">
        <w:t xml:space="preserve"> </w:t>
      </w:r>
      <w:r w:rsidR="00E8684E">
        <w:t>the NHE grants,</w:t>
      </w:r>
      <w:r w:rsidR="00283CBE">
        <w:t xml:space="preserve"> which could be </w:t>
      </w:r>
      <w:r w:rsidR="00283CBE">
        <w:lastRenderedPageBreak/>
        <w:t>considered sensitive</w:t>
      </w:r>
      <w:r w:rsidR="00A7074C">
        <w:t xml:space="preserve">. </w:t>
      </w:r>
      <w:r w:rsidR="002A4C13">
        <w:t xml:space="preserve">These questions are important to understanding the context in which the grants are being implemented and participants that are being reached, as well as the participants’ experiences with the grants. We will inform participants that their answers to these questions will be kept </w:t>
      </w:r>
      <w:r w:rsidR="00574124">
        <w:t>private</w:t>
      </w:r>
      <w:r w:rsidR="002A4C13">
        <w:t>, and that they do not need to answer any questions that they do not feel comfortable with. In addition, we will convey to participants that they may share the answers to these questions in written form, or discuss them with the research team individually after the focus group, if they prefer.</w:t>
      </w:r>
    </w:p>
    <w:p w:rsidR="00EE33B1" w:rsidP="00EE33B1" w:rsidRDefault="00EE33B1" w14:paraId="7AFEB69E" w14:textId="77777777">
      <w:pPr>
        <w:pStyle w:val="H3Alpha"/>
      </w:pPr>
      <w:bookmarkStart w:name="_Toc496104746" w:id="13"/>
      <w:r>
        <w:t xml:space="preserve">12. </w:t>
      </w:r>
      <w:r w:rsidRPr="00A92DC9" w:rsidR="00CD482B">
        <w:rPr>
          <w:rFonts w:ascii="Times New Roman" w:hAnsi="Times New Roman"/>
          <w:i/>
        </w:rPr>
        <w:t>Provide estimates of the hour burden of the collection of information</w:t>
      </w:r>
      <w:r w:rsidDel="00CD482B" w:rsidR="00CD482B">
        <w:t xml:space="preserve"> </w:t>
      </w:r>
      <w:bookmarkEnd w:id="13"/>
    </w:p>
    <w:p w:rsidRPr="00B31391" w:rsidR="00CD482B" w:rsidP="00CD482B" w:rsidRDefault="00CD482B" w14:paraId="18B0C7EF" w14:textId="77777777">
      <w:pPr>
        <w:spacing w:line="240" w:lineRule="auto"/>
        <w:ind w:firstLine="0"/>
        <w:rPr>
          <w:i/>
        </w:rPr>
      </w:pPr>
      <w:r w:rsidRPr="00B31391">
        <w:rPr>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31391" w:rsidR="00CD482B" w:rsidP="00CD482B" w:rsidRDefault="00CD482B" w14:paraId="50F2CB1A" w14:textId="77777777">
      <w:pPr>
        <w:spacing w:line="240" w:lineRule="auto"/>
        <w:ind w:firstLine="0"/>
        <w:rPr>
          <w:i/>
        </w:rPr>
      </w:pPr>
      <w:r w:rsidRPr="00B31391">
        <w:rPr>
          <w:i/>
        </w:rPr>
        <w:t xml:space="preserve">* If this request for approval covers more than one form, provide separate hour burden estimates for each form and aggregate the hour burdens. </w:t>
      </w:r>
    </w:p>
    <w:p w:rsidRPr="00B31391" w:rsidR="00CD482B" w:rsidP="00CD482B" w:rsidRDefault="00CD482B" w14:paraId="0D6695E4" w14:textId="77777777">
      <w:pPr>
        <w:spacing w:line="240" w:lineRule="auto"/>
        <w:ind w:firstLine="0"/>
        <w:rPr>
          <w:i/>
        </w:rPr>
      </w:pPr>
      <w:r w:rsidRPr="00B31391">
        <w:rPr>
          <w:i/>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CD482B" w:rsidP="00EE33B1" w:rsidRDefault="00CD482B" w14:paraId="3390FF74" w14:textId="77777777">
      <w:pPr>
        <w:pStyle w:val="NormalSS"/>
      </w:pPr>
    </w:p>
    <w:p w:rsidR="00EE33B1" w:rsidP="00EE33B1" w:rsidRDefault="00EE33B1" w14:paraId="5CA4E4BF" w14:textId="77777777">
      <w:pPr>
        <w:pStyle w:val="NormalSS"/>
      </w:pPr>
      <w:r>
        <w:t xml:space="preserve">Table A.3 provides annual burden estimates for each of the data collection activities for which this package requests clearance. All of the activities covered by this request will take place </w:t>
      </w:r>
      <w:r w:rsidR="00031F73">
        <w:t>over</w:t>
      </w:r>
      <w:r>
        <w:t xml:space="preserve"> a three-year period. To calculate the estimated cost burden for respondents, average hourly wages from the U.S. Bureau of Labor Statistics, National, State, Metropolitan, and Nonmetropolitan Area Occupational Employment and Wage Estimates for May </w:t>
      </w:r>
      <w:r w:rsidR="00A14A6C">
        <w:t>2019</w:t>
      </w:r>
      <w:r w:rsidR="006C3548">
        <w:t xml:space="preserve"> </w:t>
      </w:r>
      <w:r>
        <w:t>were multiplied by the number of hours per respondent type. The following summarizes the annual b</w:t>
      </w:r>
      <w:r w:rsidR="000408E5">
        <w:t xml:space="preserve">urden estimates for each of the three </w:t>
      </w:r>
      <w:r>
        <w:t>data collection activities:</w:t>
      </w:r>
    </w:p>
    <w:p w:rsidR="00617029" w:rsidP="00B324C5" w:rsidRDefault="00C15645" w14:paraId="3CE86AE6" w14:textId="77777777">
      <w:pPr>
        <w:pStyle w:val="NumberedBullet"/>
        <w:numPr>
          <w:ilvl w:val="0"/>
          <w:numId w:val="0"/>
        </w:numPr>
        <w:ind w:left="360"/>
      </w:pPr>
      <w:r w:rsidRPr="00C15645">
        <w:rPr>
          <w:b/>
        </w:rPr>
        <w:t>Semi-structured program stakeholder interviews (in-person): State and local ad</w:t>
      </w:r>
      <w:r>
        <w:rPr>
          <w:b/>
        </w:rPr>
        <w:t xml:space="preserve">ministrator, staff and </w:t>
      </w:r>
      <w:proofErr w:type="gramStart"/>
      <w:r>
        <w:rPr>
          <w:b/>
        </w:rPr>
        <w:t>partners</w:t>
      </w:r>
      <w:r w:rsidRPr="00C15645" w:rsidDel="00C15645">
        <w:rPr>
          <w:b/>
        </w:rPr>
        <w:t xml:space="preserve"> </w:t>
      </w:r>
      <w:r w:rsidR="00366B64">
        <w:rPr>
          <w:b/>
        </w:rPr>
        <w:t>.</w:t>
      </w:r>
      <w:proofErr w:type="gramEnd"/>
      <w:r w:rsidR="00366B64">
        <w:rPr>
          <w:b/>
        </w:rPr>
        <w:t xml:space="preserve"> </w:t>
      </w:r>
      <w:r w:rsidR="00704C4A">
        <w:t xml:space="preserve">State, local, </w:t>
      </w:r>
      <w:r w:rsidR="00366B64">
        <w:t xml:space="preserve">and partner staff </w:t>
      </w:r>
      <w:r w:rsidR="001016E7">
        <w:t xml:space="preserve">interviews will be conducted </w:t>
      </w:r>
      <w:r w:rsidR="00E768C0">
        <w:t>for</w:t>
      </w:r>
      <w:r w:rsidR="00995501">
        <w:t xml:space="preserve"> all six grantee sites in-person. E</w:t>
      </w:r>
      <w:r w:rsidRPr="00995501" w:rsidR="00995501">
        <w:t>ach visit will, on average, involve individual or group interviews with 30 respondents (</w:t>
      </w:r>
      <w:r w:rsidR="00321ADF">
        <w:t xml:space="preserve">e.g., </w:t>
      </w:r>
      <w:r w:rsidRPr="00995501" w:rsidR="00995501">
        <w:t>5 state-level staff, 5 state-level partner agency staff, 4 local administrators, 8 frontline staff, and 8 partners). The team assumes the average burden time per response to be 1</w:t>
      </w:r>
      <w:r w:rsidR="00F57E70">
        <w:t>.5</w:t>
      </w:r>
      <w:r w:rsidRPr="00995501" w:rsidR="00995501">
        <w:t xml:space="preserve"> hour</w:t>
      </w:r>
      <w:r w:rsidR="00F57E70">
        <w:t>s</w:t>
      </w:r>
      <w:r w:rsidRPr="00995501" w:rsidR="00995501">
        <w:t>, although some meetings will be shorter and some will be longer</w:t>
      </w:r>
      <w:r w:rsidR="00995501">
        <w:t xml:space="preserve">. </w:t>
      </w:r>
    </w:p>
    <w:p w:rsidRPr="00383149" w:rsidR="00EE33B1" w:rsidP="00B324C5" w:rsidRDefault="008768E8" w14:paraId="3B59C888" w14:textId="77777777">
      <w:pPr>
        <w:pStyle w:val="NumberedBullet"/>
        <w:numPr>
          <w:ilvl w:val="0"/>
          <w:numId w:val="0"/>
        </w:numPr>
        <w:ind w:left="360"/>
      </w:pPr>
      <w:r>
        <w:rPr>
          <w:b/>
        </w:rPr>
        <w:t>Interview r</w:t>
      </w:r>
      <w:r w:rsidR="00860E34">
        <w:rPr>
          <w:b/>
        </w:rPr>
        <w:t>espondent information forms for s</w:t>
      </w:r>
      <w:r w:rsidRPr="00995501" w:rsidR="00995501">
        <w:rPr>
          <w:b/>
        </w:rPr>
        <w:t>tate and local administrator</w:t>
      </w:r>
      <w:r w:rsidR="00860E34">
        <w:rPr>
          <w:b/>
        </w:rPr>
        <w:t>s</w:t>
      </w:r>
      <w:r w:rsidRPr="00995501" w:rsidR="00995501">
        <w:rPr>
          <w:b/>
        </w:rPr>
        <w:t xml:space="preserve">, </w:t>
      </w:r>
      <w:r w:rsidR="00995501">
        <w:rPr>
          <w:b/>
        </w:rPr>
        <w:t>staff and partner</w:t>
      </w:r>
      <w:r w:rsidR="00860E34">
        <w:rPr>
          <w:b/>
        </w:rPr>
        <w:t>s</w:t>
      </w:r>
      <w:r w:rsidRPr="00846B77" w:rsidR="001016E7">
        <w:rPr>
          <w:b/>
        </w:rPr>
        <w:t>.</w:t>
      </w:r>
      <w:r w:rsidRPr="00846B77" w:rsidR="00390ECC">
        <w:t xml:space="preserve"> </w:t>
      </w:r>
      <w:r w:rsidRPr="00383149" w:rsidR="00E768C0">
        <w:t>These</w:t>
      </w:r>
      <w:r w:rsidRPr="00383149" w:rsidR="008B282D">
        <w:t xml:space="preserve"> </w:t>
      </w:r>
      <w:r w:rsidR="00860E34">
        <w:t>forms</w:t>
      </w:r>
      <w:r w:rsidR="00995501">
        <w:t xml:space="preserve"> will be </w:t>
      </w:r>
      <w:r w:rsidR="006D147D">
        <w:t>completed by</w:t>
      </w:r>
      <w:r w:rsidR="00995501">
        <w:t xml:space="preserve"> state, local and partner staff in advance of the site visit interviews and will</w:t>
      </w:r>
      <w:r w:rsidRPr="00383149" w:rsidR="008B282D">
        <w:t xml:space="preserve"> take</w:t>
      </w:r>
      <w:r w:rsidRPr="00383149" w:rsidR="00E768C0">
        <w:t xml:space="preserve"> </w:t>
      </w:r>
      <w:r w:rsidR="00860E34">
        <w:t>5</w:t>
      </w:r>
      <w:r w:rsidRPr="00383149" w:rsidR="008B282D">
        <w:t xml:space="preserve"> minutes to complete</w:t>
      </w:r>
      <w:r w:rsidRPr="00383149" w:rsidR="00EE33B1">
        <w:t xml:space="preserve">. </w:t>
      </w:r>
    </w:p>
    <w:p w:rsidR="00542944" w:rsidP="00B324C5" w:rsidRDefault="00F16715" w14:paraId="7E6ECE1D" w14:textId="77777777">
      <w:pPr>
        <w:pStyle w:val="NumberedBullet"/>
        <w:numPr>
          <w:ilvl w:val="0"/>
          <w:numId w:val="0"/>
        </w:numPr>
        <w:ind w:left="360"/>
      </w:pPr>
      <w:r w:rsidRPr="00383149">
        <w:rPr>
          <w:b/>
        </w:rPr>
        <w:t xml:space="preserve">Participant </w:t>
      </w:r>
      <w:r w:rsidRPr="00383149" w:rsidR="00707ED3">
        <w:rPr>
          <w:b/>
        </w:rPr>
        <w:t>focus groups</w:t>
      </w:r>
      <w:r w:rsidRPr="00383149">
        <w:rPr>
          <w:b/>
        </w:rPr>
        <w:t xml:space="preserve">. </w:t>
      </w:r>
      <w:r w:rsidRPr="00383149" w:rsidR="00707ED3">
        <w:t>Focus groups</w:t>
      </w:r>
      <w:r w:rsidRPr="00383149" w:rsidR="00E768C0">
        <w:t xml:space="preserve"> </w:t>
      </w:r>
      <w:r w:rsidRPr="00383149" w:rsidR="00151D5D">
        <w:t>with a subset of</w:t>
      </w:r>
      <w:r w:rsidRPr="00383149" w:rsidR="00E768C0">
        <w:t xml:space="preserve"> </w:t>
      </w:r>
      <w:r w:rsidRPr="00383149" w:rsidR="007E7AE3">
        <w:t>participant</w:t>
      </w:r>
      <w:r w:rsidRPr="00383149" w:rsidR="00E768C0">
        <w:t>s will take place d</w:t>
      </w:r>
      <w:r w:rsidRPr="00383149" w:rsidR="00AB11A2">
        <w:t>uring</w:t>
      </w:r>
      <w:r w:rsidRPr="00383149" w:rsidR="00E768C0">
        <w:t xml:space="preserve"> in-person</w:t>
      </w:r>
      <w:r w:rsidRPr="00383149" w:rsidR="00AB11A2">
        <w:t xml:space="preserve"> site</w:t>
      </w:r>
      <w:r w:rsidRPr="00383149" w:rsidR="007E7AE3">
        <w:t xml:space="preserve"> visits.</w:t>
      </w:r>
      <w:r w:rsidRPr="00383149" w:rsidR="00AB11A2">
        <w:t xml:space="preserve"> </w:t>
      </w:r>
      <w:r w:rsidRPr="00383149" w:rsidR="001852C3">
        <w:t xml:space="preserve">Each </w:t>
      </w:r>
      <w:r w:rsidRPr="00383149" w:rsidR="00707ED3">
        <w:t xml:space="preserve">focus group </w:t>
      </w:r>
      <w:r w:rsidRPr="00383149" w:rsidR="001852C3">
        <w:t xml:space="preserve">will take </w:t>
      </w:r>
      <w:r w:rsidR="00665A97">
        <w:t>60</w:t>
      </w:r>
      <w:r w:rsidRPr="00383149" w:rsidR="001852C3">
        <w:t xml:space="preserve"> minutes to complete. </w:t>
      </w:r>
      <w:r w:rsidR="00665A97">
        <w:t>Ten</w:t>
      </w:r>
      <w:r w:rsidRPr="00383149" w:rsidR="00846B77">
        <w:t xml:space="preserve"> </w:t>
      </w:r>
      <w:r w:rsidRPr="00383149" w:rsidR="008C6E88">
        <w:t xml:space="preserve">participants are </w:t>
      </w:r>
      <w:r w:rsidRPr="00383149" w:rsidR="008C6E88">
        <w:lastRenderedPageBreak/>
        <w:t xml:space="preserve">expected to </w:t>
      </w:r>
      <w:r w:rsidRPr="00383149" w:rsidR="00707ED3">
        <w:t>participate</w:t>
      </w:r>
      <w:r w:rsidR="00665A97">
        <w:t xml:space="preserve"> at each of the six</w:t>
      </w:r>
      <w:r w:rsidRPr="00383149" w:rsidR="008C6E88">
        <w:t xml:space="preserve"> sites visited, for </w:t>
      </w:r>
      <w:proofErr w:type="gramStart"/>
      <w:r w:rsidRPr="00383149" w:rsidR="008C6E88">
        <w:t xml:space="preserve">a total of </w:t>
      </w:r>
      <w:r w:rsidRPr="00383149" w:rsidR="00470E62">
        <w:t>60</w:t>
      </w:r>
      <w:proofErr w:type="gramEnd"/>
      <w:r w:rsidRPr="00383149" w:rsidR="008C6E88">
        <w:t xml:space="preserve"> r</w:t>
      </w:r>
      <w:r w:rsidRPr="00383149" w:rsidR="00151D5D">
        <w:t xml:space="preserve">espondents </w:t>
      </w:r>
      <w:r w:rsidRPr="00383149" w:rsidR="008C6E88">
        <w:t>(</w:t>
      </w:r>
      <w:r w:rsidR="00B92A2B">
        <w:t>10</w:t>
      </w:r>
      <w:r w:rsidRPr="00383149" w:rsidR="00470E62">
        <w:t xml:space="preserve"> </w:t>
      </w:r>
      <w:r w:rsidRPr="00383149" w:rsidR="008C6E88">
        <w:t xml:space="preserve">participants × </w:t>
      </w:r>
      <w:r w:rsidR="00B92A2B">
        <w:t>6</w:t>
      </w:r>
      <w:r w:rsidRPr="00383149" w:rsidR="008C6E88">
        <w:t xml:space="preserve"> grantees)</w:t>
      </w:r>
      <w:r w:rsidRPr="00383149" w:rsidR="001852C3">
        <w:t xml:space="preserve">. </w:t>
      </w:r>
    </w:p>
    <w:p w:rsidR="0074408F" w:rsidP="0074408F" w:rsidRDefault="0074408F" w14:paraId="7BE61E06" w14:textId="77777777">
      <w:pPr>
        <w:pStyle w:val="NumberedBullet"/>
        <w:numPr>
          <w:ilvl w:val="0"/>
          <w:numId w:val="0"/>
        </w:numPr>
        <w:ind w:left="360"/>
      </w:pPr>
      <w:r w:rsidRPr="00383149">
        <w:rPr>
          <w:b/>
        </w:rPr>
        <w:t>Participant focus group</w:t>
      </w:r>
      <w:r>
        <w:rPr>
          <w:b/>
        </w:rPr>
        <w:t xml:space="preserve"> information form</w:t>
      </w:r>
      <w:r w:rsidRPr="00383149">
        <w:rPr>
          <w:b/>
        </w:rPr>
        <w:t xml:space="preserve">. </w:t>
      </w:r>
      <w:r w:rsidRPr="00E703A0">
        <w:t>Forms will be administered with participants at the start of each focus group.</w:t>
      </w:r>
      <w:r>
        <w:t xml:space="preserve"> </w:t>
      </w:r>
      <w:r w:rsidRPr="00383149">
        <w:t xml:space="preserve"> Each </w:t>
      </w:r>
      <w:r>
        <w:t>form</w:t>
      </w:r>
      <w:r w:rsidRPr="00383149">
        <w:t xml:space="preserve"> will take </w:t>
      </w:r>
      <w:r>
        <w:t>5 minutes to complete. Ten</w:t>
      </w:r>
      <w:r w:rsidRPr="00383149">
        <w:t xml:space="preserve"> participants are expected </w:t>
      </w:r>
      <w:r>
        <w:t>to participate at each of the six</w:t>
      </w:r>
      <w:r w:rsidRPr="00383149">
        <w:t xml:space="preserve"> sites visited, </w:t>
      </w:r>
      <w:r>
        <w:t xml:space="preserve">for </w:t>
      </w:r>
      <w:proofErr w:type="gramStart"/>
      <w:r>
        <w:t>a total of 60</w:t>
      </w:r>
      <w:proofErr w:type="gramEnd"/>
      <w:r>
        <w:t xml:space="preserve"> respondents (10</w:t>
      </w:r>
      <w:r w:rsidRPr="00383149">
        <w:t xml:space="preserve"> </w:t>
      </w:r>
      <w:r>
        <w:t>participants × 6</w:t>
      </w:r>
      <w:r w:rsidRPr="00383149">
        <w:t xml:space="preserve"> grantees). </w:t>
      </w:r>
    </w:p>
    <w:p w:rsidR="0074408F" w:rsidP="00B324C5" w:rsidRDefault="0074408F" w14:paraId="461AD72C" w14:textId="77777777">
      <w:pPr>
        <w:pStyle w:val="NumberedBullet"/>
        <w:numPr>
          <w:ilvl w:val="0"/>
          <w:numId w:val="0"/>
        </w:numPr>
        <w:ind w:left="360"/>
        <w:sectPr w:rsidR="0074408F" w:rsidSect="00FA1BE3">
          <w:headerReference w:type="default" r:id="rId11"/>
          <w:footerReference w:type="default" r:id="rId12"/>
          <w:headerReference w:type="first" r:id="rId13"/>
          <w:pgSz w:w="12240" w:h="15840"/>
          <w:pgMar w:top="1440" w:right="1440" w:bottom="1440" w:left="1440" w:header="720" w:footer="720" w:gutter="0"/>
          <w:cols w:space="720"/>
          <w:titlePg/>
          <w:docGrid w:linePitch="360"/>
        </w:sectPr>
      </w:pPr>
    </w:p>
    <w:p w:rsidR="00F16715" w:rsidP="00931AB6" w:rsidRDefault="00F16715" w14:paraId="0EBD8ABB" w14:textId="77777777">
      <w:pPr>
        <w:pStyle w:val="NumberedBullet"/>
        <w:numPr>
          <w:ilvl w:val="0"/>
          <w:numId w:val="0"/>
        </w:numPr>
        <w:ind w:left="360" w:firstLine="270"/>
      </w:pPr>
    </w:p>
    <w:p w:rsidR="00F63B73" w:rsidP="00F63B73" w:rsidRDefault="00F63B73" w14:paraId="187FCFF3" w14:textId="77777777">
      <w:pPr>
        <w:pStyle w:val="MarkforTableTitle"/>
      </w:pPr>
      <w:r>
        <w:t xml:space="preserve">Table A.3. Estimated Annualized Respondent Hour and Cost Burden </w:t>
      </w:r>
    </w:p>
    <w:tbl>
      <w:tblPr>
        <w:tblStyle w:val="SMPRTableBlack"/>
        <w:tblW w:w="5670" w:type="pct"/>
        <w:tblInd w:w="-450" w:type="dxa"/>
        <w:tblLayout w:type="fixed"/>
        <w:tblLook w:val="0000" w:firstRow="0" w:lastRow="0" w:firstColumn="0" w:lastColumn="0" w:noHBand="0" w:noVBand="0"/>
      </w:tblPr>
      <w:tblGrid>
        <w:gridCol w:w="2993"/>
        <w:gridCol w:w="1869"/>
        <w:gridCol w:w="1746"/>
        <w:gridCol w:w="1746"/>
        <w:gridCol w:w="1620"/>
        <w:gridCol w:w="1496"/>
        <w:gridCol w:w="1493"/>
        <w:gridCol w:w="1734"/>
      </w:tblGrid>
      <w:tr w:rsidRPr="00C62A6D" w:rsidR="00592A4A" w:rsidTr="00A83EF6" w14:paraId="67871CBA" w14:textId="77777777">
        <w:tc>
          <w:tcPr>
            <w:tcW w:w="1018" w:type="pct"/>
            <w:tcBorders>
              <w:top w:val="single" w:color="auto" w:sz="12" w:space="0"/>
              <w:bottom w:val="single" w:color="auto" w:sz="4" w:space="0"/>
            </w:tcBorders>
            <w:shd w:val="clear" w:color="auto" w:fill="6C6F70"/>
          </w:tcPr>
          <w:p w:rsidRPr="00C62A6D" w:rsidR="00037B93" w:rsidP="00EE0042" w:rsidRDefault="00037B93" w14:paraId="7A59509A" w14:textId="77777777">
            <w:pPr>
              <w:pStyle w:val="TableHeaderLeft"/>
              <w:jc w:val="center"/>
            </w:pPr>
            <w:r w:rsidRPr="00C62A6D">
              <w:t>Data Collection Activity</w:t>
            </w:r>
          </w:p>
        </w:tc>
        <w:tc>
          <w:tcPr>
            <w:tcW w:w="636" w:type="pct"/>
            <w:tcBorders>
              <w:top w:val="single" w:color="auto" w:sz="12" w:space="0"/>
              <w:bottom w:val="single" w:color="auto" w:sz="4" w:space="0"/>
            </w:tcBorders>
            <w:shd w:val="clear" w:color="auto" w:fill="6C6F70"/>
          </w:tcPr>
          <w:p w:rsidRPr="00C62A6D" w:rsidR="00037B93" w:rsidP="00EE0042" w:rsidRDefault="00037B93" w14:paraId="4F760E0B" w14:textId="77777777">
            <w:pPr>
              <w:pStyle w:val="TableHeaderCenter"/>
            </w:pPr>
            <w:r w:rsidRPr="00C62A6D">
              <w:t>Annual number of respondents</w:t>
            </w:r>
          </w:p>
        </w:tc>
        <w:tc>
          <w:tcPr>
            <w:tcW w:w="594" w:type="pct"/>
            <w:tcBorders>
              <w:top w:val="single" w:color="auto" w:sz="12" w:space="0"/>
              <w:bottom w:val="single" w:color="auto" w:sz="4" w:space="0"/>
            </w:tcBorders>
            <w:shd w:val="clear" w:color="auto" w:fill="6C6F70"/>
          </w:tcPr>
          <w:p w:rsidRPr="00C62A6D" w:rsidR="00037B93" w:rsidP="00EE0042" w:rsidRDefault="00037B93" w14:paraId="7F059DA0" w14:textId="77777777">
            <w:pPr>
              <w:pStyle w:val="TableHeaderCenter"/>
            </w:pPr>
            <w:r w:rsidRPr="00C62A6D">
              <w:t>Number of responses per respondent</w:t>
            </w:r>
          </w:p>
        </w:tc>
        <w:tc>
          <w:tcPr>
            <w:tcW w:w="594" w:type="pct"/>
            <w:tcBorders>
              <w:top w:val="single" w:color="auto" w:sz="12" w:space="0"/>
              <w:bottom w:val="single" w:color="auto" w:sz="4" w:space="0"/>
            </w:tcBorders>
            <w:shd w:val="clear" w:color="auto" w:fill="6C6F70"/>
          </w:tcPr>
          <w:p w:rsidRPr="00C62A6D" w:rsidR="00037B93" w:rsidP="008F20DD" w:rsidRDefault="00037B93" w14:paraId="157CF6F8" w14:textId="77777777">
            <w:pPr>
              <w:pStyle w:val="TableHeaderCenter"/>
            </w:pPr>
            <w:r w:rsidRPr="00C62A6D">
              <w:t xml:space="preserve">Total </w:t>
            </w:r>
            <w:r w:rsidR="008F20DD">
              <w:t>n</w:t>
            </w:r>
            <w:r w:rsidRPr="00C62A6D">
              <w:t xml:space="preserve">umber of </w:t>
            </w:r>
            <w:r w:rsidR="008F20DD">
              <w:t>r</w:t>
            </w:r>
            <w:r w:rsidRPr="00C62A6D">
              <w:t>esponses</w:t>
            </w:r>
          </w:p>
        </w:tc>
        <w:tc>
          <w:tcPr>
            <w:tcW w:w="551" w:type="pct"/>
            <w:tcBorders>
              <w:top w:val="single" w:color="auto" w:sz="12" w:space="0"/>
              <w:bottom w:val="single" w:color="auto" w:sz="4" w:space="0"/>
            </w:tcBorders>
            <w:shd w:val="clear" w:color="auto" w:fill="6C6F70"/>
          </w:tcPr>
          <w:p w:rsidRPr="00C62A6D" w:rsidR="00037B93" w:rsidP="008F20DD" w:rsidRDefault="00037B93" w14:paraId="761B34AC" w14:textId="77777777">
            <w:pPr>
              <w:pStyle w:val="TableHeaderCenter"/>
            </w:pPr>
            <w:r w:rsidRPr="00C62A6D">
              <w:t xml:space="preserve">Average burden per response (in </w:t>
            </w:r>
            <w:r w:rsidR="008F20DD">
              <w:t>h</w:t>
            </w:r>
            <w:r w:rsidRPr="00C62A6D">
              <w:t>ours)</w:t>
            </w:r>
          </w:p>
        </w:tc>
        <w:tc>
          <w:tcPr>
            <w:tcW w:w="509" w:type="pct"/>
            <w:tcBorders>
              <w:top w:val="single" w:color="auto" w:sz="12" w:space="0"/>
              <w:bottom w:val="single" w:color="auto" w:sz="4" w:space="0"/>
            </w:tcBorders>
            <w:shd w:val="clear" w:color="auto" w:fill="6C6F70"/>
          </w:tcPr>
          <w:p w:rsidRPr="00C62A6D" w:rsidR="00037B93" w:rsidP="00EE0042" w:rsidRDefault="00037B93" w14:paraId="0CC0AD9D" w14:textId="77777777">
            <w:pPr>
              <w:pStyle w:val="TableHeaderCenter"/>
            </w:pPr>
            <w:r w:rsidRPr="00C62A6D">
              <w:t>Annual</w:t>
            </w:r>
            <w:r w:rsidRPr="00C62A6D">
              <w:br/>
              <w:t>estimated burden hours</w:t>
            </w:r>
          </w:p>
        </w:tc>
        <w:tc>
          <w:tcPr>
            <w:tcW w:w="508" w:type="pct"/>
            <w:tcBorders>
              <w:top w:val="single" w:color="auto" w:sz="12" w:space="0"/>
              <w:bottom w:val="single" w:color="auto" w:sz="4" w:space="0"/>
            </w:tcBorders>
            <w:shd w:val="clear" w:color="auto" w:fill="6C6F70"/>
          </w:tcPr>
          <w:p w:rsidRPr="00C62A6D" w:rsidR="00037B93" w:rsidP="00A36079" w:rsidRDefault="00037B93" w14:paraId="56D10EB7" w14:textId="77777777">
            <w:pPr>
              <w:pStyle w:val="TableHeaderCenter"/>
            </w:pPr>
            <w:r w:rsidRPr="00C62A6D">
              <w:t xml:space="preserve">Average hourly </w:t>
            </w:r>
            <w:r w:rsidRPr="00C62A6D" w:rsidR="00F707EE">
              <w:rPr>
                <w:vertAlign w:val="superscript"/>
              </w:rPr>
              <w:t>a</w:t>
            </w:r>
          </w:p>
        </w:tc>
        <w:tc>
          <w:tcPr>
            <w:tcW w:w="590" w:type="pct"/>
            <w:tcBorders>
              <w:top w:val="single" w:color="auto" w:sz="12" w:space="0"/>
              <w:bottom w:val="single" w:color="auto" w:sz="4" w:space="0"/>
            </w:tcBorders>
            <w:shd w:val="clear" w:color="auto" w:fill="6C6F70"/>
          </w:tcPr>
          <w:p w:rsidRPr="00C62A6D" w:rsidR="00037B93" w:rsidP="00EE0042" w:rsidRDefault="00037B93" w14:paraId="2D2E628A" w14:textId="77777777">
            <w:pPr>
              <w:pStyle w:val="TableHeaderCenter"/>
            </w:pPr>
            <w:r w:rsidRPr="00C62A6D">
              <w:t>Annual monetized burden hours</w:t>
            </w:r>
          </w:p>
        </w:tc>
      </w:tr>
      <w:tr w:rsidRPr="00C62A6D" w:rsidR="00A83EF6" w:rsidTr="00383149" w14:paraId="04930F0D" w14:textId="77777777">
        <w:tc>
          <w:tcPr>
            <w:tcW w:w="1018" w:type="pct"/>
            <w:tcBorders>
              <w:top w:val="single" w:color="auto" w:sz="4" w:space="0"/>
              <w:bottom w:val="nil"/>
            </w:tcBorders>
            <w:vAlign w:val="top"/>
          </w:tcPr>
          <w:p w:rsidRPr="00C62A6D" w:rsidR="00A83EF6" w:rsidP="00200E66" w:rsidRDefault="00200E66" w14:paraId="4565E82F" w14:textId="77777777">
            <w:pPr>
              <w:pStyle w:val="TableText"/>
              <w:spacing w:before="60" w:after="60"/>
            </w:pPr>
            <w:r w:rsidRPr="00200E66">
              <w:rPr>
                <w:color w:val="000000"/>
                <w:szCs w:val="18"/>
              </w:rPr>
              <w:t>Semi-structured program stakeholder interviews (in-person)</w:t>
            </w:r>
            <w:r>
              <w:rPr>
                <w:color w:val="000000"/>
                <w:szCs w:val="18"/>
              </w:rPr>
              <w:t xml:space="preserve">: </w:t>
            </w:r>
            <w:r w:rsidR="007169A2">
              <w:rPr>
                <w:color w:val="000000"/>
                <w:szCs w:val="18"/>
              </w:rPr>
              <w:t xml:space="preserve">State and local </w:t>
            </w:r>
            <w:r>
              <w:rPr>
                <w:color w:val="000000"/>
                <w:szCs w:val="18"/>
              </w:rPr>
              <w:t xml:space="preserve">administrator, </w:t>
            </w:r>
            <w:r w:rsidR="007169A2">
              <w:rPr>
                <w:color w:val="000000"/>
                <w:szCs w:val="18"/>
              </w:rPr>
              <w:t xml:space="preserve">staff and </w:t>
            </w:r>
            <w:proofErr w:type="spellStart"/>
            <w:r w:rsidR="007169A2">
              <w:rPr>
                <w:color w:val="000000"/>
                <w:szCs w:val="18"/>
              </w:rPr>
              <w:t>partners</w:t>
            </w:r>
            <w:r w:rsidR="007169A2">
              <w:rPr>
                <w:color w:val="000000"/>
                <w:szCs w:val="18"/>
                <w:vertAlign w:val="superscript"/>
              </w:rPr>
              <w:t>b</w:t>
            </w:r>
            <w:proofErr w:type="spellEnd"/>
          </w:p>
        </w:tc>
        <w:tc>
          <w:tcPr>
            <w:tcW w:w="636" w:type="pct"/>
            <w:tcBorders>
              <w:top w:val="single" w:color="auto" w:sz="4" w:space="0"/>
              <w:bottom w:val="nil"/>
            </w:tcBorders>
            <w:vAlign w:val="top"/>
          </w:tcPr>
          <w:p w:rsidRPr="00C62A6D" w:rsidR="00A83EF6" w:rsidRDefault="00E0106A" w14:paraId="71891A07" w14:textId="77777777">
            <w:pPr>
              <w:pStyle w:val="TableText"/>
              <w:spacing w:before="60" w:after="60"/>
              <w:ind w:right="144"/>
              <w:jc w:val="center"/>
            </w:pPr>
            <w:r>
              <w:rPr>
                <w:color w:val="000000"/>
                <w:szCs w:val="18"/>
              </w:rPr>
              <w:t>60</w:t>
            </w:r>
          </w:p>
        </w:tc>
        <w:tc>
          <w:tcPr>
            <w:tcW w:w="594" w:type="pct"/>
            <w:tcBorders>
              <w:top w:val="single" w:color="auto" w:sz="4" w:space="0"/>
              <w:bottom w:val="nil"/>
            </w:tcBorders>
            <w:vAlign w:val="top"/>
          </w:tcPr>
          <w:p w:rsidRPr="00C62A6D" w:rsidR="00A83EF6" w:rsidRDefault="00A83EF6" w14:paraId="33B87F45" w14:textId="77777777">
            <w:pPr>
              <w:pStyle w:val="TableText"/>
              <w:spacing w:before="60" w:after="60"/>
              <w:ind w:right="144"/>
              <w:jc w:val="center"/>
            </w:pPr>
            <w:r>
              <w:rPr>
                <w:rFonts w:cs="Arial"/>
                <w:color w:val="000000"/>
                <w:szCs w:val="18"/>
              </w:rPr>
              <w:t>1</w:t>
            </w:r>
          </w:p>
        </w:tc>
        <w:tc>
          <w:tcPr>
            <w:tcW w:w="594" w:type="pct"/>
            <w:tcBorders>
              <w:top w:val="single" w:color="auto" w:sz="4" w:space="0"/>
              <w:bottom w:val="nil"/>
            </w:tcBorders>
            <w:vAlign w:val="top"/>
          </w:tcPr>
          <w:p w:rsidRPr="00C62A6D" w:rsidR="00A83EF6" w:rsidP="005A721F" w:rsidRDefault="005A721F" w14:paraId="47F7564E" w14:textId="77777777">
            <w:pPr>
              <w:pStyle w:val="TableText"/>
              <w:spacing w:before="60" w:after="60"/>
              <w:ind w:right="144"/>
              <w:jc w:val="center"/>
            </w:pPr>
            <w:r>
              <w:rPr>
                <w:color w:val="000000"/>
                <w:szCs w:val="18"/>
              </w:rPr>
              <w:t>60</w:t>
            </w:r>
          </w:p>
        </w:tc>
        <w:tc>
          <w:tcPr>
            <w:tcW w:w="551" w:type="pct"/>
            <w:tcBorders>
              <w:top w:val="single" w:color="auto" w:sz="4" w:space="0"/>
              <w:bottom w:val="nil"/>
            </w:tcBorders>
            <w:vAlign w:val="top"/>
          </w:tcPr>
          <w:p w:rsidRPr="00C62A6D" w:rsidR="00A83EF6" w:rsidRDefault="007169A2" w14:paraId="76B6B8D0" w14:textId="77777777">
            <w:pPr>
              <w:pStyle w:val="TableText"/>
              <w:spacing w:before="60" w:after="60"/>
              <w:ind w:right="144"/>
              <w:jc w:val="center"/>
            </w:pPr>
            <w:r>
              <w:rPr>
                <w:rFonts w:cs="Arial"/>
                <w:color w:val="000000"/>
                <w:szCs w:val="18"/>
              </w:rPr>
              <w:t>1</w:t>
            </w:r>
            <w:r w:rsidR="006101B5">
              <w:rPr>
                <w:rFonts w:cs="Arial"/>
                <w:color w:val="000000"/>
                <w:szCs w:val="18"/>
              </w:rPr>
              <w:t>.5</w:t>
            </w:r>
          </w:p>
        </w:tc>
        <w:tc>
          <w:tcPr>
            <w:tcW w:w="509" w:type="pct"/>
            <w:tcBorders>
              <w:top w:val="single" w:color="auto" w:sz="4" w:space="0"/>
              <w:bottom w:val="nil"/>
            </w:tcBorders>
            <w:vAlign w:val="top"/>
          </w:tcPr>
          <w:p w:rsidRPr="00C62A6D" w:rsidR="00A83EF6" w:rsidRDefault="00F57E70" w14:paraId="5ADCF288" w14:textId="77777777">
            <w:pPr>
              <w:pStyle w:val="TableText"/>
              <w:spacing w:before="60" w:after="60"/>
              <w:ind w:right="144"/>
              <w:jc w:val="center"/>
            </w:pPr>
            <w:r>
              <w:rPr>
                <w:rFonts w:cs="Arial"/>
                <w:color w:val="000000"/>
                <w:szCs w:val="18"/>
              </w:rPr>
              <w:t>90</w:t>
            </w:r>
          </w:p>
        </w:tc>
        <w:tc>
          <w:tcPr>
            <w:tcW w:w="508" w:type="pct"/>
            <w:tcBorders>
              <w:top w:val="single" w:color="auto" w:sz="4" w:space="0"/>
              <w:bottom w:val="nil"/>
            </w:tcBorders>
            <w:vAlign w:val="top"/>
          </w:tcPr>
          <w:p w:rsidRPr="00C62A6D" w:rsidR="00A83EF6" w:rsidP="006101B5" w:rsidRDefault="00A83EF6" w14:paraId="695125B1" w14:textId="77777777">
            <w:pPr>
              <w:pStyle w:val="TableText"/>
              <w:spacing w:before="60" w:after="60"/>
              <w:ind w:right="144"/>
              <w:jc w:val="center"/>
            </w:pPr>
            <w:r>
              <w:rPr>
                <w:rFonts w:cs="Arial"/>
                <w:color w:val="000000"/>
                <w:szCs w:val="18"/>
              </w:rPr>
              <w:t>$</w:t>
            </w:r>
            <w:r w:rsidR="00174FF5">
              <w:rPr>
                <w:rFonts w:cs="Arial"/>
                <w:color w:val="000000"/>
                <w:szCs w:val="18"/>
              </w:rPr>
              <w:t>45.87</w:t>
            </w:r>
          </w:p>
        </w:tc>
        <w:tc>
          <w:tcPr>
            <w:tcW w:w="590" w:type="pct"/>
            <w:tcBorders>
              <w:top w:val="single" w:color="auto" w:sz="4" w:space="0"/>
              <w:bottom w:val="nil"/>
            </w:tcBorders>
            <w:vAlign w:val="top"/>
          </w:tcPr>
          <w:p w:rsidR="00A83EF6" w:rsidP="00034A9D" w:rsidRDefault="00200E66" w14:paraId="691FF2C8" w14:textId="77777777">
            <w:pPr>
              <w:pStyle w:val="TableText"/>
              <w:spacing w:before="60" w:after="60"/>
              <w:ind w:right="144"/>
              <w:jc w:val="center"/>
              <w:rPr>
                <w:rFonts w:cs="Arial"/>
                <w:color w:val="000000"/>
                <w:szCs w:val="18"/>
              </w:rPr>
            </w:pPr>
            <w:r>
              <w:rPr>
                <w:rFonts w:cs="Arial"/>
                <w:color w:val="000000"/>
                <w:szCs w:val="18"/>
              </w:rPr>
              <w:t>$</w:t>
            </w:r>
            <w:r w:rsidR="00F57E70">
              <w:rPr>
                <w:rFonts w:cs="Arial"/>
                <w:color w:val="000000"/>
                <w:szCs w:val="18"/>
              </w:rPr>
              <w:t>4,</w:t>
            </w:r>
            <w:r w:rsidR="00440D20">
              <w:rPr>
                <w:rFonts w:cs="Arial"/>
                <w:color w:val="000000"/>
                <w:szCs w:val="18"/>
              </w:rPr>
              <w:t>128</w:t>
            </w:r>
          </w:p>
          <w:p w:rsidRPr="00C62A6D" w:rsidR="00034A9D" w:rsidP="00034A9D" w:rsidRDefault="00034A9D" w14:paraId="09B1C9B0" w14:textId="77777777">
            <w:pPr>
              <w:pStyle w:val="TableText"/>
              <w:spacing w:before="60" w:after="60"/>
              <w:ind w:right="144"/>
              <w:jc w:val="center"/>
            </w:pPr>
          </w:p>
        </w:tc>
      </w:tr>
      <w:tr w:rsidRPr="00C62A6D" w:rsidR="00A83EF6" w:rsidTr="00383149" w14:paraId="64A6E52F" w14:textId="77777777">
        <w:tc>
          <w:tcPr>
            <w:tcW w:w="1018" w:type="pct"/>
            <w:tcBorders>
              <w:top w:val="single" w:color="auto" w:sz="4" w:space="0"/>
              <w:bottom w:val="nil"/>
            </w:tcBorders>
            <w:vAlign w:val="top"/>
          </w:tcPr>
          <w:p w:rsidRPr="00C62A6D" w:rsidR="00A83EF6" w:rsidP="00A83EF6" w:rsidRDefault="00034A9D" w14:paraId="18B51C59" w14:textId="77777777">
            <w:pPr>
              <w:pStyle w:val="TableText"/>
              <w:spacing w:before="60" w:after="60"/>
            </w:pPr>
            <w:r>
              <w:t xml:space="preserve">Respondent </w:t>
            </w:r>
            <w:r w:rsidR="00A2051A">
              <w:t>information form</w:t>
            </w:r>
            <w:r>
              <w:t xml:space="preserve">: </w:t>
            </w:r>
            <w:r w:rsidRPr="00034A9D">
              <w:t>State and local administrator, staff and partners</w:t>
            </w:r>
          </w:p>
        </w:tc>
        <w:tc>
          <w:tcPr>
            <w:tcW w:w="636" w:type="pct"/>
            <w:tcBorders>
              <w:top w:val="single" w:color="auto" w:sz="4" w:space="0"/>
              <w:bottom w:val="nil"/>
            </w:tcBorders>
            <w:vAlign w:val="top"/>
          </w:tcPr>
          <w:p w:rsidRPr="00C62A6D" w:rsidR="00A83EF6" w:rsidRDefault="00E45667" w14:paraId="770D45C4" w14:textId="77777777">
            <w:pPr>
              <w:pStyle w:val="TableText"/>
              <w:spacing w:before="60" w:after="60"/>
              <w:ind w:right="144"/>
              <w:jc w:val="center"/>
            </w:pPr>
            <w:r>
              <w:rPr>
                <w:rFonts w:cs="Arial"/>
                <w:color w:val="000000"/>
                <w:szCs w:val="18"/>
              </w:rPr>
              <w:t>60</w:t>
            </w:r>
          </w:p>
        </w:tc>
        <w:tc>
          <w:tcPr>
            <w:tcW w:w="594" w:type="pct"/>
            <w:tcBorders>
              <w:top w:val="single" w:color="auto" w:sz="4" w:space="0"/>
              <w:bottom w:val="nil"/>
            </w:tcBorders>
            <w:vAlign w:val="top"/>
          </w:tcPr>
          <w:p w:rsidRPr="00C62A6D" w:rsidR="00A83EF6" w:rsidRDefault="00A83EF6" w14:paraId="533A5C53" w14:textId="77777777">
            <w:pPr>
              <w:pStyle w:val="TableText"/>
              <w:spacing w:before="60" w:after="60"/>
              <w:ind w:right="144"/>
              <w:jc w:val="center"/>
            </w:pPr>
            <w:r>
              <w:rPr>
                <w:rFonts w:cs="Arial"/>
                <w:color w:val="000000"/>
                <w:szCs w:val="18"/>
              </w:rPr>
              <w:t>1</w:t>
            </w:r>
          </w:p>
        </w:tc>
        <w:tc>
          <w:tcPr>
            <w:tcW w:w="594" w:type="pct"/>
            <w:tcBorders>
              <w:top w:val="single" w:color="auto" w:sz="4" w:space="0"/>
              <w:bottom w:val="nil"/>
            </w:tcBorders>
            <w:vAlign w:val="top"/>
          </w:tcPr>
          <w:p w:rsidRPr="00C62A6D" w:rsidR="00A83EF6" w:rsidRDefault="005A721F" w14:paraId="00F4BA31" w14:textId="77777777">
            <w:pPr>
              <w:pStyle w:val="TableText"/>
              <w:spacing w:before="60" w:after="60"/>
              <w:ind w:right="144"/>
              <w:jc w:val="center"/>
            </w:pPr>
            <w:r>
              <w:t>6</w:t>
            </w:r>
            <w:r w:rsidR="00034A9D">
              <w:t>0</w:t>
            </w:r>
          </w:p>
        </w:tc>
        <w:tc>
          <w:tcPr>
            <w:tcW w:w="551" w:type="pct"/>
            <w:tcBorders>
              <w:top w:val="single" w:color="auto" w:sz="4" w:space="0"/>
              <w:bottom w:val="nil"/>
            </w:tcBorders>
            <w:vAlign w:val="top"/>
          </w:tcPr>
          <w:p w:rsidRPr="00C62A6D" w:rsidR="00A83EF6" w:rsidP="00513F3D" w:rsidRDefault="00513F3D" w14:paraId="47979BB4" w14:textId="77777777">
            <w:pPr>
              <w:pStyle w:val="TableText"/>
              <w:spacing w:before="60" w:after="60"/>
              <w:ind w:right="144"/>
              <w:jc w:val="center"/>
            </w:pPr>
            <w:r>
              <w:rPr>
                <w:rFonts w:cs="Arial"/>
                <w:color w:val="000000"/>
                <w:szCs w:val="18"/>
              </w:rPr>
              <w:t>0.083</w:t>
            </w:r>
          </w:p>
        </w:tc>
        <w:tc>
          <w:tcPr>
            <w:tcW w:w="509" w:type="pct"/>
            <w:tcBorders>
              <w:top w:val="single" w:color="auto" w:sz="4" w:space="0"/>
              <w:bottom w:val="nil"/>
            </w:tcBorders>
            <w:vAlign w:val="top"/>
          </w:tcPr>
          <w:p w:rsidRPr="00C62A6D" w:rsidR="00A83EF6" w:rsidRDefault="00662512" w14:paraId="1E3D212F" w14:textId="77777777">
            <w:pPr>
              <w:pStyle w:val="TableText"/>
              <w:spacing w:before="60" w:after="60"/>
              <w:ind w:right="144"/>
              <w:jc w:val="center"/>
            </w:pPr>
            <w:r>
              <w:t>5</w:t>
            </w:r>
          </w:p>
        </w:tc>
        <w:tc>
          <w:tcPr>
            <w:tcW w:w="508" w:type="pct"/>
            <w:tcBorders>
              <w:top w:val="single" w:color="auto" w:sz="4" w:space="0"/>
              <w:bottom w:val="nil"/>
            </w:tcBorders>
            <w:vAlign w:val="top"/>
          </w:tcPr>
          <w:p w:rsidRPr="00C62A6D" w:rsidR="00A83EF6" w:rsidP="006101B5" w:rsidRDefault="00625999" w14:paraId="2A2ED062" w14:textId="77777777">
            <w:pPr>
              <w:pStyle w:val="TableText"/>
              <w:spacing w:before="60" w:after="60"/>
              <w:ind w:right="144"/>
              <w:jc w:val="center"/>
            </w:pPr>
            <w:r>
              <w:rPr>
                <w:rFonts w:cs="Arial"/>
                <w:color w:val="000000"/>
                <w:szCs w:val="18"/>
              </w:rPr>
              <w:t>$4</w:t>
            </w:r>
            <w:r w:rsidR="006101B5">
              <w:rPr>
                <w:rFonts w:cs="Arial"/>
                <w:color w:val="000000"/>
                <w:szCs w:val="18"/>
              </w:rPr>
              <w:t>5.</w:t>
            </w:r>
            <w:r w:rsidR="00174FF5">
              <w:rPr>
                <w:rFonts w:cs="Arial"/>
                <w:color w:val="000000"/>
                <w:szCs w:val="18"/>
              </w:rPr>
              <w:t>87</w:t>
            </w:r>
          </w:p>
        </w:tc>
        <w:tc>
          <w:tcPr>
            <w:tcW w:w="590" w:type="pct"/>
            <w:tcBorders>
              <w:top w:val="single" w:color="auto" w:sz="4" w:space="0"/>
              <w:bottom w:val="nil"/>
            </w:tcBorders>
            <w:vAlign w:val="top"/>
          </w:tcPr>
          <w:p w:rsidRPr="00C62A6D" w:rsidR="00A83EF6" w:rsidRDefault="00625999" w14:paraId="60FCFDF1" w14:textId="77777777">
            <w:pPr>
              <w:pStyle w:val="TableText"/>
              <w:spacing w:before="60" w:after="60"/>
              <w:ind w:right="144"/>
              <w:jc w:val="center"/>
            </w:pPr>
            <w:r>
              <w:rPr>
                <w:rFonts w:cs="Arial"/>
                <w:color w:val="000000"/>
                <w:szCs w:val="18"/>
              </w:rPr>
              <w:t>$22</w:t>
            </w:r>
            <w:r w:rsidR="00440D20">
              <w:rPr>
                <w:rFonts w:cs="Arial"/>
                <w:color w:val="000000"/>
                <w:szCs w:val="18"/>
              </w:rPr>
              <w:t>9.35</w:t>
            </w:r>
          </w:p>
        </w:tc>
      </w:tr>
      <w:tr w:rsidRPr="00C62A6D" w:rsidR="00B14326" w:rsidTr="00383149" w14:paraId="49406F54" w14:textId="77777777">
        <w:tc>
          <w:tcPr>
            <w:tcW w:w="1018" w:type="pct"/>
            <w:tcBorders>
              <w:top w:val="single" w:color="auto" w:sz="4" w:space="0"/>
              <w:bottom w:val="nil"/>
            </w:tcBorders>
            <w:vAlign w:val="top"/>
          </w:tcPr>
          <w:p w:rsidRPr="00FE5F08" w:rsidR="00B14326" w:rsidP="00B14326" w:rsidRDefault="00B14326" w14:paraId="71B325B8" w14:textId="77777777">
            <w:pPr>
              <w:pStyle w:val="TableText"/>
              <w:spacing w:before="60" w:after="60"/>
            </w:pPr>
            <w:r w:rsidRPr="00FE5F08">
              <w:t>Participant focus groups</w:t>
            </w:r>
          </w:p>
        </w:tc>
        <w:tc>
          <w:tcPr>
            <w:tcW w:w="636" w:type="pct"/>
            <w:tcBorders>
              <w:top w:val="single" w:color="auto" w:sz="4" w:space="0"/>
              <w:bottom w:val="nil"/>
            </w:tcBorders>
            <w:vAlign w:val="top"/>
          </w:tcPr>
          <w:p w:rsidR="00B14326" w:rsidP="00B14326" w:rsidRDefault="00763385" w14:paraId="00BB0865" w14:textId="77777777">
            <w:pPr>
              <w:pStyle w:val="TableText"/>
              <w:spacing w:before="60" w:after="60"/>
              <w:ind w:right="144"/>
              <w:jc w:val="center"/>
              <w:rPr>
                <w:rFonts w:cs="Arial"/>
                <w:color w:val="000000"/>
                <w:szCs w:val="18"/>
              </w:rPr>
            </w:pPr>
            <w:r>
              <w:rPr>
                <w:rFonts w:cs="Arial"/>
                <w:color w:val="000000"/>
                <w:szCs w:val="18"/>
              </w:rPr>
              <w:t>20</w:t>
            </w:r>
          </w:p>
        </w:tc>
        <w:tc>
          <w:tcPr>
            <w:tcW w:w="594" w:type="pct"/>
            <w:tcBorders>
              <w:top w:val="single" w:color="auto" w:sz="4" w:space="0"/>
              <w:bottom w:val="nil"/>
            </w:tcBorders>
            <w:vAlign w:val="top"/>
          </w:tcPr>
          <w:p w:rsidR="00B14326" w:rsidP="00B14326" w:rsidRDefault="00B14326" w14:paraId="223DCA9B" w14:textId="77777777">
            <w:pPr>
              <w:pStyle w:val="TableText"/>
              <w:spacing w:before="60" w:after="60"/>
              <w:ind w:right="144"/>
              <w:jc w:val="center"/>
              <w:rPr>
                <w:rFonts w:cs="Arial"/>
                <w:color w:val="000000"/>
                <w:szCs w:val="18"/>
              </w:rPr>
            </w:pPr>
            <w:r>
              <w:rPr>
                <w:rFonts w:cs="Arial"/>
                <w:color w:val="000000"/>
                <w:szCs w:val="18"/>
              </w:rPr>
              <w:t>1</w:t>
            </w:r>
          </w:p>
        </w:tc>
        <w:tc>
          <w:tcPr>
            <w:tcW w:w="594" w:type="pct"/>
            <w:tcBorders>
              <w:top w:val="single" w:color="auto" w:sz="4" w:space="0"/>
              <w:bottom w:val="nil"/>
            </w:tcBorders>
            <w:vAlign w:val="top"/>
          </w:tcPr>
          <w:p w:rsidR="00B14326" w:rsidP="00B14326" w:rsidRDefault="005A721F" w14:paraId="379273D4" w14:textId="77777777">
            <w:pPr>
              <w:pStyle w:val="TableText"/>
              <w:spacing w:before="60" w:after="60"/>
              <w:ind w:right="144"/>
              <w:jc w:val="center"/>
              <w:rPr>
                <w:rFonts w:cs="Arial"/>
                <w:color w:val="000000"/>
                <w:szCs w:val="18"/>
              </w:rPr>
            </w:pPr>
            <w:r>
              <w:rPr>
                <w:rFonts w:cs="Arial"/>
                <w:color w:val="000000"/>
                <w:szCs w:val="18"/>
              </w:rPr>
              <w:t>2</w:t>
            </w:r>
            <w:r w:rsidR="00B14326">
              <w:rPr>
                <w:rFonts w:cs="Arial"/>
                <w:color w:val="000000"/>
                <w:szCs w:val="18"/>
              </w:rPr>
              <w:t>0</w:t>
            </w:r>
          </w:p>
        </w:tc>
        <w:tc>
          <w:tcPr>
            <w:tcW w:w="551" w:type="pct"/>
            <w:tcBorders>
              <w:top w:val="single" w:color="auto" w:sz="4" w:space="0"/>
              <w:bottom w:val="nil"/>
            </w:tcBorders>
            <w:vAlign w:val="top"/>
          </w:tcPr>
          <w:p w:rsidR="00B14326" w:rsidP="00B14326" w:rsidRDefault="00034A9D" w14:paraId="087250FE" w14:textId="77777777">
            <w:pPr>
              <w:pStyle w:val="TableText"/>
              <w:spacing w:before="60" w:after="60"/>
              <w:ind w:right="144"/>
              <w:jc w:val="center"/>
              <w:rPr>
                <w:rFonts w:cs="Arial"/>
                <w:color w:val="000000"/>
                <w:szCs w:val="18"/>
              </w:rPr>
            </w:pPr>
            <w:r>
              <w:rPr>
                <w:rFonts w:cs="Arial"/>
                <w:color w:val="000000"/>
                <w:szCs w:val="18"/>
              </w:rPr>
              <w:t>1</w:t>
            </w:r>
          </w:p>
        </w:tc>
        <w:tc>
          <w:tcPr>
            <w:tcW w:w="509" w:type="pct"/>
            <w:tcBorders>
              <w:top w:val="single" w:color="auto" w:sz="4" w:space="0"/>
              <w:bottom w:val="nil"/>
            </w:tcBorders>
            <w:vAlign w:val="top"/>
          </w:tcPr>
          <w:p w:rsidR="00B14326" w:rsidP="00B14326" w:rsidRDefault="00763385" w14:paraId="2499C84A" w14:textId="77777777">
            <w:pPr>
              <w:pStyle w:val="TableText"/>
              <w:spacing w:before="60" w:after="60"/>
              <w:ind w:right="144"/>
              <w:jc w:val="center"/>
              <w:rPr>
                <w:rFonts w:cs="Arial"/>
                <w:color w:val="000000"/>
                <w:szCs w:val="18"/>
              </w:rPr>
            </w:pPr>
            <w:r>
              <w:rPr>
                <w:rFonts w:cs="Arial"/>
                <w:color w:val="000000"/>
                <w:szCs w:val="18"/>
              </w:rPr>
              <w:t>20</w:t>
            </w:r>
          </w:p>
        </w:tc>
        <w:tc>
          <w:tcPr>
            <w:tcW w:w="508" w:type="pct"/>
            <w:tcBorders>
              <w:top w:val="single" w:color="auto" w:sz="4" w:space="0"/>
              <w:bottom w:val="nil"/>
            </w:tcBorders>
            <w:vAlign w:val="top"/>
          </w:tcPr>
          <w:p w:rsidR="00B14326" w:rsidP="006101B5" w:rsidRDefault="00B14326" w14:paraId="3AA57236" w14:textId="77777777">
            <w:pPr>
              <w:pStyle w:val="TableText"/>
              <w:spacing w:before="60" w:after="60"/>
              <w:ind w:right="144"/>
              <w:jc w:val="center"/>
              <w:rPr>
                <w:rFonts w:cs="Arial"/>
                <w:color w:val="000000"/>
                <w:szCs w:val="18"/>
              </w:rPr>
            </w:pPr>
            <w:r>
              <w:rPr>
                <w:rFonts w:cs="Arial"/>
                <w:color w:val="000000"/>
                <w:szCs w:val="18"/>
              </w:rPr>
              <w:t>$</w:t>
            </w:r>
            <w:r w:rsidR="00174FF5">
              <w:rPr>
                <w:rFonts w:cs="Arial"/>
                <w:color w:val="000000"/>
                <w:szCs w:val="18"/>
              </w:rPr>
              <w:t>19.17</w:t>
            </w:r>
          </w:p>
        </w:tc>
        <w:tc>
          <w:tcPr>
            <w:tcW w:w="590" w:type="pct"/>
            <w:tcBorders>
              <w:top w:val="single" w:color="auto" w:sz="4" w:space="0"/>
              <w:bottom w:val="nil"/>
            </w:tcBorders>
            <w:vAlign w:val="top"/>
          </w:tcPr>
          <w:p w:rsidR="00B14326" w:rsidP="00F57E70" w:rsidRDefault="00763385" w14:paraId="781B4559" w14:textId="77777777">
            <w:pPr>
              <w:pStyle w:val="TableText"/>
              <w:spacing w:before="60" w:after="60"/>
              <w:ind w:right="144"/>
              <w:jc w:val="center"/>
              <w:rPr>
                <w:rFonts w:cs="Arial"/>
                <w:color w:val="000000"/>
                <w:szCs w:val="18"/>
              </w:rPr>
            </w:pPr>
            <w:r>
              <w:rPr>
                <w:rFonts w:cs="Arial"/>
                <w:color w:val="000000"/>
                <w:szCs w:val="18"/>
              </w:rPr>
              <w:t>$</w:t>
            </w:r>
            <w:r w:rsidR="00F57E70">
              <w:rPr>
                <w:rFonts w:cs="Arial"/>
                <w:color w:val="000000"/>
                <w:szCs w:val="18"/>
              </w:rPr>
              <w:t>3</w:t>
            </w:r>
            <w:r w:rsidR="00440D20">
              <w:rPr>
                <w:rFonts w:cs="Arial"/>
                <w:color w:val="000000"/>
                <w:szCs w:val="18"/>
              </w:rPr>
              <w:t>83.40</w:t>
            </w:r>
          </w:p>
        </w:tc>
      </w:tr>
      <w:tr w:rsidRPr="00C62A6D" w:rsidR="00F75014" w:rsidTr="00383149" w14:paraId="745531CF" w14:textId="77777777">
        <w:tc>
          <w:tcPr>
            <w:tcW w:w="1018" w:type="pct"/>
            <w:tcBorders>
              <w:top w:val="single" w:color="auto" w:sz="4" w:space="0"/>
              <w:bottom w:val="nil"/>
            </w:tcBorders>
            <w:vAlign w:val="top"/>
          </w:tcPr>
          <w:p w:rsidRPr="00FE5F08" w:rsidR="00F75014" w:rsidP="00B14326" w:rsidRDefault="00513F3D" w14:paraId="47FBB711" w14:textId="77777777">
            <w:pPr>
              <w:pStyle w:val="TableText"/>
              <w:spacing w:before="60" w:after="60"/>
            </w:pPr>
            <w:r>
              <w:t>Participant focus group information form</w:t>
            </w:r>
          </w:p>
        </w:tc>
        <w:tc>
          <w:tcPr>
            <w:tcW w:w="636" w:type="pct"/>
            <w:tcBorders>
              <w:top w:val="single" w:color="auto" w:sz="4" w:space="0"/>
              <w:bottom w:val="nil"/>
            </w:tcBorders>
            <w:vAlign w:val="top"/>
          </w:tcPr>
          <w:p w:rsidR="00F75014" w:rsidP="00B14326" w:rsidRDefault="00513F3D" w14:paraId="1EAAE0F1" w14:textId="77777777">
            <w:pPr>
              <w:pStyle w:val="TableText"/>
              <w:spacing w:before="60" w:after="60"/>
              <w:ind w:right="144"/>
              <w:jc w:val="center"/>
              <w:rPr>
                <w:rFonts w:cs="Arial"/>
                <w:color w:val="000000"/>
                <w:szCs w:val="18"/>
              </w:rPr>
            </w:pPr>
            <w:r>
              <w:rPr>
                <w:rFonts w:cs="Arial"/>
                <w:color w:val="000000"/>
                <w:szCs w:val="18"/>
              </w:rPr>
              <w:t>20</w:t>
            </w:r>
          </w:p>
        </w:tc>
        <w:tc>
          <w:tcPr>
            <w:tcW w:w="594" w:type="pct"/>
            <w:tcBorders>
              <w:top w:val="single" w:color="auto" w:sz="4" w:space="0"/>
              <w:bottom w:val="nil"/>
            </w:tcBorders>
            <w:vAlign w:val="top"/>
          </w:tcPr>
          <w:p w:rsidR="00F75014" w:rsidP="00B14326" w:rsidRDefault="00513F3D" w14:paraId="1C844842" w14:textId="77777777">
            <w:pPr>
              <w:pStyle w:val="TableText"/>
              <w:spacing w:before="60" w:after="60"/>
              <w:ind w:right="144"/>
              <w:jc w:val="center"/>
              <w:rPr>
                <w:rFonts w:cs="Arial"/>
                <w:color w:val="000000"/>
                <w:szCs w:val="18"/>
              </w:rPr>
            </w:pPr>
            <w:r>
              <w:rPr>
                <w:rFonts w:cs="Arial"/>
                <w:color w:val="000000"/>
                <w:szCs w:val="18"/>
              </w:rPr>
              <w:t>1</w:t>
            </w:r>
          </w:p>
        </w:tc>
        <w:tc>
          <w:tcPr>
            <w:tcW w:w="594" w:type="pct"/>
            <w:tcBorders>
              <w:top w:val="single" w:color="auto" w:sz="4" w:space="0"/>
              <w:bottom w:val="nil"/>
            </w:tcBorders>
            <w:vAlign w:val="top"/>
          </w:tcPr>
          <w:p w:rsidR="00F75014" w:rsidP="00B14326" w:rsidRDefault="005A721F" w14:paraId="19D4C320" w14:textId="77777777">
            <w:pPr>
              <w:pStyle w:val="TableText"/>
              <w:spacing w:before="60" w:after="60"/>
              <w:ind w:right="144"/>
              <w:jc w:val="center"/>
              <w:rPr>
                <w:rFonts w:cs="Arial"/>
                <w:color w:val="000000"/>
                <w:szCs w:val="18"/>
              </w:rPr>
            </w:pPr>
            <w:r>
              <w:rPr>
                <w:rFonts w:cs="Arial"/>
                <w:color w:val="000000"/>
                <w:szCs w:val="18"/>
              </w:rPr>
              <w:t>2</w:t>
            </w:r>
            <w:r w:rsidR="00513F3D">
              <w:rPr>
                <w:rFonts w:cs="Arial"/>
                <w:color w:val="000000"/>
                <w:szCs w:val="18"/>
              </w:rPr>
              <w:t>0</w:t>
            </w:r>
          </w:p>
        </w:tc>
        <w:tc>
          <w:tcPr>
            <w:tcW w:w="551" w:type="pct"/>
            <w:tcBorders>
              <w:top w:val="single" w:color="auto" w:sz="4" w:space="0"/>
              <w:bottom w:val="nil"/>
            </w:tcBorders>
            <w:vAlign w:val="top"/>
          </w:tcPr>
          <w:p w:rsidR="00F75014" w:rsidP="00B14326" w:rsidRDefault="00513F3D" w14:paraId="124E707B" w14:textId="77777777">
            <w:pPr>
              <w:pStyle w:val="TableText"/>
              <w:spacing w:before="60" w:after="60"/>
              <w:ind w:right="144"/>
              <w:jc w:val="center"/>
              <w:rPr>
                <w:rFonts w:cs="Arial"/>
                <w:color w:val="000000"/>
                <w:szCs w:val="18"/>
              </w:rPr>
            </w:pPr>
            <w:r>
              <w:rPr>
                <w:rFonts w:cs="Arial"/>
                <w:color w:val="000000"/>
                <w:szCs w:val="18"/>
              </w:rPr>
              <w:t>0.083</w:t>
            </w:r>
          </w:p>
        </w:tc>
        <w:tc>
          <w:tcPr>
            <w:tcW w:w="509" w:type="pct"/>
            <w:tcBorders>
              <w:top w:val="single" w:color="auto" w:sz="4" w:space="0"/>
              <w:bottom w:val="nil"/>
            </w:tcBorders>
            <w:vAlign w:val="top"/>
          </w:tcPr>
          <w:p w:rsidR="00F75014" w:rsidP="00B14326" w:rsidRDefault="00513F3D" w14:paraId="663DC798" w14:textId="77777777">
            <w:pPr>
              <w:pStyle w:val="TableText"/>
              <w:spacing w:before="60" w:after="60"/>
              <w:ind w:right="144"/>
              <w:jc w:val="center"/>
              <w:rPr>
                <w:rFonts w:cs="Arial"/>
                <w:color w:val="000000"/>
                <w:szCs w:val="18"/>
              </w:rPr>
            </w:pPr>
            <w:r>
              <w:rPr>
                <w:rFonts w:cs="Arial"/>
                <w:color w:val="000000"/>
                <w:szCs w:val="18"/>
              </w:rPr>
              <w:t>1.67</w:t>
            </w:r>
          </w:p>
        </w:tc>
        <w:tc>
          <w:tcPr>
            <w:tcW w:w="508" w:type="pct"/>
            <w:tcBorders>
              <w:top w:val="single" w:color="auto" w:sz="4" w:space="0"/>
              <w:bottom w:val="nil"/>
            </w:tcBorders>
            <w:vAlign w:val="top"/>
          </w:tcPr>
          <w:p w:rsidR="00F75014" w:rsidP="006101B5" w:rsidRDefault="00513F3D" w14:paraId="6B1EF2CD" w14:textId="77777777">
            <w:pPr>
              <w:pStyle w:val="TableText"/>
              <w:spacing w:before="60" w:after="60"/>
              <w:ind w:right="144"/>
              <w:jc w:val="center"/>
              <w:rPr>
                <w:rFonts w:cs="Arial"/>
                <w:color w:val="000000"/>
                <w:szCs w:val="18"/>
              </w:rPr>
            </w:pPr>
            <w:r>
              <w:rPr>
                <w:rFonts w:cs="Arial"/>
                <w:color w:val="000000"/>
                <w:szCs w:val="18"/>
              </w:rPr>
              <w:t>$1</w:t>
            </w:r>
            <w:r w:rsidR="00174FF5">
              <w:rPr>
                <w:rFonts w:cs="Arial"/>
                <w:color w:val="000000"/>
                <w:szCs w:val="18"/>
              </w:rPr>
              <w:t>9.17</w:t>
            </w:r>
          </w:p>
        </w:tc>
        <w:tc>
          <w:tcPr>
            <w:tcW w:w="590" w:type="pct"/>
            <w:tcBorders>
              <w:top w:val="single" w:color="auto" w:sz="4" w:space="0"/>
              <w:bottom w:val="nil"/>
            </w:tcBorders>
            <w:vAlign w:val="top"/>
          </w:tcPr>
          <w:p w:rsidR="00F75014" w:rsidP="00F57E70" w:rsidRDefault="00662512" w14:paraId="1D55817C" w14:textId="77777777">
            <w:pPr>
              <w:pStyle w:val="TableText"/>
              <w:spacing w:before="60" w:after="60"/>
              <w:ind w:right="144"/>
              <w:jc w:val="center"/>
              <w:rPr>
                <w:rFonts w:cs="Arial"/>
                <w:color w:val="000000"/>
                <w:szCs w:val="18"/>
              </w:rPr>
            </w:pPr>
            <w:r>
              <w:rPr>
                <w:rFonts w:cs="Arial"/>
                <w:color w:val="000000"/>
                <w:szCs w:val="18"/>
              </w:rPr>
              <w:t>$</w:t>
            </w:r>
            <w:r w:rsidR="00F57E70">
              <w:rPr>
                <w:rFonts w:cs="Arial"/>
                <w:color w:val="000000"/>
                <w:szCs w:val="18"/>
              </w:rPr>
              <w:t>3</w:t>
            </w:r>
            <w:r w:rsidR="00440D20">
              <w:rPr>
                <w:rFonts w:cs="Arial"/>
                <w:color w:val="000000"/>
                <w:szCs w:val="18"/>
              </w:rPr>
              <w:t>2</w:t>
            </w:r>
          </w:p>
        </w:tc>
      </w:tr>
      <w:tr w:rsidRPr="0094551C" w:rsidR="00B14326" w:rsidTr="00383149" w14:paraId="3A16B691" w14:textId="77777777">
        <w:tc>
          <w:tcPr>
            <w:tcW w:w="1018" w:type="pct"/>
            <w:tcBorders>
              <w:top w:val="single" w:color="auto" w:sz="4" w:space="0"/>
              <w:bottom w:val="single" w:color="auto" w:sz="4" w:space="0"/>
            </w:tcBorders>
            <w:vAlign w:val="center"/>
          </w:tcPr>
          <w:p w:rsidRPr="00383149" w:rsidR="00B14326" w:rsidP="00B14326" w:rsidRDefault="00B14326" w14:paraId="0364C225" w14:textId="77777777">
            <w:pPr>
              <w:pStyle w:val="TableText"/>
              <w:tabs>
                <w:tab w:val="decimal" w:pos="489"/>
              </w:tabs>
              <w:spacing w:before="60" w:after="60"/>
              <w:rPr>
                <w:b/>
              </w:rPr>
            </w:pPr>
            <w:r w:rsidRPr="00383149">
              <w:rPr>
                <w:b/>
              </w:rPr>
              <w:t>Unduplicated Total</w:t>
            </w:r>
          </w:p>
        </w:tc>
        <w:tc>
          <w:tcPr>
            <w:tcW w:w="636" w:type="pct"/>
            <w:tcBorders>
              <w:top w:val="single" w:color="auto" w:sz="4" w:space="0"/>
              <w:bottom w:val="single" w:color="auto" w:sz="4" w:space="0"/>
            </w:tcBorders>
            <w:vAlign w:val="top"/>
          </w:tcPr>
          <w:p w:rsidRPr="00383149" w:rsidR="00B14326" w:rsidP="00B14326" w:rsidRDefault="00D86752" w14:paraId="4B78C74E" w14:textId="77777777">
            <w:pPr>
              <w:pStyle w:val="TableText"/>
              <w:spacing w:before="60" w:after="60"/>
              <w:ind w:right="144"/>
              <w:jc w:val="center"/>
              <w:rPr>
                <w:b/>
              </w:rPr>
            </w:pPr>
            <w:r>
              <w:rPr>
                <w:b/>
              </w:rPr>
              <w:t>80</w:t>
            </w:r>
            <w:r w:rsidRPr="002208BE" w:rsidR="002208BE">
              <w:rPr>
                <w:sz w:val="20"/>
                <w:vertAlign w:val="superscript"/>
              </w:rPr>
              <w:t>c</w:t>
            </w:r>
          </w:p>
        </w:tc>
        <w:tc>
          <w:tcPr>
            <w:tcW w:w="594" w:type="pct"/>
            <w:tcBorders>
              <w:top w:val="single" w:color="auto" w:sz="4" w:space="0"/>
              <w:bottom w:val="single" w:color="auto" w:sz="4" w:space="0"/>
            </w:tcBorders>
            <w:vAlign w:val="top"/>
          </w:tcPr>
          <w:p w:rsidRPr="00383149" w:rsidR="00B14326" w:rsidP="00B14326" w:rsidRDefault="00B14326" w14:paraId="7382C836" w14:textId="77777777">
            <w:pPr>
              <w:pStyle w:val="TableText"/>
              <w:spacing w:before="60" w:after="60"/>
              <w:ind w:right="144"/>
              <w:jc w:val="center"/>
              <w:rPr>
                <w:rFonts w:cs="Arial"/>
                <w:color w:val="000000"/>
                <w:szCs w:val="18"/>
              </w:rPr>
            </w:pPr>
            <w:r w:rsidRPr="00383149">
              <w:rPr>
                <w:rFonts w:cs="Arial"/>
                <w:color w:val="000000"/>
                <w:szCs w:val="18"/>
              </w:rPr>
              <w:t>--</w:t>
            </w:r>
          </w:p>
        </w:tc>
        <w:tc>
          <w:tcPr>
            <w:tcW w:w="594" w:type="pct"/>
            <w:tcBorders>
              <w:top w:val="single" w:color="auto" w:sz="4" w:space="0"/>
              <w:bottom w:val="single" w:color="auto" w:sz="4" w:space="0"/>
            </w:tcBorders>
            <w:vAlign w:val="top"/>
          </w:tcPr>
          <w:p w:rsidRPr="00383149" w:rsidR="00B14326" w:rsidP="00B14326" w:rsidRDefault="005A721F" w14:paraId="7B47A764" w14:textId="77777777">
            <w:pPr>
              <w:pStyle w:val="TableText"/>
              <w:spacing w:before="60" w:after="60"/>
              <w:ind w:right="144"/>
              <w:jc w:val="center"/>
              <w:rPr>
                <w:rFonts w:cs="Arial"/>
                <w:b/>
                <w:color w:val="000000"/>
                <w:szCs w:val="18"/>
              </w:rPr>
            </w:pPr>
            <w:r>
              <w:rPr>
                <w:rFonts w:cs="Arial"/>
                <w:b/>
                <w:color w:val="000000"/>
                <w:szCs w:val="18"/>
              </w:rPr>
              <w:t>160</w:t>
            </w:r>
          </w:p>
        </w:tc>
        <w:tc>
          <w:tcPr>
            <w:tcW w:w="551" w:type="pct"/>
            <w:tcBorders>
              <w:top w:val="single" w:color="auto" w:sz="4" w:space="0"/>
              <w:bottom w:val="single" w:color="auto" w:sz="4" w:space="0"/>
            </w:tcBorders>
            <w:vAlign w:val="top"/>
          </w:tcPr>
          <w:p w:rsidRPr="00383149" w:rsidR="00B14326" w:rsidP="00B14326" w:rsidRDefault="00B14326" w14:paraId="06ED9733" w14:textId="77777777">
            <w:pPr>
              <w:pStyle w:val="TableText"/>
              <w:spacing w:before="60" w:after="60"/>
              <w:ind w:right="144"/>
              <w:jc w:val="center"/>
              <w:rPr>
                <w:rFonts w:cs="Arial"/>
                <w:b/>
                <w:color w:val="000000"/>
                <w:szCs w:val="18"/>
              </w:rPr>
            </w:pPr>
          </w:p>
        </w:tc>
        <w:tc>
          <w:tcPr>
            <w:tcW w:w="509" w:type="pct"/>
            <w:tcBorders>
              <w:top w:val="single" w:color="auto" w:sz="4" w:space="0"/>
              <w:bottom w:val="single" w:color="auto" w:sz="4" w:space="0"/>
            </w:tcBorders>
            <w:vAlign w:val="top"/>
          </w:tcPr>
          <w:p w:rsidRPr="00383149" w:rsidR="00B14326" w:rsidP="00625999" w:rsidRDefault="00457734" w14:paraId="63CE3A58" w14:textId="77777777">
            <w:pPr>
              <w:pStyle w:val="TableText"/>
              <w:spacing w:before="60" w:after="60"/>
              <w:ind w:right="144"/>
              <w:jc w:val="center"/>
              <w:rPr>
                <w:rFonts w:cs="Arial"/>
                <w:b/>
                <w:color w:val="000000"/>
                <w:szCs w:val="18"/>
              </w:rPr>
            </w:pPr>
            <w:r>
              <w:rPr>
                <w:rFonts w:cs="Arial"/>
                <w:b/>
                <w:color w:val="000000"/>
                <w:szCs w:val="18"/>
              </w:rPr>
              <w:t>117</w:t>
            </w:r>
          </w:p>
        </w:tc>
        <w:tc>
          <w:tcPr>
            <w:tcW w:w="508" w:type="pct"/>
            <w:tcBorders>
              <w:top w:val="single" w:color="auto" w:sz="4" w:space="0"/>
              <w:bottom w:val="single" w:color="auto" w:sz="4" w:space="0"/>
            </w:tcBorders>
            <w:vAlign w:val="top"/>
          </w:tcPr>
          <w:p w:rsidRPr="00383149" w:rsidR="00B14326" w:rsidP="00B14326" w:rsidRDefault="00B14326" w14:paraId="79A1325C" w14:textId="77777777">
            <w:pPr>
              <w:pStyle w:val="TableText"/>
              <w:spacing w:before="60" w:after="60"/>
              <w:ind w:right="144"/>
              <w:jc w:val="center"/>
              <w:rPr>
                <w:rFonts w:cs="Arial"/>
                <w:b/>
                <w:color w:val="000000"/>
                <w:szCs w:val="18"/>
              </w:rPr>
            </w:pPr>
          </w:p>
        </w:tc>
        <w:tc>
          <w:tcPr>
            <w:tcW w:w="590" w:type="pct"/>
            <w:tcBorders>
              <w:top w:val="single" w:color="auto" w:sz="4" w:space="0"/>
              <w:bottom w:val="single" w:color="auto" w:sz="4" w:space="0"/>
            </w:tcBorders>
            <w:vAlign w:val="top"/>
          </w:tcPr>
          <w:p w:rsidRPr="00383149" w:rsidR="00B14326" w:rsidP="00F159CC" w:rsidRDefault="00625999" w14:paraId="3815DEF2" w14:textId="77777777">
            <w:pPr>
              <w:pStyle w:val="TableText"/>
              <w:spacing w:before="60" w:after="60"/>
              <w:ind w:right="144"/>
              <w:jc w:val="center"/>
              <w:rPr>
                <w:rFonts w:cs="Arial"/>
                <w:b/>
                <w:color w:val="000000"/>
                <w:szCs w:val="18"/>
              </w:rPr>
            </w:pPr>
            <w:r>
              <w:rPr>
                <w:rFonts w:cs="Arial"/>
                <w:b/>
                <w:color w:val="000000"/>
                <w:szCs w:val="18"/>
              </w:rPr>
              <w:t>$</w:t>
            </w:r>
            <w:r w:rsidR="00F57E70">
              <w:rPr>
                <w:rFonts w:cs="Arial"/>
                <w:b/>
                <w:color w:val="000000"/>
                <w:szCs w:val="18"/>
              </w:rPr>
              <w:t>4,</w:t>
            </w:r>
            <w:r w:rsidR="00440D20">
              <w:rPr>
                <w:rFonts w:cs="Arial"/>
                <w:b/>
                <w:color w:val="000000"/>
                <w:szCs w:val="18"/>
              </w:rPr>
              <w:t>772</w:t>
            </w:r>
          </w:p>
        </w:tc>
      </w:tr>
    </w:tbl>
    <w:p w:rsidR="00B9456E" w:rsidP="00542944" w:rsidRDefault="00F707EE" w14:paraId="1466AB8D" w14:textId="77777777">
      <w:pPr>
        <w:pStyle w:val="TableFootnoteCaption"/>
      </w:pPr>
      <w:proofErr w:type="spellStart"/>
      <w:r>
        <w:rPr>
          <w:color w:val="000000"/>
          <w:vertAlign w:val="superscript"/>
        </w:rPr>
        <w:t>a</w:t>
      </w:r>
      <w:proofErr w:type="spellEnd"/>
      <w:r w:rsidRPr="00866174" w:rsidR="00F63B73">
        <w:rPr>
          <w:color w:val="000000"/>
          <w:vertAlign w:val="superscript"/>
        </w:rPr>
        <w:t xml:space="preserve"> </w:t>
      </w:r>
      <w:r w:rsidRPr="00866174" w:rsidR="00F63B73">
        <w:t xml:space="preserve">The hourly wage of </w:t>
      </w:r>
      <w:r w:rsidRPr="003D75A0">
        <w:t>$</w:t>
      </w:r>
      <w:r w:rsidR="006101B5">
        <w:t>45.</w:t>
      </w:r>
      <w:r w:rsidR="00AF5A19">
        <w:t>87</w:t>
      </w:r>
      <w:r w:rsidRPr="00866174">
        <w:t xml:space="preserve"> is the May </w:t>
      </w:r>
      <w:r w:rsidRPr="00866174" w:rsidR="006101B5">
        <w:t>201</w:t>
      </w:r>
      <w:r w:rsidR="00174FF5">
        <w:t>9</w:t>
      </w:r>
      <w:r w:rsidRPr="00866174" w:rsidR="006101B5">
        <w:t xml:space="preserve"> </w:t>
      </w:r>
      <w:r w:rsidRPr="00866174">
        <w:t xml:space="preserve">median wage across Education </w:t>
      </w:r>
      <w:r>
        <w:t>Administrators</w:t>
      </w:r>
      <w:r w:rsidR="00D35FA2">
        <w:t>, Postsecondary</w:t>
      </w:r>
      <w:r w:rsidRPr="00866174" w:rsidR="00F63B73">
        <w:t xml:space="preserve"> </w:t>
      </w:r>
      <w:r w:rsidR="00F63B73">
        <w:t xml:space="preserve">(see </w:t>
      </w:r>
      <w:hyperlink w:history="1" r:id="rId14">
        <w:r w:rsidRPr="00866174" w:rsidR="00F63B73">
          <w:rPr>
            <w:color w:val="0000FF"/>
            <w:u w:val="single"/>
          </w:rPr>
          <w:t>http://www.bls.gov/oes/current/oes_nat.htm</w:t>
        </w:r>
      </w:hyperlink>
      <w:r w:rsidRPr="003D75A0" w:rsidR="00F63B73">
        <w:t>)</w:t>
      </w:r>
      <w:r w:rsidR="00B37146">
        <w:t>; $</w:t>
      </w:r>
      <w:r w:rsidRPr="00B37146" w:rsidR="00B37146">
        <w:t>1</w:t>
      </w:r>
      <w:r w:rsidR="00A14A6C">
        <w:t>9</w:t>
      </w:r>
      <w:r w:rsidR="00B37146">
        <w:t>.</w:t>
      </w:r>
      <w:r w:rsidR="00A14A6C">
        <w:t>17</w:t>
      </w:r>
      <w:r w:rsidRPr="00B37146" w:rsidR="006101B5">
        <w:t xml:space="preserve"> </w:t>
      </w:r>
      <w:r w:rsidRPr="00B37146" w:rsidR="00B37146">
        <w:t xml:space="preserve">is the May </w:t>
      </w:r>
      <w:r w:rsidRPr="00B37146" w:rsidR="00F57E70">
        <w:t>201</w:t>
      </w:r>
      <w:r w:rsidR="00F57E70">
        <w:t>8</w:t>
      </w:r>
      <w:r w:rsidRPr="00B37146" w:rsidR="00F57E70">
        <w:t xml:space="preserve"> </w:t>
      </w:r>
      <w:r w:rsidRPr="00B37146" w:rsidR="00B37146">
        <w:t>median wage across all occupations in the United States</w:t>
      </w:r>
    </w:p>
    <w:p w:rsidR="00200E66" w:rsidP="00542944" w:rsidRDefault="00200E66" w14:paraId="41CFEFA7" w14:textId="77777777">
      <w:pPr>
        <w:pStyle w:val="TableFootnoteCaption"/>
      </w:pPr>
      <w:proofErr w:type="gramStart"/>
      <w:r w:rsidRPr="00200E66">
        <w:rPr>
          <w:rFonts w:cs="Arial"/>
          <w:color w:val="000000"/>
          <w:szCs w:val="18"/>
          <w:vertAlign w:val="superscript"/>
        </w:rPr>
        <w:t>b</w:t>
      </w:r>
      <w:proofErr w:type="gramEnd"/>
      <w:r>
        <w:rPr>
          <w:rFonts w:cs="Arial"/>
          <w:color w:val="000000"/>
          <w:szCs w:val="18"/>
          <w:vertAlign w:val="superscript"/>
        </w:rPr>
        <w:t xml:space="preserve"> </w:t>
      </w:r>
      <w:r w:rsidRPr="00D27134">
        <w:rPr>
          <w:rFonts w:cs="Arial"/>
          <w:color w:val="000000"/>
          <w:szCs w:val="18"/>
        </w:rPr>
        <w:t>Assumes each visit will, on average, involve individual or group interviews with 30 respondents (</w:t>
      </w:r>
      <w:r w:rsidR="008D6862">
        <w:rPr>
          <w:rFonts w:cs="Arial"/>
          <w:color w:val="000000"/>
          <w:szCs w:val="18"/>
        </w:rPr>
        <w:t xml:space="preserve">e.g., </w:t>
      </w:r>
      <w:r w:rsidRPr="00D27134">
        <w:rPr>
          <w:rFonts w:cs="Arial"/>
          <w:color w:val="000000"/>
          <w:szCs w:val="18"/>
        </w:rPr>
        <w:t xml:space="preserve">5 state-level staff, 5 </w:t>
      </w:r>
      <w:r>
        <w:rPr>
          <w:rFonts w:cs="Arial"/>
          <w:color w:val="000000"/>
          <w:szCs w:val="18"/>
        </w:rPr>
        <w:t xml:space="preserve">state-level </w:t>
      </w:r>
      <w:r w:rsidRPr="00D27134">
        <w:rPr>
          <w:rFonts w:cs="Arial"/>
          <w:color w:val="000000"/>
          <w:szCs w:val="18"/>
        </w:rPr>
        <w:t xml:space="preserve">partner agency staff, 4 local administrators, 8 frontline staff, and </w:t>
      </w:r>
      <w:r>
        <w:rPr>
          <w:rFonts w:cs="Arial"/>
          <w:color w:val="000000"/>
          <w:szCs w:val="18"/>
        </w:rPr>
        <w:t>8</w:t>
      </w:r>
      <w:r w:rsidRPr="00D27134">
        <w:rPr>
          <w:rFonts w:cs="Arial"/>
          <w:color w:val="000000"/>
          <w:szCs w:val="18"/>
        </w:rPr>
        <w:t xml:space="preserve"> partners). The team assumes the average burden time per response to be 1</w:t>
      </w:r>
      <w:r w:rsidR="00F57E70">
        <w:rPr>
          <w:rFonts w:cs="Arial"/>
          <w:color w:val="000000"/>
          <w:szCs w:val="18"/>
        </w:rPr>
        <w:t>.5</w:t>
      </w:r>
      <w:r w:rsidRPr="00D27134">
        <w:rPr>
          <w:rFonts w:cs="Arial"/>
          <w:color w:val="000000"/>
          <w:szCs w:val="18"/>
        </w:rPr>
        <w:t xml:space="preserve"> hour</w:t>
      </w:r>
      <w:r w:rsidR="00F57E70">
        <w:rPr>
          <w:rFonts w:cs="Arial"/>
          <w:color w:val="000000"/>
          <w:szCs w:val="18"/>
        </w:rPr>
        <w:t>s</w:t>
      </w:r>
      <w:r w:rsidRPr="00D27134">
        <w:rPr>
          <w:rFonts w:cs="Arial"/>
          <w:color w:val="000000"/>
          <w:szCs w:val="18"/>
        </w:rPr>
        <w:t>, although some meetings will be shorter and some will be longer.</w:t>
      </w:r>
    </w:p>
    <w:p w:rsidRPr="002208BE" w:rsidR="002208BE" w:rsidP="00542944" w:rsidRDefault="002208BE" w14:paraId="6129B2AE" w14:textId="77777777">
      <w:pPr>
        <w:pStyle w:val="TableFootnoteCaption"/>
        <w:sectPr w:rsidRPr="002208BE" w:rsidR="002208BE" w:rsidSect="00383149">
          <w:pgSz w:w="15840" w:h="12240" w:orient="landscape"/>
          <w:pgMar w:top="1440" w:right="1440" w:bottom="1440" w:left="1440" w:header="720" w:footer="720" w:gutter="0"/>
          <w:cols w:space="720"/>
          <w:titlePg/>
          <w:docGrid w:linePitch="360"/>
        </w:sectPr>
      </w:pPr>
      <w:proofErr w:type="gramStart"/>
      <w:r>
        <w:rPr>
          <w:vertAlign w:val="superscript"/>
        </w:rPr>
        <w:t xml:space="preserve">c  </w:t>
      </w:r>
      <w:r>
        <w:t>Participants</w:t>
      </w:r>
      <w:proofErr w:type="gramEnd"/>
      <w:r>
        <w:t xml:space="preserve"> in stakeholder interviews and focus groups will also be the respondents to information forms </w:t>
      </w:r>
    </w:p>
    <w:p w:rsidRPr="001C47A2" w:rsidR="00F63B73" w:rsidP="00383149" w:rsidRDefault="00F63B73" w14:paraId="17B8B553" w14:textId="77777777">
      <w:pPr>
        <w:pStyle w:val="TableFootnoteCaption"/>
      </w:pPr>
    </w:p>
    <w:p w:rsidR="006D108A" w:rsidP="002042DF" w:rsidRDefault="006D108A" w14:paraId="2410EB26" w14:textId="77777777">
      <w:pPr>
        <w:pStyle w:val="H3Alpha"/>
      </w:pPr>
      <w:r w:rsidRPr="002042DF">
        <w:t xml:space="preserve">A.13. Estimate of cost burden to respondents </w:t>
      </w:r>
    </w:p>
    <w:p w:rsidRPr="00B31391" w:rsidR="00F404BA" w:rsidP="00F404BA" w:rsidRDefault="00F404BA" w14:paraId="3819DAE9" w14:textId="77777777">
      <w:pPr>
        <w:pStyle w:val="H3Alpha"/>
        <w:ind w:firstLine="0"/>
        <w:rPr>
          <w:rFonts w:ascii="Times New Roman" w:hAnsi="Times New Roman"/>
          <w:i/>
          <w:sz w:val="24"/>
        </w:rPr>
      </w:pPr>
      <w:r w:rsidRPr="00B31391">
        <w:rPr>
          <w:rFonts w:ascii="Times New Roman" w:hAnsi="Times New Roman"/>
          <w:i/>
          <w:sz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B31391" w:rsidR="00F404BA" w:rsidP="00F404BA" w:rsidRDefault="00F404BA" w14:paraId="52EFE8C5" w14:textId="77777777">
      <w:pPr>
        <w:pStyle w:val="H3Alpha"/>
        <w:ind w:firstLine="0"/>
        <w:rPr>
          <w:rFonts w:ascii="Times New Roman" w:hAnsi="Times New Roman"/>
          <w:i/>
          <w:sz w:val="24"/>
        </w:rPr>
      </w:pPr>
      <w:r w:rsidRPr="00B31391">
        <w:rPr>
          <w:rFonts w:ascii="Times New Roman" w:hAnsi="Times New Roman"/>
          <w:i/>
          <w:sz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72E64" w:rsidR="00F404BA" w:rsidP="00F404BA" w:rsidRDefault="00F404BA" w14:paraId="58C1BC62" w14:textId="77777777">
      <w:pPr>
        <w:pStyle w:val="NormalSS"/>
      </w:pPr>
      <w:r w:rsidRPr="00B31391">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042DF" w:rsidR="006D108A" w:rsidP="002042DF" w:rsidRDefault="006D108A" w14:paraId="1B64EE3F" w14:textId="77777777">
      <w:pPr>
        <w:pStyle w:val="NormalSS"/>
      </w:pPr>
      <w:r w:rsidRPr="002042DF">
        <w:t>There are no direct costs to respondents</w:t>
      </w:r>
      <w:r w:rsidR="00037B93">
        <w:t xml:space="preserve"> other than their time. </w:t>
      </w:r>
    </w:p>
    <w:p w:rsidRPr="00B75DB5" w:rsidR="00F404BA" w:rsidP="00F404BA" w:rsidRDefault="00D7273E" w14:paraId="0A1496EB" w14:textId="77777777">
      <w:pPr>
        <w:pStyle w:val="H3Alpha"/>
        <w:ind w:left="0" w:firstLine="0"/>
      </w:pPr>
      <w:r w:rsidRPr="00B75DB5">
        <w:t>14</w:t>
      </w:r>
      <w:r w:rsidR="00F404BA">
        <w:t xml:space="preserve"> </w:t>
      </w:r>
      <w:r w:rsidRPr="00946B48" w:rsidR="00F404BA">
        <w:rPr>
          <w:rFonts w:ascii="Times New Roman" w:hAnsi="Times New Roman"/>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B75DB5" w:rsidR="00D7273E" w:rsidP="00B75DB5" w:rsidRDefault="00D7273E" w14:paraId="52EE7968" w14:textId="77777777">
      <w:pPr>
        <w:pStyle w:val="H3Alpha"/>
      </w:pPr>
    </w:p>
    <w:p w:rsidRPr="00317AEC" w:rsidR="00D7273E" w:rsidP="00B75DB5" w:rsidRDefault="00F404BA" w14:paraId="21B461ED" w14:textId="77777777">
      <w:pPr>
        <w:pStyle w:val="NormalSS"/>
      </w:pPr>
      <w:r>
        <w:t xml:space="preserve">The total cost to the Federal government over three years is $174,316. </w:t>
      </w:r>
      <w:r w:rsidRPr="00317AEC" w:rsidR="00D7273E">
        <w:t xml:space="preserve">The total annualized cost to the federal government is </w:t>
      </w:r>
      <w:r w:rsidRPr="00876379" w:rsidR="00D7273E">
        <w:t>$</w:t>
      </w:r>
      <w:r w:rsidRPr="00876379" w:rsidR="00876379">
        <w:t>58,</w:t>
      </w:r>
      <w:r w:rsidR="0062175F">
        <w:t>105</w:t>
      </w:r>
      <w:r w:rsidRPr="00876379" w:rsidR="00876379">
        <w:t>.33</w:t>
      </w:r>
      <w:r w:rsidR="0082295F">
        <w:rPr>
          <w:rStyle w:val="FootnoteReference"/>
        </w:rPr>
        <w:footnoteReference w:id="1"/>
      </w:r>
      <w:r w:rsidRPr="00876379" w:rsidR="00D7273E">
        <w:t>.</w:t>
      </w:r>
      <w:r w:rsidRPr="00317AEC" w:rsidR="00D7273E">
        <w:t xml:space="preserve"> Costs result from the following categories: </w:t>
      </w:r>
    </w:p>
    <w:p w:rsidRPr="00317AEC" w:rsidR="005445D5" w:rsidP="00B75DB5" w:rsidRDefault="00D7273E" w14:paraId="201D7E17" w14:textId="77777777">
      <w:pPr>
        <w:pStyle w:val="NormalSS"/>
      </w:pPr>
      <w:r w:rsidRPr="00317AEC">
        <w:t xml:space="preserve">The estimated cost to the federal government for the contractor to carry out the </w:t>
      </w:r>
      <w:r w:rsidRPr="00317AEC" w:rsidR="004161B8">
        <w:t xml:space="preserve">site visit </w:t>
      </w:r>
      <w:r w:rsidRPr="00317AEC" w:rsidR="00294A61">
        <w:t xml:space="preserve">interviews </w:t>
      </w:r>
      <w:r w:rsidRPr="00317AEC" w:rsidR="00A4720B">
        <w:t>is $</w:t>
      </w:r>
      <w:r w:rsidRPr="00317AEC" w:rsidR="00317AEC">
        <w:t>118,618</w:t>
      </w:r>
      <w:r w:rsidRPr="00317AEC" w:rsidR="00F707EE">
        <w:t>.</w:t>
      </w:r>
      <w:r w:rsidRPr="00317AEC">
        <w:t xml:space="preserve"> Annualized, this comes to $</w:t>
      </w:r>
      <w:r w:rsidRPr="00317AEC" w:rsidR="00317AEC">
        <w:t>39,539</w:t>
      </w:r>
      <w:r w:rsidRPr="00317AEC" w:rsidR="002432D3">
        <w:t>.33</w:t>
      </w:r>
      <w:r w:rsidRPr="00317AEC">
        <w:t>:</w:t>
      </w:r>
      <w:r w:rsidRPr="00317AEC" w:rsidDel="00F16AEA" w:rsidR="00F16AEA">
        <w:t xml:space="preserve"> </w:t>
      </w:r>
    </w:p>
    <w:p w:rsidRPr="00317AEC" w:rsidR="00D7273E" w:rsidP="00741BEF" w:rsidRDefault="00234A99" w14:paraId="267B0CA7" w14:textId="77777777">
      <w:pPr>
        <w:pStyle w:val="NormalSS"/>
        <w:ind w:firstLine="0"/>
      </w:pPr>
      <w:r w:rsidRPr="00317AEC">
        <w:t xml:space="preserve"> </w:t>
      </w:r>
      <m:oMath>
        <m:f>
          <m:fPr>
            <m:ctrlPr>
              <w:rPr>
                <w:rFonts w:ascii="Cambria Math" w:hAnsi="Cambria Math"/>
                <w:i/>
                <w:sz w:val="28"/>
              </w:rPr>
            </m:ctrlPr>
          </m:fPr>
          <m:num>
            <m:r>
              <w:rPr>
                <w:rFonts w:ascii="Cambria Math" w:hAnsi="Cambria Math"/>
                <w:sz w:val="28"/>
              </w:rPr>
              <m:t>$118,618</m:t>
            </m:r>
          </m:num>
          <m:den>
            <m:r>
              <w:rPr>
                <w:rFonts w:ascii="Cambria Math" w:hAnsi="Cambria Math"/>
                <w:sz w:val="28"/>
              </w:rPr>
              <m:t>3</m:t>
            </m:r>
          </m:den>
        </m:f>
      </m:oMath>
      <w:r w:rsidRPr="00317AEC" w:rsidR="00F16AEA">
        <w:t xml:space="preserve"> =</w:t>
      </w:r>
      <w:r w:rsidRPr="00317AEC" w:rsidR="007C07F0">
        <w:t xml:space="preserve"> </w:t>
      </w:r>
      <w:r w:rsidRPr="00317AEC" w:rsidR="00F16AEA">
        <w:t>$</w:t>
      </w:r>
      <w:r w:rsidRPr="00317AEC" w:rsidR="00317AEC">
        <w:t>39,539.33</w:t>
      </w:r>
    </w:p>
    <w:p w:rsidRPr="00317AEC" w:rsidR="00D7273E" w:rsidP="00B75DB5" w:rsidRDefault="00D7273E" w14:paraId="59A12368" w14:textId="77777777">
      <w:pPr>
        <w:pStyle w:val="NormalSS"/>
      </w:pPr>
      <w:r w:rsidRPr="00317AEC">
        <w:lastRenderedPageBreak/>
        <w:t xml:space="preserve">The annual cost borne by DOL for federal technical staff to oversee the contract is estimated to be </w:t>
      </w:r>
      <w:r w:rsidRPr="00876379" w:rsidR="00876379">
        <w:t>$</w:t>
      </w:r>
      <w:proofErr w:type="gramStart"/>
      <w:r w:rsidR="0062175F">
        <w:t>18,566</w:t>
      </w:r>
      <w:r w:rsidRPr="00876379" w:rsidDel="00876379" w:rsidR="00876379">
        <w:t xml:space="preserve"> </w:t>
      </w:r>
      <w:r w:rsidRPr="00876379">
        <w:t>.</w:t>
      </w:r>
      <w:proofErr w:type="gramEnd"/>
      <w:r w:rsidRPr="00317AEC">
        <w:t xml:space="preserve"> We expect the annual level of effort to perform these duties will require</w:t>
      </w:r>
      <w:r w:rsidR="00632207">
        <w:t xml:space="preserve"> </w:t>
      </w:r>
      <w:r w:rsidR="00511F5D">
        <w:t>200</w:t>
      </w:r>
      <w:r w:rsidRPr="00317AEC">
        <w:t xml:space="preserve"> hours for one federal GS </w:t>
      </w:r>
      <w:r w:rsidR="00694E90">
        <w:t>14 step 2</w:t>
      </w:r>
      <w:r w:rsidR="00273723">
        <w:t xml:space="preserve"> </w:t>
      </w:r>
      <w:r w:rsidRPr="00317AEC">
        <w:t>employee based in Washington, D.C., earning $</w:t>
      </w:r>
      <w:r w:rsidR="0062175F">
        <w:t>58.02</w:t>
      </w:r>
      <w:r w:rsidRPr="00317AEC">
        <w:t xml:space="preserve"> per hour. (See Office of Personnel Management </w:t>
      </w:r>
      <w:r w:rsidRPr="00317AEC" w:rsidR="0062175F">
        <w:t>201</w:t>
      </w:r>
      <w:r w:rsidR="0062175F">
        <w:t>9</w:t>
      </w:r>
      <w:r w:rsidRPr="00317AEC" w:rsidR="0062175F">
        <w:t xml:space="preserve"> </w:t>
      </w:r>
      <w:r w:rsidRPr="00317AEC">
        <w:t xml:space="preserve">Hourly Salary Table </w:t>
      </w:r>
      <w:r w:rsidRPr="00317AEC" w:rsidR="002A6B96">
        <w:t xml:space="preserve">at </w:t>
      </w:r>
      <w:hyperlink w:history="1" r:id="rId15">
        <w:r w:rsidRPr="00317AEC" w:rsidR="00317AEC">
          <w:rPr>
            <w:rStyle w:val="Hyperlink"/>
          </w:rPr>
          <w:t>https://www.opm.gov/policy-data-oversight/pay-leave/salaries-wages/salary-tables/pdf/2019/DCB_h.pdf</w:t>
        </w:r>
      </w:hyperlink>
      <w:r w:rsidRPr="00317AEC">
        <w:t>). To account for fringe benefits and other overhead costs, the agency has applied multiplication factor of 1.6:</w:t>
      </w:r>
    </w:p>
    <w:p w:rsidRPr="00317AEC" w:rsidR="00D7273E" w:rsidP="00486DFC" w:rsidRDefault="00511F5D" w14:paraId="15D8243A" w14:textId="77777777">
      <w:pPr>
        <w:pStyle w:val="NormalSS"/>
      </w:pPr>
      <w:r>
        <w:t>200</w:t>
      </w:r>
      <w:r w:rsidR="00632207">
        <w:t xml:space="preserve"> </w:t>
      </w:r>
      <w:r w:rsidRPr="00317AEC" w:rsidR="00D7273E">
        <w:t>hours × $</w:t>
      </w:r>
      <w:r w:rsidR="0062175F">
        <w:t>58.02</w:t>
      </w:r>
      <w:r w:rsidRPr="00317AEC" w:rsidR="00D7273E">
        <w:t xml:space="preserve"> × 1.6 = $</w:t>
      </w:r>
      <w:r w:rsidR="0062175F">
        <w:t>18,566</w:t>
      </w:r>
      <w:r w:rsidR="00DD5DE9">
        <w:t>.40</w:t>
      </w:r>
    </w:p>
    <w:p w:rsidRPr="0073236D" w:rsidR="00D7273E" w:rsidP="00486DFC" w:rsidRDefault="00D7273E" w14:paraId="1FF27793" w14:textId="77777777">
      <w:pPr>
        <w:pStyle w:val="NormalSS"/>
        <w:rPr>
          <w:b/>
        </w:rPr>
      </w:pPr>
      <w:r w:rsidRPr="00317AEC">
        <w:rPr>
          <w:b/>
        </w:rPr>
        <w:t xml:space="preserve">Thus the total annualized federal cost is </w:t>
      </w:r>
      <w:r w:rsidRPr="00876379" w:rsidR="00876379">
        <w:rPr>
          <w:b/>
        </w:rPr>
        <w:t>$39,539.33</w:t>
      </w:r>
      <w:r w:rsidR="00876379">
        <w:rPr>
          <w:b/>
        </w:rPr>
        <w:t xml:space="preserve"> </w:t>
      </w:r>
      <w:r w:rsidRPr="00317AEC">
        <w:rPr>
          <w:b/>
        </w:rPr>
        <w:t xml:space="preserve">+ </w:t>
      </w:r>
      <w:r w:rsidRPr="00876379" w:rsidR="00876379">
        <w:rPr>
          <w:b/>
        </w:rPr>
        <w:t>$</w:t>
      </w:r>
      <w:r w:rsidR="0062175F">
        <w:rPr>
          <w:b/>
        </w:rPr>
        <w:t>18,566</w:t>
      </w:r>
      <w:r w:rsidR="009D0B9F">
        <w:rPr>
          <w:b/>
        </w:rPr>
        <w:t>.40</w:t>
      </w:r>
      <w:r w:rsidR="00876379">
        <w:rPr>
          <w:b/>
        </w:rPr>
        <w:t xml:space="preserve"> </w:t>
      </w:r>
      <w:r w:rsidRPr="00317AEC">
        <w:rPr>
          <w:b/>
        </w:rPr>
        <w:t>= $</w:t>
      </w:r>
      <w:r w:rsidRPr="00876379" w:rsidR="00876379">
        <w:rPr>
          <w:b/>
        </w:rPr>
        <w:t>58,</w:t>
      </w:r>
      <w:r w:rsidR="0062175F">
        <w:rPr>
          <w:b/>
        </w:rPr>
        <w:t>105</w:t>
      </w:r>
      <w:r w:rsidRPr="00876379" w:rsidR="00876379">
        <w:rPr>
          <w:b/>
        </w:rPr>
        <w:t>.</w:t>
      </w:r>
      <w:r w:rsidR="009D0B9F">
        <w:rPr>
          <w:b/>
        </w:rPr>
        <w:t>73</w:t>
      </w:r>
      <w:r w:rsidR="00876379">
        <w:rPr>
          <w:b/>
        </w:rPr>
        <w:t>.</w:t>
      </w:r>
    </w:p>
    <w:p w:rsidRPr="00486DFC" w:rsidR="00D7273E" w:rsidP="00486DFC" w:rsidRDefault="00D7273E" w14:paraId="33E20637" w14:textId="77777777">
      <w:pPr>
        <w:pStyle w:val="H3Alpha"/>
      </w:pPr>
      <w:r w:rsidRPr="00486DFC">
        <w:t xml:space="preserve">15. </w:t>
      </w:r>
      <w:r w:rsidRPr="00946B48" w:rsidR="00F404BA">
        <w:rPr>
          <w:rFonts w:ascii="Times New Roman" w:hAnsi="Times New Roman"/>
          <w:i/>
        </w:rPr>
        <w:t>Explain the reasons for any program changes or adjustments reported on the burden worksheet</w:t>
      </w:r>
      <w:proofErr w:type="gramStart"/>
      <w:r w:rsidRPr="00946B48" w:rsidR="00F404BA">
        <w:rPr>
          <w:rFonts w:ascii="Times New Roman" w:hAnsi="Times New Roman"/>
          <w:i/>
        </w:rPr>
        <w:t>.</w:t>
      </w:r>
      <w:r w:rsidR="00F404BA">
        <w:rPr>
          <w:rFonts w:ascii="Times New Roman" w:hAnsi="Times New Roman"/>
          <w:i/>
        </w:rPr>
        <w:t>.</w:t>
      </w:r>
      <w:proofErr w:type="gramEnd"/>
      <w:r w:rsidR="00F404BA">
        <w:rPr>
          <w:rFonts w:ascii="Times New Roman" w:hAnsi="Times New Roman"/>
          <w:i/>
        </w:rPr>
        <w:t xml:space="preserve"> </w:t>
      </w:r>
    </w:p>
    <w:p w:rsidR="00D7273E" w:rsidP="00486DFC" w:rsidRDefault="00D7273E" w14:paraId="01152E39" w14:textId="77777777">
      <w:pPr>
        <w:pStyle w:val="NormalSS"/>
      </w:pPr>
      <w:r w:rsidRPr="00486DFC">
        <w:t>This is a new information collection.</w:t>
      </w:r>
    </w:p>
    <w:p w:rsidR="00037B93" w:rsidP="00037B93" w:rsidRDefault="00037B93" w14:paraId="249AE3B3" w14:textId="77777777">
      <w:pPr>
        <w:pStyle w:val="H3Alpha"/>
      </w:pPr>
      <w:r>
        <w:t xml:space="preserve">16. </w:t>
      </w:r>
      <w:r w:rsidRPr="005C45D4" w:rsidR="00F404BA">
        <w:rPr>
          <w:rFonts w:ascii="Times New Roman" w:hAnsi="Times New Roman"/>
          <w:i/>
        </w:rPr>
        <w:t>For collections of information whose results will be published, outline plans for ta</w:t>
      </w:r>
      <w:r w:rsidRPr="00946B48" w:rsidR="00F404BA">
        <w:rPr>
          <w:rFonts w:ascii="Times New Roman" w:hAnsi="Times New Roman"/>
          <w:i/>
        </w:rPr>
        <w:t>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37B93" w:rsidP="00037B93" w:rsidRDefault="00037B93" w14:paraId="651E1D32" w14:textId="77777777">
      <w:pPr>
        <w:pStyle w:val="H4Number"/>
      </w:pPr>
      <w:r>
        <w:t>1.</w:t>
      </w:r>
      <w:r>
        <w:tab/>
        <w:t>Analysis plan</w:t>
      </w:r>
    </w:p>
    <w:p w:rsidR="00CB1511" w:rsidP="00224D2D" w:rsidRDefault="00CB1511" w14:paraId="4F530455" w14:textId="77777777">
      <w:pPr>
        <w:pStyle w:val="NormalSS"/>
      </w:pPr>
      <w:r w:rsidRPr="00CB1511">
        <w:t xml:space="preserve">Analysis of interview </w:t>
      </w:r>
      <w:r w:rsidR="00534EEB">
        <w:t xml:space="preserve">and focus group </w:t>
      </w:r>
      <w:r w:rsidRPr="00CB1511">
        <w:t>data will involve coding and triangulating across data sources. The evaluation team will begin by writing up detailed field notes from in-person interviews</w:t>
      </w:r>
      <w:r w:rsidR="00E37E19">
        <w:t xml:space="preserve"> and focus groups</w:t>
      </w:r>
      <w:r w:rsidRPr="00CB1511">
        <w:t xml:space="preserve"> in a structured format. To code the qualitative data for key themes and topics, a coding scheme will be developed and organized according to ke</w:t>
      </w:r>
      <w:r w:rsidR="00F21023">
        <w:t>y research questions and topics</w:t>
      </w:r>
      <w:r w:rsidRPr="00CB1511">
        <w:t xml:space="preserve">. The evaluation team will then code the data using qualitative analysis software. To ensure reliability across team staff, all coders will code an initial set of documents and compare codes to identify and resolve discrepancies. These data will be used </w:t>
      </w:r>
      <w:r w:rsidR="00224D2D">
        <w:t xml:space="preserve">to develop a thorough understanding of each grantee including the grant’s context; structure, management, and partnerships; planned and implemented activities; program participants and experiences; and challenges and successes. </w:t>
      </w:r>
    </w:p>
    <w:p w:rsidR="00037B93" w:rsidP="00037B93" w:rsidRDefault="00037B93" w14:paraId="3EDA0819" w14:textId="77777777">
      <w:pPr>
        <w:pStyle w:val="H4Number"/>
      </w:pPr>
      <w:r>
        <w:t>2.</w:t>
      </w:r>
      <w:r>
        <w:tab/>
        <w:t>Publications</w:t>
      </w:r>
    </w:p>
    <w:p w:rsidR="00037B93" w:rsidP="00037B93" w:rsidRDefault="00037B93" w14:paraId="4D756B0B" w14:textId="77777777">
      <w:pPr>
        <w:pStyle w:val="NormalSS"/>
      </w:pPr>
      <w:r w:rsidRPr="00EE25AD">
        <w:t>In 202</w:t>
      </w:r>
      <w:r w:rsidRPr="00EE25AD" w:rsidR="00DE01BE">
        <w:t>1</w:t>
      </w:r>
      <w:r w:rsidRPr="00EE25AD">
        <w:t>,</w:t>
      </w:r>
      <w:r>
        <w:t xml:space="preserve"> </w:t>
      </w:r>
      <w:r w:rsidR="002A1D82">
        <w:t>we</w:t>
      </w:r>
      <w:r>
        <w:t xml:space="preserve"> will produce a report on the implementation evaluation as well as other dissemination products such as fact sheets and issue briefs on topics of interest to DOL. </w:t>
      </w:r>
    </w:p>
    <w:p w:rsidR="00037B93" w:rsidP="00037B93" w:rsidRDefault="00037B93" w14:paraId="2C98552C" w14:textId="77777777">
      <w:pPr>
        <w:pStyle w:val="H3Alpha"/>
      </w:pPr>
      <w:r>
        <w:t xml:space="preserve">17. </w:t>
      </w:r>
      <w:r w:rsidRPr="005C45D4" w:rsidR="00F404BA">
        <w:rPr>
          <w:rFonts w:ascii="Times New Roman" w:hAnsi="Times New Roman"/>
          <w:i/>
          <w:sz w:val="24"/>
          <w:szCs w:val="24"/>
        </w:rPr>
        <w:t>If seeking approval to not display the expiration date for OMB approval of the information collection, explain the reasons that display would be inappropriate.</w:t>
      </w:r>
    </w:p>
    <w:p w:rsidR="00037B93" w:rsidP="00037B93" w:rsidRDefault="00037B93" w14:paraId="6B083A18" w14:textId="77777777">
      <w:pPr>
        <w:pStyle w:val="NormalSS"/>
      </w:pPr>
      <w:r>
        <w:t>The OMB approval number and expiration date will be displayed or cited on all forms completed as part of the data collection.</w:t>
      </w:r>
    </w:p>
    <w:p w:rsidR="00037B93" w:rsidP="00037B93" w:rsidRDefault="00037B93" w14:paraId="35A9A501" w14:textId="77777777">
      <w:pPr>
        <w:pStyle w:val="H3Alpha"/>
      </w:pPr>
      <w:r>
        <w:t xml:space="preserve">18. </w:t>
      </w:r>
      <w:r w:rsidRPr="00A92DC9" w:rsidR="00F404BA">
        <w:rPr>
          <w:rFonts w:ascii="Times New Roman" w:hAnsi="Times New Roman"/>
          <w:i/>
          <w:szCs w:val="24"/>
        </w:rPr>
        <w:t xml:space="preserve">Explain each exception to the topics of the certification statement identified in “Certification for Paperwork Reduction Act Submissions.” </w:t>
      </w:r>
    </w:p>
    <w:p w:rsidR="00A43D07" w:rsidRDefault="00037B93" w14:paraId="482BDB9F" w14:textId="77777777">
      <w:pPr>
        <w:pStyle w:val="NormalSS"/>
      </w:pPr>
      <w:r>
        <w:t>No exceptions are necessary for this information collection.</w:t>
      </w:r>
      <w:r w:rsidDel="00515CCA">
        <w:t xml:space="preserve"> </w:t>
      </w:r>
      <w:r w:rsidDel="00515CCA" w:rsidR="00515CCA">
        <w:t xml:space="preserve"> </w:t>
      </w:r>
    </w:p>
    <w:p w:rsidR="00274C9F" w:rsidP="00040B64" w:rsidRDefault="00274C9F" w14:paraId="58F464AF" w14:textId="17BC6CBD">
      <w:pPr>
        <w:pStyle w:val="NormalSS"/>
        <w:ind w:firstLine="0"/>
        <w:rPr>
          <w:b/>
        </w:rPr>
      </w:pPr>
      <w:r w:rsidRPr="00040B64">
        <w:rPr>
          <w:b/>
        </w:rPr>
        <w:lastRenderedPageBreak/>
        <w:t xml:space="preserve">References </w:t>
      </w:r>
    </w:p>
    <w:p w:rsidRPr="00274C9F" w:rsidR="00274C9F" w:rsidP="00040B64" w:rsidRDefault="00274C9F" w14:paraId="492EC6ED" w14:textId="26EBEB48">
      <w:pPr>
        <w:pStyle w:val="NormalSS"/>
        <w:ind w:firstLine="0"/>
      </w:pPr>
      <w:r>
        <w:rPr>
          <w:b/>
        </w:rPr>
        <w:tab/>
      </w:r>
      <w:r w:rsidRPr="00040B64">
        <w:t xml:space="preserve">Vine, Michaela, Colleen Staatz, Crystal Blyler, and Jillian Berk. “The Role of the Public Workforce System and Employers in Addressing the Opioid Crisis: A Review of the Literature.” Cambridge, MA: Mathematica Policy Research, February 2020. </w:t>
      </w:r>
    </w:p>
    <w:p w:rsidR="00D12755" w:rsidP="00D12755" w:rsidRDefault="00D12755" w14:paraId="50B30414" w14:textId="77777777">
      <w:pPr>
        <w:pStyle w:val="H3Alpha"/>
      </w:pPr>
    </w:p>
    <w:p w:rsidRPr="00BC238F" w:rsidR="00BC238F" w:rsidP="00040B64" w:rsidRDefault="00BC238F" w14:paraId="5BFD3231" w14:textId="08151DE5">
      <w:pPr>
        <w:pStyle w:val="H3Alpha"/>
      </w:pPr>
      <w:r>
        <w:t xml:space="preserve"> </w:t>
      </w:r>
    </w:p>
    <w:sectPr w:rsidRPr="00BC238F" w:rsidR="00BC238F" w:rsidSect="00FA1BE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BF920" w14:textId="77777777" w:rsidR="00343835" w:rsidRDefault="00343835" w:rsidP="002E3E35">
      <w:pPr>
        <w:spacing w:line="240" w:lineRule="auto"/>
      </w:pPr>
      <w:r>
        <w:separator/>
      </w:r>
    </w:p>
  </w:endnote>
  <w:endnote w:type="continuationSeparator" w:id="0">
    <w:p w14:paraId="524A5C27" w14:textId="77777777" w:rsidR="00343835" w:rsidRDefault="0034383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487065"/>
      <w:docPartObj>
        <w:docPartGallery w:val="Page Numbers (Bottom of Page)"/>
        <w:docPartUnique/>
      </w:docPartObj>
    </w:sdtPr>
    <w:sdtEndPr>
      <w:rPr>
        <w:noProof/>
      </w:rPr>
    </w:sdtEndPr>
    <w:sdtContent>
      <w:p w14:paraId="796DEB20" w14:textId="77777777" w:rsidR="004C0111" w:rsidRDefault="007F5779" w:rsidP="0073236D">
        <w:pPr>
          <w:pStyle w:val="Footer"/>
          <w:jc w:val="center"/>
        </w:pPr>
        <w:r>
          <w:rPr>
            <w:noProof/>
          </w:rPr>
          <w:t>7</w:t>
        </w:r>
      </w:p>
    </w:sdtContent>
  </w:sdt>
  <w:p w14:paraId="08E231E0" w14:textId="77777777" w:rsidR="00D7273E" w:rsidRPr="00A43D07" w:rsidRDefault="00D7273E" w:rsidP="00A43D07">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CBFA9" w14:textId="77777777" w:rsidR="00343835" w:rsidRDefault="00343835" w:rsidP="00203E3B">
      <w:pPr>
        <w:spacing w:line="240" w:lineRule="auto"/>
        <w:ind w:firstLine="0"/>
      </w:pPr>
      <w:r>
        <w:separator/>
      </w:r>
    </w:p>
  </w:footnote>
  <w:footnote w:type="continuationSeparator" w:id="0">
    <w:p w14:paraId="540BB6B1" w14:textId="77777777" w:rsidR="00343835" w:rsidRDefault="00343835" w:rsidP="00203E3B">
      <w:pPr>
        <w:spacing w:line="240" w:lineRule="auto"/>
        <w:ind w:firstLine="0"/>
      </w:pPr>
      <w:r>
        <w:separator/>
      </w:r>
    </w:p>
    <w:p w14:paraId="606C78AB" w14:textId="77777777" w:rsidR="00343835" w:rsidRPr="00157CA2" w:rsidRDefault="00343835"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id="1">
    <w:p w14:paraId="488E3B98" w14:textId="77777777" w:rsidR="0082295F" w:rsidRDefault="0082295F">
      <w:pPr>
        <w:pStyle w:val="FootnoteText"/>
      </w:pPr>
      <w:r>
        <w:rPr>
          <w:rStyle w:val="FootnoteReference"/>
        </w:rPr>
        <w:footnoteRef/>
      </w:r>
      <w:r w:rsidRPr="0082295F">
        <w:t>The annualized cost to the federal government for the</w:t>
      </w:r>
      <w:r>
        <w:t xml:space="preserve"> contractor includes cost for $4</w:t>
      </w:r>
      <w:r w:rsidRPr="0082295F">
        <w:t xml:space="preserve">0 gift cards paid to </w:t>
      </w:r>
      <w:r>
        <w:t xml:space="preserve">focus group participants.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3390" w14:textId="77777777" w:rsidR="00D7273E" w:rsidRPr="00807813" w:rsidRDefault="00D7273E" w:rsidP="00807813">
    <w:pPr>
      <w:pStyle w:val="Header"/>
      <w:spacing w:after="240"/>
      <w:rPr>
        <w:rFonts w:ascii="Times New Roman" w:hAnsi="Times New Roman"/>
        <w:sz w:val="18"/>
        <w:szCs w:val="18"/>
      </w:rPr>
    </w:pPr>
    <w:r w:rsidRPr="006D108A">
      <w:tab/>
    </w:r>
  </w:p>
  <w:p w14:paraId="08D010BB" w14:textId="77777777" w:rsidR="00D7273E" w:rsidRPr="00A43D07" w:rsidRDefault="00D7273E" w:rsidP="006D108A">
    <w:pPr>
      <w:spacing w:line="240" w:lineRule="auto"/>
      <w:ind w:left="-21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072EB" w14:textId="77777777" w:rsidR="00701324" w:rsidRDefault="00701324" w:rsidP="00701324">
    <w:pPr>
      <w:pStyle w:val="Header"/>
    </w:pPr>
    <w:r w:rsidRPr="006D108A">
      <w:t xml:space="preserve">PART A: JUSTIFICATION for Evaluation of </w:t>
    </w:r>
    <w:r w:rsidR="00E94B0D">
      <w:t>NHE GRANTS to Address the opioid Crisis</w:t>
    </w:r>
  </w:p>
  <w:p w14:paraId="15158EB2" w14:textId="77777777" w:rsidR="00701324" w:rsidRPr="00B237BF" w:rsidRDefault="00701324" w:rsidP="00701324">
    <w:pPr>
      <w:pStyle w:val="Header"/>
      <w:rPr>
        <w:rFonts w:ascii="Times New Roman" w:hAnsi="Times New Roman"/>
        <w:sz w:val="18"/>
        <w:szCs w:val="18"/>
      </w:rPr>
    </w:pPr>
    <w:r>
      <w:rPr>
        <w:rFonts w:ascii="Times New Roman" w:hAnsi="Times New Roman"/>
        <w:sz w:val="18"/>
        <w:szCs w:val="18"/>
      </w:rPr>
      <w:t xml:space="preserve">OMB No. </w:t>
    </w:r>
  </w:p>
  <w:p w14:paraId="770FF6A9" w14:textId="66BEABC4" w:rsidR="00701324" w:rsidRDefault="00A1416A" w:rsidP="00701324">
    <w:pPr>
      <w:pStyle w:val="Header"/>
    </w:pPr>
    <w:r>
      <w:rPr>
        <w:rFonts w:ascii="Times New Roman" w:hAnsi="Times New Roman"/>
        <w:sz w:val="18"/>
        <w:szCs w:val="18"/>
      </w:rPr>
      <w:t xml:space="preserve">OCTOBER </w:t>
    </w:r>
    <w:r w:rsidR="00D70DEE">
      <w:rPr>
        <w:rFonts w:ascii="Times New Roman" w:hAnsi="Times New Roman"/>
        <w:sz w:val="18"/>
        <w:szCs w:val="18"/>
      </w:rPr>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52B4BAC"/>
    <w:multiLevelType w:val="hybridMultilevel"/>
    <w:tmpl w:val="A3009E42"/>
    <w:lvl w:ilvl="0" w:tplc="963E4C2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212DCA"/>
    <w:multiLevelType w:val="hybridMultilevel"/>
    <w:tmpl w:val="4EAED410"/>
    <w:lvl w:ilvl="0" w:tplc="3090751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F4A31"/>
    <w:multiLevelType w:val="hybridMultilevel"/>
    <w:tmpl w:val="122EC3E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2FD11AEA"/>
    <w:multiLevelType w:val="hybridMultilevel"/>
    <w:tmpl w:val="5A2A99CE"/>
    <w:lvl w:ilvl="0" w:tplc="012C6FB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351D5AEB"/>
    <w:multiLevelType w:val="hybridMultilevel"/>
    <w:tmpl w:val="81F03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B75B7"/>
    <w:multiLevelType w:val="hybridMultilevel"/>
    <w:tmpl w:val="2796F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81247A"/>
    <w:multiLevelType w:val="hybridMultilevel"/>
    <w:tmpl w:val="258A92B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42E17008"/>
    <w:multiLevelType w:val="hybridMultilevel"/>
    <w:tmpl w:val="4A4A7590"/>
    <w:lvl w:ilvl="0" w:tplc="BF62B64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3A9255B"/>
    <w:multiLevelType w:val="hybridMultilevel"/>
    <w:tmpl w:val="EFA2B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15:restartNumberingAfterBreak="0">
    <w:nsid w:val="65D55EC2"/>
    <w:multiLevelType w:val="hybridMultilevel"/>
    <w:tmpl w:val="398AEDA4"/>
    <w:lvl w:ilvl="0" w:tplc="963E4C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6C5E1E55"/>
    <w:multiLevelType w:val="hybridMultilevel"/>
    <w:tmpl w:val="A69EA142"/>
    <w:lvl w:ilvl="0" w:tplc="963E4C2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1"/>
  </w:num>
  <w:num w:numId="2">
    <w:abstractNumId w:val="21"/>
  </w:num>
  <w:num w:numId="3">
    <w:abstractNumId w:val="33"/>
  </w:num>
  <w:num w:numId="4">
    <w:abstractNumId w:val="8"/>
  </w:num>
  <w:num w:numId="5">
    <w:abstractNumId w:val="32"/>
  </w:num>
  <w:num w:numId="6">
    <w:abstractNumId w:val="34"/>
  </w:num>
  <w:num w:numId="7">
    <w:abstractNumId w:val="2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0"/>
  </w:num>
  <w:num w:numId="18">
    <w:abstractNumId w:val="11"/>
  </w:num>
  <w:num w:numId="19">
    <w:abstractNumId w:val="22"/>
  </w:num>
  <w:num w:numId="20">
    <w:abstractNumId w:val="4"/>
  </w:num>
  <w:num w:numId="21">
    <w:abstractNumId w:val="23"/>
  </w:num>
  <w:num w:numId="22">
    <w:abstractNumId w:val="2"/>
  </w:num>
  <w:num w:numId="23">
    <w:abstractNumId w:val="18"/>
  </w:num>
  <w:num w:numId="24">
    <w:abstractNumId w:val="30"/>
  </w:num>
  <w:num w:numId="25">
    <w:abstractNumId w:val="5"/>
  </w:num>
  <w:num w:numId="26">
    <w:abstractNumId w:val="1"/>
  </w:num>
  <w:num w:numId="27">
    <w:abstractNumId w:val="9"/>
  </w:num>
  <w:num w:numId="28">
    <w:abstractNumId w:val="19"/>
  </w:num>
  <w:num w:numId="29">
    <w:abstractNumId w:val="28"/>
  </w:num>
  <w:num w:numId="30">
    <w:abstractNumId w:val="24"/>
  </w:num>
  <w:num w:numId="31">
    <w:abstractNumId w:val="3"/>
  </w:num>
  <w:num w:numId="32">
    <w:abstractNumId w:val="20"/>
    <w:lvlOverride w:ilvl="0">
      <w:startOverride w:val="1"/>
    </w:lvlOverride>
  </w:num>
  <w:num w:numId="33">
    <w:abstractNumId w:val="10"/>
  </w:num>
  <w:num w:numId="34">
    <w:abstractNumId w:val="20"/>
    <w:lvlOverride w:ilvl="0">
      <w:startOverride w:val="1"/>
    </w:lvlOverride>
  </w:num>
  <w:num w:numId="35">
    <w:abstractNumId w:val="20"/>
    <w:lvlOverride w:ilvl="0">
      <w:startOverride w:val="1"/>
    </w:lvlOverride>
  </w:num>
  <w:num w:numId="36">
    <w:abstractNumId w:val="20"/>
  </w:num>
  <w:num w:numId="37">
    <w:abstractNumId w:val="20"/>
    <w:lvlOverride w:ilvl="0">
      <w:startOverride w:val="1"/>
    </w:lvlOverride>
  </w:num>
  <w:num w:numId="38">
    <w:abstractNumId w:val="20"/>
  </w:num>
  <w:num w:numId="39">
    <w:abstractNumId w:val="20"/>
  </w:num>
  <w:num w:numId="40">
    <w:abstractNumId w:val="20"/>
  </w:num>
  <w:num w:numId="41">
    <w:abstractNumId w:val="20"/>
  </w:num>
  <w:num w:numId="42">
    <w:abstractNumId w:val="17"/>
  </w:num>
  <w:num w:numId="43">
    <w:abstractNumId w:val="7"/>
  </w:num>
  <w:num w:numId="44">
    <w:abstractNumId w:val="13"/>
  </w:num>
  <w:num w:numId="45">
    <w:abstractNumId w:val="16"/>
  </w:num>
  <w:num w:numId="46">
    <w:abstractNumId w:val="25"/>
  </w:num>
  <w:num w:numId="47">
    <w:abstractNumId w:val="27"/>
  </w:num>
  <w:num w:numId="48">
    <w:abstractNumId w:val="6"/>
  </w:num>
  <w:num w:numId="49">
    <w:abstractNumId w:val="29"/>
  </w:num>
  <w:num w:numId="50">
    <w:abstractNumId w:val="14"/>
  </w:num>
  <w:num w:numId="51">
    <w:abstractNumId w:val="12"/>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79"/>
    <w:rsid w:val="00000161"/>
    <w:rsid w:val="000020B1"/>
    <w:rsid w:val="000030B1"/>
    <w:rsid w:val="000068A8"/>
    <w:rsid w:val="000103F1"/>
    <w:rsid w:val="00010CEE"/>
    <w:rsid w:val="0001329A"/>
    <w:rsid w:val="00014AFD"/>
    <w:rsid w:val="0001587F"/>
    <w:rsid w:val="00016D34"/>
    <w:rsid w:val="00017E28"/>
    <w:rsid w:val="0002103D"/>
    <w:rsid w:val="000212FC"/>
    <w:rsid w:val="0002139E"/>
    <w:rsid w:val="00021836"/>
    <w:rsid w:val="0002263D"/>
    <w:rsid w:val="00022A0A"/>
    <w:rsid w:val="0002322B"/>
    <w:rsid w:val="00025C4A"/>
    <w:rsid w:val="0002754E"/>
    <w:rsid w:val="00031F73"/>
    <w:rsid w:val="0003265D"/>
    <w:rsid w:val="00032E4E"/>
    <w:rsid w:val="000330BC"/>
    <w:rsid w:val="00034667"/>
    <w:rsid w:val="00034A9D"/>
    <w:rsid w:val="00036E7F"/>
    <w:rsid w:val="00037B93"/>
    <w:rsid w:val="000408E5"/>
    <w:rsid w:val="00040B2C"/>
    <w:rsid w:val="00040B64"/>
    <w:rsid w:val="00041049"/>
    <w:rsid w:val="000412BD"/>
    <w:rsid w:val="00041E46"/>
    <w:rsid w:val="000423BE"/>
    <w:rsid w:val="00042419"/>
    <w:rsid w:val="00042FA8"/>
    <w:rsid w:val="00043329"/>
    <w:rsid w:val="00043B27"/>
    <w:rsid w:val="00044069"/>
    <w:rsid w:val="00047BDD"/>
    <w:rsid w:val="00056BC1"/>
    <w:rsid w:val="000575D5"/>
    <w:rsid w:val="000578BB"/>
    <w:rsid w:val="00060579"/>
    <w:rsid w:val="00060A3C"/>
    <w:rsid w:val="0006245A"/>
    <w:rsid w:val="000633AA"/>
    <w:rsid w:val="0007041A"/>
    <w:rsid w:val="000777DB"/>
    <w:rsid w:val="00080454"/>
    <w:rsid w:val="0008151B"/>
    <w:rsid w:val="00082A84"/>
    <w:rsid w:val="00085400"/>
    <w:rsid w:val="000855BD"/>
    <w:rsid w:val="00086066"/>
    <w:rsid w:val="00090E25"/>
    <w:rsid w:val="0009143A"/>
    <w:rsid w:val="00091D61"/>
    <w:rsid w:val="00095543"/>
    <w:rsid w:val="00095854"/>
    <w:rsid w:val="000972E1"/>
    <w:rsid w:val="000A0383"/>
    <w:rsid w:val="000A2181"/>
    <w:rsid w:val="000A2330"/>
    <w:rsid w:val="000A2C54"/>
    <w:rsid w:val="000A5A8D"/>
    <w:rsid w:val="000A6591"/>
    <w:rsid w:val="000A7604"/>
    <w:rsid w:val="000A7FB4"/>
    <w:rsid w:val="000B0243"/>
    <w:rsid w:val="000B14C4"/>
    <w:rsid w:val="000B3B74"/>
    <w:rsid w:val="000B521D"/>
    <w:rsid w:val="000B555A"/>
    <w:rsid w:val="000B6880"/>
    <w:rsid w:val="000B764C"/>
    <w:rsid w:val="000C2E3B"/>
    <w:rsid w:val="000C30FA"/>
    <w:rsid w:val="000C35E6"/>
    <w:rsid w:val="000C413E"/>
    <w:rsid w:val="000C6151"/>
    <w:rsid w:val="000C679B"/>
    <w:rsid w:val="000C7D4D"/>
    <w:rsid w:val="000D0779"/>
    <w:rsid w:val="000D0E16"/>
    <w:rsid w:val="000D0EAE"/>
    <w:rsid w:val="000D40B7"/>
    <w:rsid w:val="000D5B34"/>
    <w:rsid w:val="000D6D88"/>
    <w:rsid w:val="000D751A"/>
    <w:rsid w:val="000D7E83"/>
    <w:rsid w:val="000E0694"/>
    <w:rsid w:val="000E1C2B"/>
    <w:rsid w:val="000E2169"/>
    <w:rsid w:val="000E4C3F"/>
    <w:rsid w:val="000E5529"/>
    <w:rsid w:val="000E6979"/>
    <w:rsid w:val="000F199E"/>
    <w:rsid w:val="000F2B47"/>
    <w:rsid w:val="000F2EEC"/>
    <w:rsid w:val="000F3948"/>
    <w:rsid w:val="000F4A47"/>
    <w:rsid w:val="000F5935"/>
    <w:rsid w:val="000F677B"/>
    <w:rsid w:val="000F68DE"/>
    <w:rsid w:val="000F7127"/>
    <w:rsid w:val="001004A7"/>
    <w:rsid w:val="00100ED1"/>
    <w:rsid w:val="001016E7"/>
    <w:rsid w:val="00104F68"/>
    <w:rsid w:val="00105C12"/>
    <w:rsid w:val="001070E8"/>
    <w:rsid w:val="001101A5"/>
    <w:rsid w:val="001112D9"/>
    <w:rsid w:val="001119F8"/>
    <w:rsid w:val="00111BF9"/>
    <w:rsid w:val="00112A5E"/>
    <w:rsid w:val="00113CC8"/>
    <w:rsid w:val="00115AAF"/>
    <w:rsid w:val="00117208"/>
    <w:rsid w:val="00120655"/>
    <w:rsid w:val="00122C2C"/>
    <w:rsid w:val="0012506B"/>
    <w:rsid w:val="00127327"/>
    <w:rsid w:val="001273A8"/>
    <w:rsid w:val="00130C03"/>
    <w:rsid w:val="001311F7"/>
    <w:rsid w:val="0013184F"/>
    <w:rsid w:val="00131D22"/>
    <w:rsid w:val="00131F00"/>
    <w:rsid w:val="0013346F"/>
    <w:rsid w:val="001345AE"/>
    <w:rsid w:val="00135B66"/>
    <w:rsid w:val="00135EB7"/>
    <w:rsid w:val="0013709C"/>
    <w:rsid w:val="001458C5"/>
    <w:rsid w:val="00146CE3"/>
    <w:rsid w:val="00146E1F"/>
    <w:rsid w:val="00147515"/>
    <w:rsid w:val="00147A74"/>
    <w:rsid w:val="00151D5D"/>
    <w:rsid w:val="00154DF1"/>
    <w:rsid w:val="00155BC0"/>
    <w:rsid w:val="00155D06"/>
    <w:rsid w:val="00157CA2"/>
    <w:rsid w:val="00160175"/>
    <w:rsid w:val="00161B0F"/>
    <w:rsid w:val="001649D5"/>
    <w:rsid w:val="00164BC2"/>
    <w:rsid w:val="00166C29"/>
    <w:rsid w:val="001671FB"/>
    <w:rsid w:val="00167994"/>
    <w:rsid w:val="00172049"/>
    <w:rsid w:val="00173377"/>
    <w:rsid w:val="001739F1"/>
    <w:rsid w:val="00173AAA"/>
    <w:rsid w:val="00174FF5"/>
    <w:rsid w:val="00180009"/>
    <w:rsid w:val="00181AC8"/>
    <w:rsid w:val="00184421"/>
    <w:rsid w:val="00184867"/>
    <w:rsid w:val="001852C3"/>
    <w:rsid w:val="00185B60"/>
    <w:rsid w:val="00185CEF"/>
    <w:rsid w:val="001921A4"/>
    <w:rsid w:val="00193115"/>
    <w:rsid w:val="00194A0E"/>
    <w:rsid w:val="001969F1"/>
    <w:rsid w:val="00196E5A"/>
    <w:rsid w:val="00197503"/>
    <w:rsid w:val="001A1AD3"/>
    <w:rsid w:val="001A35A9"/>
    <w:rsid w:val="001A3781"/>
    <w:rsid w:val="001A5355"/>
    <w:rsid w:val="001B107D"/>
    <w:rsid w:val="001B4842"/>
    <w:rsid w:val="001B7718"/>
    <w:rsid w:val="001C0F00"/>
    <w:rsid w:val="001C142F"/>
    <w:rsid w:val="001C47A2"/>
    <w:rsid w:val="001C5EB8"/>
    <w:rsid w:val="001C7F89"/>
    <w:rsid w:val="001C7FBE"/>
    <w:rsid w:val="001D3544"/>
    <w:rsid w:val="001D39AA"/>
    <w:rsid w:val="001D39EC"/>
    <w:rsid w:val="001D418D"/>
    <w:rsid w:val="001D661F"/>
    <w:rsid w:val="001D7B65"/>
    <w:rsid w:val="001E0523"/>
    <w:rsid w:val="001E5B71"/>
    <w:rsid w:val="001E5BA9"/>
    <w:rsid w:val="001E6A60"/>
    <w:rsid w:val="001E6E5A"/>
    <w:rsid w:val="001E70D6"/>
    <w:rsid w:val="001F7901"/>
    <w:rsid w:val="00200E66"/>
    <w:rsid w:val="00201E7E"/>
    <w:rsid w:val="00203E3B"/>
    <w:rsid w:val="002042DF"/>
    <w:rsid w:val="00204AB9"/>
    <w:rsid w:val="00204B23"/>
    <w:rsid w:val="002050B7"/>
    <w:rsid w:val="00205838"/>
    <w:rsid w:val="00205D88"/>
    <w:rsid w:val="00212F70"/>
    <w:rsid w:val="00213AF3"/>
    <w:rsid w:val="00213E2C"/>
    <w:rsid w:val="00214E0B"/>
    <w:rsid w:val="00214FEE"/>
    <w:rsid w:val="00215B3B"/>
    <w:rsid w:val="00215C5A"/>
    <w:rsid w:val="00215E4D"/>
    <w:rsid w:val="002166BC"/>
    <w:rsid w:val="002166E5"/>
    <w:rsid w:val="00217F1C"/>
    <w:rsid w:val="00217FA0"/>
    <w:rsid w:val="002208BE"/>
    <w:rsid w:val="00224D2D"/>
    <w:rsid w:val="00225954"/>
    <w:rsid w:val="00225A8E"/>
    <w:rsid w:val="002262ED"/>
    <w:rsid w:val="0022714B"/>
    <w:rsid w:val="002272CB"/>
    <w:rsid w:val="002308B7"/>
    <w:rsid w:val="00231607"/>
    <w:rsid w:val="002340AB"/>
    <w:rsid w:val="00234962"/>
    <w:rsid w:val="00234A99"/>
    <w:rsid w:val="00234D13"/>
    <w:rsid w:val="0023638D"/>
    <w:rsid w:val="002432D3"/>
    <w:rsid w:val="00244D9E"/>
    <w:rsid w:val="0024609D"/>
    <w:rsid w:val="00246D4D"/>
    <w:rsid w:val="00246F6F"/>
    <w:rsid w:val="00247945"/>
    <w:rsid w:val="002527EB"/>
    <w:rsid w:val="00253292"/>
    <w:rsid w:val="00254C89"/>
    <w:rsid w:val="00254E2D"/>
    <w:rsid w:val="002558A0"/>
    <w:rsid w:val="00256D04"/>
    <w:rsid w:val="00257482"/>
    <w:rsid w:val="0026025C"/>
    <w:rsid w:val="0026344E"/>
    <w:rsid w:val="0026713B"/>
    <w:rsid w:val="00271C83"/>
    <w:rsid w:val="0027245E"/>
    <w:rsid w:val="00272B66"/>
    <w:rsid w:val="002733A4"/>
    <w:rsid w:val="00273723"/>
    <w:rsid w:val="00273CB4"/>
    <w:rsid w:val="002742FF"/>
    <w:rsid w:val="00274C9F"/>
    <w:rsid w:val="002768F8"/>
    <w:rsid w:val="0027708E"/>
    <w:rsid w:val="002817A6"/>
    <w:rsid w:val="00283304"/>
    <w:rsid w:val="0028360E"/>
    <w:rsid w:val="00283CBE"/>
    <w:rsid w:val="002863D7"/>
    <w:rsid w:val="002869EF"/>
    <w:rsid w:val="00286FCA"/>
    <w:rsid w:val="0029011D"/>
    <w:rsid w:val="0029042C"/>
    <w:rsid w:val="00291C4B"/>
    <w:rsid w:val="00292A7F"/>
    <w:rsid w:val="00293AC3"/>
    <w:rsid w:val="00294A61"/>
    <w:rsid w:val="00294B21"/>
    <w:rsid w:val="00297266"/>
    <w:rsid w:val="00297305"/>
    <w:rsid w:val="002A00E4"/>
    <w:rsid w:val="002A1D82"/>
    <w:rsid w:val="002A2808"/>
    <w:rsid w:val="002A3D5D"/>
    <w:rsid w:val="002A4C13"/>
    <w:rsid w:val="002A4F27"/>
    <w:rsid w:val="002A64F9"/>
    <w:rsid w:val="002A6552"/>
    <w:rsid w:val="002A6B96"/>
    <w:rsid w:val="002A75EB"/>
    <w:rsid w:val="002B0C44"/>
    <w:rsid w:val="002B0E82"/>
    <w:rsid w:val="002B25CD"/>
    <w:rsid w:val="002B6DE0"/>
    <w:rsid w:val="002B71CD"/>
    <w:rsid w:val="002B72E0"/>
    <w:rsid w:val="002B76AB"/>
    <w:rsid w:val="002B7C37"/>
    <w:rsid w:val="002C1507"/>
    <w:rsid w:val="002C3CA5"/>
    <w:rsid w:val="002C40A9"/>
    <w:rsid w:val="002C5064"/>
    <w:rsid w:val="002C598D"/>
    <w:rsid w:val="002C71CA"/>
    <w:rsid w:val="002D02B4"/>
    <w:rsid w:val="002D262A"/>
    <w:rsid w:val="002D630B"/>
    <w:rsid w:val="002D6763"/>
    <w:rsid w:val="002D7000"/>
    <w:rsid w:val="002D7816"/>
    <w:rsid w:val="002D7B94"/>
    <w:rsid w:val="002E06F1"/>
    <w:rsid w:val="002E1A05"/>
    <w:rsid w:val="002E226E"/>
    <w:rsid w:val="002E3E35"/>
    <w:rsid w:val="002E6531"/>
    <w:rsid w:val="002E6CC4"/>
    <w:rsid w:val="002E7BD6"/>
    <w:rsid w:val="002F297B"/>
    <w:rsid w:val="002F3061"/>
    <w:rsid w:val="002F4D0C"/>
    <w:rsid w:val="002F6B54"/>
    <w:rsid w:val="002F6E35"/>
    <w:rsid w:val="0030009A"/>
    <w:rsid w:val="00302387"/>
    <w:rsid w:val="0030242C"/>
    <w:rsid w:val="00302890"/>
    <w:rsid w:val="0030487D"/>
    <w:rsid w:val="00304DFE"/>
    <w:rsid w:val="00306F1E"/>
    <w:rsid w:val="0031056E"/>
    <w:rsid w:val="00310CBE"/>
    <w:rsid w:val="00311038"/>
    <w:rsid w:val="00315598"/>
    <w:rsid w:val="00315DEC"/>
    <w:rsid w:val="0031740A"/>
    <w:rsid w:val="00317AEC"/>
    <w:rsid w:val="00317FDB"/>
    <w:rsid w:val="003206AB"/>
    <w:rsid w:val="00321ADF"/>
    <w:rsid w:val="003250D8"/>
    <w:rsid w:val="00325FF2"/>
    <w:rsid w:val="00326958"/>
    <w:rsid w:val="0033012A"/>
    <w:rsid w:val="003308C3"/>
    <w:rsid w:val="00331ADC"/>
    <w:rsid w:val="0033265A"/>
    <w:rsid w:val="00336980"/>
    <w:rsid w:val="00341682"/>
    <w:rsid w:val="00341EEF"/>
    <w:rsid w:val="003426BF"/>
    <w:rsid w:val="00343835"/>
    <w:rsid w:val="0034499A"/>
    <w:rsid w:val="00344F9F"/>
    <w:rsid w:val="00345556"/>
    <w:rsid w:val="00346E5F"/>
    <w:rsid w:val="00346EAA"/>
    <w:rsid w:val="003510C0"/>
    <w:rsid w:val="0035526C"/>
    <w:rsid w:val="00357209"/>
    <w:rsid w:val="00357B5C"/>
    <w:rsid w:val="0036189F"/>
    <w:rsid w:val="003629C3"/>
    <w:rsid w:val="00363410"/>
    <w:rsid w:val="00363A19"/>
    <w:rsid w:val="003656C4"/>
    <w:rsid w:val="00366B64"/>
    <w:rsid w:val="00366F93"/>
    <w:rsid w:val="003675F1"/>
    <w:rsid w:val="00370490"/>
    <w:rsid w:val="00370BC5"/>
    <w:rsid w:val="00370D5B"/>
    <w:rsid w:val="003743AD"/>
    <w:rsid w:val="00374608"/>
    <w:rsid w:val="003779A6"/>
    <w:rsid w:val="00381825"/>
    <w:rsid w:val="00383149"/>
    <w:rsid w:val="003846D5"/>
    <w:rsid w:val="00384A00"/>
    <w:rsid w:val="00384E5E"/>
    <w:rsid w:val="00387C3D"/>
    <w:rsid w:val="00390ECC"/>
    <w:rsid w:val="003921CA"/>
    <w:rsid w:val="00392614"/>
    <w:rsid w:val="00392F7A"/>
    <w:rsid w:val="00393278"/>
    <w:rsid w:val="00394544"/>
    <w:rsid w:val="00394DAA"/>
    <w:rsid w:val="003969F2"/>
    <w:rsid w:val="00396F0A"/>
    <w:rsid w:val="00396FD7"/>
    <w:rsid w:val="00397B93"/>
    <w:rsid w:val="003A0C7A"/>
    <w:rsid w:val="003A16DA"/>
    <w:rsid w:val="003A3276"/>
    <w:rsid w:val="003A3ADA"/>
    <w:rsid w:val="003A501E"/>
    <w:rsid w:val="003A63C1"/>
    <w:rsid w:val="003B147F"/>
    <w:rsid w:val="003B28AD"/>
    <w:rsid w:val="003B3E57"/>
    <w:rsid w:val="003B478C"/>
    <w:rsid w:val="003B5912"/>
    <w:rsid w:val="003C3464"/>
    <w:rsid w:val="003C38EC"/>
    <w:rsid w:val="003C3D79"/>
    <w:rsid w:val="003C7441"/>
    <w:rsid w:val="003D30A0"/>
    <w:rsid w:val="003E1520"/>
    <w:rsid w:val="003E21DB"/>
    <w:rsid w:val="003E3505"/>
    <w:rsid w:val="003E418E"/>
    <w:rsid w:val="003E68AA"/>
    <w:rsid w:val="003E76E9"/>
    <w:rsid w:val="003E7979"/>
    <w:rsid w:val="003F44C3"/>
    <w:rsid w:val="003F4ADD"/>
    <w:rsid w:val="003F6F65"/>
    <w:rsid w:val="003F7027"/>
    <w:rsid w:val="003F71D0"/>
    <w:rsid w:val="003F7D6D"/>
    <w:rsid w:val="00400E4A"/>
    <w:rsid w:val="004042F1"/>
    <w:rsid w:val="00404C29"/>
    <w:rsid w:val="00405FBF"/>
    <w:rsid w:val="00406760"/>
    <w:rsid w:val="004110F6"/>
    <w:rsid w:val="00412ACA"/>
    <w:rsid w:val="00413779"/>
    <w:rsid w:val="004161B8"/>
    <w:rsid w:val="00430A83"/>
    <w:rsid w:val="00431084"/>
    <w:rsid w:val="0043354B"/>
    <w:rsid w:val="00435539"/>
    <w:rsid w:val="00436B58"/>
    <w:rsid w:val="00436BEA"/>
    <w:rsid w:val="00437868"/>
    <w:rsid w:val="004406E3"/>
    <w:rsid w:val="00440D20"/>
    <w:rsid w:val="00441535"/>
    <w:rsid w:val="0044335E"/>
    <w:rsid w:val="00446C1B"/>
    <w:rsid w:val="00450393"/>
    <w:rsid w:val="004527F1"/>
    <w:rsid w:val="004533DB"/>
    <w:rsid w:val="004551EC"/>
    <w:rsid w:val="004555A5"/>
    <w:rsid w:val="0045560A"/>
    <w:rsid w:val="00455D47"/>
    <w:rsid w:val="00457734"/>
    <w:rsid w:val="004620FF"/>
    <w:rsid w:val="00462140"/>
    <w:rsid w:val="00462212"/>
    <w:rsid w:val="00464B7F"/>
    <w:rsid w:val="004655C1"/>
    <w:rsid w:val="00465789"/>
    <w:rsid w:val="004662C5"/>
    <w:rsid w:val="004662E0"/>
    <w:rsid w:val="00470E62"/>
    <w:rsid w:val="00475241"/>
    <w:rsid w:val="00480779"/>
    <w:rsid w:val="00481F32"/>
    <w:rsid w:val="00482EEC"/>
    <w:rsid w:val="004830F1"/>
    <w:rsid w:val="004867C2"/>
    <w:rsid w:val="00486DFC"/>
    <w:rsid w:val="00490685"/>
    <w:rsid w:val="0049195D"/>
    <w:rsid w:val="00491AB9"/>
    <w:rsid w:val="004934BE"/>
    <w:rsid w:val="00493F18"/>
    <w:rsid w:val="00495466"/>
    <w:rsid w:val="00495DE3"/>
    <w:rsid w:val="00497CC9"/>
    <w:rsid w:val="004A05A7"/>
    <w:rsid w:val="004A40B4"/>
    <w:rsid w:val="004A472A"/>
    <w:rsid w:val="004A4935"/>
    <w:rsid w:val="004B02BC"/>
    <w:rsid w:val="004B09F3"/>
    <w:rsid w:val="004B47D3"/>
    <w:rsid w:val="004C0111"/>
    <w:rsid w:val="004C231F"/>
    <w:rsid w:val="004C498B"/>
    <w:rsid w:val="004C67B1"/>
    <w:rsid w:val="004D084D"/>
    <w:rsid w:val="004D1EAA"/>
    <w:rsid w:val="004D2C35"/>
    <w:rsid w:val="004D3896"/>
    <w:rsid w:val="004D5EBE"/>
    <w:rsid w:val="004D6B97"/>
    <w:rsid w:val="004E049B"/>
    <w:rsid w:val="004E2315"/>
    <w:rsid w:val="004E69F7"/>
    <w:rsid w:val="004E7409"/>
    <w:rsid w:val="004E74D1"/>
    <w:rsid w:val="004F2430"/>
    <w:rsid w:val="004F2BAC"/>
    <w:rsid w:val="004F36C4"/>
    <w:rsid w:val="004F36E2"/>
    <w:rsid w:val="004F45D6"/>
    <w:rsid w:val="004F48C0"/>
    <w:rsid w:val="004F7FB5"/>
    <w:rsid w:val="00500104"/>
    <w:rsid w:val="0050038C"/>
    <w:rsid w:val="00501DBD"/>
    <w:rsid w:val="00505804"/>
    <w:rsid w:val="00506F79"/>
    <w:rsid w:val="00511D22"/>
    <w:rsid w:val="00511F5D"/>
    <w:rsid w:val="00513F3D"/>
    <w:rsid w:val="005145F6"/>
    <w:rsid w:val="00515CCA"/>
    <w:rsid w:val="005257EC"/>
    <w:rsid w:val="00526576"/>
    <w:rsid w:val="00526D08"/>
    <w:rsid w:val="00533CDF"/>
    <w:rsid w:val="005347E6"/>
    <w:rsid w:val="00534EEB"/>
    <w:rsid w:val="00535221"/>
    <w:rsid w:val="0053540D"/>
    <w:rsid w:val="00537E01"/>
    <w:rsid w:val="005400FC"/>
    <w:rsid w:val="00540352"/>
    <w:rsid w:val="005403E8"/>
    <w:rsid w:val="0054050B"/>
    <w:rsid w:val="00542944"/>
    <w:rsid w:val="00542BF3"/>
    <w:rsid w:val="00543890"/>
    <w:rsid w:val="005445D5"/>
    <w:rsid w:val="00544D4A"/>
    <w:rsid w:val="00546035"/>
    <w:rsid w:val="00546899"/>
    <w:rsid w:val="0054788F"/>
    <w:rsid w:val="00551D48"/>
    <w:rsid w:val="00551ECD"/>
    <w:rsid w:val="005535C7"/>
    <w:rsid w:val="005547CA"/>
    <w:rsid w:val="00555F68"/>
    <w:rsid w:val="005576F8"/>
    <w:rsid w:val="00560D9D"/>
    <w:rsid w:val="00561604"/>
    <w:rsid w:val="00563A74"/>
    <w:rsid w:val="00564491"/>
    <w:rsid w:val="00566AC9"/>
    <w:rsid w:val="005720EB"/>
    <w:rsid w:val="00574124"/>
    <w:rsid w:val="0057537D"/>
    <w:rsid w:val="00580A6C"/>
    <w:rsid w:val="00581CD2"/>
    <w:rsid w:val="005837E2"/>
    <w:rsid w:val="00583CD1"/>
    <w:rsid w:val="00585F60"/>
    <w:rsid w:val="005860D2"/>
    <w:rsid w:val="005903AC"/>
    <w:rsid w:val="0059081C"/>
    <w:rsid w:val="0059084F"/>
    <w:rsid w:val="00590885"/>
    <w:rsid w:val="00592A4A"/>
    <w:rsid w:val="00595E08"/>
    <w:rsid w:val="005974CD"/>
    <w:rsid w:val="005975FE"/>
    <w:rsid w:val="005A0972"/>
    <w:rsid w:val="005A151B"/>
    <w:rsid w:val="005A1F62"/>
    <w:rsid w:val="005A32D5"/>
    <w:rsid w:val="005A33EF"/>
    <w:rsid w:val="005A721F"/>
    <w:rsid w:val="005A7644"/>
    <w:rsid w:val="005A7F69"/>
    <w:rsid w:val="005B05D5"/>
    <w:rsid w:val="005B2A4D"/>
    <w:rsid w:val="005B3829"/>
    <w:rsid w:val="005B3BFB"/>
    <w:rsid w:val="005B5624"/>
    <w:rsid w:val="005C24CF"/>
    <w:rsid w:val="005C2E96"/>
    <w:rsid w:val="005C40D5"/>
    <w:rsid w:val="005C40E0"/>
    <w:rsid w:val="005C67DA"/>
    <w:rsid w:val="005C68CA"/>
    <w:rsid w:val="005D00D7"/>
    <w:rsid w:val="005D1DEB"/>
    <w:rsid w:val="005D2774"/>
    <w:rsid w:val="005D51C5"/>
    <w:rsid w:val="005D5D21"/>
    <w:rsid w:val="005D69F6"/>
    <w:rsid w:val="005D6B50"/>
    <w:rsid w:val="005E210F"/>
    <w:rsid w:val="005E2B24"/>
    <w:rsid w:val="005E454D"/>
    <w:rsid w:val="005E5C36"/>
    <w:rsid w:val="005F0FE5"/>
    <w:rsid w:val="005F28ED"/>
    <w:rsid w:val="005F410C"/>
    <w:rsid w:val="005F4C88"/>
    <w:rsid w:val="005F5DC1"/>
    <w:rsid w:val="005F660B"/>
    <w:rsid w:val="005F6F8C"/>
    <w:rsid w:val="005F7ADD"/>
    <w:rsid w:val="005F7FEA"/>
    <w:rsid w:val="00606182"/>
    <w:rsid w:val="006064A8"/>
    <w:rsid w:val="00606DD0"/>
    <w:rsid w:val="006075CC"/>
    <w:rsid w:val="006101B5"/>
    <w:rsid w:val="006143B4"/>
    <w:rsid w:val="00614AEC"/>
    <w:rsid w:val="00615050"/>
    <w:rsid w:val="00616774"/>
    <w:rsid w:val="00616DE6"/>
    <w:rsid w:val="00616EEE"/>
    <w:rsid w:val="00617029"/>
    <w:rsid w:val="0062096B"/>
    <w:rsid w:val="0062175F"/>
    <w:rsid w:val="00621B04"/>
    <w:rsid w:val="00622372"/>
    <w:rsid w:val="00622B95"/>
    <w:rsid w:val="00623E13"/>
    <w:rsid w:val="0062545D"/>
    <w:rsid w:val="00625999"/>
    <w:rsid w:val="00626475"/>
    <w:rsid w:val="00630293"/>
    <w:rsid w:val="00632207"/>
    <w:rsid w:val="00633E77"/>
    <w:rsid w:val="006340F4"/>
    <w:rsid w:val="0063644E"/>
    <w:rsid w:val="00636D6D"/>
    <w:rsid w:val="006371A1"/>
    <w:rsid w:val="006404FF"/>
    <w:rsid w:val="00646FF3"/>
    <w:rsid w:val="006527B6"/>
    <w:rsid w:val="0066062F"/>
    <w:rsid w:val="00662512"/>
    <w:rsid w:val="0066273C"/>
    <w:rsid w:val="00665A97"/>
    <w:rsid w:val="00671099"/>
    <w:rsid w:val="0067307E"/>
    <w:rsid w:val="00673242"/>
    <w:rsid w:val="0067358F"/>
    <w:rsid w:val="0067395C"/>
    <w:rsid w:val="00673F04"/>
    <w:rsid w:val="00676A56"/>
    <w:rsid w:val="00676D77"/>
    <w:rsid w:val="00676F47"/>
    <w:rsid w:val="0068215C"/>
    <w:rsid w:val="0068230E"/>
    <w:rsid w:val="00684445"/>
    <w:rsid w:val="006926D4"/>
    <w:rsid w:val="00693990"/>
    <w:rsid w:val="00694E90"/>
    <w:rsid w:val="006957AE"/>
    <w:rsid w:val="0069754D"/>
    <w:rsid w:val="0069799C"/>
    <w:rsid w:val="00697E5B"/>
    <w:rsid w:val="006A05FC"/>
    <w:rsid w:val="006A2735"/>
    <w:rsid w:val="006A465C"/>
    <w:rsid w:val="006A4FFC"/>
    <w:rsid w:val="006A6D7D"/>
    <w:rsid w:val="006A73F8"/>
    <w:rsid w:val="006B1180"/>
    <w:rsid w:val="006B2425"/>
    <w:rsid w:val="006B2483"/>
    <w:rsid w:val="006B422F"/>
    <w:rsid w:val="006B4E3F"/>
    <w:rsid w:val="006B6D4A"/>
    <w:rsid w:val="006C2620"/>
    <w:rsid w:val="006C280E"/>
    <w:rsid w:val="006C3304"/>
    <w:rsid w:val="006C3548"/>
    <w:rsid w:val="006C7949"/>
    <w:rsid w:val="006C7956"/>
    <w:rsid w:val="006D03BB"/>
    <w:rsid w:val="006D108A"/>
    <w:rsid w:val="006D147D"/>
    <w:rsid w:val="006D176B"/>
    <w:rsid w:val="006D21FF"/>
    <w:rsid w:val="006D680C"/>
    <w:rsid w:val="006E1604"/>
    <w:rsid w:val="006E19C9"/>
    <w:rsid w:val="006E353A"/>
    <w:rsid w:val="006E3BD4"/>
    <w:rsid w:val="006E4164"/>
    <w:rsid w:val="006E5B0A"/>
    <w:rsid w:val="006E7F57"/>
    <w:rsid w:val="006F265F"/>
    <w:rsid w:val="006F3FEB"/>
    <w:rsid w:val="006F4AC9"/>
    <w:rsid w:val="006F4AFC"/>
    <w:rsid w:val="006F5EA4"/>
    <w:rsid w:val="006F730C"/>
    <w:rsid w:val="006F73F3"/>
    <w:rsid w:val="00700DDD"/>
    <w:rsid w:val="00701324"/>
    <w:rsid w:val="00702EB1"/>
    <w:rsid w:val="00702F11"/>
    <w:rsid w:val="00702F3A"/>
    <w:rsid w:val="007031B1"/>
    <w:rsid w:val="007043FD"/>
    <w:rsid w:val="00704C4A"/>
    <w:rsid w:val="00705C78"/>
    <w:rsid w:val="00706624"/>
    <w:rsid w:val="00707247"/>
    <w:rsid w:val="00707736"/>
    <w:rsid w:val="00707ED3"/>
    <w:rsid w:val="00711B96"/>
    <w:rsid w:val="00714202"/>
    <w:rsid w:val="007169A2"/>
    <w:rsid w:val="00716DB7"/>
    <w:rsid w:val="007176C7"/>
    <w:rsid w:val="00717F2E"/>
    <w:rsid w:val="00722031"/>
    <w:rsid w:val="007222A0"/>
    <w:rsid w:val="0073236D"/>
    <w:rsid w:val="00735339"/>
    <w:rsid w:val="00736A41"/>
    <w:rsid w:val="00736C3B"/>
    <w:rsid w:val="00740A5E"/>
    <w:rsid w:val="00741BEF"/>
    <w:rsid w:val="00741E06"/>
    <w:rsid w:val="0074284B"/>
    <w:rsid w:val="00743DA1"/>
    <w:rsid w:val="0074408F"/>
    <w:rsid w:val="007466E5"/>
    <w:rsid w:val="00750CF8"/>
    <w:rsid w:val="0075488B"/>
    <w:rsid w:val="0075492E"/>
    <w:rsid w:val="00756044"/>
    <w:rsid w:val="00756E06"/>
    <w:rsid w:val="007614D4"/>
    <w:rsid w:val="00761C9D"/>
    <w:rsid w:val="00761DA6"/>
    <w:rsid w:val="00763385"/>
    <w:rsid w:val="00764A14"/>
    <w:rsid w:val="00764A19"/>
    <w:rsid w:val="007700B1"/>
    <w:rsid w:val="00770B61"/>
    <w:rsid w:val="007719DF"/>
    <w:rsid w:val="0077575A"/>
    <w:rsid w:val="00780B38"/>
    <w:rsid w:val="00781F52"/>
    <w:rsid w:val="007825D9"/>
    <w:rsid w:val="0078317B"/>
    <w:rsid w:val="0078500B"/>
    <w:rsid w:val="00785B52"/>
    <w:rsid w:val="00787CE7"/>
    <w:rsid w:val="007927B3"/>
    <w:rsid w:val="007958BA"/>
    <w:rsid w:val="007963EB"/>
    <w:rsid w:val="007A1493"/>
    <w:rsid w:val="007A2D95"/>
    <w:rsid w:val="007A2E39"/>
    <w:rsid w:val="007A2E57"/>
    <w:rsid w:val="007A4FD7"/>
    <w:rsid w:val="007A5809"/>
    <w:rsid w:val="007A6226"/>
    <w:rsid w:val="007A72C6"/>
    <w:rsid w:val="007A797F"/>
    <w:rsid w:val="007B0EF4"/>
    <w:rsid w:val="007B1192"/>
    <w:rsid w:val="007B1305"/>
    <w:rsid w:val="007B1E87"/>
    <w:rsid w:val="007B2A63"/>
    <w:rsid w:val="007B39B6"/>
    <w:rsid w:val="007B4098"/>
    <w:rsid w:val="007B7216"/>
    <w:rsid w:val="007C07F0"/>
    <w:rsid w:val="007C6B92"/>
    <w:rsid w:val="007C7440"/>
    <w:rsid w:val="007C7719"/>
    <w:rsid w:val="007D03DC"/>
    <w:rsid w:val="007D0B8A"/>
    <w:rsid w:val="007D1B56"/>
    <w:rsid w:val="007D2AD5"/>
    <w:rsid w:val="007D4908"/>
    <w:rsid w:val="007D6AE7"/>
    <w:rsid w:val="007D6CFB"/>
    <w:rsid w:val="007D733E"/>
    <w:rsid w:val="007D78F6"/>
    <w:rsid w:val="007E09EB"/>
    <w:rsid w:val="007E1607"/>
    <w:rsid w:val="007E574B"/>
    <w:rsid w:val="007E5750"/>
    <w:rsid w:val="007E6923"/>
    <w:rsid w:val="007E7AE3"/>
    <w:rsid w:val="007F199D"/>
    <w:rsid w:val="007F29EF"/>
    <w:rsid w:val="007F383D"/>
    <w:rsid w:val="007F5779"/>
    <w:rsid w:val="007F6E57"/>
    <w:rsid w:val="0080183F"/>
    <w:rsid w:val="008022D4"/>
    <w:rsid w:val="0080236C"/>
    <w:rsid w:val="0080264C"/>
    <w:rsid w:val="0080388D"/>
    <w:rsid w:val="0080587B"/>
    <w:rsid w:val="008059AC"/>
    <w:rsid w:val="008065F4"/>
    <w:rsid w:val="00807813"/>
    <w:rsid w:val="00811638"/>
    <w:rsid w:val="00814AE7"/>
    <w:rsid w:val="00815382"/>
    <w:rsid w:val="0081632A"/>
    <w:rsid w:val="00821341"/>
    <w:rsid w:val="00822446"/>
    <w:rsid w:val="0082256E"/>
    <w:rsid w:val="0082295F"/>
    <w:rsid w:val="008247FC"/>
    <w:rsid w:val="0082498B"/>
    <w:rsid w:val="008264E6"/>
    <w:rsid w:val="00826FCA"/>
    <w:rsid w:val="00830296"/>
    <w:rsid w:val="008321D0"/>
    <w:rsid w:val="00833B51"/>
    <w:rsid w:val="008403EE"/>
    <w:rsid w:val="008405D8"/>
    <w:rsid w:val="00841251"/>
    <w:rsid w:val="00841793"/>
    <w:rsid w:val="008453D2"/>
    <w:rsid w:val="0084541A"/>
    <w:rsid w:val="00846B77"/>
    <w:rsid w:val="0085028F"/>
    <w:rsid w:val="00850B5F"/>
    <w:rsid w:val="00850CB8"/>
    <w:rsid w:val="00850F24"/>
    <w:rsid w:val="00852D7A"/>
    <w:rsid w:val="00852E00"/>
    <w:rsid w:val="008540D9"/>
    <w:rsid w:val="00854CC7"/>
    <w:rsid w:val="00854FD1"/>
    <w:rsid w:val="008574B0"/>
    <w:rsid w:val="00860E34"/>
    <w:rsid w:val="00865AD4"/>
    <w:rsid w:val="00865E7D"/>
    <w:rsid w:val="00866DBB"/>
    <w:rsid w:val="00872A9C"/>
    <w:rsid w:val="00872B5D"/>
    <w:rsid w:val="0087383F"/>
    <w:rsid w:val="00874DBB"/>
    <w:rsid w:val="00876379"/>
    <w:rsid w:val="008768E8"/>
    <w:rsid w:val="00877B02"/>
    <w:rsid w:val="008813AB"/>
    <w:rsid w:val="0088174A"/>
    <w:rsid w:val="00882E5C"/>
    <w:rsid w:val="00884EED"/>
    <w:rsid w:val="00886F44"/>
    <w:rsid w:val="008930BB"/>
    <w:rsid w:val="0089611E"/>
    <w:rsid w:val="00896C83"/>
    <w:rsid w:val="00897391"/>
    <w:rsid w:val="008A1126"/>
    <w:rsid w:val="008A1353"/>
    <w:rsid w:val="008A180A"/>
    <w:rsid w:val="008A1953"/>
    <w:rsid w:val="008A705A"/>
    <w:rsid w:val="008B07B5"/>
    <w:rsid w:val="008B09D6"/>
    <w:rsid w:val="008B282D"/>
    <w:rsid w:val="008B2BAC"/>
    <w:rsid w:val="008B4482"/>
    <w:rsid w:val="008B4E7B"/>
    <w:rsid w:val="008B5ADA"/>
    <w:rsid w:val="008C0044"/>
    <w:rsid w:val="008C15CD"/>
    <w:rsid w:val="008C16FA"/>
    <w:rsid w:val="008C2567"/>
    <w:rsid w:val="008C283D"/>
    <w:rsid w:val="008C39E1"/>
    <w:rsid w:val="008C42DA"/>
    <w:rsid w:val="008C5D23"/>
    <w:rsid w:val="008C6E88"/>
    <w:rsid w:val="008C792F"/>
    <w:rsid w:val="008D06E6"/>
    <w:rsid w:val="008D19C5"/>
    <w:rsid w:val="008D20EB"/>
    <w:rsid w:val="008D4334"/>
    <w:rsid w:val="008D680C"/>
    <w:rsid w:val="008D6862"/>
    <w:rsid w:val="008D6AB9"/>
    <w:rsid w:val="008D7454"/>
    <w:rsid w:val="008E0151"/>
    <w:rsid w:val="008E1F00"/>
    <w:rsid w:val="008E2336"/>
    <w:rsid w:val="008E5747"/>
    <w:rsid w:val="008E6C8B"/>
    <w:rsid w:val="008E725C"/>
    <w:rsid w:val="008E7A30"/>
    <w:rsid w:val="008F10BA"/>
    <w:rsid w:val="008F1145"/>
    <w:rsid w:val="008F20DD"/>
    <w:rsid w:val="008F2984"/>
    <w:rsid w:val="008F7DA8"/>
    <w:rsid w:val="00900ECE"/>
    <w:rsid w:val="00901CA4"/>
    <w:rsid w:val="009059B9"/>
    <w:rsid w:val="0091045D"/>
    <w:rsid w:val="00910B00"/>
    <w:rsid w:val="0091251D"/>
    <w:rsid w:val="00912878"/>
    <w:rsid w:val="0091313F"/>
    <w:rsid w:val="009133B3"/>
    <w:rsid w:val="009136A0"/>
    <w:rsid w:val="00914549"/>
    <w:rsid w:val="009147A0"/>
    <w:rsid w:val="00915658"/>
    <w:rsid w:val="00915702"/>
    <w:rsid w:val="009157C5"/>
    <w:rsid w:val="00916365"/>
    <w:rsid w:val="0091711A"/>
    <w:rsid w:val="00917F77"/>
    <w:rsid w:val="0092292E"/>
    <w:rsid w:val="009233DF"/>
    <w:rsid w:val="009250ED"/>
    <w:rsid w:val="009259C2"/>
    <w:rsid w:val="00931483"/>
    <w:rsid w:val="009315B2"/>
    <w:rsid w:val="00931AB6"/>
    <w:rsid w:val="0093204A"/>
    <w:rsid w:val="00932372"/>
    <w:rsid w:val="00932E4E"/>
    <w:rsid w:val="00933ACA"/>
    <w:rsid w:val="00935598"/>
    <w:rsid w:val="0093623F"/>
    <w:rsid w:val="009408C4"/>
    <w:rsid w:val="00940BA2"/>
    <w:rsid w:val="00940C6B"/>
    <w:rsid w:val="00940DF0"/>
    <w:rsid w:val="0094263E"/>
    <w:rsid w:val="00944C5E"/>
    <w:rsid w:val="0094551C"/>
    <w:rsid w:val="009515A7"/>
    <w:rsid w:val="009555B9"/>
    <w:rsid w:val="0095642D"/>
    <w:rsid w:val="00962492"/>
    <w:rsid w:val="009625E7"/>
    <w:rsid w:val="0096279D"/>
    <w:rsid w:val="009634F0"/>
    <w:rsid w:val="00964824"/>
    <w:rsid w:val="00964B48"/>
    <w:rsid w:val="0096578D"/>
    <w:rsid w:val="00970A65"/>
    <w:rsid w:val="00971A81"/>
    <w:rsid w:val="00972C11"/>
    <w:rsid w:val="00974D04"/>
    <w:rsid w:val="009766F4"/>
    <w:rsid w:val="00976BF5"/>
    <w:rsid w:val="00976EC6"/>
    <w:rsid w:val="009804AB"/>
    <w:rsid w:val="00981FE2"/>
    <w:rsid w:val="00982052"/>
    <w:rsid w:val="00982410"/>
    <w:rsid w:val="00986786"/>
    <w:rsid w:val="00991ED6"/>
    <w:rsid w:val="00995501"/>
    <w:rsid w:val="00995D54"/>
    <w:rsid w:val="009A247D"/>
    <w:rsid w:val="009A5344"/>
    <w:rsid w:val="009A5B76"/>
    <w:rsid w:val="009B11C3"/>
    <w:rsid w:val="009B69E2"/>
    <w:rsid w:val="009B6CDF"/>
    <w:rsid w:val="009B6D8C"/>
    <w:rsid w:val="009B76DA"/>
    <w:rsid w:val="009C13E5"/>
    <w:rsid w:val="009C17F5"/>
    <w:rsid w:val="009C1E55"/>
    <w:rsid w:val="009C4062"/>
    <w:rsid w:val="009C40AE"/>
    <w:rsid w:val="009C5A71"/>
    <w:rsid w:val="009C73FF"/>
    <w:rsid w:val="009D0B9F"/>
    <w:rsid w:val="009D15B1"/>
    <w:rsid w:val="009D3FB9"/>
    <w:rsid w:val="009D4DCA"/>
    <w:rsid w:val="009D523A"/>
    <w:rsid w:val="009D5540"/>
    <w:rsid w:val="009D58E7"/>
    <w:rsid w:val="009D6CA7"/>
    <w:rsid w:val="009E040E"/>
    <w:rsid w:val="009E23C7"/>
    <w:rsid w:val="009E2852"/>
    <w:rsid w:val="009E5243"/>
    <w:rsid w:val="009E69BF"/>
    <w:rsid w:val="009E6C29"/>
    <w:rsid w:val="009E715C"/>
    <w:rsid w:val="009E756D"/>
    <w:rsid w:val="009E7C89"/>
    <w:rsid w:val="009F11EC"/>
    <w:rsid w:val="009F33C2"/>
    <w:rsid w:val="009F45A2"/>
    <w:rsid w:val="009F6DCD"/>
    <w:rsid w:val="009F779E"/>
    <w:rsid w:val="009F7FBD"/>
    <w:rsid w:val="00A01047"/>
    <w:rsid w:val="00A02F58"/>
    <w:rsid w:val="00A064A6"/>
    <w:rsid w:val="00A07AD4"/>
    <w:rsid w:val="00A1416A"/>
    <w:rsid w:val="00A14A6C"/>
    <w:rsid w:val="00A16D4C"/>
    <w:rsid w:val="00A2051A"/>
    <w:rsid w:val="00A219A4"/>
    <w:rsid w:val="00A2291C"/>
    <w:rsid w:val="00A23043"/>
    <w:rsid w:val="00A23510"/>
    <w:rsid w:val="00A25844"/>
    <w:rsid w:val="00A26E0C"/>
    <w:rsid w:val="00A270F8"/>
    <w:rsid w:val="00A30C7E"/>
    <w:rsid w:val="00A30D41"/>
    <w:rsid w:val="00A311C2"/>
    <w:rsid w:val="00A343A5"/>
    <w:rsid w:val="00A36079"/>
    <w:rsid w:val="00A3715B"/>
    <w:rsid w:val="00A40FBE"/>
    <w:rsid w:val="00A41A01"/>
    <w:rsid w:val="00A43D07"/>
    <w:rsid w:val="00A469D3"/>
    <w:rsid w:val="00A4720B"/>
    <w:rsid w:val="00A50803"/>
    <w:rsid w:val="00A5332E"/>
    <w:rsid w:val="00A535AB"/>
    <w:rsid w:val="00A60379"/>
    <w:rsid w:val="00A606CF"/>
    <w:rsid w:val="00A60971"/>
    <w:rsid w:val="00A60ABF"/>
    <w:rsid w:val="00A66080"/>
    <w:rsid w:val="00A66515"/>
    <w:rsid w:val="00A66A4E"/>
    <w:rsid w:val="00A7074C"/>
    <w:rsid w:val="00A70EF5"/>
    <w:rsid w:val="00A73B77"/>
    <w:rsid w:val="00A74983"/>
    <w:rsid w:val="00A74AFC"/>
    <w:rsid w:val="00A76C3D"/>
    <w:rsid w:val="00A81E86"/>
    <w:rsid w:val="00A83EF6"/>
    <w:rsid w:val="00A8574A"/>
    <w:rsid w:val="00A8684E"/>
    <w:rsid w:val="00A87A24"/>
    <w:rsid w:val="00A900BC"/>
    <w:rsid w:val="00A92089"/>
    <w:rsid w:val="00A92BE2"/>
    <w:rsid w:val="00A92DC9"/>
    <w:rsid w:val="00A93EB7"/>
    <w:rsid w:val="00A947E3"/>
    <w:rsid w:val="00A960CD"/>
    <w:rsid w:val="00A96CD2"/>
    <w:rsid w:val="00AA1231"/>
    <w:rsid w:val="00AA174B"/>
    <w:rsid w:val="00AA4A33"/>
    <w:rsid w:val="00AA542D"/>
    <w:rsid w:val="00AA7529"/>
    <w:rsid w:val="00AA795E"/>
    <w:rsid w:val="00AB11A2"/>
    <w:rsid w:val="00AB34B8"/>
    <w:rsid w:val="00AB496C"/>
    <w:rsid w:val="00AB6706"/>
    <w:rsid w:val="00AB7AB9"/>
    <w:rsid w:val="00AB7DAD"/>
    <w:rsid w:val="00AC0600"/>
    <w:rsid w:val="00AC0CA5"/>
    <w:rsid w:val="00AC1D7D"/>
    <w:rsid w:val="00AC4A73"/>
    <w:rsid w:val="00AC603E"/>
    <w:rsid w:val="00AC7C71"/>
    <w:rsid w:val="00AD18AD"/>
    <w:rsid w:val="00AD2206"/>
    <w:rsid w:val="00AD23FE"/>
    <w:rsid w:val="00AD24F3"/>
    <w:rsid w:val="00AD2E6C"/>
    <w:rsid w:val="00AD3676"/>
    <w:rsid w:val="00AD44AB"/>
    <w:rsid w:val="00AD5974"/>
    <w:rsid w:val="00AD5E9D"/>
    <w:rsid w:val="00AD623A"/>
    <w:rsid w:val="00AE0F25"/>
    <w:rsid w:val="00AE2270"/>
    <w:rsid w:val="00AE3DBB"/>
    <w:rsid w:val="00AF0545"/>
    <w:rsid w:val="00AF3F7F"/>
    <w:rsid w:val="00AF5A19"/>
    <w:rsid w:val="00AF5F20"/>
    <w:rsid w:val="00AF5F69"/>
    <w:rsid w:val="00AF6DE3"/>
    <w:rsid w:val="00AF7247"/>
    <w:rsid w:val="00B000BE"/>
    <w:rsid w:val="00B01117"/>
    <w:rsid w:val="00B01CB5"/>
    <w:rsid w:val="00B023D9"/>
    <w:rsid w:val="00B02C9E"/>
    <w:rsid w:val="00B03384"/>
    <w:rsid w:val="00B04DDB"/>
    <w:rsid w:val="00B11994"/>
    <w:rsid w:val="00B11C13"/>
    <w:rsid w:val="00B11F80"/>
    <w:rsid w:val="00B14326"/>
    <w:rsid w:val="00B15E9D"/>
    <w:rsid w:val="00B176FD"/>
    <w:rsid w:val="00B1779B"/>
    <w:rsid w:val="00B21E40"/>
    <w:rsid w:val="00B249BA"/>
    <w:rsid w:val="00B24C5A"/>
    <w:rsid w:val="00B250DD"/>
    <w:rsid w:val="00B30099"/>
    <w:rsid w:val="00B30F06"/>
    <w:rsid w:val="00B31A22"/>
    <w:rsid w:val="00B324C5"/>
    <w:rsid w:val="00B331F4"/>
    <w:rsid w:val="00B332DC"/>
    <w:rsid w:val="00B33BD4"/>
    <w:rsid w:val="00B346FB"/>
    <w:rsid w:val="00B34959"/>
    <w:rsid w:val="00B35786"/>
    <w:rsid w:val="00B37146"/>
    <w:rsid w:val="00B37460"/>
    <w:rsid w:val="00B40B48"/>
    <w:rsid w:val="00B42423"/>
    <w:rsid w:val="00B42785"/>
    <w:rsid w:val="00B45465"/>
    <w:rsid w:val="00B45B86"/>
    <w:rsid w:val="00B518EB"/>
    <w:rsid w:val="00B52A26"/>
    <w:rsid w:val="00B57DCF"/>
    <w:rsid w:val="00B6037C"/>
    <w:rsid w:val="00B60EB7"/>
    <w:rsid w:val="00B67A6B"/>
    <w:rsid w:val="00B72C2C"/>
    <w:rsid w:val="00B73D4C"/>
    <w:rsid w:val="00B75DB5"/>
    <w:rsid w:val="00B769E6"/>
    <w:rsid w:val="00B80400"/>
    <w:rsid w:val="00B83B64"/>
    <w:rsid w:val="00B850CF"/>
    <w:rsid w:val="00B857F7"/>
    <w:rsid w:val="00B86797"/>
    <w:rsid w:val="00B86E7E"/>
    <w:rsid w:val="00B9069A"/>
    <w:rsid w:val="00B90E1D"/>
    <w:rsid w:val="00B92A2B"/>
    <w:rsid w:val="00B92E1D"/>
    <w:rsid w:val="00B9456E"/>
    <w:rsid w:val="00B949A7"/>
    <w:rsid w:val="00B973C9"/>
    <w:rsid w:val="00B976B6"/>
    <w:rsid w:val="00BA0343"/>
    <w:rsid w:val="00BA0DDD"/>
    <w:rsid w:val="00BA36B1"/>
    <w:rsid w:val="00BA476C"/>
    <w:rsid w:val="00BA48EF"/>
    <w:rsid w:val="00BA79D9"/>
    <w:rsid w:val="00BB000E"/>
    <w:rsid w:val="00BB076D"/>
    <w:rsid w:val="00BB29D2"/>
    <w:rsid w:val="00BB34CE"/>
    <w:rsid w:val="00BB4F8E"/>
    <w:rsid w:val="00BB5573"/>
    <w:rsid w:val="00BB5649"/>
    <w:rsid w:val="00BB732F"/>
    <w:rsid w:val="00BB74AC"/>
    <w:rsid w:val="00BB755E"/>
    <w:rsid w:val="00BC238F"/>
    <w:rsid w:val="00BC2562"/>
    <w:rsid w:val="00BC3468"/>
    <w:rsid w:val="00BC4637"/>
    <w:rsid w:val="00BC5EAE"/>
    <w:rsid w:val="00BC785E"/>
    <w:rsid w:val="00BD0564"/>
    <w:rsid w:val="00BD33C2"/>
    <w:rsid w:val="00BE18A5"/>
    <w:rsid w:val="00BE266D"/>
    <w:rsid w:val="00BE33C8"/>
    <w:rsid w:val="00BE3C51"/>
    <w:rsid w:val="00BE6894"/>
    <w:rsid w:val="00BF1CE7"/>
    <w:rsid w:val="00BF2054"/>
    <w:rsid w:val="00BF39D4"/>
    <w:rsid w:val="00BF3F82"/>
    <w:rsid w:val="00BF5B09"/>
    <w:rsid w:val="00BF61B7"/>
    <w:rsid w:val="00BF7326"/>
    <w:rsid w:val="00C01B00"/>
    <w:rsid w:val="00C02295"/>
    <w:rsid w:val="00C03960"/>
    <w:rsid w:val="00C03BFC"/>
    <w:rsid w:val="00C046EB"/>
    <w:rsid w:val="00C04FD3"/>
    <w:rsid w:val="00C06296"/>
    <w:rsid w:val="00C11FB7"/>
    <w:rsid w:val="00C138B9"/>
    <w:rsid w:val="00C14871"/>
    <w:rsid w:val="00C15645"/>
    <w:rsid w:val="00C20291"/>
    <w:rsid w:val="00C2151E"/>
    <w:rsid w:val="00C22C89"/>
    <w:rsid w:val="00C23DAE"/>
    <w:rsid w:val="00C24224"/>
    <w:rsid w:val="00C247F2"/>
    <w:rsid w:val="00C24809"/>
    <w:rsid w:val="00C258FB"/>
    <w:rsid w:val="00C26682"/>
    <w:rsid w:val="00C2798C"/>
    <w:rsid w:val="00C27EB8"/>
    <w:rsid w:val="00C27EFC"/>
    <w:rsid w:val="00C307BC"/>
    <w:rsid w:val="00C322AB"/>
    <w:rsid w:val="00C33076"/>
    <w:rsid w:val="00C33650"/>
    <w:rsid w:val="00C36FD3"/>
    <w:rsid w:val="00C4142C"/>
    <w:rsid w:val="00C44D41"/>
    <w:rsid w:val="00C45A45"/>
    <w:rsid w:val="00C45D90"/>
    <w:rsid w:val="00C46DC5"/>
    <w:rsid w:val="00C47A9D"/>
    <w:rsid w:val="00C50508"/>
    <w:rsid w:val="00C508D0"/>
    <w:rsid w:val="00C51094"/>
    <w:rsid w:val="00C536C6"/>
    <w:rsid w:val="00C54405"/>
    <w:rsid w:val="00C55D6A"/>
    <w:rsid w:val="00C55FF4"/>
    <w:rsid w:val="00C5662D"/>
    <w:rsid w:val="00C6037F"/>
    <w:rsid w:val="00C60E00"/>
    <w:rsid w:val="00C61460"/>
    <w:rsid w:val="00C622A4"/>
    <w:rsid w:val="00C62485"/>
    <w:rsid w:val="00C62753"/>
    <w:rsid w:val="00C62874"/>
    <w:rsid w:val="00C62A6D"/>
    <w:rsid w:val="00C6450B"/>
    <w:rsid w:val="00C70841"/>
    <w:rsid w:val="00C7488A"/>
    <w:rsid w:val="00C749D7"/>
    <w:rsid w:val="00C77B51"/>
    <w:rsid w:val="00C80E6C"/>
    <w:rsid w:val="00C81C15"/>
    <w:rsid w:val="00C81CE4"/>
    <w:rsid w:val="00C82CBE"/>
    <w:rsid w:val="00C83353"/>
    <w:rsid w:val="00C84DB0"/>
    <w:rsid w:val="00C85196"/>
    <w:rsid w:val="00C90FA2"/>
    <w:rsid w:val="00C91F43"/>
    <w:rsid w:val="00C93552"/>
    <w:rsid w:val="00C9366F"/>
    <w:rsid w:val="00C94B60"/>
    <w:rsid w:val="00C94E31"/>
    <w:rsid w:val="00C95148"/>
    <w:rsid w:val="00C971DE"/>
    <w:rsid w:val="00CA1FFC"/>
    <w:rsid w:val="00CA210C"/>
    <w:rsid w:val="00CA6471"/>
    <w:rsid w:val="00CA73BC"/>
    <w:rsid w:val="00CA7F45"/>
    <w:rsid w:val="00CB0699"/>
    <w:rsid w:val="00CB1343"/>
    <w:rsid w:val="00CB1511"/>
    <w:rsid w:val="00CB1CB6"/>
    <w:rsid w:val="00CB3552"/>
    <w:rsid w:val="00CB357F"/>
    <w:rsid w:val="00CB3F7D"/>
    <w:rsid w:val="00CB4AFD"/>
    <w:rsid w:val="00CB5665"/>
    <w:rsid w:val="00CB77C1"/>
    <w:rsid w:val="00CC1B89"/>
    <w:rsid w:val="00CC2B56"/>
    <w:rsid w:val="00CC4B06"/>
    <w:rsid w:val="00CC786E"/>
    <w:rsid w:val="00CD0D49"/>
    <w:rsid w:val="00CD148B"/>
    <w:rsid w:val="00CD1A9E"/>
    <w:rsid w:val="00CD30C4"/>
    <w:rsid w:val="00CD3139"/>
    <w:rsid w:val="00CD482B"/>
    <w:rsid w:val="00CE0E68"/>
    <w:rsid w:val="00CE347E"/>
    <w:rsid w:val="00CE55BF"/>
    <w:rsid w:val="00CE614C"/>
    <w:rsid w:val="00CF429F"/>
    <w:rsid w:val="00CF6E72"/>
    <w:rsid w:val="00CF75EC"/>
    <w:rsid w:val="00CF773F"/>
    <w:rsid w:val="00CF7C68"/>
    <w:rsid w:val="00D01C45"/>
    <w:rsid w:val="00D04B5A"/>
    <w:rsid w:val="00D05BD4"/>
    <w:rsid w:val="00D12755"/>
    <w:rsid w:val="00D13A18"/>
    <w:rsid w:val="00D14402"/>
    <w:rsid w:val="00D154AE"/>
    <w:rsid w:val="00D15E8A"/>
    <w:rsid w:val="00D170E4"/>
    <w:rsid w:val="00D17BAD"/>
    <w:rsid w:val="00D206F1"/>
    <w:rsid w:val="00D23255"/>
    <w:rsid w:val="00D23710"/>
    <w:rsid w:val="00D2427A"/>
    <w:rsid w:val="00D27BAA"/>
    <w:rsid w:val="00D3011C"/>
    <w:rsid w:val="00D3206B"/>
    <w:rsid w:val="00D32D01"/>
    <w:rsid w:val="00D3411D"/>
    <w:rsid w:val="00D3570E"/>
    <w:rsid w:val="00D35FA2"/>
    <w:rsid w:val="00D36329"/>
    <w:rsid w:val="00D36A2A"/>
    <w:rsid w:val="00D426AD"/>
    <w:rsid w:val="00D44594"/>
    <w:rsid w:val="00D44A26"/>
    <w:rsid w:val="00D45EDA"/>
    <w:rsid w:val="00D46CC5"/>
    <w:rsid w:val="00D47BAB"/>
    <w:rsid w:val="00D50DC3"/>
    <w:rsid w:val="00D52838"/>
    <w:rsid w:val="00D53620"/>
    <w:rsid w:val="00D541E7"/>
    <w:rsid w:val="00D56C65"/>
    <w:rsid w:val="00D65A35"/>
    <w:rsid w:val="00D70DEE"/>
    <w:rsid w:val="00D71B98"/>
    <w:rsid w:val="00D7273E"/>
    <w:rsid w:val="00D849EE"/>
    <w:rsid w:val="00D854D7"/>
    <w:rsid w:val="00D8589F"/>
    <w:rsid w:val="00D864BC"/>
    <w:rsid w:val="00D8659F"/>
    <w:rsid w:val="00D86752"/>
    <w:rsid w:val="00D90E65"/>
    <w:rsid w:val="00D9439C"/>
    <w:rsid w:val="00D943E8"/>
    <w:rsid w:val="00DA1075"/>
    <w:rsid w:val="00DA37FA"/>
    <w:rsid w:val="00DA4E74"/>
    <w:rsid w:val="00DB0CFD"/>
    <w:rsid w:val="00DB1931"/>
    <w:rsid w:val="00DB2324"/>
    <w:rsid w:val="00DB5406"/>
    <w:rsid w:val="00DB7515"/>
    <w:rsid w:val="00DC02C5"/>
    <w:rsid w:val="00DC0518"/>
    <w:rsid w:val="00DC1F96"/>
    <w:rsid w:val="00DC2044"/>
    <w:rsid w:val="00DC57DB"/>
    <w:rsid w:val="00DD2ADB"/>
    <w:rsid w:val="00DD41AB"/>
    <w:rsid w:val="00DD5DE9"/>
    <w:rsid w:val="00DD7A5B"/>
    <w:rsid w:val="00DE01BE"/>
    <w:rsid w:val="00DE061D"/>
    <w:rsid w:val="00DE222B"/>
    <w:rsid w:val="00DE3C94"/>
    <w:rsid w:val="00DE4BDB"/>
    <w:rsid w:val="00DE4DD9"/>
    <w:rsid w:val="00DE4FC5"/>
    <w:rsid w:val="00DE567D"/>
    <w:rsid w:val="00DF0E40"/>
    <w:rsid w:val="00DF3111"/>
    <w:rsid w:val="00DF427E"/>
    <w:rsid w:val="00DF4330"/>
    <w:rsid w:val="00DF4F75"/>
    <w:rsid w:val="00DF5CFC"/>
    <w:rsid w:val="00DF683E"/>
    <w:rsid w:val="00DF7006"/>
    <w:rsid w:val="00E00692"/>
    <w:rsid w:val="00E0106A"/>
    <w:rsid w:val="00E01CD2"/>
    <w:rsid w:val="00E020F4"/>
    <w:rsid w:val="00E02C70"/>
    <w:rsid w:val="00E03DB4"/>
    <w:rsid w:val="00E06969"/>
    <w:rsid w:val="00E0763F"/>
    <w:rsid w:val="00E141D5"/>
    <w:rsid w:val="00E15AD4"/>
    <w:rsid w:val="00E16443"/>
    <w:rsid w:val="00E168A8"/>
    <w:rsid w:val="00E202FA"/>
    <w:rsid w:val="00E218CA"/>
    <w:rsid w:val="00E23370"/>
    <w:rsid w:val="00E2458E"/>
    <w:rsid w:val="00E24E2A"/>
    <w:rsid w:val="00E253D5"/>
    <w:rsid w:val="00E25645"/>
    <w:rsid w:val="00E2586D"/>
    <w:rsid w:val="00E3272B"/>
    <w:rsid w:val="00E35B5F"/>
    <w:rsid w:val="00E37E19"/>
    <w:rsid w:val="00E4054A"/>
    <w:rsid w:val="00E4096D"/>
    <w:rsid w:val="00E41FF2"/>
    <w:rsid w:val="00E42570"/>
    <w:rsid w:val="00E42C89"/>
    <w:rsid w:val="00E43640"/>
    <w:rsid w:val="00E4482D"/>
    <w:rsid w:val="00E45667"/>
    <w:rsid w:val="00E463A9"/>
    <w:rsid w:val="00E50C9B"/>
    <w:rsid w:val="00E54502"/>
    <w:rsid w:val="00E55240"/>
    <w:rsid w:val="00E56206"/>
    <w:rsid w:val="00E57389"/>
    <w:rsid w:val="00E57A14"/>
    <w:rsid w:val="00E6044B"/>
    <w:rsid w:val="00E60F29"/>
    <w:rsid w:val="00E6337E"/>
    <w:rsid w:val="00E64671"/>
    <w:rsid w:val="00E6553F"/>
    <w:rsid w:val="00E655FB"/>
    <w:rsid w:val="00E67A20"/>
    <w:rsid w:val="00E67AF8"/>
    <w:rsid w:val="00E67AF9"/>
    <w:rsid w:val="00E7186C"/>
    <w:rsid w:val="00E71EDC"/>
    <w:rsid w:val="00E742E4"/>
    <w:rsid w:val="00E768C0"/>
    <w:rsid w:val="00E77099"/>
    <w:rsid w:val="00E77EEF"/>
    <w:rsid w:val="00E81DAA"/>
    <w:rsid w:val="00E8462E"/>
    <w:rsid w:val="00E85F06"/>
    <w:rsid w:val="00E8684E"/>
    <w:rsid w:val="00E86E56"/>
    <w:rsid w:val="00E877DB"/>
    <w:rsid w:val="00E94B0D"/>
    <w:rsid w:val="00E95C9B"/>
    <w:rsid w:val="00E95D13"/>
    <w:rsid w:val="00E96B7C"/>
    <w:rsid w:val="00E97688"/>
    <w:rsid w:val="00EA0518"/>
    <w:rsid w:val="00EA2F43"/>
    <w:rsid w:val="00EA56B0"/>
    <w:rsid w:val="00EA57F4"/>
    <w:rsid w:val="00EA7592"/>
    <w:rsid w:val="00EA7B4F"/>
    <w:rsid w:val="00EB05BB"/>
    <w:rsid w:val="00EB175C"/>
    <w:rsid w:val="00EB3219"/>
    <w:rsid w:val="00EB5038"/>
    <w:rsid w:val="00EB7A57"/>
    <w:rsid w:val="00EB7B14"/>
    <w:rsid w:val="00EC1999"/>
    <w:rsid w:val="00EC4A25"/>
    <w:rsid w:val="00EC6836"/>
    <w:rsid w:val="00ED2759"/>
    <w:rsid w:val="00ED3D50"/>
    <w:rsid w:val="00EE0042"/>
    <w:rsid w:val="00EE11F8"/>
    <w:rsid w:val="00EE25AD"/>
    <w:rsid w:val="00EE33B1"/>
    <w:rsid w:val="00EE3C1D"/>
    <w:rsid w:val="00EF003C"/>
    <w:rsid w:val="00EF14AC"/>
    <w:rsid w:val="00EF1B7C"/>
    <w:rsid w:val="00EF2082"/>
    <w:rsid w:val="00EF3159"/>
    <w:rsid w:val="00EF47A9"/>
    <w:rsid w:val="00EF6B9D"/>
    <w:rsid w:val="00F01C78"/>
    <w:rsid w:val="00F04524"/>
    <w:rsid w:val="00F0490D"/>
    <w:rsid w:val="00F07599"/>
    <w:rsid w:val="00F1029B"/>
    <w:rsid w:val="00F11201"/>
    <w:rsid w:val="00F12276"/>
    <w:rsid w:val="00F12333"/>
    <w:rsid w:val="00F14FDC"/>
    <w:rsid w:val="00F159CC"/>
    <w:rsid w:val="00F16198"/>
    <w:rsid w:val="00F16715"/>
    <w:rsid w:val="00F16AEA"/>
    <w:rsid w:val="00F20CD6"/>
    <w:rsid w:val="00F21023"/>
    <w:rsid w:val="00F220AC"/>
    <w:rsid w:val="00F22472"/>
    <w:rsid w:val="00F2315C"/>
    <w:rsid w:val="00F26379"/>
    <w:rsid w:val="00F2675A"/>
    <w:rsid w:val="00F318F6"/>
    <w:rsid w:val="00F326A0"/>
    <w:rsid w:val="00F34A02"/>
    <w:rsid w:val="00F3608B"/>
    <w:rsid w:val="00F375CC"/>
    <w:rsid w:val="00F404BA"/>
    <w:rsid w:val="00F4087F"/>
    <w:rsid w:val="00F42D3E"/>
    <w:rsid w:val="00F43593"/>
    <w:rsid w:val="00F44272"/>
    <w:rsid w:val="00F553C3"/>
    <w:rsid w:val="00F567E2"/>
    <w:rsid w:val="00F57E70"/>
    <w:rsid w:val="00F6063A"/>
    <w:rsid w:val="00F60738"/>
    <w:rsid w:val="00F60B3E"/>
    <w:rsid w:val="00F61242"/>
    <w:rsid w:val="00F6274E"/>
    <w:rsid w:val="00F62D35"/>
    <w:rsid w:val="00F63B73"/>
    <w:rsid w:val="00F63C24"/>
    <w:rsid w:val="00F64AE8"/>
    <w:rsid w:val="00F6774C"/>
    <w:rsid w:val="00F70118"/>
    <w:rsid w:val="00F707EE"/>
    <w:rsid w:val="00F746C3"/>
    <w:rsid w:val="00F75014"/>
    <w:rsid w:val="00F756FE"/>
    <w:rsid w:val="00F7609A"/>
    <w:rsid w:val="00F770B2"/>
    <w:rsid w:val="00F80A85"/>
    <w:rsid w:val="00F81C42"/>
    <w:rsid w:val="00F85145"/>
    <w:rsid w:val="00F85583"/>
    <w:rsid w:val="00F8739D"/>
    <w:rsid w:val="00F878AA"/>
    <w:rsid w:val="00F9059A"/>
    <w:rsid w:val="00F92064"/>
    <w:rsid w:val="00F9218C"/>
    <w:rsid w:val="00F93A13"/>
    <w:rsid w:val="00F957AF"/>
    <w:rsid w:val="00F97400"/>
    <w:rsid w:val="00FA03B3"/>
    <w:rsid w:val="00FA18D4"/>
    <w:rsid w:val="00FA1BE3"/>
    <w:rsid w:val="00FA334E"/>
    <w:rsid w:val="00FA73CD"/>
    <w:rsid w:val="00FA7514"/>
    <w:rsid w:val="00FB0194"/>
    <w:rsid w:val="00FB0524"/>
    <w:rsid w:val="00FB1E52"/>
    <w:rsid w:val="00FB2B88"/>
    <w:rsid w:val="00FB43C7"/>
    <w:rsid w:val="00FB57E0"/>
    <w:rsid w:val="00FB7460"/>
    <w:rsid w:val="00FC50A5"/>
    <w:rsid w:val="00FC6324"/>
    <w:rsid w:val="00FC6E7D"/>
    <w:rsid w:val="00FC79E4"/>
    <w:rsid w:val="00FC7F31"/>
    <w:rsid w:val="00FD1588"/>
    <w:rsid w:val="00FD1FE6"/>
    <w:rsid w:val="00FD327B"/>
    <w:rsid w:val="00FD3741"/>
    <w:rsid w:val="00FD68BB"/>
    <w:rsid w:val="00FD70FD"/>
    <w:rsid w:val="00FE0703"/>
    <w:rsid w:val="00FE1900"/>
    <w:rsid w:val="00FE2CE8"/>
    <w:rsid w:val="00FE323B"/>
    <w:rsid w:val="00FE3270"/>
    <w:rsid w:val="00FE5257"/>
    <w:rsid w:val="00FE645C"/>
    <w:rsid w:val="00FE6D1E"/>
    <w:rsid w:val="00FE7DA9"/>
    <w:rsid w:val="00FF2FB7"/>
    <w:rsid w:val="00FF374D"/>
    <w:rsid w:val="00FF3FDB"/>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5F9CE"/>
  <w15:docId w15:val="{BE5C6645-E924-4410-9868-1A800C48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3F6F65"/>
    <w:pPr>
      <w:numPr>
        <w:numId w:val="36"/>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F6F65"/>
    <w:rPr>
      <w:rFonts w:eastAsia="Times New Roman" w:cs="Times New Roman"/>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707247"/>
    <w:rPr>
      <w:sz w:val="16"/>
      <w:szCs w:val="16"/>
    </w:rPr>
  </w:style>
  <w:style w:type="paragraph" w:styleId="CommentText">
    <w:name w:val="annotation text"/>
    <w:basedOn w:val="Normal"/>
    <w:link w:val="CommentTextChar"/>
    <w:uiPriority w:val="99"/>
    <w:semiHidden/>
    <w:unhideWhenUsed/>
    <w:rsid w:val="00707247"/>
    <w:pPr>
      <w:spacing w:line="240" w:lineRule="auto"/>
    </w:pPr>
    <w:rPr>
      <w:sz w:val="20"/>
    </w:rPr>
  </w:style>
  <w:style w:type="character" w:customStyle="1" w:styleId="CommentTextChar">
    <w:name w:val="Comment Text Char"/>
    <w:basedOn w:val="DefaultParagraphFont"/>
    <w:link w:val="CommentText"/>
    <w:uiPriority w:val="99"/>
    <w:semiHidden/>
    <w:rsid w:val="00707247"/>
    <w:rPr>
      <w:rFonts w:eastAsia="Times New Roman" w:cs="Times New Roman"/>
      <w:sz w:val="20"/>
      <w:szCs w:val="20"/>
    </w:rPr>
  </w:style>
  <w:style w:type="character" w:customStyle="1" w:styleId="NormalSSChar">
    <w:name w:val="NormalSS Char"/>
    <w:link w:val="NormalSS"/>
    <w:locked/>
    <w:rsid w:val="00707247"/>
    <w:rPr>
      <w:rFonts w:eastAsia="Times New Roman" w:cs="Times New Roman"/>
      <w:szCs w:val="20"/>
    </w:rPr>
  </w:style>
  <w:style w:type="table" w:customStyle="1" w:styleId="MPRBaseTable1">
    <w:name w:val="MPR Base Table1"/>
    <w:basedOn w:val="TableNormal"/>
    <w:uiPriority w:val="99"/>
    <w:rsid w:val="003F44C3"/>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SMPRTableBlack">
    <w:name w:val="SMPR_Table_Black"/>
    <w:basedOn w:val="TableNormal"/>
    <w:uiPriority w:val="99"/>
    <w:rsid w:val="001C47A2"/>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1C47A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176C7"/>
    <w:rPr>
      <w:b/>
      <w:bCs/>
    </w:rPr>
  </w:style>
  <w:style w:type="character" w:customStyle="1" w:styleId="CommentSubjectChar">
    <w:name w:val="Comment Subject Char"/>
    <w:basedOn w:val="CommentTextChar"/>
    <w:link w:val="CommentSubject"/>
    <w:uiPriority w:val="99"/>
    <w:semiHidden/>
    <w:rsid w:val="007176C7"/>
    <w:rPr>
      <w:rFonts w:eastAsia="Times New Roman" w:cs="Times New Roman"/>
      <w:b/>
      <w:bCs/>
      <w:sz w:val="20"/>
      <w:szCs w:val="20"/>
    </w:rPr>
  </w:style>
  <w:style w:type="paragraph" w:customStyle="1" w:styleId="disclosure">
    <w:name w:val="disclosure"/>
    <w:basedOn w:val="Footer"/>
    <w:qFormat/>
    <w:rsid w:val="00A43D07"/>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A43D07"/>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A43D07"/>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styleId="Revision">
    <w:name w:val="Revision"/>
    <w:hidden/>
    <w:uiPriority w:val="99"/>
    <w:semiHidden/>
    <w:rsid w:val="008D20EB"/>
    <w:pPr>
      <w:spacing w:after="0"/>
    </w:pPr>
    <w:rPr>
      <w:rFonts w:eastAsia="Times New Roman" w:cs="Times New Roman"/>
      <w:szCs w:val="20"/>
    </w:rPr>
  </w:style>
  <w:style w:type="character" w:styleId="PlaceholderText">
    <w:name w:val="Placeholder Text"/>
    <w:basedOn w:val="DefaultParagraphFont"/>
    <w:uiPriority w:val="99"/>
    <w:semiHidden/>
    <w:rsid w:val="00F16AEA"/>
    <w:rPr>
      <w:color w:val="808080"/>
    </w:rPr>
  </w:style>
  <w:style w:type="character" w:styleId="FollowedHyperlink">
    <w:name w:val="FollowedHyperlink"/>
    <w:basedOn w:val="DefaultParagraphFont"/>
    <w:semiHidden/>
    <w:unhideWhenUsed/>
    <w:rsid w:val="00317AEC"/>
    <w:rPr>
      <w:color w:val="800080" w:themeColor="followedHyperlink"/>
      <w:u w:val="single"/>
    </w:rPr>
  </w:style>
  <w:style w:type="paragraph" w:customStyle="1" w:styleId="Default">
    <w:name w:val="Default"/>
    <w:rsid w:val="00C11FB7"/>
    <w:pPr>
      <w:autoSpaceDE w:val="0"/>
      <w:autoSpaceDN w:val="0"/>
      <w:adjustRightInd w:val="0"/>
      <w:spacing w:after="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4347">
      <w:bodyDiv w:val="1"/>
      <w:marLeft w:val="0"/>
      <w:marRight w:val="0"/>
      <w:marTop w:val="0"/>
      <w:marBottom w:val="0"/>
      <w:divBdr>
        <w:top w:val="none" w:sz="0" w:space="0" w:color="auto"/>
        <w:left w:val="none" w:sz="0" w:space="0" w:color="auto"/>
        <w:bottom w:val="none" w:sz="0" w:space="0" w:color="auto"/>
        <w:right w:val="none" w:sz="0" w:space="0" w:color="auto"/>
      </w:divBdr>
    </w:div>
    <w:div w:id="632176724">
      <w:bodyDiv w:val="1"/>
      <w:marLeft w:val="0"/>
      <w:marRight w:val="0"/>
      <w:marTop w:val="0"/>
      <w:marBottom w:val="0"/>
      <w:divBdr>
        <w:top w:val="none" w:sz="0" w:space="0" w:color="auto"/>
        <w:left w:val="none" w:sz="0" w:space="0" w:color="auto"/>
        <w:bottom w:val="none" w:sz="0" w:space="0" w:color="auto"/>
        <w:right w:val="none" w:sz="0" w:space="0" w:color="auto"/>
      </w:divBdr>
    </w:div>
    <w:div w:id="810440884">
      <w:bodyDiv w:val="1"/>
      <w:marLeft w:val="0"/>
      <w:marRight w:val="0"/>
      <w:marTop w:val="0"/>
      <w:marBottom w:val="0"/>
      <w:divBdr>
        <w:top w:val="none" w:sz="0" w:space="0" w:color="auto"/>
        <w:left w:val="none" w:sz="0" w:space="0" w:color="auto"/>
        <w:bottom w:val="none" w:sz="0" w:space="0" w:color="auto"/>
        <w:right w:val="none" w:sz="0" w:space="0" w:color="auto"/>
      </w:divBdr>
      <w:divsChild>
        <w:div w:id="1977640328">
          <w:marLeft w:val="0"/>
          <w:marRight w:val="0"/>
          <w:marTop w:val="0"/>
          <w:marBottom w:val="0"/>
          <w:divBdr>
            <w:top w:val="none" w:sz="0" w:space="0" w:color="auto"/>
            <w:left w:val="none" w:sz="0" w:space="0" w:color="auto"/>
            <w:bottom w:val="none" w:sz="0" w:space="0" w:color="auto"/>
            <w:right w:val="none" w:sz="0" w:space="0" w:color="auto"/>
          </w:divBdr>
        </w:div>
      </w:divsChild>
    </w:div>
    <w:div w:id="1561558382">
      <w:bodyDiv w:val="1"/>
      <w:marLeft w:val="0"/>
      <w:marRight w:val="0"/>
      <w:marTop w:val="0"/>
      <w:marBottom w:val="0"/>
      <w:divBdr>
        <w:top w:val="none" w:sz="0" w:space="0" w:color="auto"/>
        <w:left w:val="none" w:sz="0" w:space="0" w:color="auto"/>
        <w:bottom w:val="none" w:sz="0" w:space="0" w:color="auto"/>
        <w:right w:val="none" w:sz="0" w:space="0" w:color="auto"/>
      </w:divBdr>
    </w:div>
    <w:div w:id="1598826826">
      <w:bodyDiv w:val="1"/>
      <w:marLeft w:val="0"/>
      <w:marRight w:val="0"/>
      <w:marTop w:val="0"/>
      <w:marBottom w:val="0"/>
      <w:divBdr>
        <w:top w:val="none" w:sz="0" w:space="0" w:color="auto"/>
        <w:left w:val="none" w:sz="0" w:space="0" w:color="auto"/>
        <w:bottom w:val="none" w:sz="0" w:space="0" w:color="auto"/>
        <w:right w:val="none" w:sz="0" w:space="0" w:color="auto"/>
      </w:divBdr>
    </w:div>
    <w:div w:id="1766028269">
      <w:bodyDiv w:val="1"/>
      <w:marLeft w:val="0"/>
      <w:marRight w:val="0"/>
      <w:marTop w:val="0"/>
      <w:marBottom w:val="0"/>
      <w:divBdr>
        <w:top w:val="none" w:sz="0" w:space="0" w:color="auto"/>
        <w:left w:val="none" w:sz="0" w:space="0" w:color="auto"/>
        <w:bottom w:val="none" w:sz="0" w:space="0" w:color="auto"/>
        <w:right w:val="none" w:sz="0" w:space="0" w:color="auto"/>
      </w:divBdr>
    </w:div>
    <w:div w:id="1828671040">
      <w:bodyDiv w:val="1"/>
      <w:marLeft w:val="0"/>
      <w:marRight w:val="0"/>
      <w:marTop w:val="0"/>
      <w:marBottom w:val="0"/>
      <w:divBdr>
        <w:top w:val="none" w:sz="0" w:space="0" w:color="auto"/>
        <w:left w:val="none" w:sz="0" w:space="0" w:color="auto"/>
        <w:bottom w:val="none" w:sz="0" w:space="0" w:color="auto"/>
        <w:right w:val="none" w:sz="0" w:space="0" w:color="auto"/>
      </w:divBdr>
      <w:divsChild>
        <w:div w:id="21789137">
          <w:marLeft w:val="0"/>
          <w:marRight w:val="0"/>
          <w:marTop w:val="0"/>
          <w:marBottom w:val="0"/>
          <w:divBdr>
            <w:top w:val="none" w:sz="0" w:space="0" w:color="auto"/>
            <w:left w:val="none" w:sz="0" w:space="0" w:color="auto"/>
            <w:bottom w:val="none" w:sz="0" w:space="0" w:color="auto"/>
            <w:right w:val="none" w:sz="0" w:space="0" w:color="auto"/>
          </w:divBdr>
        </w:div>
      </w:divsChild>
    </w:div>
    <w:div w:id="1849783916">
      <w:bodyDiv w:val="1"/>
      <w:marLeft w:val="0"/>
      <w:marRight w:val="0"/>
      <w:marTop w:val="0"/>
      <w:marBottom w:val="0"/>
      <w:divBdr>
        <w:top w:val="none" w:sz="0" w:space="0" w:color="auto"/>
        <w:left w:val="none" w:sz="0" w:space="0" w:color="auto"/>
        <w:bottom w:val="none" w:sz="0" w:space="0" w:color="auto"/>
        <w:right w:val="none" w:sz="0" w:space="0" w:color="auto"/>
      </w:divBdr>
    </w:div>
    <w:div w:id="189176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9ADB1-CDAD-40A0-BA98-4901A3644F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198193-3F90-4E55-89CC-14C641580031}">
  <ds:schemaRefs>
    <ds:schemaRef ds:uri="http://schemas.microsoft.com/sharepoint/v3/contenttype/forms"/>
  </ds:schemaRefs>
</ds:datastoreItem>
</file>

<file path=customXml/itemProps3.xml><?xml version="1.0" encoding="utf-8"?>
<ds:datastoreItem xmlns:ds="http://schemas.openxmlformats.org/officeDocument/2006/customXml" ds:itemID="{92D6C5B3-9CE1-414C-844B-F8A544BD8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9AD1C-5DF9-42EE-BBDA-3B800D92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4519</Words>
  <Characters>25759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Bellotti</dc:creator>
  <cp:lastModifiedBy>Yi, Chayun - ASP</cp:lastModifiedBy>
  <cp:revision>2</cp:revision>
  <cp:lastPrinted>2018-11-26T19:24:00Z</cp:lastPrinted>
  <dcterms:created xsi:type="dcterms:W3CDTF">2020-11-16T20:37:00Z</dcterms:created>
  <dcterms:modified xsi:type="dcterms:W3CDTF">2020-11-16T20:37:00Z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