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D18F1" w14:textId="62D540D5" w:rsidR="007E5E08" w:rsidRDefault="00DE3CD0" w:rsidP="007E5E08">
      <w:pPr>
        <w:pStyle w:val="Cov-Title"/>
        <w:spacing w:before="1440"/>
      </w:pPr>
      <w:bookmarkStart w:id="0" w:name="_Toc62613679"/>
      <w:bookmarkStart w:id="1" w:name="_Toc62614425"/>
      <w:bookmarkStart w:id="2" w:name="_Toc62630085"/>
      <w:bookmarkStart w:id="3" w:name="_Toc94419923"/>
      <w:bookmarkStart w:id="4" w:name="_Toc452967959"/>
      <w:bookmarkStart w:id="5" w:name="_GoBack"/>
      <w:bookmarkEnd w:id="5"/>
      <w:r>
        <w:t>International Study of Adult</w:t>
      </w:r>
      <w:r w:rsidR="007E5E08" w:rsidRPr="000E3721">
        <w:t xml:space="preserve"> Skills and Learning (ISASL)</w:t>
      </w:r>
      <w:r w:rsidR="007E5E08">
        <w:t xml:space="preserve"> [</w:t>
      </w:r>
      <w:r w:rsidR="007E5E08" w:rsidRPr="001B50DB">
        <w:t>Program for the International</w:t>
      </w:r>
      <w:r w:rsidR="007E5E08" w:rsidRPr="009E3AB9">
        <w:rPr>
          <w:szCs w:val="44"/>
        </w:rPr>
        <w:t xml:space="preserve"> </w:t>
      </w:r>
      <w:r w:rsidR="007E5E08" w:rsidRPr="00D3110F">
        <w:t>Assessment of Adult Competencies (PIAAC)</w:t>
      </w:r>
      <w:r w:rsidR="007E5E08" w:rsidRPr="009E3AB9">
        <w:rPr>
          <w:szCs w:val="44"/>
        </w:rPr>
        <w:t xml:space="preserve"> </w:t>
      </w:r>
      <w:r w:rsidR="007E5E08" w:rsidRPr="00D3110F">
        <w:t>Cycle II</w:t>
      </w:r>
      <w:r w:rsidR="007E5E08">
        <w:t>]</w:t>
      </w:r>
      <w:r w:rsidR="007E5E08" w:rsidRPr="00D3110F">
        <w:t xml:space="preserve"> </w:t>
      </w:r>
    </w:p>
    <w:p w14:paraId="2142B83C" w14:textId="77777777" w:rsidR="007E5E08" w:rsidRPr="000E3721" w:rsidRDefault="007E5E08" w:rsidP="007E5E08">
      <w:pPr>
        <w:pStyle w:val="Cov-Title"/>
        <w:rPr>
          <w:szCs w:val="44"/>
        </w:rPr>
      </w:pPr>
      <w:r w:rsidRPr="009E3AB9">
        <w:rPr>
          <w:szCs w:val="44"/>
        </w:rPr>
        <w:t>2022</w:t>
      </w:r>
      <w:r>
        <w:rPr>
          <w:szCs w:val="44"/>
        </w:rPr>
        <w:t xml:space="preserve"> </w:t>
      </w:r>
      <w:r w:rsidRPr="00D3110F">
        <w:t>Field Test</w:t>
      </w:r>
    </w:p>
    <w:p w14:paraId="297403FA" w14:textId="77777777" w:rsidR="00051EA0" w:rsidRDefault="00051EA0" w:rsidP="0021074A">
      <w:pPr>
        <w:widowControl w:val="0"/>
        <w:tabs>
          <w:tab w:val="left" w:pos="6908"/>
        </w:tabs>
        <w:spacing w:before="480"/>
        <w:rPr>
          <w:rFonts w:ascii="Arial Black" w:eastAsia="SimSun" w:hAnsi="Arial Black"/>
          <w:smallCaps/>
          <w:kern w:val="16"/>
          <w:sz w:val="32"/>
          <w:szCs w:val="32"/>
        </w:rPr>
      </w:pPr>
      <w:r>
        <w:rPr>
          <w:rFonts w:ascii="Arial Black" w:eastAsia="SimSun" w:hAnsi="Arial Black"/>
          <w:smallCaps/>
          <w:kern w:val="16"/>
          <w:sz w:val="32"/>
          <w:szCs w:val="32"/>
        </w:rPr>
        <w:tab/>
      </w:r>
    </w:p>
    <w:p w14:paraId="62C946C4" w14:textId="25CDA2C1" w:rsidR="00051EA0" w:rsidRDefault="00051EA0" w:rsidP="0021074A">
      <w:pPr>
        <w:pStyle w:val="Cov-Subtitle"/>
        <w:widowControl w:val="0"/>
        <w:spacing w:before="480"/>
        <w:rPr>
          <w:szCs w:val="32"/>
        </w:rPr>
      </w:pPr>
      <w:r w:rsidRPr="001B50DB">
        <w:t>Supporting Statement Part B</w:t>
      </w:r>
    </w:p>
    <w:p w14:paraId="5EACA8D7" w14:textId="77777777" w:rsidR="00051EA0" w:rsidRPr="00B75F1D" w:rsidRDefault="00051EA0" w:rsidP="0021074A">
      <w:pPr>
        <w:pStyle w:val="Cov-Subtitle"/>
        <w:widowControl w:val="0"/>
        <w:spacing w:before="480"/>
        <w:rPr>
          <w:b/>
          <w:bCs/>
          <w:szCs w:val="32"/>
        </w:rPr>
      </w:pPr>
      <w:r w:rsidRPr="00B75F1D">
        <w:rPr>
          <w:szCs w:val="32"/>
        </w:rPr>
        <w:t xml:space="preserve">OMB # </w:t>
      </w:r>
      <w:r>
        <w:rPr>
          <w:szCs w:val="32"/>
        </w:rPr>
        <w:t>1850-</w:t>
      </w:r>
      <w:r w:rsidRPr="00296FC9">
        <w:rPr>
          <w:szCs w:val="32"/>
        </w:rPr>
        <w:t>0</w:t>
      </w:r>
      <w:r>
        <w:rPr>
          <w:szCs w:val="32"/>
        </w:rPr>
        <w:t>870</w:t>
      </w:r>
      <w:r w:rsidRPr="00296FC9">
        <w:rPr>
          <w:szCs w:val="32"/>
        </w:rPr>
        <w:t xml:space="preserve"> v.</w:t>
      </w:r>
      <w:r>
        <w:rPr>
          <w:szCs w:val="32"/>
        </w:rPr>
        <w:t>7</w:t>
      </w:r>
    </w:p>
    <w:p w14:paraId="6E117342" w14:textId="77777777" w:rsidR="0021074A" w:rsidRDefault="0021074A" w:rsidP="0021074A">
      <w:pPr>
        <w:pStyle w:val="Cov-Address"/>
        <w:widowControl w:val="0"/>
        <w:rPr>
          <w:b/>
        </w:rPr>
      </w:pPr>
    </w:p>
    <w:p w14:paraId="718684A9" w14:textId="77777777" w:rsidR="0021074A" w:rsidRDefault="0021074A" w:rsidP="0021074A">
      <w:pPr>
        <w:pStyle w:val="Cov-Address"/>
        <w:widowControl w:val="0"/>
        <w:rPr>
          <w:b/>
        </w:rPr>
      </w:pPr>
    </w:p>
    <w:p w14:paraId="15FDAFB5" w14:textId="77777777" w:rsidR="0021074A" w:rsidRDefault="0021074A" w:rsidP="0021074A">
      <w:pPr>
        <w:pStyle w:val="Cov-Address"/>
        <w:widowControl w:val="0"/>
        <w:rPr>
          <w:b/>
        </w:rPr>
      </w:pPr>
    </w:p>
    <w:p w14:paraId="0599250F" w14:textId="3B262567" w:rsidR="0021074A" w:rsidRDefault="0021074A" w:rsidP="0021074A">
      <w:pPr>
        <w:pStyle w:val="Cov-Address"/>
        <w:widowControl w:val="0"/>
        <w:rPr>
          <w:b/>
        </w:rPr>
      </w:pPr>
    </w:p>
    <w:p w14:paraId="4175B3D0" w14:textId="17C07D74" w:rsidR="001B31DC" w:rsidRDefault="001B31DC" w:rsidP="0021074A">
      <w:pPr>
        <w:pStyle w:val="Cov-Address"/>
        <w:widowControl w:val="0"/>
        <w:rPr>
          <w:b/>
        </w:rPr>
      </w:pPr>
    </w:p>
    <w:p w14:paraId="4E9992D9" w14:textId="74A36226" w:rsidR="001B31DC" w:rsidRDefault="001B31DC" w:rsidP="0021074A">
      <w:pPr>
        <w:pStyle w:val="Cov-Address"/>
        <w:widowControl w:val="0"/>
        <w:rPr>
          <w:b/>
        </w:rPr>
      </w:pPr>
    </w:p>
    <w:p w14:paraId="12F5BFA9" w14:textId="78C66AD7" w:rsidR="001B31DC" w:rsidRDefault="001B31DC" w:rsidP="0021074A">
      <w:pPr>
        <w:pStyle w:val="Cov-Address"/>
        <w:widowControl w:val="0"/>
        <w:rPr>
          <w:b/>
        </w:rPr>
      </w:pPr>
    </w:p>
    <w:p w14:paraId="6EFDC000" w14:textId="4094A374" w:rsidR="001B31DC" w:rsidRDefault="001B31DC" w:rsidP="0021074A">
      <w:pPr>
        <w:pStyle w:val="Cov-Address"/>
        <w:widowControl w:val="0"/>
        <w:rPr>
          <w:b/>
        </w:rPr>
      </w:pPr>
    </w:p>
    <w:p w14:paraId="214F633F" w14:textId="21957169" w:rsidR="001B31DC" w:rsidRDefault="001B31DC" w:rsidP="0021074A">
      <w:pPr>
        <w:pStyle w:val="Cov-Address"/>
        <w:widowControl w:val="0"/>
        <w:rPr>
          <w:b/>
        </w:rPr>
      </w:pPr>
    </w:p>
    <w:p w14:paraId="7D2C9B43" w14:textId="77777777" w:rsidR="001B31DC" w:rsidRDefault="001B31DC" w:rsidP="0021074A">
      <w:pPr>
        <w:pStyle w:val="Cov-Address"/>
        <w:widowControl w:val="0"/>
        <w:rPr>
          <w:b/>
        </w:rPr>
      </w:pPr>
    </w:p>
    <w:p w14:paraId="20D61F91" w14:textId="404A833A" w:rsidR="00051EA0" w:rsidRPr="001B50DB" w:rsidRDefault="00051EA0" w:rsidP="0021074A">
      <w:pPr>
        <w:pStyle w:val="Cov-Address"/>
        <w:widowControl w:val="0"/>
      </w:pPr>
      <w:r w:rsidRPr="001B50DB">
        <w:rPr>
          <w:b/>
        </w:rPr>
        <w:t>Submitted by</w:t>
      </w:r>
    </w:p>
    <w:p w14:paraId="5185C0E3" w14:textId="77777777" w:rsidR="00051EA0" w:rsidRPr="001B50DB" w:rsidRDefault="00051EA0" w:rsidP="0021074A">
      <w:pPr>
        <w:pStyle w:val="Cov-Address"/>
        <w:widowControl w:val="0"/>
      </w:pPr>
      <w:r w:rsidRPr="001B50DB">
        <w:rPr>
          <w:b/>
        </w:rPr>
        <w:t>National Center for Education Statistics</w:t>
      </w:r>
    </w:p>
    <w:p w14:paraId="13459BAF" w14:textId="77777777" w:rsidR="00051EA0" w:rsidRPr="001B50DB" w:rsidRDefault="00051EA0" w:rsidP="0021074A">
      <w:pPr>
        <w:pStyle w:val="Cov-Address"/>
        <w:widowControl w:val="0"/>
      </w:pPr>
      <w:r w:rsidRPr="001B50DB">
        <w:rPr>
          <w:b/>
        </w:rPr>
        <w:t>U.S. Department of Education</w:t>
      </w:r>
    </w:p>
    <w:p w14:paraId="478FF136" w14:textId="78258A71" w:rsidR="001B31DC" w:rsidRDefault="001B31DC" w:rsidP="0021074A">
      <w:pPr>
        <w:pStyle w:val="Cov-Address"/>
        <w:widowControl w:val="0"/>
        <w:rPr>
          <w:b/>
          <w:bCs/>
        </w:rPr>
      </w:pPr>
    </w:p>
    <w:p w14:paraId="533D0B7C" w14:textId="16439F6C" w:rsidR="001B31DC" w:rsidRDefault="001B31DC" w:rsidP="0021074A">
      <w:pPr>
        <w:pStyle w:val="Cov-Address"/>
        <w:widowControl w:val="0"/>
        <w:rPr>
          <w:b/>
          <w:bCs/>
        </w:rPr>
      </w:pPr>
    </w:p>
    <w:p w14:paraId="3B47B97E" w14:textId="537E9689" w:rsidR="001B31DC" w:rsidRDefault="001B31DC" w:rsidP="0021074A">
      <w:pPr>
        <w:pStyle w:val="Cov-Address"/>
        <w:widowControl w:val="0"/>
        <w:rPr>
          <w:b/>
          <w:bCs/>
        </w:rPr>
      </w:pPr>
    </w:p>
    <w:p w14:paraId="3A61E36E" w14:textId="69DC25FD" w:rsidR="001B31DC" w:rsidRDefault="001B31DC" w:rsidP="0021074A">
      <w:pPr>
        <w:pStyle w:val="Cov-Address"/>
        <w:widowControl w:val="0"/>
        <w:rPr>
          <w:b/>
          <w:bCs/>
        </w:rPr>
      </w:pPr>
    </w:p>
    <w:p w14:paraId="3DAA4B01" w14:textId="517F4F92" w:rsidR="001B31DC" w:rsidRDefault="001B31DC" w:rsidP="0021074A">
      <w:pPr>
        <w:pStyle w:val="Cov-Address"/>
        <w:widowControl w:val="0"/>
        <w:rPr>
          <w:b/>
          <w:bCs/>
        </w:rPr>
      </w:pPr>
    </w:p>
    <w:p w14:paraId="1C1C7C1E" w14:textId="0BD249D7" w:rsidR="001B31DC" w:rsidRDefault="001B31DC" w:rsidP="0021074A">
      <w:pPr>
        <w:pStyle w:val="Cov-Address"/>
        <w:widowControl w:val="0"/>
        <w:rPr>
          <w:b/>
          <w:bCs/>
        </w:rPr>
      </w:pPr>
    </w:p>
    <w:p w14:paraId="1D6786C3" w14:textId="77777777" w:rsidR="001B31DC" w:rsidRDefault="001B31DC" w:rsidP="0021074A">
      <w:pPr>
        <w:pStyle w:val="Cov-Address"/>
        <w:widowControl w:val="0"/>
        <w:rPr>
          <w:b/>
          <w:bCs/>
        </w:rPr>
      </w:pPr>
    </w:p>
    <w:p w14:paraId="6F01126A" w14:textId="77C22188" w:rsidR="0021074A" w:rsidRDefault="009D671A" w:rsidP="0021074A">
      <w:pPr>
        <w:pStyle w:val="Cov-Address"/>
        <w:widowControl w:val="0"/>
        <w:rPr>
          <w:b/>
          <w:bCs/>
        </w:rPr>
      </w:pPr>
      <w:r>
        <w:rPr>
          <w:b/>
          <w:bCs/>
        </w:rPr>
        <w:t>r</w:t>
      </w:r>
      <w:r w:rsidR="00F1229C">
        <w:rPr>
          <w:b/>
          <w:bCs/>
        </w:rPr>
        <w:t>evised October 2019</w:t>
      </w:r>
    </w:p>
    <w:p w14:paraId="70724C88" w14:textId="7E3915AA" w:rsidR="00051EA0" w:rsidRPr="001B50DB" w:rsidRDefault="00DB32FA" w:rsidP="0021074A">
      <w:pPr>
        <w:pStyle w:val="Cov-Address"/>
        <w:widowControl w:val="0"/>
      </w:pPr>
      <w:r>
        <w:rPr>
          <w:b/>
          <w:bCs/>
        </w:rPr>
        <w:t>September</w:t>
      </w:r>
      <w:r w:rsidR="00051EA0" w:rsidRPr="001B50DB">
        <w:rPr>
          <w:b/>
        </w:rPr>
        <w:t xml:space="preserve"> 2019</w:t>
      </w:r>
    </w:p>
    <w:bookmarkEnd w:id="0"/>
    <w:bookmarkEnd w:id="1"/>
    <w:bookmarkEnd w:id="2"/>
    <w:bookmarkEnd w:id="3"/>
    <w:p w14:paraId="7FC791A2" w14:textId="3A14275F" w:rsidR="00F1229C" w:rsidRDefault="00F1229C">
      <w:pPr>
        <w:spacing w:line="240" w:lineRule="auto"/>
      </w:pPr>
      <w:r>
        <w:br w:type="page"/>
      </w:r>
    </w:p>
    <w:p w14:paraId="636D98AD" w14:textId="5FC361FF" w:rsidR="007E5E08" w:rsidRDefault="000612D7" w:rsidP="00F1229C">
      <w:pPr>
        <w:pStyle w:val="L1-FlLSp12"/>
      </w:pPr>
      <w:r w:rsidRPr="000612D7">
        <w:rPr>
          <w:color w:val="FF0000"/>
        </w:rPr>
        <w:lastRenderedPageBreak/>
        <w:t>As in Cycle I, a user-friendly name for PIAAC Cycle II was created – the International Study of Adult Skills and Learning (ISASL) – to represent the program to the public, and will be used on all public-facing materials and reports. As this international program is well-known within the federal and education research communities, we continue to use "PIAAC" in all internal and OMB clearance materials and communications, and use the “PIAAC” name throughout this submission. However, as seen in Appendix E, all recruitment and communication materials refer to the study as ISASL</w:t>
      </w:r>
      <w:r w:rsidR="007E00F4">
        <w:rPr>
          <w:color w:val="FF0000"/>
        </w:rPr>
        <w:t>.</w:t>
      </w:r>
    </w:p>
    <w:p w14:paraId="7E870D85" w14:textId="77777777" w:rsidR="007E5E08" w:rsidRPr="00F1229C" w:rsidRDefault="007E5E08" w:rsidP="00F1229C">
      <w:pPr>
        <w:pStyle w:val="L1-FlLSp12"/>
      </w:pPr>
    </w:p>
    <w:p w14:paraId="758A33EB" w14:textId="70E0EAEB" w:rsidR="00DB6B78" w:rsidRDefault="00CC002F" w:rsidP="0021074A">
      <w:pPr>
        <w:pStyle w:val="Heading2"/>
        <w:widowControl w:val="0"/>
        <w:tabs>
          <w:tab w:val="clear" w:pos="1152"/>
        </w:tabs>
        <w:spacing w:after="120" w:line="23" w:lineRule="atLeast"/>
        <w:ind w:left="0" w:firstLine="0"/>
        <w:rPr>
          <w:szCs w:val="32"/>
        </w:rPr>
      </w:pPr>
      <w:r>
        <w:rPr>
          <w:szCs w:val="32"/>
        </w:rPr>
        <w:t>TABLE OF CONTENTS</w:t>
      </w:r>
    </w:p>
    <w:p w14:paraId="4A421462" w14:textId="3AE06B13" w:rsidR="00CC002F" w:rsidRPr="00CC002F" w:rsidRDefault="00CC002F" w:rsidP="0021074A">
      <w:pPr>
        <w:pStyle w:val="T0-ChapPgHd"/>
        <w:widowControl w:val="0"/>
        <w:spacing w:after="240"/>
      </w:pPr>
      <w:r>
        <w:t>Section</w:t>
      </w:r>
      <w:r>
        <w:tab/>
        <w:t>Page</w:t>
      </w:r>
    </w:p>
    <w:p w14:paraId="1DFF633E" w14:textId="27B2F9CB" w:rsidR="00CC002F" w:rsidRDefault="00CC002F" w:rsidP="0021074A">
      <w:pPr>
        <w:pStyle w:val="TOC1"/>
        <w:widowControl w:val="0"/>
        <w:tabs>
          <w:tab w:val="clear" w:pos="8640"/>
          <w:tab w:val="left" w:pos="8910"/>
        </w:tabs>
        <w:ind w:right="1332"/>
      </w:pPr>
      <w:r w:rsidRPr="00DE44F8">
        <w:t>B</w:t>
      </w:r>
      <w:r>
        <w:tab/>
      </w:r>
      <w:r w:rsidRPr="00DE44F8">
        <w:t xml:space="preserve">COLLECTIONS OF INFORMATION EMPLOYING </w:t>
      </w:r>
      <w:r>
        <w:br/>
      </w:r>
      <w:r w:rsidRPr="00DE44F8">
        <w:t>STATISTICAL METHODS</w:t>
      </w:r>
      <w:r w:rsidRPr="00DE44F8">
        <w:tab/>
      </w:r>
      <w:r>
        <w:tab/>
      </w:r>
      <w:r w:rsidRPr="00DE44F8">
        <w:t>1</w:t>
      </w:r>
    </w:p>
    <w:p w14:paraId="33F62202" w14:textId="77777777" w:rsidR="00CC002F" w:rsidRPr="00DE44F8" w:rsidRDefault="00CC002F" w:rsidP="0021074A">
      <w:pPr>
        <w:pStyle w:val="TOC1"/>
        <w:widowControl w:val="0"/>
        <w:tabs>
          <w:tab w:val="clear" w:pos="8640"/>
          <w:tab w:val="left" w:pos="8910"/>
        </w:tabs>
        <w:ind w:right="1332"/>
        <w:rPr>
          <w:rFonts w:eastAsiaTheme="minorEastAsia"/>
        </w:rPr>
      </w:pPr>
    </w:p>
    <w:p w14:paraId="698EFAFE" w14:textId="0EC2F0DE" w:rsidR="00CC002F" w:rsidRPr="00DE44F8" w:rsidRDefault="00CC002F" w:rsidP="0021074A">
      <w:pPr>
        <w:pStyle w:val="TOC2"/>
        <w:widowControl w:val="0"/>
        <w:tabs>
          <w:tab w:val="clear" w:pos="8640"/>
          <w:tab w:val="left" w:pos="8910"/>
        </w:tabs>
        <w:ind w:right="1332"/>
        <w:rPr>
          <w:rFonts w:eastAsiaTheme="minorEastAsia"/>
        </w:rPr>
      </w:pPr>
      <w:r w:rsidRPr="00DE44F8">
        <w:t>B.1</w:t>
      </w:r>
      <w:r w:rsidRPr="00DE44F8">
        <w:rPr>
          <w:rFonts w:eastAsiaTheme="minorEastAsia"/>
        </w:rPr>
        <w:tab/>
      </w:r>
      <w:r w:rsidRPr="00DE44F8">
        <w:t>Respondent Universe</w:t>
      </w:r>
      <w:r w:rsidRPr="00DE44F8">
        <w:tab/>
      </w:r>
      <w:r>
        <w:tab/>
      </w:r>
      <w:r w:rsidRPr="00DE44F8">
        <w:t>1</w:t>
      </w:r>
    </w:p>
    <w:p w14:paraId="2D3FC854" w14:textId="728E8FB5" w:rsidR="00CC002F" w:rsidRPr="00DE44F8" w:rsidRDefault="00CC002F" w:rsidP="0021074A">
      <w:pPr>
        <w:pStyle w:val="TOC2"/>
        <w:widowControl w:val="0"/>
        <w:tabs>
          <w:tab w:val="clear" w:pos="8640"/>
          <w:tab w:val="left" w:pos="8910"/>
        </w:tabs>
        <w:ind w:right="1332"/>
        <w:rPr>
          <w:rFonts w:eastAsiaTheme="minorEastAsia"/>
        </w:rPr>
      </w:pPr>
      <w:r w:rsidRPr="00DE44F8">
        <w:t>B.2</w:t>
      </w:r>
      <w:r w:rsidRPr="00DE44F8">
        <w:rPr>
          <w:rFonts w:eastAsiaTheme="minorEastAsia"/>
        </w:rPr>
        <w:tab/>
      </w:r>
      <w:r w:rsidRPr="00DE44F8">
        <w:t>Procedures for the Collection of Information</w:t>
      </w:r>
      <w:r w:rsidRPr="00DE44F8">
        <w:tab/>
      </w:r>
      <w:r>
        <w:tab/>
      </w:r>
      <w:r w:rsidRPr="00DE44F8">
        <w:t>1</w:t>
      </w:r>
    </w:p>
    <w:p w14:paraId="35EAD44E" w14:textId="1EB1C052" w:rsidR="00CC002F" w:rsidRPr="00DE44F8" w:rsidRDefault="00CC002F" w:rsidP="0021074A">
      <w:pPr>
        <w:pStyle w:val="TOC2"/>
        <w:widowControl w:val="0"/>
        <w:tabs>
          <w:tab w:val="clear" w:pos="8640"/>
          <w:tab w:val="left" w:pos="8910"/>
        </w:tabs>
        <w:ind w:right="1332"/>
        <w:rPr>
          <w:rFonts w:eastAsiaTheme="minorEastAsia"/>
        </w:rPr>
      </w:pPr>
      <w:r w:rsidRPr="00DE44F8">
        <w:t>B.3</w:t>
      </w:r>
      <w:r w:rsidRPr="00DE44F8">
        <w:rPr>
          <w:rFonts w:eastAsiaTheme="minorEastAsia"/>
        </w:rPr>
        <w:tab/>
      </w:r>
      <w:r w:rsidRPr="00DE44F8">
        <w:t>Maximizing Response Rates</w:t>
      </w:r>
      <w:r w:rsidRPr="00DE44F8">
        <w:tab/>
      </w:r>
      <w:r>
        <w:tab/>
      </w:r>
      <w:r w:rsidR="00BC318E">
        <w:t>5</w:t>
      </w:r>
    </w:p>
    <w:p w14:paraId="779A1365" w14:textId="3E367DCC" w:rsidR="00CC002F" w:rsidRPr="00DE44F8" w:rsidRDefault="00CC002F" w:rsidP="0021074A">
      <w:pPr>
        <w:pStyle w:val="TOC2"/>
        <w:widowControl w:val="0"/>
        <w:tabs>
          <w:tab w:val="clear" w:pos="8640"/>
          <w:tab w:val="left" w:pos="8910"/>
        </w:tabs>
        <w:ind w:right="1332"/>
        <w:rPr>
          <w:rFonts w:eastAsiaTheme="minorEastAsia"/>
        </w:rPr>
      </w:pPr>
      <w:r w:rsidRPr="00DE44F8">
        <w:t>B.4</w:t>
      </w:r>
      <w:r w:rsidRPr="00DE44F8">
        <w:rPr>
          <w:rFonts w:eastAsiaTheme="minorEastAsia"/>
        </w:rPr>
        <w:tab/>
      </w:r>
      <w:r w:rsidR="006449AE">
        <w:t xml:space="preserve">Tests of Methods and Procedures </w:t>
      </w:r>
      <w:r w:rsidRPr="00DE44F8">
        <w:tab/>
      </w:r>
      <w:r>
        <w:tab/>
      </w:r>
      <w:r w:rsidR="00BC318E">
        <w:t>9</w:t>
      </w:r>
    </w:p>
    <w:p w14:paraId="6CE70073" w14:textId="403DF338" w:rsidR="00CC002F" w:rsidRDefault="00CC002F" w:rsidP="0021074A">
      <w:pPr>
        <w:pStyle w:val="TOC2"/>
        <w:widowControl w:val="0"/>
        <w:tabs>
          <w:tab w:val="clear" w:pos="8640"/>
          <w:tab w:val="left" w:pos="8910"/>
        </w:tabs>
        <w:ind w:right="1332"/>
      </w:pPr>
      <w:r w:rsidRPr="00DE44F8">
        <w:t>B.5</w:t>
      </w:r>
      <w:r w:rsidRPr="00DE44F8">
        <w:rPr>
          <w:rFonts w:eastAsiaTheme="minorEastAsia"/>
        </w:rPr>
        <w:tab/>
      </w:r>
      <w:r w:rsidRPr="00DE44F8">
        <w:t>Individuals Consulted on Study Design</w:t>
      </w:r>
      <w:r w:rsidRPr="00DE44F8">
        <w:tab/>
      </w:r>
      <w:r>
        <w:tab/>
      </w:r>
      <w:r w:rsidR="00BC318E">
        <w:t>9</w:t>
      </w:r>
    </w:p>
    <w:p w14:paraId="6094A968" w14:textId="77777777" w:rsidR="00CC002F" w:rsidRPr="006C2C03" w:rsidRDefault="00CC002F" w:rsidP="0021074A">
      <w:pPr>
        <w:pStyle w:val="TOC2"/>
        <w:widowControl w:val="0"/>
        <w:tabs>
          <w:tab w:val="clear" w:pos="8640"/>
          <w:tab w:val="left" w:pos="8910"/>
        </w:tabs>
        <w:spacing w:line="240" w:lineRule="auto"/>
        <w:ind w:right="1339"/>
        <w:rPr>
          <w:rFonts w:eastAsiaTheme="minorEastAsia"/>
          <w:sz w:val="12"/>
          <w:szCs w:val="12"/>
        </w:rPr>
      </w:pPr>
    </w:p>
    <w:p w14:paraId="7509383B" w14:textId="6F802E64" w:rsidR="00CC002F" w:rsidRPr="00DE44F8" w:rsidRDefault="00CC002F" w:rsidP="0021074A">
      <w:pPr>
        <w:pStyle w:val="TOC1"/>
        <w:widowControl w:val="0"/>
        <w:tabs>
          <w:tab w:val="clear" w:pos="8640"/>
          <w:tab w:val="left" w:pos="8910"/>
        </w:tabs>
        <w:ind w:right="1332"/>
        <w:rPr>
          <w:rFonts w:eastAsiaTheme="minorEastAsia"/>
        </w:rPr>
      </w:pPr>
      <w:r>
        <w:tab/>
      </w:r>
      <w:r w:rsidRPr="00DE44F8">
        <w:t>References</w:t>
      </w:r>
      <w:r w:rsidRPr="00DE44F8">
        <w:tab/>
      </w:r>
      <w:r>
        <w:tab/>
      </w:r>
      <w:r w:rsidR="0021074A">
        <w:t>9</w:t>
      </w:r>
    </w:p>
    <w:p w14:paraId="44900DC1" w14:textId="0749DA89" w:rsidR="00DB6B78" w:rsidRDefault="00DB6B78" w:rsidP="0021074A">
      <w:pPr>
        <w:pStyle w:val="L1-FlLSp12"/>
        <w:widowControl w:val="0"/>
      </w:pPr>
    </w:p>
    <w:p w14:paraId="375169A6" w14:textId="77777777" w:rsidR="00DB6B78" w:rsidRPr="00DB6B78" w:rsidRDefault="00DB6B78" w:rsidP="0021074A">
      <w:pPr>
        <w:pStyle w:val="L1-FlLSp12"/>
        <w:widowControl w:val="0"/>
        <w:sectPr w:rsidR="00DB6B78" w:rsidRPr="00DB6B78" w:rsidSect="0021074A">
          <w:headerReference w:type="default" r:id="rId9"/>
          <w:footerReference w:type="default" r:id="rId10"/>
          <w:footerReference w:type="first" r:id="rId11"/>
          <w:pgSz w:w="12240" w:h="15840" w:code="1"/>
          <w:pgMar w:top="864" w:right="864" w:bottom="720" w:left="864" w:header="432" w:footer="288" w:gutter="0"/>
          <w:pgNumType w:fmt="lowerRoman" w:start="3"/>
          <w:cols w:space="720"/>
          <w:titlePg/>
          <w:docGrid w:linePitch="360"/>
        </w:sectPr>
      </w:pPr>
    </w:p>
    <w:p w14:paraId="482ED338" w14:textId="027F3135" w:rsidR="00952CCD" w:rsidRPr="000425D2" w:rsidRDefault="005B5F3A" w:rsidP="0021074A">
      <w:pPr>
        <w:pStyle w:val="Heading2"/>
        <w:widowControl w:val="0"/>
        <w:tabs>
          <w:tab w:val="clear" w:pos="1152"/>
        </w:tabs>
        <w:spacing w:after="120" w:line="23" w:lineRule="atLeast"/>
        <w:ind w:left="0" w:firstLine="0"/>
        <w:rPr>
          <w:szCs w:val="32"/>
        </w:rPr>
      </w:pPr>
      <w:r>
        <w:rPr>
          <w:szCs w:val="32"/>
        </w:rPr>
        <w:lastRenderedPageBreak/>
        <w:t xml:space="preserve">B. </w:t>
      </w:r>
      <w:r w:rsidR="00952CCD" w:rsidRPr="000425D2">
        <w:rPr>
          <w:szCs w:val="32"/>
        </w:rPr>
        <w:t>COLLECTIONS OF INFORMATION EMPLOYING STATISTICAL METHODS</w:t>
      </w:r>
    </w:p>
    <w:p w14:paraId="4769D752" w14:textId="4F487993" w:rsidR="00C04556" w:rsidRPr="000425D2" w:rsidRDefault="00AF25CC" w:rsidP="0021074A">
      <w:pPr>
        <w:pStyle w:val="Heading3"/>
        <w:widowControl w:val="0"/>
        <w:spacing w:after="120" w:line="23" w:lineRule="atLeast"/>
        <w:rPr>
          <w:sz w:val="32"/>
          <w:szCs w:val="32"/>
        </w:rPr>
      </w:pPr>
      <w:r w:rsidRPr="000425D2">
        <w:rPr>
          <w:sz w:val="32"/>
          <w:szCs w:val="32"/>
        </w:rPr>
        <w:t>B</w:t>
      </w:r>
      <w:r w:rsidR="00C04556" w:rsidRPr="000425D2">
        <w:rPr>
          <w:sz w:val="32"/>
          <w:szCs w:val="32"/>
        </w:rPr>
        <w:t>.1</w:t>
      </w:r>
      <w:r w:rsidR="00C04556" w:rsidRPr="000425D2">
        <w:rPr>
          <w:sz w:val="32"/>
          <w:szCs w:val="32"/>
        </w:rPr>
        <w:tab/>
      </w:r>
      <w:r w:rsidR="001763EA" w:rsidRPr="001763EA">
        <w:rPr>
          <w:sz w:val="32"/>
          <w:szCs w:val="32"/>
        </w:rPr>
        <w:t>Respondent Universe</w:t>
      </w:r>
      <w:bookmarkEnd w:id="4"/>
    </w:p>
    <w:p w14:paraId="427645AC" w14:textId="19D62DAF" w:rsidR="0088485D" w:rsidRDefault="00AF25CC" w:rsidP="0021074A">
      <w:pPr>
        <w:pStyle w:val="L1-FlLSp12"/>
        <w:widowControl w:val="0"/>
        <w:spacing w:after="120" w:line="23" w:lineRule="atLeast"/>
        <w:rPr>
          <w:rFonts w:eastAsia="Caecilia-Roman"/>
          <w:szCs w:val="24"/>
        </w:rPr>
      </w:pPr>
      <w:r w:rsidRPr="000A3605">
        <w:rPr>
          <w:rFonts w:eastAsia="Caecilia-Roman"/>
          <w:szCs w:val="24"/>
        </w:rPr>
        <w:t>The PIAAC</w:t>
      </w:r>
      <w:r w:rsidR="008A29C8">
        <w:rPr>
          <w:rFonts w:eastAsia="Caecilia-Roman"/>
          <w:szCs w:val="24"/>
        </w:rPr>
        <w:t xml:space="preserve"> Cycle II Field Test</w:t>
      </w:r>
      <w:r w:rsidRPr="000A3605">
        <w:rPr>
          <w:rFonts w:eastAsia="Caecilia-Roman"/>
          <w:szCs w:val="24"/>
        </w:rPr>
        <w:t xml:space="preserve"> target population consists of non-institutionalized adults who at the time of the survey reside in the U.S. (whose usual place of residency is in the country) and who at the time of interview are between the ages of 16 and 74 years, inclusive. Adults are to be included regardless of citizenship, nationality, or language. The target population excludes persons not living in households or non-institutional group quarters</w:t>
      </w:r>
      <w:r w:rsidR="00AD14DD">
        <w:rPr>
          <w:rFonts w:eastAsia="Caecilia-Roman"/>
          <w:szCs w:val="24"/>
        </w:rPr>
        <w:t xml:space="preserve">, </w:t>
      </w:r>
      <w:r w:rsidRPr="000A3605">
        <w:rPr>
          <w:rFonts w:eastAsia="Caecilia-Roman"/>
          <w:szCs w:val="24"/>
        </w:rPr>
        <w:t>such as military personnel who live in barracks or bases, or persons who live in institutionalized group quarters, such as jails, prisons, hospitals, or nursing homes. The target population includes full-time and part-time members of the military who do not reside in military barracks or military bases, adults in other non-institutional collective dwelling units, such as workers</w:t>
      </w:r>
      <w:r w:rsidR="00145879">
        <w:rPr>
          <w:rFonts w:eastAsia="Caecilia-Roman"/>
          <w:szCs w:val="24"/>
        </w:rPr>
        <w:t>’</w:t>
      </w:r>
      <w:r w:rsidRPr="000A3605">
        <w:rPr>
          <w:rFonts w:eastAsia="Caecilia-Roman"/>
          <w:szCs w:val="24"/>
        </w:rPr>
        <w:t xml:space="preserve"> quarters or halfway homes, adults living at school in student group quarters, such as a dormitory, fraternity, or </w:t>
      </w:r>
      <w:r w:rsidRPr="004164E9">
        <w:rPr>
          <w:rFonts w:eastAsia="Caecilia-Roman"/>
          <w:szCs w:val="24"/>
        </w:rPr>
        <w:t>sorority.</w:t>
      </w:r>
      <w:r w:rsidR="00575FC0" w:rsidRPr="004164E9">
        <w:rPr>
          <w:rFonts w:eastAsia="Caecilia-Roman"/>
          <w:szCs w:val="24"/>
        </w:rPr>
        <w:t xml:space="preserve"> </w:t>
      </w:r>
      <w:r w:rsidR="004164E9" w:rsidRPr="004164E9">
        <w:rPr>
          <w:rFonts w:eastAsia="Caecilia-Roman"/>
          <w:szCs w:val="24"/>
        </w:rPr>
        <w:t xml:space="preserve">Persons who are temporarily in the U.S., </w:t>
      </w:r>
      <w:r w:rsidR="00874DC4">
        <w:rPr>
          <w:rFonts w:eastAsia="Caecilia-Roman"/>
          <w:szCs w:val="24"/>
        </w:rPr>
        <w:t xml:space="preserve">such as those individuals </w:t>
      </w:r>
      <w:r w:rsidR="004164E9" w:rsidRPr="004164E9">
        <w:rPr>
          <w:rFonts w:eastAsia="Caecilia-Roman"/>
          <w:szCs w:val="24"/>
        </w:rPr>
        <w:t xml:space="preserve">on a work visa, will be included in PIAAC if they have lived in the sampled dwelling unit for 6 months or more of the last 12 months or if they have just moved into the dwelling and expect it to be their </w:t>
      </w:r>
      <w:r w:rsidR="00145879">
        <w:rPr>
          <w:rFonts w:eastAsia="Caecilia-Roman"/>
          <w:szCs w:val="24"/>
        </w:rPr>
        <w:t>“</w:t>
      </w:r>
      <w:r w:rsidR="004164E9" w:rsidRPr="004164E9">
        <w:rPr>
          <w:rFonts w:eastAsia="Caecilia-Roman"/>
          <w:szCs w:val="24"/>
        </w:rPr>
        <w:t>usual residence</w:t>
      </w:r>
      <w:r w:rsidR="00145879">
        <w:rPr>
          <w:rFonts w:eastAsia="Caecilia-Roman"/>
          <w:szCs w:val="24"/>
        </w:rPr>
        <w:t>”</w:t>
      </w:r>
      <w:r w:rsidR="004164E9" w:rsidRPr="004164E9">
        <w:rPr>
          <w:rFonts w:eastAsia="Caecilia-Roman"/>
          <w:szCs w:val="24"/>
        </w:rPr>
        <w:t xml:space="preserve"> moving forward (where they will reside for 6 months or more per year)</w:t>
      </w:r>
      <w:r w:rsidR="005B705C" w:rsidRPr="004164E9">
        <w:rPr>
          <w:rFonts w:eastAsia="Caecilia-Roman"/>
          <w:szCs w:val="24"/>
        </w:rPr>
        <w:t xml:space="preserve">. </w:t>
      </w:r>
      <w:r w:rsidRPr="004164E9">
        <w:rPr>
          <w:rFonts w:eastAsia="Caecilia-Roman"/>
          <w:szCs w:val="24"/>
        </w:rPr>
        <w:t>Adults who are unable to complete the assessment because of a hearing impairment, blindness/visual impairment, or</w:t>
      </w:r>
      <w:r w:rsidRPr="000A3605">
        <w:rPr>
          <w:rFonts w:eastAsia="Caecilia-Roman"/>
          <w:szCs w:val="24"/>
        </w:rPr>
        <w:t xml:space="preserve"> physical disability are in-scope; however because the assessment does not offer accommodations for physical disabilities, they are excluded from response rate computations. Based on the Census Population </w:t>
      </w:r>
      <w:r w:rsidR="007F32A6">
        <w:rPr>
          <w:rFonts w:eastAsia="Caecilia-Roman"/>
          <w:szCs w:val="24"/>
        </w:rPr>
        <w:t xml:space="preserve">Projections for </w:t>
      </w:r>
      <w:r w:rsidR="008B5E9F">
        <w:rPr>
          <w:rFonts w:eastAsia="Caecilia-Roman"/>
          <w:szCs w:val="24"/>
        </w:rPr>
        <w:t>2021</w:t>
      </w:r>
      <w:r w:rsidR="00D5234D">
        <w:rPr>
          <w:rFonts w:eastAsia="Caecilia-Roman"/>
          <w:szCs w:val="24"/>
        </w:rPr>
        <w:t xml:space="preserve"> (U.S. Census Bureau, 2018)</w:t>
      </w:r>
      <w:r w:rsidRPr="000A3605">
        <w:rPr>
          <w:rFonts w:eastAsia="Caecilia-Roman"/>
          <w:szCs w:val="24"/>
        </w:rPr>
        <w:t xml:space="preserve">, there are </w:t>
      </w:r>
      <w:r w:rsidR="007F32A6">
        <w:rPr>
          <w:rFonts w:eastAsia="Caecilia-Roman"/>
          <w:szCs w:val="24"/>
        </w:rPr>
        <w:t xml:space="preserve">expected to be about </w:t>
      </w:r>
      <w:r w:rsidR="007F32A6" w:rsidRPr="008B5E9F">
        <w:rPr>
          <w:rFonts w:eastAsia="Caecilia-Roman"/>
          <w:szCs w:val="24"/>
        </w:rPr>
        <w:t>245</w:t>
      </w:r>
      <w:r w:rsidRPr="000A3605">
        <w:rPr>
          <w:rFonts w:eastAsia="Caecilia-Roman"/>
          <w:szCs w:val="24"/>
        </w:rPr>
        <w:t xml:space="preserve"> million people in the target population</w:t>
      </w:r>
      <w:r w:rsidR="007F32A6">
        <w:rPr>
          <w:rFonts w:eastAsia="Caecilia-Roman"/>
          <w:szCs w:val="24"/>
        </w:rPr>
        <w:t xml:space="preserve"> at the time of the </w:t>
      </w:r>
      <w:r w:rsidR="008B5E9F">
        <w:rPr>
          <w:rFonts w:eastAsia="Caecilia-Roman"/>
          <w:szCs w:val="24"/>
        </w:rPr>
        <w:t xml:space="preserve">PIAAC </w:t>
      </w:r>
      <w:r w:rsidR="00572904">
        <w:rPr>
          <w:rFonts w:eastAsia="Caecilia-Roman"/>
          <w:szCs w:val="24"/>
        </w:rPr>
        <w:t xml:space="preserve">Cycle II </w:t>
      </w:r>
      <w:r w:rsidR="007F32A6">
        <w:rPr>
          <w:rFonts w:eastAsia="Caecilia-Roman"/>
          <w:szCs w:val="24"/>
        </w:rPr>
        <w:t>data collection</w:t>
      </w:r>
      <w:r w:rsidRPr="000A3605">
        <w:rPr>
          <w:rFonts w:eastAsia="Caecilia-Roman"/>
          <w:szCs w:val="24"/>
        </w:rPr>
        <w:t xml:space="preserve">. </w:t>
      </w:r>
    </w:p>
    <w:p w14:paraId="5AB4B0D6" w14:textId="0B9F97DC" w:rsidR="00B97923" w:rsidRDefault="00EA6ED1" w:rsidP="0021074A">
      <w:pPr>
        <w:pStyle w:val="L1-FlLSp12"/>
        <w:widowControl w:val="0"/>
        <w:spacing w:after="120" w:line="23" w:lineRule="atLeast"/>
        <w:rPr>
          <w:rFonts w:eastAsia="Caecilia-Roman"/>
          <w:szCs w:val="24"/>
        </w:rPr>
      </w:pPr>
      <w:r w:rsidRPr="000A3605">
        <w:rPr>
          <w:rFonts w:eastAsia="Caecilia-Roman"/>
          <w:szCs w:val="24"/>
        </w:rPr>
        <w:t xml:space="preserve">The </w:t>
      </w:r>
      <w:r w:rsidR="00CE36DF" w:rsidRPr="000A3605">
        <w:rPr>
          <w:rFonts w:eastAsia="Caecilia-Roman"/>
          <w:szCs w:val="24"/>
        </w:rPr>
        <w:t xml:space="preserve">overall </w:t>
      </w:r>
      <w:r w:rsidRPr="000A3605">
        <w:rPr>
          <w:rFonts w:eastAsia="Caecilia-Roman"/>
          <w:szCs w:val="24"/>
        </w:rPr>
        <w:t xml:space="preserve">sample size goal for the </w:t>
      </w:r>
      <w:r w:rsidR="00572904">
        <w:rPr>
          <w:rFonts w:eastAsia="Caecilia-Roman"/>
          <w:szCs w:val="24"/>
        </w:rPr>
        <w:t>F</w:t>
      </w:r>
      <w:r w:rsidR="007F32A6">
        <w:rPr>
          <w:rFonts w:eastAsia="Caecilia-Roman"/>
          <w:szCs w:val="24"/>
        </w:rPr>
        <w:t xml:space="preserve">ield </w:t>
      </w:r>
      <w:r w:rsidR="00572904">
        <w:rPr>
          <w:rFonts w:eastAsia="Caecilia-Roman"/>
          <w:szCs w:val="24"/>
        </w:rPr>
        <w:t>T</w:t>
      </w:r>
      <w:r w:rsidR="007F32A6">
        <w:rPr>
          <w:rFonts w:eastAsia="Caecilia-Roman"/>
          <w:szCs w:val="24"/>
        </w:rPr>
        <w:t>est</w:t>
      </w:r>
      <w:r w:rsidR="00CE36DF" w:rsidRPr="000A3605">
        <w:rPr>
          <w:rFonts w:eastAsia="Caecilia-Roman"/>
          <w:szCs w:val="24"/>
        </w:rPr>
        <w:t xml:space="preserve"> is to reach </w:t>
      </w:r>
      <w:r w:rsidR="007F32A6">
        <w:rPr>
          <w:rFonts w:eastAsia="Caecilia-Roman"/>
          <w:szCs w:val="24"/>
        </w:rPr>
        <w:t>1,550</w:t>
      </w:r>
      <w:r w:rsidR="00CE36DF" w:rsidRPr="000A3605">
        <w:rPr>
          <w:rFonts w:eastAsia="Caecilia-Roman"/>
          <w:szCs w:val="24"/>
        </w:rPr>
        <w:t xml:space="preserve"> 16-74 year olds, of which</w:t>
      </w:r>
      <w:r w:rsidR="007F32A6">
        <w:rPr>
          <w:rFonts w:eastAsia="Caecilia-Roman"/>
          <w:szCs w:val="24"/>
        </w:rPr>
        <w:t xml:space="preserve"> 1</w:t>
      </w:r>
      <w:r w:rsidRPr="000A3605">
        <w:rPr>
          <w:rFonts w:eastAsia="Caecilia-Roman"/>
          <w:szCs w:val="24"/>
        </w:rPr>
        <w:t>,500</w:t>
      </w:r>
      <w:r w:rsidR="00CE36DF" w:rsidRPr="000A3605">
        <w:rPr>
          <w:rFonts w:eastAsia="Caecilia-Roman"/>
          <w:szCs w:val="24"/>
        </w:rPr>
        <w:t xml:space="preserve"> are</w:t>
      </w:r>
      <w:r w:rsidR="007F32A6">
        <w:rPr>
          <w:rFonts w:eastAsia="Caecilia-Roman"/>
          <w:szCs w:val="24"/>
        </w:rPr>
        <w:t xml:space="preserve"> 16-65 year olds and 5</w:t>
      </w:r>
      <w:r w:rsidRPr="000A3605">
        <w:rPr>
          <w:rFonts w:eastAsia="Caecilia-Roman"/>
          <w:szCs w:val="24"/>
        </w:rPr>
        <w:t>0</w:t>
      </w:r>
      <w:r w:rsidR="00CE36DF" w:rsidRPr="000A3605">
        <w:rPr>
          <w:rFonts w:eastAsia="Caecilia-Roman"/>
          <w:szCs w:val="24"/>
        </w:rPr>
        <w:t xml:space="preserve"> are</w:t>
      </w:r>
      <w:r w:rsidRPr="000A3605">
        <w:rPr>
          <w:rFonts w:eastAsia="Caecilia-Roman"/>
          <w:szCs w:val="24"/>
        </w:rPr>
        <w:t xml:space="preserve"> 66-74 year olds.</w:t>
      </w:r>
      <w:r w:rsidR="00CE36DF" w:rsidRPr="000A3605">
        <w:rPr>
          <w:rFonts w:eastAsia="Caecilia-Roman"/>
          <w:szCs w:val="24"/>
        </w:rPr>
        <w:t xml:space="preserve"> The reason for the two groups is that the international PIAAC comparison group is 16-65 year olds, and 66-74 is of special interest to the U.S.</w:t>
      </w:r>
      <w:r w:rsidR="0088485D" w:rsidRPr="0088485D">
        <w:rPr>
          <w:rFonts w:ascii="Times New Roman" w:hAnsi="Times New Roman"/>
          <w:sz w:val="22"/>
        </w:rPr>
        <w:t xml:space="preserve"> </w:t>
      </w:r>
      <w:r w:rsidR="0088485D">
        <w:rPr>
          <w:rFonts w:eastAsia="Caecilia-Roman"/>
          <w:szCs w:val="24"/>
        </w:rPr>
        <w:t xml:space="preserve">The target sample size for ages 16-65 </w:t>
      </w:r>
      <w:r w:rsidR="0088485D" w:rsidRPr="0088485D">
        <w:rPr>
          <w:rFonts w:eastAsia="Caecilia-Roman"/>
          <w:szCs w:val="24"/>
        </w:rPr>
        <w:t xml:space="preserve">are driven by the needs of the psychometric analysis, including </w:t>
      </w:r>
      <w:r w:rsidR="00841641">
        <w:rPr>
          <w:rFonts w:eastAsia="Caecilia-Roman"/>
          <w:szCs w:val="24"/>
        </w:rPr>
        <w:t>validating items for the assessment</w:t>
      </w:r>
      <w:r w:rsidR="0088485D" w:rsidRPr="0088485D">
        <w:rPr>
          <w:rFonts w:eastAsia="Caecilia-Roman"/>
          <w:szCs w:val="24"/>
        </w:rPr>
        <w:t xml:space="preserve">. We plan to achieve an extra 50 completed cases among 66-74 year olds in order to test the screening mechanism that will be used in the PIAAC </w:t>
      </w:r>
      <w:r w:rsidR="00572904">
        <w:rPr>
          <w:rFonts w:eastAsia="Caecilia-Roman"/>
          <w:szCs w:val="24"/>
        </w:rPr>
        <w:t>Cycle II</w:t>
      </w:r>
      <w:r w:rsidR="00572904" w:rsidRPr="0088485D">
        <w:rPr>
          <w:rFonts w:eastAsia="Caecilia-Roman"/>
          <w:szCs w:val="24"/>
        </w:rPr>
        <w:t xml:space="preserve"> </w:t>
      </w:r>
      <w:r w:rsidR="00572904">
        <w:rPr>
          <w:rFonts w:eastAsia="Caecilia-Roman"/>
          <w:szCs w:val="24"/>
        </w:rPr>
        <w:t>M</w:t>
      </w:r>
      <w:r w:rsidR="0088485D" w:rsidRPr="0088485D">
        <w:rPr>
          <w:rFonts w:eastAsia="Caecilia-Roman"/>
          <w:szCs w:val="24"/>
        </w:rPr>
        <w:t xml:space="preserve">ain </w:t>
      </w:r>
      <w:r w:rsidR="00572904">
        <w:rPr>
          <w:rFonts w:eastAsia="Caecilia-Roman"/>
          <w:szCs w:val="24"/>
        </w:rPr>
        <w:t>S</w:t>
      </w:r>
      <w:r w:rsidR="0088485D" w:rsidRPr="0088485D">
        <w:rPr>
          <w:rFonts w:eastAsia="Caecilia-Roman"/>
          <w:szCs w:val="24"/>
        </w:rPr>
        <w:t>tudy.</w:t>
      </w:r>
    </w:p>
    <w:p w14:paraId="3C0AF220" w14:textId="2E3DE04C" w:rsidR="00B97923" w:rsidRPr="00097B9D" w:rsidRDefault="00B97923" w:rsidP="0021074A">
      <w:pPr>
        <w:pStyle w:val="L1-FlLSp12"/>
        <w:widowControl w:val="0"/>
        <w:spacing w:after="120" w:line="23" w:lineRule="atLeast"/>
        <w:rPr>
          <w:rFonts w:eastAsia="Caecilia-Roman"/>
          <w:szCs w:val="24"/>
        </w:rPr>
      </w:pPr>
      <w:r>
        <w:rPr>
          <w:rFonts w:eastAsia="Caecilia-Roman"/>
          <w:szCs w:val="24"/>
        </w:rPr>
        <w:t>Three</w:t>
      </w:r>
      <w:r w:rsidRPr="00B97923">
        <w:rPr>
          <w:rFonts w:eastAsia="Caecilia-Roman"/>
          <w:szCs w:val="24"/>
        </w:rPr>
        <w:t xml:space="preserve"> prior U.S. PIAAC data collections have occurred to date</w:t>
      </w:r>
      <w:r w:rsidR="00530B6A">
        <w:rPr>
          <w:rFonts w:eastAsia="Caecilia-Roman"/>
          <w:szCs w:val="24"/>
        </w:rPr>
        <w:t xml:space="preserve"> </w:t>
      </w:r>
      <w:r w:rsidR="00097B9D">
        <w:rPr>
          <w:rFonts w:eastAsia="Caecilia-Roman"/>
          <w:szCs w:val="24"/>
        </w:rPr>
        <w:t>in Cycle I</w:t>
      </w:r>
      <w:r w:rsidRPr="00B97923">
        <w:rPr>
          <w:rFonts w:eastAsia="Caecilia-Roman"/>
          <w:szCs w:val="24"/>
        </w:rPr>
        <w:t xml:space="preserve">. The United States completed its PIAAC </w:t>
      </w:r>
      <w:r w:rsidR="006E72B1">
        <w:rPr>
          <w:rFonts w:eastAsia="Caecilia-Roman"/>
          <w:szCs w:val="24"/>
        </w:rPr>
        <w:t xml:space="preserve">Cycle I </w:t>
      </w:r>
      <w:r w:rsidRPr="00B97923">
        <w:rPr>
          <w:rFonts w:eastAsia="Caecilia-Roman"/>
          <w:szCs w:val="24"/>
        </w:rPr>
        <w:t xml:space="preserve">2012 Main Study along with the 23 countries who participated internationally. It included a sample of 5,010 adults in 80 Primary Sampling Units (PSUs). The survey components included a screener, an in-person background questionnaire, and a computer-based or paper assessment. A second U.S. data collection, the PIAAC </w:t>
      </w:r>
      <w:r w:rsidR="006E72B1">
        <w:rPr>
          <w:rFonts w:eastAsia="Caecilia-Roman"/>
          <w:szCs w:val="24"/>
        </w:rPr>
        <w:t xml:space="preserve">Cycle I </w:t>
      </w:r>
      <w:r w:rsidRPr="00B97923">
        <w:rPr>
          <w:rFonts w:eastAsia="Caecilia-Roman"/>
          <w:szCs w:val="24"/>
        </w:rPr>
        <w:t>2014 National Supplement of 3,660 respondents, was conducted with the same survey components. The PIAAC</w:t>
      </w:r>
      <w:r w:rsidR="006E72B1">
        <w:rPr>
          <w:rFonts w:eastAsia="Caecilia-Roman"/>
          <w:szCs w:val="24"/>
        </w:rPr>
        <w:t xml:space="preserve"> Cycle I</w:t>
      </w:r>
      <w:r w:rsidRPr="00B97923">
        <w:rPr>
          <w:rFonts w:eastAsia="Caecilia-Roman"/>
          <w:szCs w:val="24"/>
        </w:rPr>
        <w:t xml:space="preserve"> 2012 and 2014 data collection efforts together formed an enhanced 2012/2014 combined nationally representative sample. The PIAAC </w:t>
      </w:r>
      <w:r w:rsidR="006E72B1">
        <w:rPr>
          <w:rFonts w:eastAsia="Caecilia-Roman"/>
          <w:szCs w:val="24"/>
        </w:rPr>
        <w:t xml:space="preserve">Cycle I </w:t>
      </w:r>
      <w:r w:rsidRPr="00B97923">
        <w:rPr>
          <w:rFonts w:eastAsia="Caecilia-Roman"/>
          <w:szCs w:val="24"/>
        </w:rPr>
        <w:t xml:space="preserve">2017 National Supplement </w:t>
      </w:r>
      <w:r>
        <w:rPr>
          <w:rFonts w:eastAsia="Caecilia-Roman"/>
          <w:szCs w:val="24"/>
        </w:rPr>
        <w:t>was</w:t>
      </w:r>
      <w:r w:rsidRPr="00B97923">
        <w:rPr>
          <w:rFonts w:eastAsia="Caecilia-Roman"/>
          <w:szCs w:val="24"/>
        </w:rPr>
        <w:t xml:space="preserve"> the third data collection for PIAAC in the U.S. National estimates of proficiency in literacy, numeracy and problem solving from the 2017 national sample provide</w:t>
      </w:r>
      <w:r>
        <w:rPr>
          <w:rFonts w:eastAsia="Caecilia-Roman"/>
          <w:szCs w:val="24"/>
        </w:rPr>
        <w:t>d</w:t>
      </w:r>
      <w:r w:rsidRPr="00B97923">
        <w:rPr>
          <w:rFonts w:eastAsia="Caecilia-Roman"/>
          <w:szCs w:val="24"/>
        </w:rPr>
        <w:t xml:space="preserve"> additional set of data points for evaluating trends in proficiency as compared to estimates from the 2012/2014 combined sample, and earlier adult literacy surveys. In addition, </w:t>
      </w:r>
      <w:r>
        <w:rPr>
          <w:rFonts w:eastAsia="Caecilia-Roman"/>
          <w:szCs w:val="24"/>
        </w:rPr>
        <w:t>t</w:t>
      </w:r>
      <w:r w:rsidRPr="00B97923">
        <w:rPr>
          <w:rFonts w:eastAsia="Caecilia-Roman"/>
          <w:szCs w:val="24"/>
        </w:rPr>
        <w:t xml:space="preserve">he data collected from all survey years (2012/2014/2017) </w:t>
      </w:r>
      <w:r>
        <w:rPr>
          <w:rFonts w:eastAsia="Caecilia-Roman"/>
          <w:szCs w:val="24"/>
        </w:rPr>
        <w:t>were</w:t>
      </w:r>
      <w:r w:rsidRPr="00B97923">
        <w:rPr>
          <w:rFonts w:eastAsia="Caecilia-Roman"/>
          <w:szCs w:val="24"/>
        </w:rPr>
        <w:t xml:space="preserve"> used to form sub-national model-based estimates through small area estimation </w:t>
      </w:r>
      <w:r w:rsidRPr="00097B9D">
        <w:rPr>
          <w:rFonts w:eastAsia="Caecilia-Roman"/>
          <w:szCs w:val="24"/>
        </w:rPr>
        <w:t>(SAE) methods.</w:t>
      </w:r>
    </w:p>
    <w:p w14:paraId="17F1FF7F" w14:textId="77777777" w:rsidR="001763EA" w:rsidRDefault="00AF25CC" w:rsidP="0021074A">
      <w:pPr>
        <w:pStyle w:val="Heading3"/>
        <w:widowControl w:val="0"/>
        <w:spacing w:after="120" w:line="23" w:lineRule="atLeast"/>
        <w:rPr>
          <w:sz w:val="32"/>
          <w:szCs w:val="32"/>
        </w:rPr>
      </w:pPr>
      <w:r w:rsidRPr="00097B9D">
        <w:rPr>
          <w:sz w:val="32"/>
          <w:szCs w:val="32"/>
        </w:rPr>
        <w:t>B.2</w:t>
      </w:r>
      <w:r w:rsidRPr="00097B9D">
        <w:rPr>
          <w:sz w:val="32"/>
          <w:szCs w:val="32"/>
        </w:rPr>
        <w:tab/>
      </w:r>
      <w:r w:rsidR="001763EA" w:rsidRPr="00097B9D">
        <w:rPr>
          <w:sz w:val="32"/>
          <w:szCs w:val="32"/>
        </w:rPr>
        <w:t>Procedures for the Collection of Information</w:t>
      </w:r>
    </w:p>
    <w:p w14:paraId="37B059B7" w14:textId="08C601F4" w:rsidR="0095266D" w:rsidRPr="00613E7B" w:rsidRDefault="0095266D" w:rsidP="0021074A">
      <w:pPr>
        <w:pStyle w:val="Heading3"/>
        <w:widowControl w:val="0"/>
        <w:spacing w:after="120"/>
      </w:pPr>
      <w:r w:rsidRPr="00613E7B">
        <w:t>Contacting, Screening and Interviewing on Cycle II U.S. PIAAC</w:t>
      </w:r>
    </w:p>
    <w:p w14:paraId="2F459D99" w14:textId="67C40783" w:rsidR="00CC3BB2" w:rsidRPr="00613E7B" w:rsidRDefault="00CC3BB2" w:rsidP="0021074A">
      <w:pPr>
        <w:pStyle w:val="L1-FlLSp12"/>
        <w:widowControl w:val="0"/>
        <w:spacing w:after="120" w:line="23" w:lineRule="atLeast"/>
      </w:pPr>
      <w:r w:rsidRPr="00613E7B">
        <w:t>When contacting sampled households, administering the screener instrument to identify eligible respondents</w:t>
      </w:r>
      <w:r w:rsidR="00124790" w:rsidRPr="00613E7B">
        <w:t>,</w:t>
      </w:r>
      <w:r w:rsidRPr="00613E7B">
        <w:t xml:space="preserve"> and conducting the interview with sampled persons, interviewer</w:t>
      </w:r>
      <w:r w:rsidR="00DE7BF5" w:rsidRPr="00613E7B">
        <w:t>s</w:t>
      </w:r>
      <w:r w:rsidRPr="00613E7B">
        <w:t xml:space="preserve"> are expected to follow established procedures and protocols </w:t>
      </w:r>
      <w:r w:rsidR="00C7508F" w:rsidRPr="00613E7B">
        <w:t>as described below.</w:t>
      </w:r>
    </w:p>
    <w:p w14:paraId="2F99DD7B" w14:textId="63F0EC7C" w:rsidR="00C7508F" w:rsidRPr="00613E7B" w:rsidRDefault="00C7508F" w:rsidP="0021074A">
      <w:pPr>
        <w:pStyle w:val="L1-FlLSp12"/>
        <w:widowControl w:val="0"/>
        <w:numPr>
          <w:ilvl w:val="0"/>
          <w:numId w:val="30"/>
        </w:numPr>
        <w:spacing w:after="120" w:line="23" w:lineRule="atLeast"/>
        <w:ind w:left="548" w:hanging="274"/>
        <w:rPr>
          <w:b/>
        </w:rPr>
      </w:pPr>
      <w:r w:rsidRPr="00613E7B">
        <w:rPr>
          <w:b/>
        </w:rPr>
        <w:t xml:space="preserve">Contacting </w:t>
      </w:r>
      <w:r w:rsidR="005C56FD" w:rsidRPr="00613E7B">
        <w:rPr>
          <w:b/>
        </w:rPr>
        <w:t xml:space="preserve">and Screening </w:t>
      </w:r>
      <w:r w:rsidRPr="00613E7B">
        <w:rPr>
          <w:b/>
        </w:rPr>
        <w:t xml:space="preserve">Sampled </w:t>
      </w:r>
      <w:r w:rsidR="00D11CA4" w:rsidRPr="00613E7B">
        <w:rPr>
          <w:b/>
        </w:rPr>
        <w:t xml:space="preserve">Dwelling Units </w:t>
      </w:r>
      <w:r w:rsidRPr="00613E7B">
        <w:rPr>
          <w:b/>
        </w:rPr>
        <w:t xml:space="preserve">- </w:t>
      </w:r>
      <w:r w:rsidRPr="00613E7B">
        <w:t xml:space="preserve">All </w:t>
      </w:r>
      <w:r w:rsidR="00D11CA4" w:rsidRPr="00613E7B">
        <w:t xml:space="preserve">interviewer </w:t>
      </w:r>
      <w:r w:rsidRPr="00613E7B">
        <w:t>contacts with sampled households should be in-person</w:t>
      </w:r>
      <w:r w:rsidR="00D11CA4" w:rsidRPr="00613E7B">
        <w:t xml:space="preserve"> (unless otherwise requested by the household and authorized by the supervisor)</w:t>
      </w:r>
      <w:r w:rsidRPr="00613E7B">
        <w:t xml:space="preserve">. If someone opens the door at first contact, the interviewer will display their study ID and ask to speak with a household member 18 years old or older, if available. If so, the interviewer will provide the household member a copy of the </w:t>
      </w:r>
      <w:r w:rsidR="00057246">
        <w:t>Advance Letter</w:t>
      </w:r>
      <w:r w:rsidRPr="00613E7B">
        <w:t xml:space="preserve"> to introduce the study, and administer the Screener. If no one is at home at the time of first contact, the interviewer will record the contact attempt on </w:t>
      </w:r>
      <w:r w:rsidR="00D11CA4" w:rsidRPr="00613E7B">
        <w:t>the Record of Contacts</w:t>
      </w:r>
      <w:r w:rsidR="005C56FD" w:rsidRPr="00613E7B">
        <w:t xml:space="preserve"> for the case on their tablet</w:t>
      </w:r>
      <w:r w:rsidR="00D11CA4" w:rsidRPr="00613E7B">
        <w:t xml:space="preserve">, and return to the sampled address </w:t>
      </w:r>
      <w:r w:rsidR="00C876A3" w:rsidRPr="00613E7B">
        <w:t>on</w:t>
      </w:r>
      <w:r w:rsidR="00D11CA4" w:rsidRPr="00613E7B">
        <w:t xml:space="preserve"> a different day of the week or time of day </w:t>
      </w:r>
      <w:r w:rsidR="005C56FD" w:rsidRPr="00613E7B">
        <w:t>to attempt to administer the Screener. The interviewer should contact the sampled household at least seven times before the case is reviewed by the supervisor to determine the best course of action.</w:t>
      </w:r>
    </w:p>
    <w:p w14:paraId="10E70BAC" w14:textId="6DDE1AE6" w:rsidR="00C73121" w:rsidRPr="00613E7B" w:rsidRDefault="0021074A" w:rsidP="0021074A">
      <w:pPr>
        <w:pStyle w:val="L1-FlLSp12"/>
        <w:widowControl w:val="0"/>
        <w:spacing w:after="120" w:line="23" w:lineRule="atLeast"/>
        <w:ind w:left="540" w:hanging="270"/>
      </w:pPr>
      <w:r>
        <w:tab/>
      </w:r>
      <w:r w:rsidR="00C73121" w:rsidRPr="00613E7B">
        <w:t>If</w:t>
      </w:r>
      <w:r w:rsidR="005C56FD" w:rsidRPr="00613E7B">
        <w:t>, at first contact,</w:t>
      </w:r>
      <w:r w:rsidR="00C73121" w:rsidRPr="00613E7B">
        <w:t xml:space="preserve"> the interviewer encounters someone at the door who does not speak English, the interviewer should ask for an English-speaking person to come to the door. If </w:t>
      </w:r>
      <w:r w:rsidR="005C56FD" w:rsidRPr="00613E7B">
        <w:t>that</w:t>
      </w:r>
      <w:r w:rsidR="00C73121" w:rsidRPr="00613E7B">
        <w:t xml:space="preserve"> person is a household member at least 18 years old, the interviewer should </w:t>
      </w:r>
      <w:r w:rsidR="005C56FD" w:rsidRPr="00613E7B">
        <w:t>conduct</w:t>
      </w:r>
      <w:r w:rsidR="00C73121" w:rsidRPr="00613E7B">
        <w:t xml:space="preserve"> the screener </w:t>
      </w:r>
      <w:r w:rsidR="005C56FD" w:rsidRPr="00613E7B">
        <w:t>with</w:t>
      </w:r>
      <w:r w:rsidR="00C73121" w:rsidRPr="00613E7B">
        <w:t xml:space="preserve"> that person. If not, the person can serve as an interpreter during the administration of the Screener with the household member that does not speak English. </w:t>
      </w:r>
      <w:r w:rsidR="002875F9" w:rsidRPr="00613E7B">
        <w:t>If neither option is option is viable, the interviewer should thank the person at the door, leave</w:t>
      </w:r>
      <w:r w:rsidR="005C56FD" w:rsidRPr="00613E7B">
        <w:t>,</w:t>
      </w:r>
      <w:r w:rsidR="002875F9" w:rsidRPr="00613E7B">
        <w:t xml:space="preserve"> and describe the language problem on the Record of Contacts for the case. </w:t>
      </w:r>
    </w:p>
    <w:p w14:paraId="4A6B74F4" w14:textId="60FB3AD2" w:rsidR="005C56FD" w:rsidRPr="00613E7B" w:rsidRDefault="00D11CA4" w:rsidP="0021074A">
      <w:pPr>
        <w:pStyle w:val="L1-FlLSp12"/>
        <w:widowControl w:val="0"/>
        <w:numPr>
          <w:ilvl w:val="0"/>
          <w:numId w:val="30"/>
        </w:numPr>
        <w:spacing w:after="120" w:line="23" w:lineRule="atLeast"/>
        <w:ind w:left="540" w:hanging="270"/>
        <w:rPr>
          <w:b/>
        </w:rPr>
      </w:pPr>
      <w:r w:rsidRPr="00613E7B">
        <w:rPr>
          <w:b/>
        </w:rPr>
        <w:t xml:space="preserve">Administering the Interview – </w:t>
      </w:r>
      <w:r w:rsidRPr="00613E7B">
        <w:t xml:space="preserve">Once the Screener has sampled eligible persons in a household, the interviewer should </w:t>
      </w:r>
      <w:r w:rsidR="00613E7B" w:rsidRPr="00613E7B">
        <w:t xml:space="preserve">provide the sampled person with a copy of the </w:t>
      </w:r>
      <w:r w:rsidR="00057246">
        <w:t>Advance Letter</w:t>
      </w:r>
      <w:r w:rsidR="00613E7B" w:rsidRPr="00613E7B">
        <w:t xml:space="preserve"> to introduce the study and </w:t>
      </w:r>
      <w:r w:rsidRPr="00613E7B">
        <w:t xml:space="preserve">administer the </w:t>
      </w:r>
      <w:r w:rsidR="002875F9" w:rsidRPr="00613E7B">
        <w:t>Case Initialization, the Background Questionnaire and the assessment at</w:t>
      </w:r>
      <w:r w:rsidRPr="00613E7B">
        <w:t xml:space="preserve"> that time</w:t>
      </w:r>
      <w:r w:rsidR="00654352" w:rsidRPr="00613E7B">
        <w:t xml:space="preserve"> to the sampled person(s) if available</w:t>
      </w:r>
      <w:r w:rsidRPr="00613E7B">
        <w:t>. The background questionnaire and the assessment should be administered in one session</w:t>
      </w:r>
      <w:r w:rsidRPr="003B7F97">
        <w:t xml:space="preserve">. </w:t>
      </w:r>
      <w:r w:rsidR="00E2668B" w:rsidRPr="003B7F97">
        <w:t>If the sampled person is under 18,</w:t>
      </w:r>
      <w:r w:rsidR="00931EFC" w:rsidRPr="003B7F97">
        <w:t xml:space="preserve"> the interviewer will </w:t>
      </w:r>
      <w:r w:rsidR="00B32C0F" w:rsidRPr="003B7F97">
        <w:t>explain to a parent or guardian what survey participation entails, provide the study brochure, and answer any questions the parent/guardian may have. If the parent</w:t>
      </w:r>
      <w:r w:rsidR="0062678E" w:rsidRPr="003B7F97">
        <w:t>/guardian</w:t>
      </w:r>
      <w:r w:rsidR="00B32C0F" w:rsidRPr="003B7F97">
        <w:t xml:space="preserve"> refuses to allow the </w:t>
      </w:r>
      <w:r w:rsidR="0062678E" w:rsidRPr="003B7F97">
        <w:t>sampled youth</w:t>
      </w:r>
      <w:r w:rsidR="00B32C0F" w:rsidRPr="003B7F97">
        <w:t xml:space="preserve"> to participate, </w:t>
      </w:r>
      <w:r w:rsidR="0062678E" w:rsidRPr="003B7F97">
        <w:t xml:space="preserve">the interviewer will attempt to convince the parent or guardian to allow the youth to participate. If unsuccessful, the case is closed as a final refusal. </w:t>
      </w:r>
      <w:r w:rsidR="00931EFC">
        <w:t>I</w:t>
      </w:r>
      <w:r w:rsidRPr="00613E7B">
        <w:t>f the sampled person is not available, the interviewer should</w:t>
      </w:r>
      <w:r w:rsidR="00C73121" w:rsidRPr="00613E7B">
        <w:t xml:space="preserve"> make an appointment </w:t>
      </w:r>
      <w:r w:rsidR="00654352" w:rsidRPr="00613E7B">
        <w:t xml:space="preserve">for a specific date and time, </w:t>
      </w:r>
      <w:r w:rsidR="00C73121" w:rsidRPr="00613E7B">
        <w:t>or</w:t>
      </w:r>
      <w:r w:rsidRPr="00613E7B">
        <w:t xml:space="preserve"> ascertain the best time to return when the sampled person is likely to be at home</w:t>
      </w:r>
      <w:r w:rsidR="00654352" w:rsidRPr="00613E7B">
        <w:t>, then return at the agreed upon time to conduct the interview</w:t>
      </w:r>
      <w:r w:rsidRPr="00613E7B">
        <w:t xml:space="preserve">. </w:t>
      </w:r>
      <w:r w:rsidR="005C56FD" w:rsidRPr="00613E7B">
        <w:t>If unable to complete the interview at that time, the interviewer should continue to contact the sampled person at least seven times before the case is reviewed by the supervisor to determine the best course of action.</w:t>
      </w:r>
    </w:p>
    <w:p w14:paraId="3C7F2A09" w14:textId="6B3F1016" w:rsidR="002875F9" w:rsidRPr="00C73121" w:rsidRDefault="0021074A" w:rsidP="0021074A">
      <w:pPr>
        <w:pStyle w:val="L1-FlLSp12"/>
        <w:widowControl w:val="0"/>
        <w:spacing w:after="240" w:line="23" w:lineRule="atLeast"/>
        <w:ind w:left="540" w:hanging="270"/>
      </w:pPr>
      <w:r>
        <w:tab/>
      </w:r>
      <w:r w:rsidR="002875F9" w:rsidRPr="008061DB">
        <w:t xml:space="preserve">If the sampled person does not speak English, the interviewer should ask the person who interpreted the Screener to assist with the administration of the Background Questionnaire. If </w:t>
      </w:r>
      <w:r w:rsidR="00F1229C">
        <w:t xml:space="preserve">that approach is </w:t>
      </w:r>
      <w:r w:rsidR="00D35855" w:rsidRPr="008061DB">
        <w:t xml:space="preserve">not successful, the interviewer should thank the sampled person, </w:t>
      </w:r>
      <w:r w:rsidR="002875F9" w:rsidRPr="008061DB">
        <w:t>leave</w:t>
      </w:r>
      <w:r w:rsidR="00654352" w:rsidRPr="008061DB">
        <w:t>,</w:t>
      </w:r>
      <w:r w:rsidR="002875F9" w:rsidRPr="008061DB">
        <w:t xml:space="preserve"> and describe the language problem on the Record of Contacts for the case.</w:t>
      </w:r>
      <w:r w:rsidR="002875F9">
        <w:t xml:space="preserve"> </w:t>
      </w:r>
    </w:p>
    <w:p w14:paraId="2DE27802" w14:textId="7E08EE71" w:rsidR="00AF25CC" w:rsidRPr="000425D2" w:rsidRDefault="00AF25CC" w:rsidP="0021074A">
      <w:pPr>
        <w:pStyle w:val="Heading3"/>
        <w:widowControl w:val="0"/>
        <w:spacing w:after="120" w:line="23" w:lineRule="atLeast"/>
        <w:rPr>
          <w:sz w:val="32"/>
          <w:szCs w:val="32"/>
        </w:rPr>
      </w:pPr>
      <w:r w:rsidRPr="000425D2">
        <w:rPr>
          <w:sz w:val="32"/>
          <w:szCs w:val="32"/>
        </w:rPr>
        <w:t>Statistical Methodology</w:t>
      </w:r>
    </w:p>
    <w:p w14:paraId="6422AFCE" w14:textId="7D1887D6" w:rsidR="00AF25CC" w:rsidRDefault="00AF25CC" w:rsidP="0021074A">
      <w:pPr>
        <w:pStyle w:val="L1-FlLSp12"/>
        <w:widowControl w:val="0"/>
        <w:spacing w:after="120" w:line="23" w:lineRule="atLeast"/>
        <w:rPr>
          <w:szCs w:val="24"/>
        </w:rPr>
      </w:pPr>
      <w:r w:rsidRPr="000A3605">
        <w:rPr>
          <w:szCs w:val="24"/>
        </w:rPr>
        <w:t xml:space="preserve">This section describes the sample design for the </w:t>
      </w:r>
      <w:r w:rsidR="000719A5">
        <w:rPr>
          <w:szCs w:val="24"/>
        </w:rPr>
        <w:t>field test</w:t>
      </w:r>
      <w:r w:rsidRPr="000A3605">
        <w:rPr>
          <w:szCs w:val="24"/>
        </w:rPr>
        <w:t xml:space="preserve">. </w:t>
      </w:r>
      <w:r w:rsidR="00364348">
        <w:rPr>
          <w:szCs w:val="24"/>
        </w:rPr>
        <w:t>W</w:t>
      </w:r>
      <w:r w:rsidR="0088485D" w:rsidRPr="0088485D">
        <w:rPr>
          <w:szCs w:val="24"/>
        </w:rPr>
        <w:t xml:space="preserve">ith the </w:t>
      </w:r>
      <w:r w:rsidR="00AE7B2A">
        <w:rPr>
          <w:szCs w:val="24"/>
        </w:rPr>
        <w:t xml:space="preserve">aforementioned </w:t>
      </w:r>
      <w:r w:rsidR="0088485D" w:rsidRPr="0088485D">
        <w:rPr>
          <w:szCs w:val="24"/>
        </w:rPr>
        <w:t>goal of completing assessments for 1,500 adults ages 16 through 65 years and 50 adults ages 66 through 74 years</w:t>
      </w:r>
      <w:r w:rsidR="00364348">
        <w:rPr>
          <w:szCs w:val="24"/>
        </w:rPr>
        <w:t>, the f</w:t>
      </w:r>
      <w:r w:rsidR="00364348" w:rsidRPr="0088485D">
        <w:rPr>
          <w:szCs w:val="24"/>
        </w:rPr>
        <w:t xml:space="preserve">ield </w:t>
      </w:r>
      <w:r w:rsidR="00364348">
        <w:rPr>
          <w:szCs w:val="24"/>
        </w:rPr>
        <w:t>t</w:t>
      </w:r>
      <w:r w:rsidR="00364348" w:rsidRPr="0088485D">
        <w:rPr>
          <w:szCs w:val="24"/>
        </w:rPr>
        <w:t xml:space="preserve">est sample will be a household </w:t>
      </w:r>
      <w:r w:rsidR="00364348">
        <w:rPr>
          <w:szCs w:val="24"/>
        </w:rPr>
        <w:t>n</w:t>
      </w:r>
      <w:r w:rsidR="00364348" w:rsidRPr="0088485D">
        <w:rPr>
          <w:szCs w:val="24"/>
        </w:rPr>
        <w:t>onprobability sample</w:t>
      </w:r>
      <w:r w:rsidR="00364348">
        <w:rPr>
          <w:szCs w:val="24"/>
        </w:rPr>
        <w:t xml:space="preserve">, which </w:t>
      </w:r>
      <w:r w:rsidR="005130C3">
        <w:rPr>
          <w:szCs w:val="24"/>
        </w:rPr>
        <w:t xml:space="preserve">will </w:t>
      </w:r>
      <w:r w:rsidR="0088485D" w:rsidRPr="0088485D">
        <w:rPr>
          <w:szCs w:val="24"/>
        </w:rPr>
        <w:t>satisf</w:t>
      </w:r>
      <w:r w:rsidR="005130C3">
        <w:rPr>
          <w:szCs w:val="24"/>
        </w:rPr>
        <w:t>y</w:t>
      </w:r>
      <w:r w:rsidR="0088485D" w:rsidRPr="0088485D">
        <w:rPr>
          <w:szCs w:val="24"/>
        </w:rPr>
        <w:t xml:space="preserve"> the objectives of the PIAAC </w:t>
      </w:r>
      <w:r w:rsidR="001B6EAF">
        <w:rPr>
          <w:szCs w:val="24"/>
        </w:rPr>
        <w:t>F</w:t>
      </w:r>
      <w:r w:rsidR="0088485D" w:rsidRPr="0088485D">
        <w:rPr>
          <w:szCs w:val="24"/>
        </w:rPr>
        <w:t xml:space="preserve">ield </w:t>
      </w:r>
      <w:r w:rsidR="001B6EAF">
        <w:rPr>
          <w:szCs w:val="24"/>
        </w:rPr>
        <w:t>T</w:t>
      </w:r>
      <w:r w:rsidR="0088485D" w:rsidRPr="0088485D">
        <w:rPr>
          <w:szCs w:val="24"/>
        </w:rPr>
        <w:t>est at a reduced cost of data collection, compared to a representative sample</w:t>
      </w:r>
      <w:r w:rsidR="009F59D4">
        <w:rPr>
          <w:szCs w:val="24"/>
        </w:rPr>
        <w:t xml:space="preserve">. </w:t>
      </w:r>
      <w:r w:rsidR="0088485D" w:rsidRPr="0088485D">
        <w:rPr>
          <w:szCs w:val="24"/>
        </w:rPr>
        <w:t>The sample will be diverse</w:t>
      </w:r>
      <w:r w:rsidR="001B6EAF">
        <w:rPr>
          <w:szCs w:val="24"/>
        </w:rPr>
        <w:t>,</w:t>
      </w:r>
      <w:r w:rsidR="0088485D" w:rsidRPr="0088485D">
        <w:rPr>
          <w:szCs w:val="24"/>
        </w:rPr>
        <w:t xml:space="preserve"> including adults of various age, gender, education, race/ethnicity, and language groups found in the U.S. population.</w:t>
      </w:r>
    </w:p>
    <w:p w14:paraId="21BF4BD4" w14:textId="1E357C03" w:rsidR="0088485D" w:rsidRPr="000A3605" w:rsidRDefault="0088485D" w:rsidP="0021074A">
      <w:pPr>
        <w:pStyle w:val="L1-FlLSp12"/>
        <w:widowControl w:val="0"/>
        <w:spacing w:after="120" w:line="23" w:lineRule="atLeast"/>
        <w:rPr>
          <w:szCs w:val="24"/>
        </w:rPr>
      </w:pPr>
      <w:r>
        <w:rPr>
          <w:szCs w:val="24"/>
        </w:rPr>
        <w:t>W</w:t>
      </w:r>
      <w:r w:rsidRPr="0088485D">
        <w:rPr>
          <w:szCs w:val="24"/>
        </w:rPr>
        <w:t xml:space="preserve">e plan to use the </w:t>
      </w:r>
      <w:r w:rsidR="009F59D4">
        <w:rPr>
          <w:szCs w:val="24"/>
        </w:rPr>
        <w:t xml:space="preserve">electronic address lists from </w:t>
      </w:r>
      <w:r w:rsidR="001B6EAF">
        <w:rPr>
          <w:szCs w:val="24"/>
        </w:rPr>
        <w:t xml:space="preserve">the </w:t>
      </w:r>
      <w:r w:rsidR="009F59D4">
        <w:rPr>
          <w:szCs w:val="24"/>
        </w:rPr>
        <w:t xml:space="preserve">PIAAC </w:t>
      </w:r>
      <w:r w:rsidR="00E742EA">
        <w:rPr>
          <w:szCs w:val="24"/>
        </w:rPr>
        <w:t xml:space="preserve">Cycle I 2017 </w:t>
      </w:r>
      <w:r w:rsidR="007C4F03">
        <w:rPr>
          <w:szCs w:val="24"/>
        </w:rPr>
        <w:t>data collection</w:t>
      </w:r>
      <w:r w:rsidRPr="0088485D">
        <w:rPr>
          <w:szCs w:val="24"/>
        </w:rPr>
        <w:t xml:space="preserve">, which will significantly reduce the time and resources </w:t>
      </w:r>
      <w:r w:rsidR="009F59D4">
        <w:rPr>
          <w:szCs w:val="24"/>
        </w:rPr>
        <w:t>needed for sample selection</w:t>
      </w:r>
      <w:r w:rsidRPr="0088485D">
        <w:rPr>
          <w:szCs w:val="24"/>
        </w:rPr>
        <w:t xml:space="preserve">. </w:t>
      </w:r>
      <w:r w:rsidR="004C1A68">
        <w:rPr>
          <w:szCs w:val="24"/>
        </w:rPr>
        <w:t>C</w:t>
      </w:r>
      <w:r w:rsidRPr="0088485D">
        <w:rPr>
          <w:szCs w:val="24"/>
        </w:rPr>
        <w:t xml:space="preserve">overage inadequacies are not a concern </w:t>
      </w:r>
      <w:r w:rsidR="004C1A68">
        <w:rPr>
          <w:szCs w:val="24"/>
        </w:rPr>
        <w:t>because</w:t>
      </w:r>
      <w:r w:rsidR="004C1A68" w:rsidRPr="0088485D">
        <w:rPr>
          <w:szCs w:val="24"/>
        </w:rPr>
        <w:t xml:space="preserve"> </w:t>
      </w:r>
      <w:r w:rsidRPr="0088485D">
        <w:rPr>
          <w:szCs w:val="24"/>
        </w:rPr>
        <w:t xml:space="preserve">the </w:t>
      </w:r>
      <w:r w:rsidR="006E72B1">
        <w:rPr>
          <w:szCs w:val="24"/>
        </w:rPr>
        <w:t>F</w:t>
      </w:r>
      <w:r w:rsidRPr="0088485D">
        <w:rPr>
          <w:szCs w:val="24"/>
        </w:rPr>
        <w:t xml:space="preserve">ield </w:t>
      </w:r>
      <w:r w:rsidR="006E72B1">
        <w:rPr>
          <w:szCs w:val="24"/>
        </w:rPr>
        <w:t>T</w:t>
      </w:r>
      <w:r w:rsidRPr="0088485D">
        <w:rPr>
          <w:szCs w:val="24"/>
        </w:rPr>
        <w:t xml:space="preserve">est is not a nationally representative sample. Therefore, the </w:t>
      </w:r>
      <w:r w:rsidR="009F59D4">
        <w:rPr>
          <w:szCs w:val="24"/>
        </w:rPr>
        <w:t>PIAAC</w:t>
      </w:r>
      <w:r w:rsidR="00E742EA">
        <w:rPr>
          <w:szCs w:val="24"/>
        </w:rPr>
        <w:t xml:space="preserve"> Cycle I</w:t>
      </w:r>
      <w:r w:rsidR="009F59D4">
        <w:rPr>
          <w:szCs w:val="24"/>
        </w:rPr>
        <w:t xml:space="preserve"> 2017 address lists</w:t>
      </w:r>
      <w:r w:rsidRPr="0088485D">
        <w:rPr>
          <w:szCs w:val="24"/>
        </w:rPr>
        <w:t xml:space="preserve"> will be used without coverage updating.</w:t>
      </w:r>
    </w:p>
    <w:p w14:paraId="42CCBD43" w14:textId="77777777" w:rsidR="00AF25CC" w:rsidRPr="000A3605" w:rsidRDefault="00AF25CC" w:rsidP="0021074A">
      <w:pPr>
        <w:pStyle w:val="Heading4"/>
        <w:widowControl w:val="0"/>
        <w:spacing w:after="120" w:line="23" w:lineRule="atLeast"/>
        <w:rPr>
          <w:rFonts w:ascii="Garamond" w:hAnsi="Garamond"/>
          <w:szCs w:val="24"/>
        </w:rPr>
      </w:pPr>
      <w:r w:rsidRPr="000A3605">
        <w:rPr>
          <w:rFonts w:ascii="Garamond" w:hAnsi="Garamond"/>
          <w:szCs w:val="24"/>
        </w:rPr>
        <w:t>Sample Selection</w:t>
      </w:r>
    </w:p>
    <w:p w14:paraId="4385847D" w14:textId="00F2AE09" w:rsidR="00AF25CC" w:rsidRPr="000A3605" w:rsidRDefault="009F59D4" w:rsidP="0021074A">
      <w:pPr>
        <w:pStyle w:val="L1-FlLSp12"/>
        <w:widowControl w:val="0"/>
        <w:spacing w:after="120" w:line="23" w:lineRule="atLeast"/>
        <w:rPr>
          <w:szCs w:val="24"/>
        </w:rPr>
      </w:pPr>
      <w:r w:rsidRPr="009F59D4">
        <w:rPr>
          <w:szCs w:val="24"/>
        </w:rPr>
        <w:t>A four-stage sample design will be employed</w:t>
      </w:r>
      <w:r w:rsidR="001B6EAF">
        <w:rPr>
          <w:szCs w:val="24"/>
        </w:rPr>
        <w:t>,</w:t>
      </w:r>
      <w:r w:rsidRPr="009F59D4">
        <w:rPr>
          <w:szCs w:val="24"/>
        </w:rPr>
        <w:t xml:space="preserve"> </w:t>
      </w:r>
      <w:r w:rsidR="00AE7B2A">
        <w:rPr>
          <w:szCs w:val="24"/>
        </w:rPr>
        <w:t>where the first stage sampling frame is comprised of</w:t>
      </w:r>
      <w:r w:rsidRPr="009F59D4">
        <w:rPr>
          <w:szCs w:val="24"/>
        </w:rPr>
        <w:t xml:space="preserve"> primary sampling units (PSUs)</w:t>
      </w:r>
      <w:r w:rsidR="00AE7B2A">
        <w:rPr>
          <w:szCs w:val="24"/>
        </w:rPr>
        <w:t>, which</w:t>
      </w:r>
      <w:r w:rsidRPr="009F59D4">
        <w:rPr>
          <w:szCs w:val="24"/>
        </w:rPr>
        <w:t xml:space="preserve"> are counties or groups of contiguous counties. The second stage </w:t>
      </w:r>
      <w:r w:rsidR="007C4F03">
        <w:rPr>
          <w:szCs w:val="24"/>
        </w:rPr>
        <w:t>involves secondary sampling units</w:t>
      </w:r>
      <w:r w:rsidRPr="009F59D4">
        <w:rPr>
          <w:szCs w:val="24"/>
        </w:rPr>
        <w:t xml:space="preserve"> </w:t>
      </w:r>
      <w:r w:rsidR="007C4F03">
        <w:rPr>
          <w:szCs w:val="24"/>
        </w:rPr>
        <w:t>(</w:t>
      </w:r>
      <w:r w:rsidRPr="009F59D4">
        <w:rPr>
          <w:szCs w:val="24"/>
        </w:rPr>
        <w:t>SSUs</w:t>
      </w:r>
      <w:r w:rsidR="007C4F03">
        <w:rPr>
          <w:szCs w:val="24"/>
        </w:rPr>
        <w:t>)</w:t>
      </w:r>
      <w:r w:rsidRPr="009F59D4">
        <w:rPr>
          <w:szCs w:val="24"/>
        </w:rPr>
        <w:t xml:space="preserve"> (census blocks or combinations of blocks), the third stage is dwelling units (DUs), and the fourth stage involves the random selection of one or more eligible adults per household.</w:t>
      </w:r>
      <w:r w:rsidR="00AF25CC" w:rsidRPr="000A3605">
        <w:rPr>
          <w:szCs w:val="24"/>
        </w:rPr>
        <w:t xml:space="preserve"> The sample selection approach is described for each sampling stage below in turn.</w:t>
      </w:r>
    </w:p>
    <w:p w14:paraId="080B5C53" w14:textId="4ED998D6" w:rsidR="009F59D4" w:rsidRPr="009F59D4" w:rsidRDefault="009F59D4" w:rsidP="0021074A">
      <w:pPr>
        <w:pStyle w:val="L1-FlLSp12"/>
        <w:widowControl w:val="0"/>
        <w:spacing w:after="120" w:line="23" w:lineRule="atLeast"/>
        <w:rPr>
          <w:szCs w:val="24"/>
        </w:rPr>
      </w:pPr>
      <w:r w:rsidRPr="009F59D4">
        <w:rPr>
          <w:szCs w:val="24"/>
        </w:rPr>
        <w:t xml:space="preserve">For the first stage of selection, a </w:t>
      </w:r>
      <w:r w:rsidR="00DE65A8">
        <w:rPr>
          <w:szCs w:val="24"/>
        </w:rPr>
        <w:t xml:space="preserve">stratified </w:t>
      </w:r>
      <w:r w:rsidR="00AA7F58">
        <w:rPr>
          <w:szCs w:val="24"/>
        </w:rPr>
        <w:t xml:space="preserve">purposive </w:t>
      </w:r>
      <w:r w:rsidR="00DE65A8">
        <w:rPr>
          <w:szCs w:val="24"/>
        </w:rPr>
        <w:t>sub</w:t>
      </w:r>
      <w:r w:rsidRPr="009F59D4">
        <w:rPr>
          <w:szCs w:val="24"/>
        </w:rPr>
        <w:t>sample of 20 PSUs will be selected from the PIAAC</w:t>
      </w:r>
      <w:r w:rsidR="0051108F">
        <w:rPr>
          <w:szCs w:val="24"/>
        </w:rPr>
        <w:t xml:space="preserve"> Cycle I</w:t>
      </w:r>
      <w:r w:rsidRPr="009F59D4">
        <w:rPr>
          <w:szCs w:val="24"/>
        </w:rPr>
        <w:t xml:space="preserve"> 2017 sample of 80 PSUs. </w:t>
      </w:r>
      <w:r w:rsidR="0078360F" w:rsidRPr="0078360F">
        <w:rPr>
          <w:szCs w:val="24"/>
        </w:rPr>
        <w:t xml:space="preserve">The PSUs for PIAAC 2017 were selected as a stratified probability-proportionate-to-measure of size (MOS) sample, where the MOS was equal to the target population. </w:t>
      </w:r>
      <w:r w:rsidR="005019BA" w:rsidRPr="005019BA">
        <w:rPr>
          <w:szCs w:val="24"/>
        </w:rPr>
        <w:t xml:space="preserve">Using the 80 selected PSUs from the 2017 sample as a sampling frame allows some savings of time in not having to build a frame of PSUs and SSUs, and, as mentioned above, not having to request addresses for sample selection. </w:t>
      </w:r>
      <w:r w:rsidR="00DE65A8">
        <w:rPr>
          <w:szCs w:val="24"/>
        </w:rPr>
        <w:t>The PIAAC standards allow for a nonprobability design</w:t>
      </w:r>
      <w:r w:rsidR="0051108F">
        <w:rPr>
          <w:szCs w:val="24"/>
        </w:rPr>
        <w:t xml:space="preserve"> for the Field Test</w:t>
      </w:r>
      <w:r w:rsidR="00DE65A8">
        <w:rPr>
          <w:szCs w:val="24"/>
        </w:rPr>
        <w:t>, and therefore</w:t>
      </w:r>
      <w:r w:rsidR="0051108F">
        <w:rPr>
          <w:szCs w:val="24"/>
        </w:rPr>
        <w:t>,</w:t>
      </w:r>
      <w:r w:rsidR="00DE65A8">
        <w:rPr>
          <w:szCs w:val="24"/>
        </w:rPr>
        <w:t xml:space="preserve"> we </w:t>
      </w:r>
      <w:r w:rsidR="00AA7F58">
        <w:rPr>
          <w:szCs w:val="24"/>
        </w:rPr>
        <w:t xml:space="preserve">have opted for a purposive sample to </w:t>
      </w:r>
      <w:r w:rsidR="00D81E1E">
        <w:rPr>
          <w:szCs w:val="24"/>
        </w:rPr>
        <w:t>produce a diverse set of PSUs</w:t>
      </w:r>
      <w:r w:rsidR="00DE65A8">
        <w:rPr>
          <w:szCs w:val="24"/>
        </w:rPr>
        <w:t xml:space="preserve">. </w:t>
      </w:r>
      <w:r w:rsidRPr="009F59D4">
        <w:rPr>
          <w:szCs w:val="24"/>
        </w:rPr>
        <w:t xml:space="preserve">The 20 PSUs for the </w:t>
      </w:r>
      <w:r w:rsidR="0051108F">
        <w:rPr>
          <w:szCs w:val="24"/>
        </w:rPr>
        <w:t>PIAAC Cycle II F</w:t>
      </w:r>
      <w:r w:rsidRPr="009F59D4">
        <w:rPr>
          <w:szCs w:val="24"/>
        </w:rPr>
        <w:t xml:space="preserve">ield </w:t>
      </w:r>
      <w:r w:rsidR="0051108F">
        <w:rPr>
          <w:szCs w:val="24"/>
        </w:rPr>
        <w:t>T</w:t>
      </w:r>
      <w:r w:rsidRPr="009F59D4">
        <w:rPr>
          <w:szCs w:val="24"/>
        </w:rPr>
        <w:t>est will be chosen to arrive at a sample that is fairly evenly distributed across categories of key variables, such as age, gender, education, income, and race/ethnicity.</w:t>
      </w:r>
      <w:r w:rsidR="00966C34">
        <w:rPr>
          <w:szCs w:val="24"/>
        </w:rPr>
        <w:t xml:space="preserve"> The diversity among demographic subgroups is a requirement for psychometric testing.</w:t>
      </w:r>
      <w:r w:rsidRPr="009F59D4">
        <w:rPr>
          <w:szCs w:val="24"/>
        </w:rPr>
        <w:t xml:space="preserve"> Therefore, we will stratify the 80-PSU PIAAC </w:t>
      </w:r>
      <w:r w:rsidR="0051108F">
        <w:rPr>
          <w:szCs w:val="24"/>
        </w:rPr>
        <w:t xml:space="preserve">Cycle I </w:t>
      </w:r>
      <w:r w:rsidRPr="009F59D4">
        <w:rPr>
          <w:szCs w:val="24"/>
        </w:rPr>
        <w:t xml:space="preserve">2017 sample </w:t>
      </w:r>
      <w:r w:rsidR="00D81E1E">
        <w:rPr>
          <w:szCs w:val="24"/>
        </w:rPr>
        <w:t>into 20 groups</w:t>
      </w:r>
      <w:r w:rsidR="002B3657">
        <w:rPr>
          <w:szCs w:val="24"/>
        </w:rPr>
        <w:t xml:space="preserve"> </w:t>
      </w:r>
      <w:r w:rsidR="009C3D66">
        <w:rPr>
          <w:szCs w:val="24"/>
        </w:rPr>
        <w:t>based on</w:t>
      </w:r>
      <w:r w:rsidR="00D81E1E">
        <w:rPr>
          <w:szCs w:val="24"/>
        </w:rPr>
        <w:t xml:space="preserve"> the stratification variables from the PIAAC Cycle I 2017 sample</w:t>
      </w:r>
      <w:r w:rsidRPr="009F59D4">
        <w:rPr>
          <w:szCs w:val="24"/>
        </w:rPr>
        <w:t xml:space="preserve">: </w:t>
      </w:r>
      <w:r w:rsidR="009C3D66">
        <w:rPr>
          <w:szCs w:val="24"/>
        </w:rPr>
        <w:t>size (whether the PSU was selected with certainty), metropolitan status (</w:t>
      </w:r>
      <w:r w:rsidR="00D81E1E" w:rsidRPr="00D81E1E">
        <w:rPr>
          <w:szCs w:val="24"/>
        </w:rPr>
        <w:t>whether the PSU was part of a metropolitan area</w:t>
      </w:r>
      <w:r w:rsidR="009C3D66">
        <w:rPr>
          <w:szCs w:val="24"/>
        </w:rPr>
        <w:t>)</w:t>
      </w:r>
      <w:r w:rsidR="00D81E1E">
        <w:rPr>
          <w:szCs w:val="24"/>
        </w:rPr>
        <w:t xml:space="preserve">, </w:t>
      </w:r>
      <w:r w:rsidRPr="009F59D4">
        <w:rPr>
          <w:szCs w:val="24"/>
        </w:rPr>
        <w:t>education</w:t>
      </w:r>
      <w:r w:rsidR="000E7E31">
        <w:rPr>
          <w:szCs w:val="24"/>
        </w:rPr>
        <w:t>al</w:t>
      </w:r>
      <w:r w:rsidRPr="009F59D4">
        <w:rPr>
          <w:szCs w:val="24"/>
        </w:rPr>
        <w:t xml:space="preserve"> attainment (</w:t>
      </w:r>
      <w:r w:rsidR="00D81E1E" w:rsidRPr="00D81E1E">
        <w:rPr>
          <w:szCs w:val="24"/>
        </w:rPr>
        <w:t>percentage of the population ages 25 and over with no more than high school education</w:t>
      </w:r>
      <w:r w:rsidRPr="009F59D4">
        <w:rPr>
          <w:szCs w:val="24"/>
        </w:rPr>
        <w:t xml:space="preserve">), income (percentage of population who are below 150 percent poverty), </w:t>
      </w:r>
      <w:r w:rsidR="000E7E31">
        <w:rPr>
          <w:szCs w:val="24"/>
        </w:rPr>
        <w:t>e</w:t>
      </w:r>
      <w:r w:rsidRPr="009F59D4">
        <w:rPr>
          <w:szCs w:val="24"/>
        </w:rPr>
        <w:t>thnicity (</w:t>
      </w:r>
      <w:r w:rsidR="00D81E1E" w:rsidRPr="00D81E1E">
        <w:rPr>
          <w:szCs w:val="24"/>
        </w:rPr>
        <w:t>percentage of the population age 15 to 64 that are Hispanic or non-Hispanic Black alone</w:t>
      </w:r>
      <w:r w:rsidRPr="009F59D4">
        <w:rPr>
          <w:szCs w:val="24"/>
        </w:rPr>
        <w:t>)</w:t>
      </w:r>
      <w:r w:rsidR="00D81E1E">
        <w:rPr>
          <w:szCs w:val="24"/>
        </w:rPr>
        <w:t>, and country of birth (</w:t>
      </w:r>
      <w:r w:rsidR="00D81E1E" w:rsidRPr="00D81E1E">
        <w:rPr>
          <w:szCs w:val="24"/>
        </w:rPr>
        <w:t>percentage of the population who were foreign born and entered US in 2000 or later</w:t>
      </w:r>
      <w:r w:rsidR="00D81E1E">
        <w:rPr>
          <w:szCs w:val="24"/>
        </w:rPr>
        <w:t>)</w:t>
      </w:r>
      <w:r w:rsidR="009C3D66">
        <w:rPr>
          <w:szCs w:val="24"/>
        </w:rPr>
        <w:t>.</w:t>
      </w:r>
      <w:r w:rsidRPr="009F59D4">
        <w:rPr>
          <w:szCs w:val="24"/>
        </w:rPr>
        <w:t xml:space="preserve"> The 20 PSUs result from </w:t>
      </w:r>
      <w:r w:rsidR="00D81E1E">
        <w:rPr>
          <w:szCs w:val="24"/>
        </w:rPr>
        <w:t xml:space="preserve">purposively </w:t>
      </w:r>
      <w:r w:rsidRPr="009F59D4">
        <w:rPr>
          <w:szCs w:val="24"/>
        </w:rPr>
        <w:t xml:space="preserve">selecting </w:t>
      </w:r>
      <w:r w:rsidR="00D81E1E">
        <w:rPr>
          <w:szCs w:val="24"/>
        </w:rPr>
        <w:t>one</w:t>
      </w:r>
      <w:r w:rsidR="00D81E1E" w:rsidRPr="009F59D4">
        <w:rPr>
          <w:szCs w:val="24"/>
        </w:rPr>
        <w:t xml:space="preserve"> </w:t>
      </w:r>
      <w:r w:rsidRPr="009F59D4">
        <w:rPr>
          <w:szCs w:val="24"/>
        </w:rPr>
        <w:t xml:space="preserve">PSU from each of the </w:t>
      </w:r>
      <w:r w:rsidR="00D81E1E">
        <w:rPr>
          <w:szCs w:val="24"/>
        </w:rPr>
        <w:t>20</w:t>
      </w:r>
      <w:r w:rsidRPr="009F59D4">
        <w:rPr>
          <w:szCs w:val="24"/>
        </w:rPr>
        <w:t xml:space="preserve"> groups</w:t>
      </w:r>
      <w:r w:rsidR="002B3657">
        <w:rPr>
          <w:szCs w:val="24"/>
        </w:rPr>
        <w:t>.</w:t>
      </w:r>
      <w:r w:rsidRPr="009F59D4">
        <w:rPr>
          <w:szCs w:val="24"/>
        </w:rPr>
        <w:t xml:space="preserve"> </w:t>
      </w:r>
    </w:p>
    <w:p w14:paraId="36E18956" w14:textId="21C90307" w:rsidR="009F59D4" w:rsidRPr="009F59D4" w:rsidRDefault="009F59D4" w:rsidP="0021074A">
      <w:pPr>
        <w:pStyle w:val="L1-FlLSp12"/>
        <w:widowControl w:val="0"/>
        <w:spacing w:after="120" w:line="23" w:lineRule="atLeast"/>
        <w:rPr>
          <w:szCs w:val="24"/>
        </w:rPr>
      </w:pPr>
      <w:r w:rsidRPr="009F59D4">
        <w:rPr>
          <w:szCs w:val="24"/>
        </w:rPr>
        <w:t xml:space="preserve">In the second stage of selection, SSUs selected for </w:t>
      </w:r>
      <w:r w:rsidR="0051108F">
        <w:rPr>
          <w:szCs w:val="24"/>
        </w:rPr>
        <w:t xml:space="preserve">the </w:t>
      </w:r>
      <w:r w:rsidRPr="009F59D4">
        <w:rPr>
          <w:szCs w:val="24"/>
        </w:rPr>
        <w:t xml:space="preserve">PIAAC </w:t>
      </w:r>
      <w:r w:rsidR="0051108F">
        <w:rPr>
          <w:szCs w:val="24"/>
        </w:rPr>
        <w:t xml:space="preserve">Cycle I </w:t>
      </w:r>
      <w:r w:rsidRPr="009F59D4">
        <w:rPr>
          <w:szCs w:val="24"/>
        </w:rPr>
        <w:t>2017</w:t>
      </w:r>
      <w:r w:rsidR="0051108F">
        <w:rPr>
          <w:szCs w:val="24"/>
        </w:rPr>
        <w:t xml:space="preserve"> data collection</w:t>
      </w:r>
      <w:r w:rsidRPr="009F59D4">
        <w:rPr>
          <w:szCs w:val="24"/>
        </w:rPr>
        <w:t xml:space="preserve"> will constitute the frame for the SSU sample. A systematic </w:t>
      </w:r>
      <w:r w:rsidR="00D81E1E">
        <w:rPr>
          <w:szCs w:val="24"/>
        </w:rPr>
        <w:t xml:space="preserve">random </w:t>
      </w:r>
      <w:r w:rsidRPr="009F59D4">
        <w:rPr>
          <w:szCs w:val="24"/>
        </w:rPr>
        <w:t xml:space="preserve">subsample of SSUs will be selected for the </w:t>
      </w:r>
      <w:r w:rsidR="0051108F">
        <w:rPr>
          <w:szCs w:val="24"/>
        </w:rPr>
        <w:t>F</w:t>
      </w:r>
      <w:r w:rsidRPr="009F59D4">
        <w:rPr>
          <w:szCs w:val="24"/>
        </w:rPr>
        <w:t xml:space="preserve">ield </w:t>
      </w:r>
      <w:r w:rsidR="0051108F">
        <w:rPr>
          <w:szCs w:val="24"/>
        </w:rPr>
        <w:t>T</w:t>
      </w:r>
      <w:r w:rsidRPr="009F59D4">
        <w:rPr>
          <w:szCs w:val="24"/>
        </w:rPr>
        <w:t xml:space="preserve">est. We plan to select 8 SSUs from the SSUs </w:t>
      </w:r>
      <w:r w:rsidR="006D04B5">
        <w:rPr>
          <w:szCs w:val="24"/>
        </w:rPr>
        <w:t>in</w:t>
      </w:r>
      <w:r w:rsidR="006D04B5" w:rsidRPr="009F59D4">
        <w:rPr>
          <w:szCs w:val="24"/>
        </w:rPr>
        <w:t xml:space="preserve"> </w:t>
      </w:r>
      <w:r w:rsidR="0051108F">
        <w:rPr>
          <w:szCs w:val="24"/>
        </w:rPr>
        <w:t xml:space="preserve">the </w:t>
      </w:r>
      <w:r w:rsidRPr="009F59D4">
        <w:rPr>
          <w:szCs w:val="24"/>
        </w:rPr>
        <w:t xml:space="preserve">PIAAC </w:t>
      </w:r>
      <w:r w:rsidR="0051108F">
        <w:rPr>
          <w:szCs w:val="24"/>
        </w:rPr>
        <w:t xml:space="preserve">Cycle I </w:t>
      </w:r>
      <w:r w:rsidRPr="009F59D4">
        <w:rPr>
          <w:szCs w:val="24"/>
        </w:rPr>
        <w:t>2017</w:t>
      </w:r>
      <w:r w:rsidR="0051108F">
        <w:rPr>
          <w:szCs w:val="24"/>
        </w:rPr>
        <w:t xml:space="preserve"> sample</w:t>
      </w:r>
      <w:r w:rsidRPr="009F59D4">
        <w:rPr>
          <w:szCs w:val="24"/>
        </w:rPr>
        <w:t xml:space="preserve"> within each of the 20 PSUs for a total of 160 SSUs. This will result in an equal </w:t>
      </w:r>
      <w:r w:rsidR="004F6C62">
        <w:rPr>
          <w:szCs w:val="24"/>
        </w:rPr>
        <w:t xml:space="preserve">interviewer </w:t>
      </w:r>
      <w:r w:rsidRPr="009F59D4">
        <w:rPr>
          <w:szCs w:val="24"/>
        </w:rPr>
        <w:t xml:space="preserve">workload design with an equal number </w:t>
      </w:r>
      <w:r w:rsidR="00DE65A8">
        <w:rPr>
          <w:szCs w:val="24"/>
        </w:rPr>
        <w:t xml:space="preserve">of </w:t>
      </w:r>
      <w:r w:rsidRPr="009F59D4">
        <w:rPr>
          <w:szCs w:val="24"/>
        </w:rPr>
        <w:t>completed cases expected per SSU.</w:t>
      </w:r>
    </w:p>
    <w:p w14:paraId="055E7007" w14:textId="33404906" w:rsidR="00AF25CC" w:rsidRPr="000A3605" w:rsidRDefault="009F59D4" w:rsidP="0021074A">
      <w:pPr>
        <w:pStyle w:val="L1-FlLSp12"/>
        <w:widowControl w:val="0"/>
        <w:spacing w:after="120" w:line="23" w:lineRule="atLeast"/>
        <w:rPr>
          <w:szCs w:val="24"/>
        </w:rPr>
      </w:pPr>
      <w:r w:rsidRPr="009F59D4">
        <w:rPr>
          <w:szCs w:val="24"/>
        </w:rPr>
        <w:t xml:space="preserve">The third stage of sample selection will involve a sample of households from the PIAAC </w:t>
      </w:r>
      <w:r w:rsidR="0051108F">
        <w:rPr>
          <w:szCs w:val="24"/>
        </w:rPr>
        <w:t xml:space="preserve">Cycle I </w:t>
      </w:r>
      <w:r w:rsidRPr="009F59D4">
        <w:rPr>
          <w:szCs w:val="24"/>
        </w:rPr>
        <w:t>2017 electronic address lists in each sample SSU. To avoid overlap</w:t>
      </w:r>
      <w:r w:rsidR="00591DE6">
        <w:rPr>
          <w:szCs w:val="24"/>
        </w:rPr>
        <w:t>ping</w:t>
      </w:r>
      <w:r w:rsidRPr="009F59D4">
        <w:rPr>
          <w:szCs w:val="24"/>
        </w:rPr>
        <w:t xml:space="preserve"> with the PIAAC </w:t>
      </w:r>
      <w:r w:rsidR="0051108F">
        <w:rPr>
          <w:szCs w:val="24"/>
        </w:rPr>
        <w:t xml:space="preserve">Cycle I </w:t>
      </w:r>
      <w:r w:rsidRPr="009F59D4">
        <w:rPr>
          <w:szCs w:val="24"/>
        </w:rPr>
        <w:t>2017 sample, any households included in the PIAAC</w:t>
      </w:r>
      <w:r w:rsidR="0051108F">
        <w:rPr>
          <w:szCs w:val="24"/>
        </w:rPr>
        <w:t xml:space="preserve"> Cycle I</w:t>
      </w:r>
      <w:r w:rsidRPr="009F59D4">
        <w:rPr>
          <w:szCs w:val="24"/>
        </w:rPr>
        <w:t xml:space="preserve"> 2017 sample will be removed from the frame first. Then about 25 dwelling units will be selected within each of the 160 sample SSUs. The list of dwelling units will be stratified by SSU and sorted within each SSU by geographic order. A systematic random sample will be selected within each SSU. </w:t>
      </w:r>
      <w:r w:rsidR="00462472">
        <w:rPr>
          <w:szCs w:val="24"/>
        </w:rPr>
        <w:t>As</w:t>
      </w:r>
      <w:r w:rsidR="007F7B28">
        <w:rPr>
          <w:szCs w:val="24"/>
        </w:rPr>
        <w:t xml:space="preserve"> the Field Test does not require a probability sample, w</w:t>
      </w:r>
      <w:r w:rsidR="007F7B28" w:rsidRPr="007F7B28">
        <w:rPr>
          <w:szCs w:val="24"/>
        </w:rPr>
        <w:t>e will not be conducting address coverage enhancement procedures</w:t>
      </w:r>
      <w:r w:rsidR="007F7B28">
        <w:rPr>
          <w:szCs w:val="24"/>
        </w:rPr>
        <w:t>.</w:t>
      </w:r>
    </w:p>
    <w:p w14:paraId="4373017C" w14:textId="1545DC06" w:rsidR="00B54CE6" w:rsidRDefault="00AF25CC" w:rsidP="0021074A">
      <w:pPr>
        <w:pStyle w:val="L1-FlLSp12"/>
        <w:widowControl w:val="0"/>
        <w:spacing w:after="120" w:line="23" w:lineRule="atLeast"/>
        <w:rPr>
          <w:szCs w:val="24"/>
        </w:rPr>
      </w:pPr>
      <w:r w:rsidRPr="000A3605">
        <w:rPr>
          <w:szCs w:val="24"/>
        </w:rPr>
        <w:t>The fourth stage of selection involves</w:t>
      </w:r>
      <w:r w:rsidR="00E347C6" w:rsidRPr="000A3605">
        <w:rPr>
          <w:szCs w:val="24"/>
        </w:rPr>
        <w:t xml:space="preserve"> a two-phase sampling approach</w:t>
      </w:r>
      <w:r w:rsidR="00B54CE6">
        <w:rPr>
          <w:szCs w:val="24"/>
        </w:rPr>
        <w:t>. Using a screener questionnaire, we will both</w:t>
      </w:r>
      <w:r w:rsidR="00E347C6" w:rsidRPr="000A3605">
        <w:rPr>
          <w:szCs w:val="24"/>
        </w:rPr>
        <w:t xml:space="preserve"> collect information about persons in the household</w:t>
      </w:r>
      <w:r w:rsidR="00B54CE6">
        <w:rPr>
          <w:szCs w:val="24"/>
        </w:rPr>
        <w:t xml:space="preserve"> and</w:t>
      </w:r>
      <w:r w:rsidR="00E347C6" w:rsidRPr="000A3605">
        <w:rPr>
          <w:szCs w:val="24"/>
        </w:rPr>
        <w:t xml:space="preserve"> determine eligibility and stratify by age group</w:t>
      </w:r>
      <w:r w:rsidR="00B54CE6">
        <w:rPr>
          <w:szCs w:val="24"/>
        </w:rPr>
        <w:t>. Using this information, we will apply d</w:t>
      </w:r>
      <w:r w:rsidR="00E347C6" w:rsidRPr="000A3605">
        <w:rPr>
          <w:szCs w:val="24"/>
        </w:rPr>
        <w:t xml:space="preserve">ifferent sampling rates to arrive at the target sample sizes in each age group. </w:t>
      </w:r>
    </w:p>
    <w:p w14:paraId="12FC7079" w14:textId="68F0E057" w:rsidR="00E347C6" w:rsidRPr="000A3605" w:rsidRDefault="00E347C6" w:rsidP="0021074A">
      <w:pPr>
        <w:pStyle w:val="L1-FlLSp12"/>
        <w:widowControl w:val="0"/>
        <w:spacing w:after="120" w:line="23" w:lineRule="atLeast"/>
        <w:rPr>
          <w:szCs w:val="24"/>
        </w:rPr>
      </w:pPr>
      <w:r w:rsidRPr="000A3605">
        <w:rPr>
          <w:szCs w:val="24"/>
        </w:rPr>
        <w:t>The screener begins by</w:t>
      </w:r>
      <w:r w:rsidR="00AF25CC" w:rsidRPr="000A3605">
        <w:rPr>
          <w:szCs w:val="24"/>
        </w:rPr>
        <w:t xml:space="preserve"> listing the age-eligible household members (aged 16 to 74) in </w:t>
      </w:r>
      <w:r w:rsidRPr="000A3605">
        <w:rPr>
          <w:szCs w:val="24"/>
        </w:rPr>
        <w:t xml:space="preserve">the </w:t>
      </w:r>
      <w:r w:rsidR="00AF25CC" w:rsidRPr="000A3605">
        <w:rPr>
          <w:szCs w:val="24"/>
        </w:rPr>
        <w:t xml:space="preserve">selected dwelling unit during the screener interview. Once persons are enumerated in a household, two strata will be formed, 1) 16-65 year olds, and 2) 66-74 year olds. </w:t>
      </w:r>
      <w:r w:rsidRPr="000A3605">
        <w:rPr>
          <w:szCs w:val="24"/>
        </w:rPr>
        <w:t xml:space="preserve">In </w:t>
      </w:r>
      <w:r w:rsidR="00670D85" w:rsidRPr="000A3605">
        <w:rPr>
          <w:szCs w:val="24"/>
        </w:rPr>
        <w:t>strat</w:t>
      </w:r>
      <w:r w:rsidR="008A0B7B" w:rsidRPr="000A3605">
        <w:rPr>
          <w:szCs w:val="24"/>
        </w:rPr>
        <w:t>um</w:t>
      </w:r>
      <w:r w:rsidRPr="000A3605">
        <w:rPr>
          <w:szCs w:val="24"/>
        </w:rPr>
        <w:t xml:space="preserve"> 1, one person will be selected if there are three or less in the household</w:t>
      </w:r>
      <w:r w:rsidR="00B54CE6">
        <w:rPr>
          <w:szCs w:val="24"/>
        </w:rPr>
        <w:t>; o</w:t>
      </w:r>
      <w:r w:rsidRPr="000A3605">
        <w:rPr>
          <w:szCs w:val="24"/>
        </w:rPr>
        <w:t xml:space="preserve">therwise two persons will be selected. </w:t>
      </w:r>
      <w:r w:rsidR="008B5E9F">
        <w:rPr>
          <w:szCs w:val="24"/>
        </w:rPr>
        <w:t xml:space="preserve">This is the same rule that will be used in the </w:t>
      </w:r>
      <w:r w:rsidR="0051108F">
        <w:rPr>
          <w:szCs w:val="24"/>
        </w:rPr>
        <w:t>Main S</w:t>
      </w:r>
      <w:r w:rsidR="008B5E9F">
        <w:rPr>
          <w:szCs w:val="24"/>
        </w:rPr>
        <w:t xml:space="preserve">tudy. In the </w:t>
      </w:r>
      <w:r w:rsidR="0051108F">
        <w:rPr>
          <w:szCs w:val="24"/>
        </w:rPr>
        <w:t>M</w:t>
      </w:r>
      <w:r w:rsidR="008B5E9F">
        <w:rPr>
          <w:szCs w:val="24"/>
        </w:rPr>
        <w:t xml:space="preserve">ain </w:t>
      </w:r>
      <w:r w:rsidR="0051108F">
        <w:rPr>
          <w:szCs w:val="24"/>
        </w:rPr>
        <w:t>S</w:t>
      </w:r>
      <w:r w:rsidR="008B5E9F">
        <w:rPr>
          <w:szCs w:val="24"/>
        </w:rPr>
        <w:t>tudy, s</w:t>
      </w:r>
      <w:r w:rsidRPr="000A3605">
        <w:rPr>
          <w:szCs w:val="24"/>
        </w:rPr>
        <w:t xml:space="preserve">electing two persons in the larger households </w:t>
      </w:r>
      <w:r w:rsidR="008B5E9F">
        <w:rPr>
          <w:szCs w:val="24"/>
        </w:rPr>
        <w:t xml:space="preserve">will </w:t>
      </w:r>
      <w:r w:rsidRPr="000A3605">
        <w:rPr>
          <w:szCs w:val="24"/>
        </w:rPr>
        <w:t xml:space="preserve">help to reduce the variation due to unequal probabilities of selection, which </w:t>
      </w:r>
      <w:r w:rsidR="00B54CE6">
        <w:rPr>
          <w:szCs w:val="24"/>
        </w:rPr>
        <w:t>can increase</w:t>
      </w:r>
      <w:r w:rsidRPr="000A3605">
        <w:rPr>
          <w:szCs w:val="24"/>
        </w:rPr>
        <w:t xml:space="preserve"> variance estimates</w:t>
      </w:r>
      <w:r w:rsidR="00B54CE6">
        <w:rPr>
          <w:szCs w:val="24"/>
        </w:rPr>
        <w:t xml:space="preserve"> (Kish, 1965)</w:t>
      </w:r>
      <w:r w:rsidRPr="000A3605">
        <w:rPr>
          <w:szCs w:val="24"/>
        </w:rPr>
        <w:t xml:space="preserve">. For </w:t>
      </w:r>
      <w:r w:rsidR="00670D85" w:rsidRPr="000A3605">
        <w:rPr>
          <w:szCs w:val="24"/>
        </w:rPr>
        <w:t>strat</w:t>
      </w:r>
      <w:r w:rsidR="008A0B7B" w:rsidRPr="000A3605">
        <w:rPr>
          <w:szCs w:val="24"/>
        </w:rPr>
        <w:t>um</w:t>
      </w:r>
      <w:r w:rsidRPr="000A3605">
        <w:rPr>
          <w:szCs w:val="24"/>
        </w:rPr>
        <w:t xml:space="preserve"> 2, </w:t>
      </w:r>
      <w:r w:rsidR="0010266F">
        <w:rPr>
          <w:szCs w:val="24"/>
        </w:rPr>
        <w:t>approximately one</w:t>
      </w:r>
      <w:r w:rsidRPr="000A3605">
        <w:rPr>
          <w:szCs w:val="24"/>
        </w:rPr>
        <w:t xml:space="preserve"> out of every five households with at least one 66-74 year old will be flagged to select one 66-74 year old within the household. This subsampling is needed to keep the sample size of 66-74 year olds at </w:t>
      </w:r>
      <w:r w:rsidR="0010266F">
        <w:rPr>
          <w:szCs w:val="24"/>
        </w:rPr>
        <w:t>50</w:t>
      </w:r>
      <w:r w:rsidRPr="000A3605">
        <w:rPr>
          <w:szCs w:val="24"/>
        </w:rPr>
        <w:t xml:space="preserve">. </w:t>
      </w:r>
      <w:r w:rsidR="00DD4191">
        <w:rPr>
          <w:szCs w:val="24"/>
        </w:rPr>
        <w:t>Flagged h</w:t>
      </w:r>
      <w:r w:rsidRPr="000A3605">
        <w:rPr>
          <w:szCs w:val="24"/>
        </w:rPr>
        <w:t xml:space="preserve">ouseholds without an individual in either of the two strata will </w:t>
      </w:r>
      <w:r w:rsidR="004C1A68">
        <w:rPr>
          <w:szCs w:val="24"/>
        </w:rPr>
        <w:t xml:space="preserve">be </w:t>
      </w:r>
      <w:r w:rsidRPr="000A3605">
        <w:rPr>
          <w:szCs w:val="24"/>
        </w:rPr>
        <w:t xml:space="preserve">classified as </w:t>
      </w:r>
      <w:r w:rsidR="00145879">
        <w:rPr>
          <w:szCs w:val="24"/>
        </w:rPr>
        <w:t>‘</w:t>
      </w:r>
      <w:r w:rsidRPr="000A3605">
        <w:rPr>
          <w:szCs w:val="24"/>
        </w:rPr>
        <w:t>ineligible</w:t>
      </w:r>
      <w:r w:rsidR="00145879">
        <w:rPr>
          <w:szCs w:val="24"/>
        </w:rPr>
        <w:t>’</w:t>
      </w:r>
      <w:r w:rsidRPr="000A3605">
        <w:rPr>
          <w:szCs w:val="24"/>
        </w:rPr>
        <w:t>.</w:t>
      </w:r>
    </w:p>
    <w:p w14:paraId="797380B6" w14:textId="1882A1B7" w:rsidR="00AF25CC" w:rsidRDefault="00AF25CC" w:rsidP="0021074A">
      <w:pPr>
        <w:pStyle w:val="L1-FlLSp12"/>
        <w:widowControl w:val="0"/>
        <w:spacing w:after="120" w:line="23" w:lineRule="atLeast"/>
        <w:rPr>
          <w:szCs w:val="24"/>
        </w:rPr>
      </w:pPr>
      <w:r w:rsidRPr="000A3605">
        <w:rPr>
          <w:szCs w:val="24"/>
        </w:rPr>
        <w:t>The enumeration and selection of persons will be performed using the CAPI system, which will collect information via the screener instrument, including age and gender of persons in the dwelling unit, and randomly select eligible respondents.</w:t>
      </w:r>
    </w:p>
    <w:p w14:paraId="6682B502" w14:textId="30CDDBB7" w:rsidR="00931EFC" w:rsidRDefault="00931EFC" w:rsidP="0021074A">
      <w:pPr>
        <w:pStyle w:val="L1-FlLSp12"/>
        <w:widowControl w:val="0"/>
        <w:spacing w:after="120" w:line="23" w:lineRule="atLeast"/>
        <w:rPr>
          <w:szCs w:val="24"/>
        </w:rPr>
      </w:pPr>
      <w:r w:rsidRPr="000A3605">
        <w:rPr>
          <w:szCs w:val="24"/>
        </w:rPr>
        <w:t xml:space="preserve">Table </w:t>
      </w:r>
      <w:r>
        <w:rPr>
          <w:szCs w:val="24"/>
        </w:rPr>
        <w:t>4</w:t>
      </w:r>
      <w:r w:rsidRPr="000A3605">
        <w:rPr>
          <w:szCs w:val="24"/>
        </w:rPr>
        <w:t xml:space="preserve"> below provides</w:t>
      </w:r>
      <w:r>
        <w:rPr>
          <w:szCs w:val="24"/>
        </w:rPr>
        <w:t xml:space="preserve"> the response rates for the U.S. PIAAC Cycle I data collections.</w:t>
      </w:r>
    </w:p>
    <w:p w14:paraId="03DF0C60" w14:textId="4FF52319" w:rsidR="00931EFC" w:rsidRDefault="00931EFC" w:rsidP="0021074A">
      <w:pPr>
        <w:pStyle w:val="TT-TableTitle"/>
        <w:widowControl w:val="0"/>
        <w:spacing w:after="120" w:line="23" w:lineRule="atLeast"/>
        <w:rPr>
          <w:szCs w:val="24"/>
        </w:rPr>
      </w:pPr>
      <w:r w:rsidRPr="00267816">
        <w:rPr>
          <w:rFonts w:ascii="Garamond" w:hAnsi="Garamond"/>
          <w:b/>
          <w:sz w:val="24"/>
          <w:szCs w:val="24"/>
        </w:rPr>
        <w:t xml:space="preserve">Table </w:t>
      </w:r>
      <w:r>
        <w:rPr>
          <w:rFonts w:ascii="Garamond" w:hAnsi="Garamond"/>
          <w:b/>
          <w:sz w:val="24"/>
          <w:szCs w:val="24"/>
        </w:rPr>
        <w:t>4.</w:t>
      </w:r>
      <w:r w:rsidRPr="00267816">
        <w:rPr>
          <w:rFonts w:ascii="Garamond" w:hAnsi="Garamond"/>
          <w:b/>
          <w:sz w:val="24"/>
          <w:szCs w:val="24"/>
        </w:rPr>
        <w:tab/>
        <w:t xml:space="preserve">PIAAC </w:t>
      </w:r>
      <w:r>
        <w:rPr>
          <w:rFonts w:ascii="Garamond" w:hAnsi="Garamond"/>
          <w:b/>
          <w:sz w:val="24"/>
          <w:szCs w:val="24"/>
        </w:rPr>
        <w:t xml:space="preserve">Cycle I Response Rates </w:t>
      </w:r>
    </w:p>
    <w:tbl>
      <w:tblPr>
        <w:tblStyle w:val="TableWestatStandardFormat1"/>
        <w:tblW w:w="2467" w:type="pct"/>
        <w:tblBorders>
          <w:insideH w:val="single" w:sz="4" w:space="0" w:color="auto"/>
          <w:insideV w:val="single" w:sz="4" w:space="0" w:color="auto"/>
        </w:tblBorders>
        <w:tblLayout w:type="fixed"/>
        <w:tblLook w:val="04A0" w:firstRow="1" w:lastRow="0" w:firstColumn="1" w:lastColumn="0" w:noHBand="0" w:noVBand="1"/>
      </w:tblPr>
      <w:tblGrid>
        <w:gridCol w:w="2372"/>
        <w:gridCol w:w="2921"/>
      </w:tblGrid>
      <w:tr w:rsidR="004D1D4D" w:rsidRPr="00267816" w14:paraId="447BB070" w14:textId="77777777" w:rsidTr="0021074A">
        <w:trPr>
          <w:cnfStyle w:val="100000000000" w:firstRow="1" w:lastRow="0" w:firstColumn="0" w:lastColumn="0" w:oddVBand="0" w:evenVBand="0" w:oddHBand="0" w:evenHBand="0" w:firstRowFirstColumn="0" w:firstRowLastColumn="0" w:lastRowFirstColumn="0" w:lastRowLastColumn="0"/>
          <w:trHeight w:val="144"/>
          <w:tblHeader/>
        </w:trPr>
        <w:tc>
          <w:tcPr>
            <w:tcW w:w="2241" w:type="pct"/>
            <w:tcBorders>
              <w:right w:val="single" w:sz="4" w:space="0" w:color="auto"/>
            </w:tcBorders>
            <w:noWrap/>
            <w:hideMark/>
          </w:tcPr>
          <w:p w14:paraId="656BCE2E" w14:textId="6285217D" w:rsidR="00931EFC" w:rsidRPr="00267816" w:rsidRDefault="00931EFC" w:rsidP="0021074A">
            <w:pPr>
              <w:pStyle w:val="TH-TableHeading"/>
              <w:widowControl w:val="0"/>
              <w:spacing w:line="240" w:lineRule="auto"/>
              <w:rPr>
                <w:lang w:val="en-GB"/>
              </w:rPr>
            </w:pPr>
            <w:r>
              <w:rPr>
                <w:lang w:val="en-GB"/>
              </w:rPr>
              <w:t>Survey Year</w:t>
            </w:r>
          </w:p>
        </w:tc>
        <w:tc>
          <w:tcPr>
            <w:tcW w:w="2759" w:type="pct"/>
            <w:tcBorders>
              <w:left w:val="single" w:sz="4" w:space="0" w:color="auto"/>
              <w:right w:val="single" w:sz="4" w:space="0" w:color="auto"/>
            </w:tcBorders>
            <w:noWrap/>
            <w:hideMark/>
          </w:tcPr>
          <w:p w14:paraId="73D196CC" w14:textId="040126CB" w:rsidR="00931EFC" w:rsidRPr="00267816" w:rsidRDefault="00931EFC" w:rsidP="0021074A">
            <w:pPr>
              <w:pStyle w:val="TH-TableHeading"/>
              <w:widowControl w:val="0"/>
              <w:spacing w:line="240" w:lineRule="auto"/>
              <w:rPr>
                <w:lang w:val="en-GB"/>
              </w:rPr>
            </w:pPr>
            <w:r>
              <w:rPr>
                <w:lang w:val="en-GB"/>
              </w:rPr>
              <w:t>Weighted Response Rate</w:t>
            </w:r>
          </w:p>
        </w:tc>
      </w:tr>
      <w:tr w:rsidR="00931EFC" w:rsidRPr="00267816" w14:paraId="219C4549" w14:textId="77777777" w:rsidTr="007E5E08">
        <w:trPr>
          <w:trHeight w:val="144"/>
        </w:trPr>
        <w:tc>
          <w:tcPr>
            <w:tcW w:w="2241" w:type="pct"/>
            <w:noWrap/>
            <w:vAlign w:val="center"/>
            <w:hideMark/>
          </w:tcPr>
          <w:p w14:paraId="582C8DE2" w14:textId="003F57B8" w:rsidR="00931EFC" w:rsidRPr="00267816" w:rsidRDefault="00931EFC" w:rsidP="0021074A">
            <w:pPr>
              <w:pStyle w:val="TX-TableText"/>
              <w:keepNext/>
              <w:widowControl w:val="0"/>
              <w:spacing w:line="240" w:lineRule="auto"/>
            </w:pPr>
            <w:r>
              <w:t>2012</w:t>
            </w:r>
          </w:p>
        </w:tc>
        <w:tc>
          <w:tcPr>
            <w:tcW w:w="2759" w:type="pct"/>
            <w:noWrap/>
            <w:vAlign w:val="center"/>
            <w:hideMark/>
          </w:tcPr>
          <w:p w14:paraId="404BF5BC" w14:textId="65B741D6" w:rsidR="00931EFC" w:rsidRPr="00267816" w:rsidRDefault="00931EFC" w:rsidP="0021074A">
            <w:pPr>
              <w:pStyle w:val="TX-TableText"/>
              <w:keepNext/>
              <w:widowControl w:val="0"/>
              <w:spacing w:line="240" w:lineRule="auto"/>
              <w:jc w:val="center"/>
            </w:pPr>
            <w:r>
              <w:t>70.3</w:t>
            </w:r>
          </w:p>
        </w:tc>
      </w:tr>
      <w:tr w:rsidR="00931EFC" w:rsidRPr="00267816" w14:paraId="7E8D8F58" w14:textId="77777777" w:rsidTr="007E5E08">
        <w:trPr>
          <w:trHeight w:val="144"/>
        </w:trPr>
        <w:tc>
          <w:tcPr>
            <w:tcW w:w="2241" w:type="pct"/>
            <w:noWrap/>
            <w:vAlign w:val="center"/>
            <w:hideMark/>
          </w:tcPr>
          <w:p w14:paraId="031AD212" w14:textId="14B69BBD" w:rsidR="00931EFC" w:rsidRPr="00267816" w:rsidRDefault="00931EFC" w:rsidP="0021074A">
            <w:pPr>
              <w:pStyle w:val="TX-TableText"/>
              <w:keepNext/>
              <w:widowControl w:val="0"/>
              <w:spacing w:line="240" w:lineRule="auto"/>
            </w:pPr>
            <w:r>
              <w:t>2014</w:t>
            </w:r>
          </w:p>
        </w:tc>
        <w:tc>
          <w:tcPr>
            <w:tcW w:w="2759" w:type="pct"/>
            <w:noWrap/>
            <w:vAlign w:val="center"/>
            <w:hideMark/>
          </w:tcPr>
          <w:p w14:paraId="36F9BA22" w14:textId="384CD131" w:rsidR="00931EFC" w:rsidRPr="00267816" w:rsidRDefault="00931EFC" w:rsidP="0021074A">
            <w:pPr>
              <w:pStyle w:val="TX-TableText"/>
              <w:keepNext/>
              <w:widowControl w:val="0"/>
              <w:spacing w:line="240" w:lineRule="auto"/>
              <w:jc w:val="center"/>
            </w:pPr>
            <w:r>
              <w:t>63.0</w:t>
            </w:r>
          </w:p>
        </w:tc>
      </w:tr>
      <w:tr w:rsidR="00931EFC" w:rsidRPr="00267816" w14:paraId="5125C544" w14:textId="77777777" w:rsidTr="007E5E08">
        <w:trPr>
          <w:trHeight w:val="144"/>
        </w:trPr>
        <w:tc>
          <w:tcPr>
            <w:tcW w:w="2241" w:type="pct"/>
            <w:noWrap/>
            <w:vAlign w:val="center"/>
            <w:hideMark/>
          </w:tcPr>
          <w:p w14:paraId="17C12D37" w14:textId="495C6388" w:rsidR="00931EFC" w:rsidRPr="00267816" w:rsidRDefault="00931EFC" w:rsidP="0021074A">
            <w:pPr>
              <w:pStyle w:val="TX-TableText"/>
              <w:keepNext/>
              <w:widowControl w:val="0"/>
              <w:spacing w:line="240" w:lineRule="auto"/>
            </w:pPr>
            <w:r>
              <w:t>2017</w:t>
            </w:r>
          </w:p>
        </w:tc>
        <w:tc>
          <w:tcPr>
            <w:tcW w:w="2759" w:type="pct"/>
            <w:noWrap/>
            <w:vAlign w:val="center"/>
            <w:hideMark/>
          </w:tcPr>
          <w:p w14:paraId="68F04F66" w14:textId="6638C443" w:rsidR="00931EFC" w:rsidRPr="00267816" w:rsidRDefault="00931EFC" w:rsidP="0021074A">
            <w:pPr>
              <w:pStyle w:val="TX-TableText"/>
              <w:keepNext/>
              <w:widowControl w:val="0"/>
              <w:spacing w:line="240" w:lineRule="auto"/>
              <w:jc w:val="center"/>
            </w:pPr>
            <w:r>
              <w:t>56.0</w:t>
            </w:r>
          </w:p>
        </w:tc>
      </w:tr>
    </w:tbl>
    <w:p w14:paraId="217A1DF9" w14:textId="77777777" w:rsidR="000A5CE0" w:rsidRPr="000A3605" w:rsidRDefault="000A5CE0" w:rsidP="0021074A">
      <w:pPr>
        <w:pStyle w:val="L1-FlLSp12"/>
        <w:widowControl w:val="0"/>
        <w:spacing w:after="120" w:line="23" w:lineRule="atLeast"/>
        <w:rPr>
          <w:szCs w:val="24"/>
        </w:rPr>
      </w:pPr>
    </w:p>
    <w:p w14:paraId="5F1DAD24" w14:textId="13CC355D" w:rsidR="00575FC0" w:rsidRDefault="00AF25CC" w:rsidP="0021074A">
      <w:pPr>
        <w:pStyle w:val="L1-FlLSp12"/>
        <w:widowControl w:val="0"/>
        <w:spacing w:after="120" w:line="23" w:lineRule="atLeast"/>
        <w:rPr>
          <w:szCs w:val="24"/>
        </w:rPr>
      </w:pPr>
      <w:r w:rsidRPr="000A3605">
        <w:rPr>
          <w:szCs w:val="24"/>
        </w:rPr>
        <w:t xml:space="preserve">Table </w:t>
      </w:r>
      <w:r w:rsidR="00931EFC">
        <w:rPr>
          <w:szCs w:val="24"/>
        </w:rPr>
        <w:t>5</w:t>
      </w:r>
      <w:r w:rsidR="00931EFC" w:rsidRPr="000A3605">
        <w:rPr>
          <w:szCs w:val="24"/>
        </w:rPr>
        <w:t xml:space="preserve"> </w:t>
      </w:r>
      <w:r w:rsidRPr="000A3605">
        <w:rPr>
          <w:szCs w:val="24"/>
        </w:rPr>
        <w:t xml:space="preserve">below provides a summary of the sample sizes needed at each sampling stage to account for sample attrition due to (a) ineligibility (i.e., households without at least one 16-74 year old adult or vacant dwelling units), (b) screener nonresponse, (c) within-household selection rates, and (d) nonresponse to the BQ and the assessment. </w:t>
      </w:r>
      <w:r w:rsidR="00B54CE6">
        <w:rPr>
          <w:szCs w:val="24"/>
        </w:rPr>
        <w:t>Our assumptions for each type of sample attrition are drawn from national estimates produced by the U.S. Census Bureau</w:t>
      </w:r>
      <w:r w:rsidR="00C437B1">
        <w:rPr>
          <w:szCs w:val="24"/>
        </w:rPr>
        <w:t xml:space="preserve"> as well as our experience in prior PIAAC data collections</w:t>
      </w:r>
      <w:r w:rsidR="00B54CE6">
        <w:rPr>
          <w:szCs w:val="24"/>
        </w:rPr>
        <w:t xml:space="preserve">. </w:t>
      </w:r>
      <w:r w:rsidRPr="000A3605">
        <w:rPr>
          <w:szCs w:val="24"/>
        </w:rPr>
        <w:t>The occupancy</w:t>
      </w:r>
      <w:r w:rsidR="0010266F">
        <w:rPr>
          <w:szCs w:val="24"/>
        </w:rPr>
        <w:t xml:space="preserve"> rate is expected to be about 87</w:t>
      </w:r>
      <w:r w:rsidRPr="000A3605">
        <w:rPr>
          <w:szCs w:val="24"/>
        </w:rPr>
        <w:t xml:space="preserve"> percent</w:t>
      </w:r>
      <w:r w:rsidR="00B41462" w:rsidRPr="00B41462">
        <w:rPr>
          <w:rFonts w:ascii="Times New Roman" w:hAnsi="Times New Roman"/>
          <w:sz w:val="22"/>
        </w:rPr>
        <w:t xml:space="preserve"> </w:t>
      </w:r>
      <w:r w:rsidR="00B41462" w:rsidRPr="00B41462">
        <w:rPr>
          <w:szCs w:val="24"/>
        </w:rPr>
        <w:t xml:space="preserve">according to </w:t>
      </w:r>
      <w:r w:rsidR="00B54CE6">
        <w:rPr>
          <w:szCs w:val="24"/>
        </w:rPr>
        <w:t xml:space="preserve">2017 </w:t>
      </w:r>
      <w:r w:rsidR="00B41462" w:rsidRPr="00B41462">
        <w:rPr>
          <w:szCs w:val="24"/>
        </w:rPr>
        <w:t xml:space="preserve">American Community Survey (ACS) </w:t>
      </w:r>
      <w:r w:rsidR="00B54CE6">
        <w:rPr>
          <w:szCs w:val="24"/>
        </w:rPr>
        <w:t>estimates</w:t>
      </w:r>
      <w:r w:rsidRPr="000A3605">
        <w:rPr>
          <w:szCs w:val="24"/>
        </w:rPr>
        <w:t>.</w:t>
      </w:r>
      <w:r w:rsidR="00B41462">
        <w:rPr>
          <w:szCs w:val="24"/>
        </w:rPr>
        <w:t xml:space="preserve"> </w:t>
      </w:r>
      <w:r w:rsidR="00920ED6" w:rsidRPr="00920ED6">
        <w:rPr>
          <w:szCs w:val="24"/>
        </w:rPr>
        <w:t xml:space="preserve">The </w:t>
      </w:r>
      <w:r w:rsidRPr="00920ED6">
        <w:rPr>
          <w:szCs w:val="24"/>
        </w:rPr>
        <w:t>eligibility rate (</w:t>
      </w:r>
      <w:r w:rsidR="00920ED6">
        <w:rPr>
          <w:szCs w:val="24"/>
        </w:rPr>
        <w:t>the percentage of households with</w:t>
      </w:r>
      <w:r w:rsidRPr="00920ED6">
        <w:rPr>
          <w:szCs w:val="24"/>
        </w:rPr>
        <w:t xml:space="preserve"> at least one person in the target population) is based on the </w:t>
      </w:r>
      <w:r w:rsidR="00B41462" w:rsidRPr="00920ED6">
        <w:rPr>
          <w:szCs w:val="24"/>
        </w:rPr>
        <w:t>Current Population Survey (CPS) March 2018 Supplemental File</w:t>
      </w:r>
      <w:r w:rsidRPr="00920ED6">
        <w:rPr>
          <w:szCs w:val="24"/>
        </w:rPr>
        <w:t xml:space="preserve">. </w:t>
      </w:r>
      <w:r w:rsidR="00920ED6">
        <w:rPr>
          <w:szCs w:val="24"/>
        </w:rPr>
        <w:t>For 66-74 year olds, it</w:t>
      </w:r>
      <w:r w:rsidR="00920ED6" w:rsidRPr="00920ED6">
        <w:rPr>
          <w:szCs w:val="24"/>
        </w:rPr>
        <w:t xml:space="preserve"> is also adjusted to reflect the </w:t>
      </w:r>
      <w:r w:rsidR="00920ED6">
        <w:rPr>
          <w:szCs w:val="24"/>
        </w:rPr>
        <w:t>selection</w:t>
      </w:r>
      <w:r w:rsidR="00920ED6" w:rsidRPr="00920ED6">
        <w:rPr>
          <w:szCs w:val="24"/>
        </w:rPr>
        <w:t xml:space="preserve"> from one household out of every five. </w:t>
      </w:r>
      <w:r w:rsidRPr="00920ED6">
        <w:rPr>
          <w:szCs w:val="24"/>
        </w:rPr>
        <w:t xml:space="preserve">The expected percentage of households with two sample persons is based on both the </w:t>
      </w:r>
      <w:r w:rsidR="00920ED6" w:rsidRPr="00920ED6">
        <w:rPr>
          <w:szCs w:val="24"/>
        </w:rPr>
        <w:t xml:space="preserve">CPS March 2018 file </w:t>
      </w:r>
      <w:r w:rsidRPr="00920ED6">
        <w:rPr>
          <w:szCs w:val="24"/>
        </w:rPr>
        <w:t>and selection rules established for PIAAC.</w:t>
      </w:r>
      <w:r w:rsidR="00B41462" w:rsidRPr="00920ED6">
        <w:rPr>
          <w:rFonts w:ascii="Times New Roman" w:hAnsi="Times New Roman"/>
          <w:sz w:val="22"/>
        </w:rPr>
        <w:t xml:space="preserve"> </w:t>
      </w:r>
      <w:r w:rsidR="00B41462" w:rsidRPr="00920ED6">
        <w:rPr>
          <w:szCs w:val="24"/>
        </w:rPr>
        <w:t>Overall</w:t>
      </w:r>
      <w:r w:rsidR="00B41462" w:rsidRPr="00B41462">
        <w:rPr>
          <w:szCs w:val="24"/>
        </w:rPr>
        <w:t xml:space="preserve">, a 50 percent response rate is expected, decreased from 56 percent in </w:t>
      </w:r>
      <w:r w:rsidR="00DD4191">
        <w:rPr>
          <w:szCs w:val="24"/>
        </w:rPr>
        <w:t xml:space="preserve">the </w:t>
      </w:r>
      <w:r w:rsidR="00B41462" w:rsidRPr="00B41462">
        <w:rPr>
          <w:szCs w:val="24"/>
        </w:rPr>
        <w:t xml:space="preserve">PIAAC </w:t>
      </w:r>
      <w:r w:rsidR="00DD4191">
        <w:rPr>
          <w:szCs w:val="24"/>
        </w:rPr>
        <w:t xml:space="preserve">Cycle I </w:t>
      </w:r>
      <w:r w:rsidR="00B41462" w:rsidRPr="00B41462">
        <w:rPr>
          <w:szCs w:val="24"/>
        </w:rPr>
        <w:t xml:space="preserve">2017 </w:t>
      </w:r>
      <w:r w:rsidR="00DD4191">
        <w:rPr>
          <w:szCs w:val="24"/>
        </w:rPr>
        <w:t>data collection</w:t>
      </w:r>
      <w:r w:rsidR="00CF1A04">
        <w:rPr>
          <w:szCs w:val="24"/>
        </w:rPr>
        <w:t>,</w:t>
      </w:r>
      <w:r w:rsidR="00DD4191">
        <w:rPr>
          <w:szCs w:val="24"/>
        </w:rPr>
        <w:t xml:space="preserve"> </w:t>
      </w:r>
      <w:r w:rsidR="00B41462" w:rsidRPr="00B41462">
        <w:rPr>
          <w:szCs w:val="24"/>
        </w:rPr>
        <w:t>due to the shortened data collection period</w:t>
      </w:r>
      <w:r w:rsidR="00DC3EBC">
        <w:rPr>
          <w:szCs w:val="24"/>
        </w:rPr>
        <w:t xml:space="preserve"> for the </w:t>
      </w:r>
      <w:r w:rsidR="00CF1A04">
        <w:rPr>
          <w:szCs w:val="24"/>
        </w:rPr>
        <w:t>F</w:t>
      </w:r>
      <w:r w:rsidR="00DC3EBC">
        <w:rPr>
          <w:szCs w:val="24"/>
        </w:rPr>
        <w:t xml:space="preserve">ield </w:t>
      </w:r>
      <w:r w:rsidR="00CF1A04">
        <w:rPr>
          <w:szCs w:val="24"/>
        </w:rPr>
        <w:t>T</w:t>
      </w:r>
      <w:r w:rsidR="00DC3EBC">
        <w:rPr>
          <w:szCs w:val="24"/>
        </w:rPr>
        <w:t>est</w:t>
      </w:r>
      <w:r w:rsidR="00B41462" w:rsidRPr="00B41462">
        <w:rPr>
          <w:szCs w:val="24"/>
        </w:rPr>
        <w:t>.</w:t>
      </w:r>
      <w:r w:rsidR="00B41462">
        <w:rPr>
          <w:szCs w:val="24"/>
        </w:rPr>
        <w:t xml:space="preserve"> There were no significant differences in response rates by age group in </w:t>
      </w:r>
      <w:r w:rsidR="00DD4191">
        <w:rPr>
          <w:szCs w:val="24"/>
        </w:rPr>
        <w:t xml:space="preserve">the </w:t>
      </w:r>
      <w:r w:rsidR="00B41462">
        <w:rPr>
          <w:szCs w:val="24"/>
        </w:rPr>
        <w:t xml:space="preserve">PIAAC </w:t>
      </w:r>
      <w:r w:rsidR="00DD4191">
        <w:rPr>
          <w:szCs w:val="24"/>
        </w:rPr>
        <w:t xml:space="preserve">Cycle I </w:t>
      </w:r>
      <w:r w:rsidR="00B41462">
        <w:rPr>
          <w:szCs w:val="24"/>
        </w:rPr>
        <w:t>2017</w:t>
      </w:r>
      <w:r w:rsidR="00DD4191">
        <w:rPr>
          <w:szCs w:val="24"/>
        </w:rPr>
        <w:t xml:space="preserve"> data collection</w:t>
      </w:r>
      <w:r w:rsidR="00B41462">
        <w:rPr>
          <w:szCs w:val="24"/>
        </w:rPr>
        <w:t>, and so the same rates are assumed for the 16-65 year olds and the 66-74 year olds</w:t>
      </w:r>
      <w:r w:rsidR="00DD4191">
        <w:rPr>
          <w:szCs w:val="24"/>
        </w:rPr>
        <w:t xml:space="preserve"> in the Cycle II Field Test</w:t>
      </w:r>
      <w:r w:rsidR="00B41462">
        <w:rPr>
          <w:szCs w:val="24"/>
        </w:rPr>
        <w:t>.</w:t>
      </w:r>
    </w:p>
    <w:p w14:paraId="108834FE" w14:textId="4FB80384" w:rsidR="00AF25CC" w:rsidRDefault="00AF25CC" w:rsidP="0021074A">
      <w:pPr>
        <w:pStyle w:val="L1-FlLSp12"/>
        <w:widowControl w:val="0"/>
        <w:spacing w:after="120" w:line="23" w:lineRule="atLeast"/>
        <w:rPr>
          <w:szCs w:val="24"/>
        </w:rPr>
      </w:pPr>
      <w:r w:rsidRPr="000A3605">
        <w:rPr>
          <w:szCs w:val="24"/>
        </w:rPr>
        <w:t>In addition, this sample will be increased to provide a reserve sample of households. The reserve sample will only be used in case there are unusual response problems or unforeseen sample losses observed during the data collection. A reserve sample of about 50 percent the size of the main sample will be selected randomly and set aside to be used in case of a shortfall in the sample.</w:t>
      </w:r>
    </w:p>
    <w:p w14:paraId="00850E5E" w14:textId="77777777" w:rsidR="0021074A" w:rsidRDefault="0021074A" w:rsidP="0021074A">
      <w:pPr>
        <w:pStyle w:val="TT-TableTitle"/>
        <w:widowControl w:val="0"/>
        <w:spacing w:after="120" w:line="23" w:lineRule="atLeast"/>
        <w:rPr>
          <w:rFonts w:ascii="Garamond" w:hAnsi="Garamond"/>
          <w:b/>
          <w:sz w:val="24"/>
          <w:szCs w:val="24"/>
        </w:rPr>
      </w:pPr>
      <w:r w:rsidRPr="00267816">
        <w:rPr>
          <w:rFonts w:ascii="Garamond" w:hAnsi="Garamond"/>
          <w:b/>
          <w:sz w:val="24"/>
          <w:szCs w:val="24"/>
        </w:rPr>
        <w:t xml:space="preserve">Table </w:t>
      </w:r>
      <w:r>
        <w:rPr>
          <w:rFonts w:ascii="Garamond" w:hAnsi="Garamond"/>
          <w:b/>
          <w:sz w:val="24"/>
          <w:szCs w:val="24"/>
        </w:rPr>
        <w:t>5.</w:t>
      </w:r>
      <w:r w:rsidRPr="00267816">
        <w:rPr>
          <w:rFonts w:ascii="Garamond" w:hAnsi="Garamond"/>
          <w:b/>
          <w:sz w:val="24"/>
          <w:szCs w:val="24"/>
        </w:rPr>
        <w:tab/>
        <w:t xml:space="preserve">PIAAC </w:t>
      </w:r>
      <w:r>
        <w:rPr>
          <w:rFonts w:ascii="Garamond" w:hAnsi="Garamond"/>
          <w:b/>
          <w:sz w:val="24"/>
          <w:szCs w:val="24"/>
        </w:rPr>
        <w:t>Cycle II Field Test</w:t>
      </w:r>
      <w:r w:rsidRPr="00267816">
        <w:rPr>
          <w:rFonts w:ascii="Garamond" w:hAnsi="Garamond"/>
          <w:b/>
          <w:sz w:val="24"/>
          <w:szCs w:val="24"/>
        </w:rPr>
        <w:t xml:space="preserve"> sample yield estimates</w:t>
      </w:r>
    </w:p>
    <w:tbl>
      <w:tblPr>
        <w:tblStyle w:val="TableWestatStandardFormat1"/>
        <w:tblW w:w="4897" w:type="pct"/>
        <w:tblBorders>
          <w:insideH w:val="single" w:sz="4" w:space="0" w:color="auto"/>
          <w:insideV w:val="single" w:sz="4" w:space="0" w:color="auto"/>
        </w:tblBorders>
        <w:tblLayout w:type="fixed"/>
        <w:tblLook w:val="04A0" w:firstRow="1" w:lastRow="0" w:firstColumn="1" w:lastColumn="0" w:noHBand="0" w:noVBand="1"/>
      </w:tblPr>
      <w:tblGrid>
        <w:gridCol w:w="3437"/>
        <w:gridCol w:w="3640"/>
        <w:gridCol w:w="1715"/>
        <w:gridCol w:w="1715"/>
      </w:tblGrid>
      <w:tr w:rsidR="004D1D4D" w:rsidRPr="00267816" w14:paraId="01675191" w14:textId="77777777" w:rsidTr="00064189">
        <w:trPr>
          <w:cnfStyle w:val="100000000000" w:firstRow="1" w:lastRow="0" w:firstColumn="0" w:lastColumn="0" w:oddVBand="0" w:evenVBand="0" w:oddHBand="0" w:evenHBand="0" w:firstRowFirstColumn="0" w:firstRowLastColumn="0" w:lastRowFirstColumn="0" w:lastRowLastColumn="0"/>
          <w:trHeight w:val="390"/>
          <w:tblHeader/>
        </w:trPr>
        <w:tc>
          <w:tcPr>
            <w:tcW w:w="1636" w:type="pct"/>
            <w:tcBorders>
              <w:right w:val="single" w:sz="4" w:space="0" w:color="auto"/>
            </w:tcBorders>
            <w:noWrap/>
            <w:hideMark/>
          </w:tcPr>
          <w:p w14:paraId="0B84EE77" w14:textId="77777777" w:rsidR="0021074A" w:rsidRPr="00267816" w:rsidRDefault="0021074A" w:rsidP="0021074A">
            <w:pPr>
              <w:pStyle w:val="TH-TableHeading"/>
              <w:widowControl w:val="0"/>
              <w:spacing w:line="240" w:lineRule="auto"/>
              <w:rPr>
                <w:lang w:val="en-GB"/>
              </w:rPr>
            </w:pPr>
            <w:r w:rsidRPr="00267816">
              <w:rPr>
                <w:lang w:val="en-GB"/>
              </w:rPr>
              <w:t>Survey and sampling stages</w:t>
            </w:r>
          </w:p>
        </w:tc>
        <w:tc>
          <w:tcPr>
            <w:tcW w:w="1732" w:type="pct"/>
            <w:tcBorders>
              <w:left w:val="single" w:sz="4" w:space="0" w:color="auto"/>
              <w:right w:val="single" w:sz="4" w:space="0" w:color="auto"/>
            </w:tcBorders>
            <w:noWrap/>
            <w:hideMark/>
          </w:tcPr>
          <w:p w14:paraId="05BCF532" w14:textId="77777777" w:rsidR="0021074A" w:rsidRPr="00267816" w:rsidRDefault="0021074A" w:rsidP="0021074A">
            <w:pPr>
              <w:pStyle w:val="TH-TableHeading"/>
              <w:widowControl w:val="0"/>
              <w:spacing w:line="240" w:lineRule="auto"/>
              <w:rPr>
                <w:lang w:val="en-GB"/>
              </w:rPr>
            </w:pPr>
            <w:r w:rsidRPr="00267816">
              <w:rPr>
                <w:lang w:val="en-GB"/>
              </w:rPr>
              <w:t>Eligibility and response rates</w:t>
            </w:r>
          </w:p>
        </w:tc>
        <w:tc>
          <w:tcPr>
            <w:tcW w:w="816" w:type="pct"/>
            <w:tcBorders>
              <w:left w:val="single" w:sz="4" w:space="0" w:color="auto"/>
              <w:right w:val="single" w:sz="4" w:space="0" w:color="auto"/>
            </w:tcBorders>
            <w:noWrap/>
            <w:hideMark/>
          </w:tcPr>
          <w:p w14:paraId="3D17335A" w14:textId="77777777" w:rsidR="0021074A" w:rsidRPr="00267816" w:rsidRDefault="0021074A" w:rsidP="0021074A">
            <w:pPr>
              <w:pStyle w:val="TH-TableHeading"/>
              <w:widowControl w:val="0"/>
              <w:spacing w:line="240" w:lineRule="auto"/>
              <w:rPr>
                <w:lang w:val="en-GB"/>
              </w:rPr>
            </w:pPr>
            <w:r w:rsidRPr="00267816">
              <w:rPr>
                <w:lang w:val="en-GB"/>
              </w:rPr>
              <w:t>Projected rates</w:t>
            </w:r>
          </w:p>
        </w:tc>
        <w:tc>
          <w:tcPr>
            <w:tcW w:w="816" w:type="pct"/>
            <w:tcBorders>
              <w:left w:val="single" w:sz="4" w:space="0" w:color="auto"/>
            </w:tcBorders>
            <w:noWrap/>
            <w:hideMark/>
          </w:tcPr>
          <w:p w14:paraId="3E19DE06" w14:textId="77777777" w:rsidR="0021074A" w:rsidRPr="00267816" w:rsidRDefault="0021074A" w:rsidP="0021074A">
            <w:pPr>
              <w:pStyle w:val="TH-TableHeading"/>
              <w:widowControl w:val="0"/>
              <w:spacing w:line="240" w:lineRule="auto"/>
              <w:rPr>
                <w:lang w:val="en-GB"/>
              </w:rPr>
            </w:pPr>
            <w:r w:rsidRPr="00267816">
              <w:rPr>
                <w:lang w:val="en-GB"/>
              </w:rPr>
              <w:t>Expected</w:t>
            </w:r>
            <w:r>
              <w:rPr>
                <w:lang w:val="en-GB"/>
              </w:rPr>
              <w:t xml:space="preserve"> </w:t>
            </w:r>
            <w:r>
              <w:rPr>
                <w:lang w:val="en-GB"/>
              </w:rPr>
              <w:br/>
            </w:r>
            <w:r w:rsidRPr="00267816">
              <w:rPr>
                <w:lang w:val="en-GB"/>
              </w:rPr>
              <w:t>sample size</w:t>
            </w:r>
          </w:p>
        </w:tc>
      </w:tr>
      <w:tr w:rsidR="0021074A" w:rsidRPr="00267816" w14:paraId="56B56D56" w14:textId="77777777" w:rsidTr="007E5E08">
        <w:trPr>
          <w:trHeight w:val="20"/>
        </w:trPr>
        <w:tc>
          <w:tcPr>
            <w:tcW w:w="1636" w:type="pct"/>
            <w:noWrap/>
            <w:hideMark/>
          </w:tcPr>
          <w:p w14:paraId="73B0E2CB" w14:textId="77777777" w:rsidR="0021074A" w:rsidRPr="00267816" w:rsidRDefault="0021074A" w:rsidP="0021074A">
            <w:pPr>
              <w:pStyle w:val="TX-TableText"/>
              <w:keepNext/>
              <w:widowControl w:val="0"/>
              <w:spacing w:line="240" w:lineRule="auto"/>
            </w:pPr>
            <w:r w:rsidRPr="00267816">
              <w:t>Number of selected PSUs</w:t>
            </w:r>
          </w:p>
        </w:tc>
        <w:tc>
          <w:tcPr>
            <w:tcW w:w="1732" w:type="pct"/>
            <w:noWrap/>
            <w:hideMark/>
          </w:tcPr>
          <w:p w14:paraId="63F96BA6" w14:textId="77777777" w:rsidR="0021074A" w:rsidRPr="00267816" w:rsidRDefault="0021074A" w:rsidP="0021074A">
            <w:pPr>
              <w:pStyle w:val="TX-TableText"/>
              <w:keepNext/>
              <w:widowControl w:val="0"/>
              <w:spacing w:line="240" w:lineRule="auto"/>
            </w:pPr>
          </w:p>
        </w:tc>
        <w:tc>
          <w:tcPr>
            <w:tcW w:w="816" w:type="pct"/>
            <w:noWrap/>
            <w:hideMark/>
          </w:tcPr>
          <w:p w14:paraId="72A3A5E1" w14:textId="77777777" w:rsidR="0021074A" w:rsidRPr="00267816" w:rsidRDefault="0021074A" w:rsidP="0021074A">
            <w:pPr>
              <w:pStyle w:val="TX-TableText"/>
              <w:keepNext/>
              <w:widowControl w:val="0"/>
              <w:spacing w:line="240" w:lineRule="auto"/>
              <w:jc w:val="center"/>
            </w:pPr>
          </w:p>
        </w:tc>
        <w:tc>
          <w:tcPr>
            <w:tcW w:w="816" w:type="pct"/>
            <w:noWrap/>
            <w:hideMark/>
          </w:tcPr>
          <w:p w14:paraId="0B1F9C22" w14:textId="77777777" w:rsidR="0021074A" w:rsidRPr="00267816" w:rsidRDefault="0021074A" w:rsidP="0021074A">
            <w:pPr>
              <w:pStyle w:val="TX-TableText"/>
              <w:keepNext/>
              <w:widowControl w:val="0"/>
              <w:spacing w:line="240" w:lineRule="auto"/>
              <w:jc w:val="center"/>
            </w:pPr>
            <w:r>
              <w:t>20</w:t>
            </w:r>
          </w:p>
        </w:tc>
      </w:tr>
      <w:tr w:rsidR="0021074A" w:rsidRPr="00267816" w14:paraId="1586FD5F" w14:textId="77777777" w:rsidTr="007E5E08">
        <w:trPr>
          <w:trHeight w:val="20"/>
        </w:trPr>
        <w:tc>
          <w:tcPr>
            <w:tcW w:w="1636" w:type="pct"/>
            <w:noWrap/>
            <w:hideMark/>
          </w:tcPr>
          <w:p w14:paraId="093063CC" w14:textId="77777777" w:rsidR="0021074A" w:rsidRPr="00267816" w:rsidRDefault="0021074A" w:rsidP="0021074A">
            <w:pPr>
              <w:pStyle w:val="TX-TableText"/>
              <w:keepNext/>
              <w:widowControl w:val="0"/>
              <w:spacing w:line="240" w:lineRule="auto"/>
            </w:pPr>
            <w:r w:rsidRPr="00267816">
              <w:t>Number of selected SSUs</w:t>
            </w:r>
          </w:p>
        </w:tc>
        <w:tc>
          <w:tcPr>
            <w:tcW w:w="1732" w:type="pct"/>
            <w:noWrap/>
            <w:hideMark/>
          </w:tcPr>
          <w:p w14:paraId="20713DA3" w14:textId="77777777" w:rsidR="0021074A" w:rsidRPr="00267816" w:rsidRDefault="0021074A" w:rsidP="0021074A">
            <w:pPr>
              <w:pStyle w:val="TX-TableText"/>
              <w:keepNext/>
              <w:widowControl w:val="0"/>
              <w:spacing w:line="240" w:lineRule="auto"/>
            </w:pPr>
          </w:p>
        </w:tc>
        <w:tc>
          <w:tcPr>
            <w:tcW w:w="816" w:type="pct"/>
            <w:noWrap/>
            <w:hideMark/>
          </w:tcPr>
          <w:p w14:paraId="3356565B" w14:textId="77777777" w:rsidR="0021074A" w:rsidRPr="00267816" w:rsidRDefault="0021074A" w:rsidP="0021074A">
            <w:pPr>
              <w:pStyle w:val="TX-TableText"/>
              <w:keepNext/>
              <w:widowControl w:val="0"/>
              <w:spacing w:line="240" w:lineRule="auto"/>
              <w:jc w:val="center"/>
            </w:pPr>
          </w:p>
        </w:tc>
        <w:tc>
          <w:tcPr>
            <w:tcW w:w="816" w:type="pct"/>
            <w:noWrap/>
            <w:hideMark/>
          </w:tcPr>
          <w:p w14:paraId="123BA71F" w14:textId="77777777" w:rsidR="0021074A" w:rsidRPr="00267816" w:rsidRDefault="0021074A" w:rsidP="0021074A">
            <w:pPr>
              <w:pStyle w:val="TX-TableText"/>
              <w:keepNext/>
              <w:widowControl w:val="0"/>
              <w:spacing w:line="240" w:lineRule="auto"/>
              <w:jc w:val="center"/>
            </w:pPr>
            <w:r>
              <w:t>160</w:t>
            </w:r>
          </w:p>
        </w:tc>
      </w:tr>
      <w:tr w:rsidR="0021074A" w:rsidRPr="00267816" w14:paraId="6F9AFFED" w14:textId="77777777" w:rsidTr="007E5E08">
        <w:trPr>
          <w:trHeight w:val="490"/>
        </w:trPr>
        <w:tc>
          <w:tcPr>
            <w:tcW w:w="1636" w:type="pct"/>
            <w:noWrap/>
            <w:hideMark/>
          </w:tcPr>
          <w:p w14:paraId="76B2E652" w14:textId="77777777" w:rsidR="0021074A" w:rsidRPr="00267816" w:rsidRDefault="0021074A" w:rsidP="0021074A">
            <w:pPr>
              <w:pStyle w:val="TX-TableText"/>
              <w:keepNext/>
              <w:widowControl w:val="0"/>
              <w:spacing w:line="240" w:lineRule="auto"/>
            </w:pPr>
            <w:r w:rsidRPr="00267816">
              <w:t>Expected number of selected households (HHs)</w:t>
            </w:r>
          </w:p>
        </w:tc>
        <w:tc>
          <w:tcPr>
            <w:tcW w:w="1732" w:type="pct"/>
            <w:noWrap/>
            <w:hideMark/>
          </w:tcPr>
          <w:p w14:paraId="483ADC90" w14:textId="77777777" w:rsidR="0021074A" w:rsidRPr="00267816" w:rsidRDefault="0021074A" w:rsidP="0021074A">
            <w:pPr>
              <w:pStyle w:val="TX-TableText"/>
              <w:keepNext/>
              <w:widowControl w:val="0"/>
              <w:spacing w:line="240" w:lineRule="auto"/>
            </w:pPr>
            <w:r w:rsidRPr="00267816">
              <w:t>Occupied dwelling unit rate</w:t>
            </w:r>
          </w:p>
        </w:tc>
        <w:tc>
          <w:tcPr>
            <w:tcW w:w="816" w:type="pct"/>
            <w:noWrap/>
            <w:hideMark/>
          </w:tcPr>
          <w:p w14:paraId="152C550F" w14:textId="77777777" w:rsidR="0021074A" w:rsidRPr="00267816" w:rsidRDefault="0021074A" w:rsidP="0021074A">
            <w:pPr>
              <w:pStyle w:val="TX-TableText"/>
              <w:keepNext/>
              <w:widowControl w:val="0"/>
              <w:spacing w:line="240" w:lineRule="auto"/>
              <w:jc w:val="center"/>
            </w:pPr>
            <w:r>
              <w:t>87.4</w:t>
            </w:r>
            <w:r w:rsidRPr="00267816">
              <w:t>%</w:t>
            </w:r>
          </w:p>
        </w:tc>
        <w:tc>
          <w:tcPr>
            <w:tcW w:w="816" w:type="pct"/>
            <w:noWrap/>
          </w:tcPr>
          <w:p w14:paraId="60C7E4A2" w14:textId="77777777" w:rsidR="0021074A" w:rsidRPr="00267816" w:rsidRDefault="0021074A" w:rsidP="0021074A">
            <w:pPr>
              <w:pStyle w:val="TX-TableText"/>
              <w:keepNext/>
              <w:widowControl w:val="0"/>
              <w:spacing w:line="240" w:lineRule="auto"/>
              <w:jc w:val="center"/>
            </w:pPr>
            <w:r w:rsidRPr="008B3C93">
              <w:t>3,928</w:t>
            </w:r>
          </w:p>
        </w:tc>
      </w:tr>
      <w:tr w:rsidR="0021074A" w:rsidRPr="00267816" w14:paraId="28C16CA7" w14:textId="77777777" w:rsidTr="007E5E08">
        <w:trPr>
          <w:trHeight w:val="490"/>
        </w:trPr>
        <w:tc>
          <w:tcPr>
            <w:tcW w:w="1636" w:type="pct"/>
            <w:noWrap/>
            <w:hideMark/>
          </w:tcPr>
          <w:p w14:paraId="28592893" w14:textId="77777777" w:rsidR="0021074A" w:rsidRPr="00267816" w:rsidRDefault="0021074A" w:rsidP="0021074A">
            <w:pPr>
              <w:pStyle w:val="TX-TableText"/>
              <w:keepNext/>
              <w:widowControl w:val="0"/>
              <w:spacing w:line="240" w:lineRule="auto"/>
            </w:pPr>
            <w:r w:rsidRPr="00267816">
              <w:t>Expected number of occupied dwelling units</w:t>
            </w:r>
          </w:p>
        </w:tc>
        <w:tc>
          <w:tcPr>
            <w:tcW w:w="1732" w:type="pct"/>
            <w:noWrap/>
            <w:hideMark/>
          </w:tcPr>
          <w:p w14:paraId="7F766471" w14:textId="77777777" w:rsidR="0021074A" w:rsidRPr="00267816" w:rsidRDefault="0021074A" w:rsidP="0021074A">
            <w:pPr>
              <w:pStyle w:val="TX-TableText"/>
              <w:keepNext/>
              <w:widowControl w:val="0"/>
              <w:spacing w:line="240" w:lineRule="auto"/>
            </w:pPr>
            <w:r w:rsidRPr="00267816">
              <w:t>Screener response rate</w:t>
            </w:r>
          </w:p>
        </w:tc>
        <w:tc>
          <w:tcPr>
            <w:tcW w:w="816" w:type="pct"/>
            <w:noWrap/>
            <w:hideMark/>
          </w:tcPr>
          <w:p w14:paraId="7BF84978" w14:textId="77777777" w:rsidR="0021074A" w:rsidRPr="00267816" w:rsidRDefault="0021074A" w:rsidP="0021074A">
            <w:pPr>
              <w:pStyle w:val="TX-TableText"/>
              <w:keepNext/>
              <w:widowControl w:val="0"/>
              <w:spacing w:line="240" w:lineRule="auto"/>
              <w:jc w:val="center"/>
            </w:pPr>
            <w:r>
              <w:t>71.4</w:t>
            </w:r>
            <w:r w:rsidRPr="00267816">
              <w:t>%</w:t>
            </w:r>
          </w:p>
        </w:tc>
        <w:tc>
          <w:tcPr>
            <w:tcW w:w="816" w:type="pct"/>
            <w:noWrap/>
          </w:tcPr>
          <w:p w14:paraId="7F277BB3" w14:textId="77777777" w:rsidR="0021074A" w:rsidRPr="00267816" w:rsidRDefault="0021074A" w:rsidP="0021074A">
            <w:pPr>
              <w:pStyle w:val="TX-TableText"/>
              <w:keepNext/>
              <w:widowControl w:val="0"/>
              <w:spacing w:line="240" w:lineRule="auto"/>
              <w:jc w:val="center"/>
            </w:pPr>
            <w:r w:rsidRPr="008B3C93">
              <w:t>3,433</w:t>
            </w:r>
          </w:p>
        </w:tc>
      </w:tr>
      <w:tr w:rsidR="0021074A" w:rsidRPr="00267816" w14:paraId="46D74BCF" w14:textId="77777777" w:rsidTr="007E5E08">
        <w:trPr>
          <w:trHeight w:val="20"/>
        </w:trPr>
        <w:tc>
          <w:tcPr>
            <w:tcW w:w="1636" w:type="pct"/>
            <w:noWrap/>
            <w:hideMark/>
          </w:tcPr>
          <w:p w14:paraId="1F72086E" w14:textId="77777777" w:rsidR="0021074A" w:rsidRPr="00267816" w:rsidRDefault="0021074A" w:rsidP="0021074A">
            <w:pPr>
              <w:pStyle w:val="TX-TableText"/>
              <w:keepNext/>
              <w:widowControl w:val="0"/>
              <w:spacing w:line="240" w:lineRule="auto"/>
            </w:pPr>
            <w:r w:rsidRPr="00267816">
              <w:t>Expected number of completed screeners</w:t>
            </w:r>
          </w:p>
        </w:tc>
        <w:tc>
          <w:tcPr>
            <w:tcW w:w="1732" w:type="pct"/>
            <w:noWrap/>
            <w:hideMark/>
          </w:tcPr>
          <w:p w14:paraId="74BA1B8E" w14:textId="77777777" w:rsidR="0021074A" w:rsidRPr="00267816" w:rsidRDefault="0021074A" w:rsidP="0021074A">
            <w:pPr>
              <w:pStyle w:val="TX-TableText"/>
              <w:keepNext/>
              <w:widowControl w:val="0"/>
              <w:spacing w:line="240" w:lineRule="auto"/>
            </w:pPr>
          </w:p>
        </w:tc>
        <w:tc>
          <w:tcPr>
            <w:tcW w:w="816" w:type="pct"/>
            <w:noWrap/>
            <w:hideMark/>
          </w:tcPr>
          <w:p w14:paraId="22C00E40" w14:textId="77777777" w:rsidR="0021074A" w:rsidRPr="00267816" w:rsidRDefault="0021074A" w:rsidP="0021074A">
            <w:pPr>
              <w:pStyle w:val="TX-TableText"/>
              <w:keepNext/>
              <w:widowControl w:val="0"/>
              <w:spacing w:line="240" w:lineRule="auto"/>
              <w:jc w:val="center"/>
            </w:pPr>
          </w:p>
        </w:tc>
        <w:tc>
          <w:tcPr>
            <w:tcW w:w="816" w:type="pct"/>
            <w:noWrap/>
          </w:tcPr>
          <w:p w14:paraId="3CEF63E0" w14:textId="77777777" w:rsidR="0021074A" w:rsidRPr="00267816" w:rsidRDefault="0021074A" w:rsidP="0021074A">
            <w:pPr>
              <w:pStyle w:val="TX-TableText"/>
              <w:keepNext/>
              <w:widowControl w:val="0"/>
              <w:spacing w:line="240" w:lineRule="auto"/>
              <w:jc w:val="center"/>
            </w:pPr>
            <w:r w:rsidRPr="008B3C93">
              <w:t>2,451</w:t>
            </w:r>
          </w:p>
        </w:tc>
      </w:tr>
      <w:tr w:rsidR="0021074A" w:rsidRPr="00267816" w14:paraId="7E42F55A" w14:textId="77777777" w:rsidTr="007E5E08">
        <w:trPr>
          <w:trHeight w:val="548"/>
        </w:trPr>
        <w:tc>
          <w:tcPr>
            <w:tcW w:w="1636" w:type="pct"/>
            <w:noWrap/>
            <w:hideMark/>
          </w:tcPr>
          <w:p w14:paraId="4C843052" w14:textId="77777777" w:rsidR="0021074A" w:rsidRPr="00267816" w:rsidRDefault="0021074A" w:rsidP="0021074A">
            <w:pPr>
              <w:pStyle w:val="TX-TableText"/>
              <w:keepNext/>
              <w:widowControl w:val="0"/>
              <w:spacing w:line="240" w:lineRule="auto"/>
            </w:pPr>
            <w:r w:rsidRPr="00267816">
              <w:t>Expected number of eligible screeners</w:t>
            </w:r>
          </w:p>
        </w:tc>
        <w:tc>
          <w:tcPr>
            <w:tcW w:w="1732" w:type="pct"/>
            <w:noWrap/>
            <w:hideMark/>
          </w:tcPr>
          <w:p w14:paraId="063E97C1" w14:textId="77777777" w:rsidR="0021074A" w:rsidRDefault="0021074A" w:rsidP="0021074A">
            <w:pPr>
              <w:pStyle w:val="TX-TableText"/>
              <w:keepNext/>
              <w:widowControl w:val="0"/>
              <w:spacing w:line="240" w:lineRule="auto"/>
            </w:pPr>
            <w:r w:rsidRPr="00267816">
              <w:t>Eligibility rate 16-65</w:t>
            </w:r>
          </w:p>
          <w:p w14:paraId="2A50720D" w14:textId="77777777" w:rsidR="0021074A" w:rsidRPr="00267816" w:rsidRDefault="0021074A" w:rsidP="0021074A">
            <w:pPr>
              <w:pStyle w:val="TX-TableText"/>
              <w:keepNext/>
              <w:widowControl w:val="0"/>
              <w:spacing w:line="240" w:lineRule="auto"/>
            </w:pPr>
            <w:r w:rsidRPr="00267816">
              <w:t>(66-74)</w:t>
            </w:r>
          </w:p>
        </w:tc>
        <w:tc>
          <w:tcPr>
            <w:tcW w:w="816" w:type="pct"/>
            <w:noWrap/>
            <w:hideMark/>
          </w:tcPr>
          <w:p w14:paraId="6B341345" w14:textId="77777777" w:rsidR="0021074A" w:rsidRPr="00267816" w:rsidRDefault="0021074A" w:rsidP="0021074A">
            <w:pPr>
              <w:pStyle w:val="TX-TableText"/>
              <w:keepNext/>
              <w:widowControl w:val="0"/>
              <w:spacing w:line="240" w:lineRule="auto"/>
              <w:jc w:val="center"/>
            </w:pPr>
            <w:r>
              <w:t>81.5</w:t>
            </w:r>
            <w:r w:rsidRPr="00267816">
              <w:t>%</w:t>
            </w:r>
          </w:p>
          <w:p w14:paraId="47D420E6" w14:textId="77777777" w:rsidR="0021074A" w:rsidRPr="00267816" w:rsidRDefault="0021074A" w:rsidP="0021074A">
            <w:pPr>
              <w:pStyle w:val="TX-TableText"/>
              <w:keepNext/>
              <w:widowControl w:val="0"/>
              <w:spacing w:line="240" w:lineRule="auto"/>
              <w:jc w:val="center"/>
            </w:pPr>
            <w:r>
              <w:t>(2.9</w:t>
            </w:r>
            <w:r w:rsidRPr="00267816">
              <w:t>%)</w:t>
            </w:r>
          </w:p>
        </w:tc>
        <w:tc>
          <w:tcPr>
            <w:tcW w:w="816" w:type="pct"/>
            <w:noWrap/>
          </w:tcPr>
          <w:p w14:paraId="2FFEE183" w14:textId="77777777" w:rsidR="0021074A" w:rsidRPr="00267816" w:rsidRDefault="0021074A" w:rsidP="0021074A">
            <w:pPr>
              <w:pStyle w:val="TX-TableText"/>
              <w:keepNext/>
              <w:widowControl w:val="0"/>
              <w:spacing w:line="240" w:lineRule="auto"/>
              <w:jc w:val="center"/>
            </w:pPr>
            <w:r w:rsidRPr="008B3C93">
              <w:t>1,998</w:t>
            </w:r>
          </w:p>
          <w:p w14:paraId="601E1CC7" w14:textId="77777777" w:rsidR="0021074A" w:rsidRPr="00267816" w:rsidRDefault="0021074A" w:rsidP="0021074A">
            <w:pPr>
              <w:pStyle w:val="TX-TableText"/>
              <w:keepNext/>
              <w:widowControl w:val="0"/>
              <w:spacing w:line="240" w:lineRule="auto"/>
              <w:jc w:val="center"/>
            </w:pPr>
            <w:r w:rsidRPr="00267816">
              <w:t>(</w:t>
            </w:r>
            <w:r>
              <w:t>71</w:t>
            </w:r>
            <w:r w:rsidRPr="00267816">
              <w:t>)</w:t>
            </w:r>
          </w:p>
        </w:tc>
      </w:tr>
      <w:tr w:rsidR="0021074A" w:rsidRPr="00267816" w14:paraId="1BC976F6" w14:textId="77777777" w:rsidTr="007E5E08">
        <w:trPr>
          <w:trHeight w:val="629"/>
        </w:trPr>
        <w:tc>
          <w:tcPr>
            <w:tcW w:w="1636" w:type="pct"/>
            <w:noWrap/>
            <w:hideMark/>
          </w:tcPr>
          <w:p w14:paraId="69CB6F96" w14:textId="77777777" w:rsidR="0021074A" w:rsidRPr="00267816" w:rsidRDefault="0021074A" w:rsidP="0021074A">
            <w:pPr>
              <w:pStyle w:val="TX-TableText"/>
              <w:keepNext/>
              <w:widowControl w:val="0"/>
              <w:spacing w:line="240" w:lineRule="auto"/>
            </w:pPr>
            <w:r w:rsidRPr="00267816">
              <w:t>Expected number of attempted BQs</w:t>
            </w:r>
          </w:p>
        </w:tc>
        <w:tc>
          <w:tcPr>
            <w:tcW w:w="1732" w:type="pct"/>
            <w:noWrap/>
            <w:hideMark/>
          </w:tcPr>
          <w:p w14:paraId="3C84AAEE" w14:textId="77777777" w:rsidR="0021074A" w:rsidRDefault="0021074A" w:rsidP="0021074A">
            <w:pPr>
              <w:pStyle w:val="TX-TableText"/>
              <w:keepNext/>
              <w:widowControl w:val="0"/>
              <w:spacing w:line="240" w:lineRule="auto"/>
            </w:pPr>
            <w:r w:rsidRPr="00267816">
              <w:t>Percentage of HHs with two sample persons 16-65</w:t>
            </w:r>
          </w:p>
          <w:p w14:paraId="489E3358" w14:textId="77777777" w:rsidR="0021074A" w:rsidRPr="00267816" w:rsidRDefault="0021074A" w:rsidP="0021074A">
            <w:pPr>
              <w:pStyle w:val="TX-TableText"/>
              <w:keepNext/>
              <w:widowControl w:val="0"/>
              <w:spacing w:line="240" w:lineRule="auto"/>
            </w:pPr>
            <w:r w:rsidRPr="00267816">
              <w:t>(66-74)</w:t>
            </w:r>
          </w:p>
        </w:tc>
        <w:tc>
          <w:tcPr>
            <w:tcW w:w="816" w:type="pct"/>
            <w:noWrap/>
            <w:hideMark/>
          </w:tcPr>
          <w:p w14:paraId="78248A5C" w14:textId="77777777" w:rsidR="0021074A" w:rsidRPr="00267816" w:rsidRDefault="0021074A" w:rsidP="0021074A">
            <w:pPr>
              <w:pStyle w:val="TX-TableText"/>
              <w:keepNext/>
              <w:widowControl w:val="0"/>
              <w:spacing w:line="240" w:lineRule="auto"/>
              <w:jc w:val="center"/>
            </w:pPr>
            <w:r>
              <w:t>7.2</w:t>
            </w:r>
            <w:r w:rsidRPr="00267816">
              <w:t>%</w:t>
            </w:r>
          </w:p>
          <w:p w14:paraId="2CDCF1FF" w14:textId="77777777" w:rsidR="0021074A" w:rsidRPr="00267816" w:rsidRDefault="0021074A" w:rsidP="0021074A">
            <w:pPr>
              <w:pStyle w:val="TX-TableText"/>
              <w:keepNext/>
              <w:widowControl w:val="0"/>
              <w:spacing w:line="240" w:lineRule="auto"/>
              <w:jc w:val="center"/>
            </w:pPr>
            <w:r w:rsidRPr="00267816">
              <w:t>(0%)</w:t>
            </w:r>
          </w:p>
        </w:tc>
        <w:tc>
          <w:tcPr>
            <w:tcW w:w="816" w:type="pct"/>
            <w:noWrap/>
          </w:tcPr>
          <w:p w14:paraId="333C7FCE" w14:textId="77777777" w:rsidR="0021074A" w:rsidRPr="00267816" w:rsidRDefault="0021074A" w:rsidP="0021074A">
            <w:pPr>
              <w:pStyle w:val="TX-TableText"/>
              <w:keepNext/>
              <w:widowControl w:val="0"/>
              <w:spacing w:line="240" w:lineRule="auto"/>
              <w:jc w:val="center"/>
            </w:pPr>
            <w:r w:rsidRPr="008B3C93">
              <w:t>2,142</w:t>
            </w:r>
            <w:r>
              <w:t>*</w:t>
            </w:r>
          </w:p>
          <w:p w14:paraId="32FFD635" w14:textId="77777777" w:rsidR="0021074A" w:rsidRPr="00267816" w:rsidRDefault="0021074A" w:rsidP="0021074A">
            <w:pPr>
              <w:pStyle w:val="TX-TableText"/>
              <w:keepNext/>
              <w:widowControl w:val="0"/>
              <w:spacing w:line="240" w:lineRule="auto"/>
              <w:jc w:val="center"/>
            </w:pPr>
            <w:r w:rsidRPr="00267816">
              <w:t>(</w:t>
            </w:r>
            <w:r>
              <w:t>71</w:t>
            </w:r>
            <w:r w:rsidRPr="00267816">
              <w:t>)</w:t>
            </w:r>
          </w:p>
        </w:tc>
      </w:tr>
      <w:tr w:rsidR="0021074A" w:rsidRPr="00267816" w14:paraId="0A419021" w14:textId="77777777" w:rsidTr="007E5E08">
        <w:trPr>
          <w:trHeight w:val="521"/>
        </w:trPr>
        <w:tc>
          <w:tcPr>
            <w:tcW w:w="1636" w:type="pct"/>
            <w:noWrap/>
            <w:hideMark/>
          </w:tcPr>
          <w:p w14:paraId="1AE58EB1" w14:textId="77777777" w:rsidR="0021074A" w:rsidRPr="00267816" w:rsidRDefault="0021074A" w:rsidP="0021074A">
            <w:pPr>
              <w:pStyle w:val="TX-TableText"/>
              <w:keepNext/>
              <w:widowControl w:val="0"/>
              <w:spacing w:line="240" w:lineRule="auto"/>
            </w:pPr>
            <w:r w:rsidRPr="00267816">
              <w:t>Expected number of persons with completed BQs</w:t>
            </w:r>
          </w:p>
        </w:tc>
        <w:tc>
          <w:tcPr>
            <w:tcW w:w="1732" w:type="pct"/>
            <w:noWrap/>
            <w:hideMark/>
          </w:tcPr>
          <w:p w14:paraId="739FCF2D" w14:textId="77777777" w:rsidR="0021074A" w:rsidRDefault="0021074A" w:rsidP="0021074A">
            <w:pPr>
              <w:pStyle w:val="TX-TableText"/>
              <w:keepNext/>
              <w:widowControl w:val="0"/>
              <w:spacing w:line="240" w:lineRule="auto"/>
            </w:pPr>
            <w:r w:rsidRPr="00267816">
              <w:t>BQ response rate 16-65</w:t>
            </w:r>
          </w:p>
          <w:p w14:paraId="54DBD800" w14:textId="77777777" w:rsidR="0021074A" w:rsidRPr="00267816" w:rsidRDefault="0021074A" w:rsidP="0021074A">
            <w:pPr>
              <w:pStyle w:val="TX-TableText"/>
              <w:keepNext/>
              <w:widowControl w:val="0"/>
              <w:spacing w:line="240" w:lineRule="auto"/>
            </w:pPr>
            <w:r w:rsidRPr="00267816">
              <w:t>(66-74)</w:t>
            </w:r>
          </w:p>
        </w:tc>
        <w:tc>
          <w:tcPr>
            <w:tcW w:w="816" w:type="pct"/>
            <w:noWrap/>
            <w:hideMark/>
          </w:tcPr>
          <w:p w14:paraId="10FA4C26" w14:textId="77777777" w:rsidR="0021074A" w:rsidRPr="00267816" w:rsidRDefault="0021074A" w:rsidP="0021074A">
            <w:pPr>
              <w:pStyle w:val="TX-TableText"/>
              <w:keepNext/>
              <w:widowControl w:val="0"/>
              <w:spacing w:line="240" w:lineRule="auto"/>
              <w:jc w:val="center"/>
            </w:pPr>
            <w:r>
              <w:t>71.4</w:t>
            </w:r>
            <w:r w:rsidRPr="00267816">
              <w:t>%</w:t>
            </w:r>
          </w:p>
          <w:p w14:paraId="6D48009B" w14:textId="77777777" w:rsidR="0021074A" w:rsidRPr="00267816" w:rsidRDefault="0021074A" w:rsidP="0021074A">
            <w:pPr>
              <w:pStyle w:val="TX-TableText"/>
              <w:keepNext/>
              <w:widowControl w:val="0"/>
              <w:spacing w:line="240" w:lineRule="auto"/>
              <w:jc w:val="center"/>
            </w:pPr>
            <w:r>
              <w:t>(71.4</w:t>
            </w:r>
            <w:r w:rsidRPr="00267816">
              <w:t>%)</w:t>
            </w:r>
          </w:p>
        </w:tc>
        <w:tc>
          <w:tcPr>
            <w:tcW w:w="816" w:type="pct"/>
            <w:noWrap/>
          </w:tcPr>
          <w:p w14:paraId="7E4C19FD" w14:textId="77777777" w:rsidR="0021074A" w:rsidRPr="00267816" w:rsidRDefault="0021074A" w:rsidP="0021074A">
            <w:pPr>
              <w:pStyle w:val="TX-TableText"/>
              <w:keepNext/>
              <w:widowControl w:val="0"/>
              <w:spacing w:line="240" w:lineRule="auto"/>
              <w:jc w:val="center"/>
            </w:pPr>
            <w:r w:rsidRPr="008B3C93">
              <w:t>1,529</w:t>
            </w:r>
          </w:p>
          <w:p w14:paraId="488DFD77" w14:textId="77777777" w:rsidR="0021074A" w:rsidRPr="00267816" w:rsidRDefault="0021074A" w:rsidP="0021074A">
            <w:pPr>
              <w:pStyle w:val="TX-TableText"/>
              <w:keepNext/>
              <w:widowControl w:val="0"/>
              <w:spacing w:line="240" w:lineRule="auto"/>
              <w:jc w:val="center"/>
            </w:pPr>
            <w:r w:rsidRPr="00267816">
              <w:t>(</w:t>
            </w:r>
            <w:r>
              <w:t>51</w:t>
            </w:r>
            <w:r w:rsidRPr="00267816">
              <w:t>)</w:t>
            </w:r>
          </w:p>
        </w:tc>
      </w:tr>
      <w:tr w:rsidR="0021074A" w:rsidRPr="00267816" w14:paraId="3CA9FFC9" w14:textId="77777777" w:rsidTr="007E5E08">
        <w:trPr>
          <w:trHeight w:val="530"/>
        </w:trPr>
        <w:tc>
          <w:tcPr>
            <w:tcW w:w="1636" w:type="pct"/>
            <w:noWrap/>
            <w:hideMark/>
          </w:tcPr>
          <w:p w14:paraId="104309EC" w14:textId="77777777" w:rsidR="0021074A" w:rsidRPr="00267816" w:rsidRDefault="0021074A" w:rsidP="0021074A">
            <w:pPr>
              <w:pStyle w:val="TX-TableText"/>
              <w:keepNext/>
              <w:widowControl w:val="0"/>
              <w:spacing w:line="240" w:lineRule="auto"/>
            </w:pPr>
            <w:r w:rsidRPr="00267816">
              <w:t>Expected number of completed or partially completed assessments</w:t>
            </w:r>
          </w:p>
        </w:tc>
        <w:tc>
          <w:tcPr>
            <w:tcW w:w="1732" w:type="pct"/>
            <w:noWrap/>
            <w:hideMark/>
          </w:tcPr>
          <w:p w14:paraId="76E06498" w14:textId="77777777" w:rsidR="0021074A" w:rsidRDefault="0021074A" w:rsidP="0021074A">
            <w:pPr>
              <w:pStyle w:val="TX-TableText"/>
              <w:keepNext/>
              <w:widowControl w:val="0"/>
              <w:spacing w:line="240" w:lineRule="auto"/>
            </w:pPr>
            <w:r w:rsidRPr="00267816">
              <w:t>Assessment completion rate 16-65</w:t>
            </w:r>
          </w:p>
          <w:p w14:paraId="19800E76" w14:textId="77777777" w:rsidR="0021074A" w:rsidRPr="00267816" w:rsidRDefault="0021074A" w:rsidP="0021074A">
            <w:pPr>
              <w:pStyle w:val="TX-TableText"/>
              <w:keepNext/>
              <w:widowControl w:val="0"/>
              <w:spacing w:line="240" w:lineRule="auto"/>
            </w:pPr>
            <w:r w:rsidRPr="00267816">
              <w:t>(66-74)</w:t>
            </w:r>
          </w:p>
        </w:tc>
        <w:tc>
          <w:tcPr>
            <w:tcW w:w="816" w:type="pct"/>
            <w:noWrap/>
            <w:hideMark/>
          </w:tcPr>
          <w:p w14:paraId="60B7866E" w14:textId="77777777" w:rsidR="0021074A" w:rsidRPr="00267816" w:rsidRDefault="0021074A" w:rsidP="0021074A">
            <w:pPr>
              <w:pStyle w:val="TX-TableText"/>
              <w:keepNext/>
              <w:widowControl w:val="0"/>
              <w:spacing w:line="240" w:lineRule="auto"/>
              <w:jc w:val="center"/>
            </w:pPr>
            <w:r w:rsidRPr="00267816">
              <w:t>98.1%</w:t>
            </w:r>
          </w:p>
          <w:p w14:paraId="7BAD0153" w14:textId="77777777" w:rsidR="0021074A" w:rsidRPr="00267816" w:rsidRDefault="0021074A" w:rsidP="0021074A">
            <w:pPr>
              <w:pStyle w:val="TX-TableText"/>
              <w:keepNext/>
              <w:widowControl w:val="0"/>
              <w:spacing w:line="240" w:lineRule="auto"/>
              <w:jc w:val="center"/>
            </w:pPr>
            <w:r w:rsidRPr="00267816">
              <w:t>(</w:t>
            </w:r>
            <w:r>
              <w:t>98.1</w:t>
            </w:r>
            <w:r w:rsidRPr="00267816">
              <w:t>%)</w:t>
            </w:r>
          </w:p>
        </w:tc>
        <w:tc>
          <w:tcPr>
            <w:tcW w:w="816" w:type="pct"/>
            <w:noWrap/>
          </w:tcPr>
          <w:p w14:paraId="3718C56A" w14:textId="77777777" w:rsidR="0021074A" w:rsidRPr="00267816" w:rsidRDefault="0021074A" w:rsidP="0021074A">
            <w:pPr>
              <w:pStyle w:val="TX-TableText"/>
              <w:keepNext/>
              <w:widowControl w:val="0"/>
              <w:spacing w:line="240" w:lineRule="auto"/>
              <w:jc w:val="center"/>
            </w:pPr>
            <w:r>
              <w:t>1</w:t>
            </w:r>
            <w:r w:rsidRPr="00267816">
              <w:t>,500</w:t>
            </w:r>
          </w:p>
          <w:p w14:paraId="4C5A3B83" w14:textId="77777777" w:rsidR="0021074A" w:rsidRPr="00267816" w:rsidRDefault="0021074A" w:rsidP="0021074A">
            <w:pPr>
              <w:pStyle w:val="TX-TableText"/>
              <w:keepNext/>
              <w:widowControl w:val="0"/>
              <w:spacing w:line="240" w:lineRule="auto"/>
              <w:jc w:val="center"/>
            </w:pPr>
            <w:r w:rsidRPr="00267816">
              <w:t>(</w:t>
            </w:r>
            <w:r>
              <w:t>5</w:t>
            </w:r>
            <w:r w:rsidRPr="00267816">
              <w:t>0)</w:t>
            </w:r>
          </w:p>
        </w:tc>
      </w:tr>
    </w:tbl>
    <w:p w14:paraId="60C68AC6" w14:textId="77777777" w:rsidR="0021074A" w:rsidRDefault="0021074A" w:rsidP="0021074A">
      <w:pPr>
        <w:pStyle w:val="TF-TblFN"/>
        <w:widowControl w:val="0"/>
        <w:spacing w:before="0" w:after="40" w:line="240" w:lineRule="auto"/>
        <w:rPr>
          <w:rFonts w:ascii="Garamond" w:hAnsi="Garamond"/>
        </w:rPr>
      </w:pPr>
      <w:r>
        <w:rPr>
          <w:rFonts w:ascii="Garamond" w:hAnsi="Garamond"/>
        </w:rPr>
        <w:t xml:space="preserve">* This number is reached by considering 100% of eligible screeners to attempt a background questionnaire and adding an additional estimated group of 144 respondents who are second eligible respondents in the same household. We estimate that 7.2% of all households will contain two potential sample members. </w:t>
      </w:r>
    </w:p>
    <w:p w14:paraId="3BC6B615" w14:textId="77777777" w:rsidR="0021074A" w:rsidRPr="00267816" w:rsidRDefault="0021074A" w:rsidP="0021074A">
      <w:pPr>
        <w:pStyle w:val="TF-TblFN"/>
        <w:widowControl w:val="0"/>
        <w:spacing w:before="0" w:after="40" w:line="240" w:lineRule="auto"/>
        <w:rPr>
          <w:rFonts w:ascii="Garamond" w:hAnsi="Garamond"/>
        </w:rPr>
      </w:pPr>
      <w:r w:rsidRPr="00267816">
        <w:rPr>
          <w:rFonts w:ascii="Garamond" w:hAnsi="Garamond"/>
        </w:rPr>
        <w:t>NOTE: Figures in parentheses are for the subgroup 66-74 year olds.</w:t>
      </w:r>
    </w:p>
    <w:p w14:paraId="5465B1DD" w14:textId="77777777" w:rsidR="00952CCD" w:rsidRPr="000A3605" w:rsidRDefault="00952CCD" w:rsidP="0021074A">
      <w:pPr>
        <w:pStyle w:val="Heading4"/>
        <w:widowControl w:val="0"/>
        <w:spacing w:before="240" w:after="120" w:line="23" w:lineRule="atLeast"/>
        <w:rPr>
          <w:rFonts w:ascii="Garamond" w:hAnsi="Garamond"/>
          <w:szCs w:val="24"/>
        </w:rPr>
      </w:pPr>
      <w:bookmarkStart w:id="6" w:name="_Toc278366783"/>
      <w:bookmarkStart w:id="7" w:name="_Toc348944681"/>
      <w:r w:rsidRPr="000A3605">
        <w:rPr>
          <w:rFonts w:ascii="Garamond" w:hAnsi="Garamond"/>
          <w:szCs w:val="24"/>
        </w:rPr>
        <w:t>Estimation</w:t>
      </w:r>
    </w:p>
    <w:p w14:paraId="31BCE4EE" w14:textId="2A54A8EF" w:rsidR="00B16E1B" w:rsidRDefault="00DD11A4" w:rsidP="0021074A">
      <w:pPr>
        <w:pStyle w:val="L1-FlLSp12"/>
        <w:widowControl w:val="0"/>
        <w:spacing w:after="120" w:line="23" w:lineRule="atLeast"/>
        <w:rPr>
          <w:szCs w:val="24"/>
        </w:rPr>
      </w:pPr>
      <w:r w:rsidRPr="00DD11A4">
        <w:rPr>
          <w:szCs w:val="24"/>
        </w:rPr>
        <w:t xml:space="preserve">For the </w:t>
      </w:r>
      <w:r w:rsidR="00CF1A04">
        <w:rPr>
          <w:szCs w:val="24"/>
        </w:rPr>
        <w:t>F</w:t>
      </w:r>
      <w:r w:rsidRPr="00DD11A4">
        <w:rPr>
          <w:szCs w:val="24"/>
        </w:rPr>
        <w:t xml:space="preserve">ield </w:t>
      </w:r>
      <w:r w:rsidR="00CF1A04">
        <w:rPr>
          <w:szCs w:val="24"/>
        </w:rPr>
        <w:t>T</w:t>
      </w:r>
      <w:r w:rsidRPr="00DD11A4">
        <w:rPr>
          <w:szCs w:val="24"/>
        </w:rPr>
        <w:t xml:space="preserve">est, the minimum expected sample size mentioned above </w:t>
      </w:r>
      <w:r w:rsidR="00B16E1B">
        <w:rPr>
          <w:szCs w:val="24"/>
        </w:rPr>
        <w:t xml:space="preserve">is required </w:t>
      </w:r>
      <w:r w:rsidR="00B16E1B" w:rsidRPr="00B16E1B">
        <w:rPr>
          <w:szCs w:val="24"/>
        </w:rPr>
        <w:t>to properly estimate item</w:t>
      </w:r>
      <w:r w:rsidR="00B16E1B">
        <w:rPr>
          <w:szCs w:val="24"/>
        </w:rPr>
        <w:t xml:space="preserve"> </w:t>
      </w:r>
      <w:r w:rsidR="00B16E1B" w:rsidRPr="00B16E1B">
        <w:rPr>
          <w:szCs w:val="24"/>
        </w:rPr>
        <w:t xml:space="preserve">parameters for all newly developed items and to test the stability of the trend item parameters for each tested language in a participating country. The ability to properly estimate the new and trend item parameters in the field </w:t>
      </w:r>
      <w:r w:rsidR="00B16E1B">
        <w:rPr>
          <w:szCs w:val="24"/>
        </w:rPr>
        <w:t>test</w:t>
      </w:r>
      <w:r w:rsidR="00B16E1B" w:rsidRPr="00B16E1B">
        <w:rPr>
          <w:szCs w:val="24"/>
        </w:rPr>
        <w:t xml:space="preserve"> will allow for the be</w:t>
      </w:r>
      <w:r w:rsidR="00B16E1B">
        <w:rPr>
          <w:szCs w:val="24"/>
        </w:rPr>
        <w:t>st selection of items to maximiz</w:t>
      </w:r>
      <w:r w:rsidR="00B16E1B" w:rsidRPr="00B16E1B">
        <w:rPr>
          <w:szCs w:val="24"/>
        </w:rPr>
        <w:t>e efficiency of the</w:t>
      </w:r>
      <w:r w:rsidR="00FC406F">
        <w:rPr>
          <w:szCs w:val="24"/>
        </w:rPr>
        <w:t xml:space="preserve"> assessment</w:t>
      </w:r>
      <w:r w:rsidR="00145879">
        <w:rPr>
          <w:szCs w:val="24"/>
        </w:rPr>
        <w:t>’</w:t>
      </w:r>
      <w:r w:rsidR="00FC406F">
        <w:rPr>
          <w:szCs w:val="24"/>
        </w:rPr>
        <w:t>s</w:t>
      </w:r>
      <w:r w:rsidR="00B16E1B" w:rsidRPr="00B16E1B">
        <w:rPr>
          <w:szCs w:val="24"/>
        </w:rPr>
        <w:t xml:space="preserve"> adaptive design used in the </w:t>
      </w:r>
      <w:r w:rsidR="001B6EAF">
        <w:rPr>
          <w:szCs w:val="24"/>
        </w:rPr>
        <w:t>Main S</w:t>
      </w:r>
      <w:r w:rsidR="00B16E1B" w:rsidRPr="00B16E1B">
        <w:rPr>
          <w:szCs w:val="24"/>
        </w:rPr>
        <w:t>tudy.</w:t>
      </w:r>
    </w:p>
    <w:p w14:paraId="35DFD9DD" w14:textId="55E129F5" w:rsidR="00952CCD" w:rsidRPr="000425D2" w:rsidRDefault="00952CCD" w:rsidP="0021074A">
      <w:pPr>
        <w:pStyle w:val="L1-FlLSp12"/>
        <w:widowControl w:val="0"/>
        <w:spacing w:after="120" w:line="23" w:lineRule="atLeast"/>
        <w:rPr>
          <w:szCs w:val="24"/>
        </w:rPr>
      </w:pPr>
      <w:r w:rsidRPr="000425D2">
        <w:rPr>
          <w:szCs w:val="24"/>
        </w:rPr>
        <w:t>The estimation procedures for the PIAAC data are prescribed by and are the responsibility of the international sponsoring agency</w:t>
      </w:r>
      <w:r w:rsidR="00575FC0">
        <w:rPr>
          <w:szCs w:val="24"/>
        </w:rPr>
        <w:t>;</w:t>
      </w:r>
      <w:r w:rsidRPr="000425D2">
        <w:rPr>
          <w:szCs w:val="24"/>
        </w:rPr>
        <w:t xml:space="preserve"> however, the United States has reviewed and agrees with these procedures. The United States will comply with these procedures and policies by delivering masked data (note that a disclosure analysis will be conducted prior to submitting the data to the international contractor so as to comply with current federal law), and documentation of sampling variables. All data delivered to the PIAAC Consortium will be devoid of any data that could lead to the identification of individuals.</w:t>
      </w:r>
    </w:p>
    <w:p w14:paraId="67B5CDB9" w14:textId="77777777" w:rsidR="00952CCD" w:rsidRPr="000425D2" w:rsidRDefault="00952CCD" w:rsidP="0021074A">
      <w:pPr>
        <w:pStyle w:val="Heading4"/>
        <w:widowControl w:val="0"/>
        <w:spacing w:after="120" w:line="23" w:lineRule="atLeast"/>
        <w:rPr>
          <w:rFonts w:ascii="Garamond" w:hAnsi="Garamond"/>
          <w:szCs w:val="24"/>
        </w:rPr>
      </w:pPr>
      <w:r w:rsidRPr="000425D2">
        <w:rPr>
          <w:rFonts w:ascii="Garamond" w:hAnsi="Garamond"/>
          <w:szCs w:val="24"/>
        </w:rPr>
        <w:t>Degree of Accuracy</w:t>
      </w:r>
    </w:p>
    <w:p w14:paraId="44A21543" w14:textId="755D706F" w:rsidR="00952CCD" w:rsidRPr="000425D2" w:rsidRDefault="00B16E1B" w:rsidP="0021074A">
      <w:pPr>
        <w:pStyle w:val="L1-FlLSp12"/>
        <w:widowControl w:val="0"/>
        <w:spacing w:after="120" w:line="23" w:lineRule="atLeast"/>
        <w:rPr>
          <w:szCs w:val="24"/>
        </w:rPr>
      </w:pPr>
      <w:r>
        <w:rPr>
          <w:szCs w:val="24"/>
        </w:rPr>
        <w:t xml:space="preserve">As noted above, the sample size requirements are driven by the needs of the psychometric analysis. No proficiency estimates will be produced for the </w:t>
      </w:r>
      <w:r w:rsidR="00CF1A04">
        <w:rPr>
          <w:szCs w:val="24"/>
        </w:rPr>
        <w:t>F</w:t>
      </w:r>
      <w:r>
        <w:rPr>
          <w:szCs w:val="24"/>
        </w:rPr>
        <w:t xml:space="preserve">ield </w:t>
      </w:r>
      <w:r w:rsidR="00CF1A04">
        <w:rPr>
          <w:szCs w:val="24"/>
        </w:rPr>
        <w:t>T</w:t>
      </w:r>
      <w:r>
        <w:rPr>
          <w:szCs w:val="24"/>
        </w:rPr>
        <w:t>est.</w:t>
      </w:r>
    </w:p>
    <w:p w14:paraId="19168A20" w14:textId="77777777" w:rsidR="00952CCD" w:rsidRPr="000425D2" w:rsidRDefault="00952CCD" w:rsidP="0021074A">
      <w:pPr>
        <w:pStyle w:val="Heading4"/>
        <w:widowControl w:val="0"/>
        <w:spacing w:after="120" w:line="23" w:lineRule="atLeast"/>
        <w:rPr>
          <w:rFonts w:ascii="Garamond" w:hAnsi="Garamond"/>
          <w:szCs w:val="24"/>
        </w:rPr>
      </w:pPr>
      <w:r w:rsidRPr="000425D2">
        <w:rPr>
          <w:rFonts w:ascii="Garamond" w:hAnsi="Garamond"/>
          <w:szCs w:val="24"/>
        </w:rPr>
        <w:t>Specialized Sampling Procedures</w:t>
      </w:r>
    </w:p>
    <w:p w14:paraId="10BDBEDA" w14:textId="48D1254E" w:rsidR="00952CCD" w:rsidRPr="000425D2" w:rsidRDefault="008D27CE" w:rsidP="0021074A">
      <w:pPr>
        <w:pStyle w:val="L1-FlLSp12"/>
        <w:widowControl w:val="0"/>
        <w:spacing w:after="120" w:line="23" w:lineRule="atLeast"/>
        <w:rPr>
          <w:szCs w:val="24"/>
        </w:rPr>
      </w:pPr>
      <w:r>
        <w:rPr>
          <w:szCs w:val="24"/>
        </w:rPr>
        <w:t xml:space="preserve">The </w:t>
      </w:r>
      <w:r w:rsidR="00CF1A04">
        <w:rPr>
          <w:szCs w:val="24"/>
        </w:rPr>
        <w:t>F</w:t>
      </w:r>
      <w:r>
        <w:rPr>
          <w:szCs w:val="24"/>
        </w:rPr>
        <w:t xml:space="preserve">ield </w:t>
      </w:r>
      <w:r w:rsidR="00CF1A04">
        <w:rPr>
          <w:szCs w:val="24"/>
        </w:rPr>
        <w:t>T</w:t>
      </w:r>
      <w:r>
        <w:rPr>
          <w:szCs w:val="24"/>
        </w:rPr>
        <w:t>est objectives do not require a probability-based sampling, and so a nonprobability household sample will be used, as described above.</w:t>
      </w:r>
      <w:r w:rsidR="00B16E1B">
        <w:rPr>
          <w:szCs w:val="24"/>
        </w:rPr>
        <w:t xml:space="preserve"> </w:t>
      </w:r>
    </w:p>
    <w:p w14:paraId="5A4F60C6" w14:textId="77777777" w:rsidR="00952CCD" w:rsidRPr="000425D2" w:rsidRDefault="00952CCD" w:rsidP="0021074A">
      <w:pPr>
        <w:pStyle w:val="Heading4"/>
        <w:widowControl w:val="0"/>
        <w:spacing w:after="120" w:line="23" w:lineRule="atLeast"/>
        <w:rPr>
          <w:rFonts w:ascii="Garamond" w:hAnsi="Garamond"/>
          <w:szCs w:val="24"/>
        </w:rPr>
      </w:pPr>
      <w:r w:rsidRPr="000425D2">
        <w:rPr>
          <w:rFonts w:ascii="Garamond" w:hAnsi="Garamond"/>
          <w:szCs w:val="24"/>
        </w:rPr>
        <w:t>Any Use of Periodic (Less Frequent Than Annual) Data Collection Cycles to Reduce Burden</w:t>
      </w:r>
    </w:p>
    <w:p w14:paraId="324072E2" w14:textId="6BEB41A2" w:rsidR="000240F0" w:rsidRPr="000425D2" w:rsidRDefault="00952CCD" w:rsidP="0021074A">
      <w:pPr>
        <w:pStyle w:val="L1-FlLSp12"/>
        <w:widowControl w:val="0"/>
        <w:spacing w:after="120" w:line="23" w:lineRule="atLeast"/>
        <w:rPr>
          <w:szCs w:val="24"/>
        </w:rPr>
      </w:pPr>
      <w:r w:rsidRPr="000425D2">
        <w:rPr>
          <w:szCs w:val="24"/>
        </w:rPr>
        <w:t xml:space="preserve">There </w:t>
      </w:r>
      <w:r w:rsidR="0010266F">
        <w:rPr>
          <w:szCs w:val="24"/>
        </w:rPr>
        <w:t>will be no</w:t>
      </w:r>
      <w:r w:rsidRPr="000425D2">
        <w:rPr>
          <w:szCs w:val="24"/>
        </w:rPr>
        <w:t xml:space="preserve"> use of periodic data collection cycles.</w:t>
      </w:r>
    </w:p>
    <w:bookmarkEnd w:id="6"/>
    <w:bookmarkEnd w:id="7"/>
    <w:p w14:paraId="69957534" w14:textId="77777777" w:rsidR="00504E0A" w:rsidRPr="00267816" w:rsidRDefault="00504E0A" w:rsidP="0021074A">
      <w:pPr>
        <w:pStyle w:val="Heading3"/>
        <w:widowControl w:val="0"/>
        <w:spacing w:after="120" w:line="23" w:lineRule="atLeast"/>
        <w:rPr>
          <w:sz w:val="32"/>
          <w:szCs w:val="32"/>
        </w:rPr>
      </w:pPr>
      <w:r w:rsidRPr="00267816">
        <w:rPr>
          <w:sz w:val="32"/>
          <w:szCs w:val="32"/>
        </w:rPr>
        <w:t>B.3</w:t>
      </w:r>
      <w:r w:rsidRPr="00267816">
        <w:rPr>
          <w:sz w:val="32"/>
          <w:szCs w:val="32"/>
        </w:rPr>
        <w:tab/>
        <w:t>Maximizing Response Rates</w:t>
      </w:r>
    </w:p>
    <w:p w14:paraId="1C77A568" w14:textId="1A009B8C" w:rsidR="00E664D6" w:rsidRDefault="00E75CE0" w:rsidP="0021074A">
      <w:pPr>
        <w:pStyle w:val="L1-FlLSp12"/>
        <w:widowControl w:val="0"/>
        <w:spacing w:after="120" w:line="23" w:lineRule="atLeast"/>
      </w:pPr>
      <w:bookmarkStart w:id="8" w:name="_Toc452967962"/>
      <w:r w:rsidRPr="00504E0A">
        <w:t xml:space="preserve">NCES views gaining respondent cooperation as an integral part of a successful data collection effort and will invest the resources necessary to ensure that the procedures are well developed and implemented. We will </w:t>
      </w:r>
      <w:r>
        <w:t>build on the</w:t>
      </w:r>
      <w:r w:rsidRPr="00504E0A">
        <w:t xml:space="preserve"> advance contact strategy that </w:t>
      </w:r>
      <w:r>
        <w:t>w</w:t>
      </w:r>
      <w:r w:rsidRPr="00504E0A">
        <w:t>a</w:t>
      </w:r>
      <w:r>
        <w:t xml:space="preserve">s successfully employed on PIAAC Cycle I. </w:t>
      </w:r>
      <w:r w:rsidRPr="00504E0A">
        <w:t xml:space="preserve">An </w:t>
      </w:r>
      <w:r w:rsidR="00057246">
        <w:t>Advance Letter</w:t>
      </w:r>
      <w:r w:rsidRPr="00504E0A">
        <w:t xml:space="preserve"> </w:t>
      </w:r>
      <w:r w:rsidR="00CF1A04">
        <w:t xml:space="preserve">and postcard </w:t>
      </w:r>
      <w:r w:rsidRPr="00504E0A">
        <w:t xml:space="preserve">will be mailed to all </w:t>
      </w:r>
      <w:r w:rsidR="00B5172C">
        <w:t xml:space="preserve">sampled </w:t>
      </w:r>
      <w:r w:rsidRPr="00504E0A">
        <w:t>households in advance of the data collector</w:t>
      </w:r>
      <w:r w:rsidR="00145879">
        <w:t>’</w:t>
      </w:r>
      <w:r w:rsidRPr="00504E0A">
        <w:t>s initial visit</w:t>
      </w:r>
      <w:r w:rsidR="005665F7">
        <w:t xml:space="preserve"> (see Appendix </w:t>
      </w:r>
      <w:r w:rsidR="00672BB1">
        <w:t>E</w:t>
      </w:r>
      <w:r w:rsidR="005665F7">
        <w:t>)</w:t>
      </w:r>
      <w:r w:rsidRPr="00504E0A">
        <w:t>. Th</w:t>
      </w:r>
      <w:r w:rsidR="001B6EAF">
        <w:t>e</w:t>
      </w:r>
      <w:r w:rsidRPr="00504E0A">
        <w:t xml:space="preserve"> letter will inform potential respondents of NCES</w:t>
      </w:r>
      <w:r w:rsidR="00145879">
        <w:t>’</w:t>
      </w:r>
      <w:r w:rsidRPr="00504E0A">
        <w:t xml:space="preserve"> authorizing legislation; the purposes for which the PIAAC data are needed; uses that may be made of the data;</w:t>
      </w:r>
      <w:r w:rsidR="00774EF3">
        <w:t xml:space="preserve"> and</w:t>
      </w:r>
      <w:r w:rsidRPr="00504E0A">
        <w:t xml:space="preserve"> the methods of reporting the data to protect privacy. </w:t>
      </w:r>
      <w:r w:rsidR="00CF1A04">
        <w:t>A</w:t>
      </w:r>
      <w:r w:rsidRPr="00504E0A">
        <w:t>n informative brochure (</w:t>
      </w:r>
      <w:r w:rsidR="005665F7">
        <w:t xml:space="preserve">text </w:t>
      </w:r>
      <w:r w:rsidRPr="00504E0A">
        <w:t>provided in Appendi</w:t>
      </w:r>
      <w:r>
        <w:t xml:space="preserve">x </w:t>
      </w:r>
      <w:r w:rsidR="00672BB1">
        <w:t>E</w:t>
      </w:r>
      <w:r w:rsidRPr="00504E0A">
        <w:t>) will be given to sampled participants when the interviewer visits the sampled household.</w:t>
      </w:r>
      <w:r>
        <w:t xml:space="preserve"> </w:t>
      </w:r>
    </w:p>
    <w:p w14:paraId="24320912" w14:textId="5A19C07A" w:rsidR="00100CFA" w:rsidRDefault="00100CFA" w:rsidP="0021074A">
      <w:pPr>
        <w:pStyle w:val="L1-FlLSp12"/>
        <w:widowControl w:val="0"/>
        <w:spacing w:after="120" w:line="23" w:lineRule="atLeast"/>
      </w:pPr>
      <w:r>
        <w:t>A</w:t>
      </w:r>
      <w:r w:rsidRPr="00100CFA">
        <w:t>s mentioned on p. 4 of Part A, some effort was taken to brand the study in the United States in a way that would attract, rather than hinder, perspective respondents. The official international name of the study, Program for the International Assessment of Adult Competencies, uses two of the terms that program administrators try to avoid using in interactions with respondents and in outreach materials: assessment and competencies. When respondents believe that their performance is being evaluated or their knowledge is being tested</w:t>
      </w:r>
      <w:r w:rsidR="004D1D4D">
        <w:t>,</w:t>
      </w:r>
      <w:r w:rsidRPr="00100CFA">
        <w:t xml:space="preserve"> the risk of refusal is higher, and the more user-friendly name</w:t>
      </w:r>
      <w:r>
        <w:t xml:space="preserve"> International Study of Adult Skills and Learning (ISA</w:t>
      </w:r>
      <w:r w:rsidR="007E5E08">
        <w:t>SL</w:t>
      </w:r>
      <w:r>
        <w:t>)</w:t>
      </w:r>
      <w:r w:rsidRPr="00100CFA">
        <w:t xml:space="preserve"> may help in that regard. </w:t>
      </w:r>
    </w:p>
    <w:p w14:paraId="49517410" w14:textId="245BFB3D" w:rsidR="00AB251F" w:rsidRDefault="00E75CE0" w:rsidP="0021074A">
      <w:pPr>
        <w:pStyle w:val="L1-FlLSp12"/>
        <w:widowControl w:val="0"/>
        <w:spacing w:after="120" w:line="23" w:lineRule="atLeast"/>
      </w:pPr>
      <w:r w:rsidRPr="00504E0A">
        <w:t>All project materials will include the study</w:t>
      </w:r>
      <w:r w:rsidR="00145879">
        <w:t>’</w:t>
      </w:r>
      <w:r w:rsidRPr="00504E0A">
        <w:t>s web site address and a toll-free telephone number for respondents to obtain additional information about the study. The materials will also mention the incentive</w:t>
      </w:r>
      <w:r w:rsidR="00CF1A04">
        <w:t>s</w:t>
      </w:r>
      <w:r w:rsidRPr="00504E0A">
        <w:t xml:space="preserve"> and will include the study logo for legitimacy purposes. It is very important for the data collector to establish legitimacy at the door, which can be accomplished by the use of a strong introductory statement </w:t>
      </w:r>
      <w:r w:rsidR="00672BB1">
        <w:t>(see Appendix E</w:t>
      </w:r>
      <w:r w:rsidR="005665F7">
        <w:t xml:space="preserve">) </w:t>
      </w:r>
      <w:r w:rsidRPr="00504E0A">
        <w:t xml:space="preserve">during which the data collector shows their </w:t>
      </w:r>
      <w:r w:rsidR="005665F7">
        <w:t xml:space="preserve">study </w:t>
      </w:r>
      <w:r w:rsidRPr="00504E0A">
        <w:t>ID badge and a copy of the advance materials</w:t>
      </w:r>
      <w:r w:rsidRPr="00613E7B">
        <w:t xml:space="preserve">. </w:t>
      </w:r>
      <w:r w:rsidR="00AB251F" w:rsidRPr="00613E7B">
        <w:t xml:space="preserve">The study ID badge </w:t>
      </w:r>
      <w:r w:rsidR="00124790" w:rsidRPr="00613E7B">
        <w:t xml:space="preserve">dimensions </w:t>
      </w:r>
      <w:r w:rsidR="00AB251F" w:rsidRPr="00613E7B">
        <w:t xml:space="preserve">are 5.5” by 7”, a size that allows the badge to be visible to someone </w:t>
      </w:r>
      <w:r w:rsidR="00124790" w:rsidRPr="00613E7B">
        <w:t>trying to determine</w:t>
      </w:r>
      <w:r w:rsidR="00AB251F" w:rsidRPr="00613E7B">
        <w:t xml:space="preserve"> </w:t>
      </w:r>
      <w:r w:rsidR="00CC755E" w:rsidRPr="00613E7B">
        <w:t xml:space="preserve">from inside the dwelling unit </w:t>
      </w:r>
      <w:r w:rsidR="00AB251F" w:rsidRPr="00613E7B">
        <w:t>whether to open the door to the interviewer</w:t>
      </w:r>
      <w:r w:rsidR="00124790" w:rsidRPr="00613E7B">
        <w:t xml:space="preserve"> or not</w:t>
      </w:r>
      <w:r w:rsidR="00AB251F" w:rsidRPr="00613E7B">
        <w:t xml:space="preserve">. Interviewers also </w:t>
      </w:r>
      <w:r w:rsidR="00124790" w:rsidRPr="00613E7B">
        <w:t xml:space="preserve">will </w:t>
      </w:r>
      <w:r w:rsidR="00AB251F" w:rsidRPr="00613E7B">
        <w:t>carry a supply of pens and screen cleaning cloths with the study logo to hand to respondents in an effort to ease the interaction at the door and help pave the ground for a return visit if needed.</w:t>
      </w:r>
      <w:r w:rsidR="00AB251F">
        <w:t xml:space="preserve"> </w:t>
      </w:r>
    </w:p>
    <w:p w14:paraId="21F7ECF0" w14:textId="153708AD" w:rsidR="00E75CE0" w:rsidRDefault="00E664D6" w:rsidP="0021074A">
      <w:pPr>
        <w:pStyle w:val="L1-FlLSp12"/>
        <w:widowControl w:val="0"/>
        <w:spacing w:after="120" w:line="23" w:lineRule="atLeast"/>
      </w:pPr>
      <w:r w:rsidRPr="006E72B1">
        <w:t>A presence in social media platforms (e.g.</w:t>
      </w:r>
      <w:r w:rsidR="00145879">
        <w:t>,</w:t>
      </w:r>
      <w:r w:rsidRPr="006E72B1">
        <w:t xml:space="preserve"> Facebook, Twitter) will further help legitimize the study and reach respondents who are more inclined to seek information </w:t>
      </w:r>
      <w:r>
        <w:t xml:space="preserve">about the study </w:t>
      </w:r>
      <w:r w:rsidRPr="006E72B1">
        <w:t>via these platforms.</w:t>
      </w:r>
      <w:r>
        <w:t xml:space="preserve"> </w:t>
      </w:r>
      <w:r w:rsidR="00E75CE0">
        <w:t>The Field Test will serve to test new approaches and materials</w:t>
      </w:r>
      <w:r w:rsidR="00CF1A04">
        <w:t xml:space="preserve"> in preparation for the Main Study</w:t>
      </w:r>
      <w:r w:rsidR="00E75CE0">
        <w:t xml:space="preserve">. </w:t>
      </w:r>
    </w:p>
    <w:p w14:paraId="7B5486E5" w14:textId="56660025" w:rsidR="000624C7" w:rsidRDefault="000624C7" w:rsidP="0021074A">
      <w:pPr>
        <w:pStyle w:val="L1-FlLSp12"/>
        <w:widowControl w:val="0"/>
        <w:spacing w:after="120" w:line="23" w:lineRule="atLeast"/>
      </w:pPr>
      <w:r w:rsidRPr="00613E7B">
        <w:t xml:space="preserve">The PIAAC study toll-free number is another tool for gaining cooperation from respondents. Since many of the calls made to the number are from respondents wanting to refuse participation, the PIAAC staff member who answers the calls is trained on (1) trying to determine the reason for the refusal and (2) offering the respondent reasons for participating and (3) avoiding a final or hostile refusal so that an interviewer can still contact the household in person. The toll-free number also receives calls from respondents requesting or rescheduling appointments or </w:t>
      </w:r>
      <w:r w:rsidR="00613E7B" w:rsidRPr="00613E7B">
        <w:t>asking for</w:t>
      </w:r>
      <w:r w:rsidRPr="00613E7B">
        <w:t xml:space="preserve"> more information about the study. All the calls are logged into a database, the case identification number is associated with the calls whenever possible, and the information about the call is relayed to the field supervisor assigned to the case for follow up.</w:t>
      </w:r>
      <w:r>
        <w:t xml:space="preserve"> </w:t>
      </w:r>
    </w:p>
    <w:p w14:paraId="2FFE2889" w14:textId="3DAE68E3" w:rsidR="00AB251F" w:rsidRDefault="00E75CE0" w:rsidP="0021074A">
      <w:pPr>
        <w:pStyle w:val="L1-FlLSp12"/>
        <w:widowControl w:val="0"/>
        <w:spacing w:after="120" w:line="23" w:lineRule="atLeast"/>
      </w:pPr>
      <w:r w:rsidRPr="00504E0A">
        <w:t xml:space="preserve">Once data collection begins, effective contact patterns are another important component of achieving response rates. Completion rates improve when </w:t>
      </w:r>
      <w:r w:rsidR="00716C9B">
        <w:t>interviewers</w:t>
      </w:r>
      <w:r w:rsidRPr="00504E0A">
        <w:t xml:space="preserve"> attempt contact on different days of the week and at varying times of the day. </w:t>
      </w:r>
      <w:r w:rsidR="00AB251F">
        <w:t>As required by the international standards and as instructed at interviewer training, i</w:t>
      </w:r>
      <w:r w:rsidR="00B5172C">
        <w:t>nterviewers</w:t>
      </w:r>
      <w:r w:rsidRPr="00504E0A">
        <w:t xml:space="preserve"> will make </w:t>
      </w:r>
      <w:r w:rsidR="005665F7">
        <w:t>six</w:t>
      </w:r>
      <w:r w:rsidRPr="00504E0A">
        <w:t xml:space="preserve"> well-</w:t>
      </w:r>
      <w:r w:rsidRPr="00A5715D">
        <w:t xml:space="preserve">timed attempts to contact a household before reviewing the case with the supervisor to identify another pattern of contact. </w:t>
      </w:r>
      <w:r w:rsidR="000624C7" w:rsidRPr="00A5715D">
        <w:t>W</w:t>
      </w:r>
      <w:r w:rsidR="00AB251F" w:rsidRPr="00A5715D">
        <w:t xml:space="preserve">ell-timed </w:t>
      </w:r>
      <w:r w:rsidR="000624C7" w:rsidRPr="00A5715D">
        <w:t>contact attempts are those t</w:t>
      </w:r>
      <w:r w:rsidR="00AB251F" w:rsidRPr="00A5715D">
        <w:t xml:space="preserve">hat the interviewer </w:t>
      </w:r>
      <w:r w:rsidR="00380793" w:rsidRPr="00A5715D">
        <w:t>makes</w:t>
      </w:r>
      <w:r w:rsidR="000624C7" w:rsidRPr="00A5715D">
        <w:t xml:space="preserve"> </w:t>
      </w:r>
      <w:r w:rsidR="00AB251F" w:rsidRPr="00A5715D">
        <w:t xml:space="preserve">at different times of the day and on different days of the week. Supervisors will have access to </w:t>
      </w:r>
      <w:r w:rsidR="00613E7B" w:rsidRPr="00A5715D">
        <w:t>up-</w:t>
      </w:r>
      <w:r w:rsidR="005D7195" w:rsidRPr="00A5715D">
        <w:t>to</w:t>
      </w:r>
      <w:r w:rsidR="00613E7B" w:rsidRPr="00A5715D">
        <w:t>-</w:t>
      </w:r>
      <w:r w:rsidR="005D7195" w:rsidRPr="00A5715D">
        <w:t>date information on their interviewers’ patterns</w:t>
      </w:r>
      <w:r w:rsidR="00AB251F" w:rsidRPr="00A5715D">
        <w:t xml:space="preserve"> of contact attempts and will study these</w:t>
      </w:r>
      <w:r w:rsidR="005D7195" w:rsidRPr="00A5715D">
        <w:t xml:space="preserve"> on a daily basis</w:t>
      </w:r>
      <w:r w:rsidR="00AB251F" w:rsidRPr="00A5715D">
        <w:t xml:space="preserve"> to ensure that interviewers are following the contact protocols</w:t>
      </w:r>
      <w:r w:rsidR="005D7195" w:rsidRPr="00A5715D">
        <w:t xml:space="preserve"> before they reach the sixth contact attempt</w:t>
      </w:r>
      <w:r w:rsidR="00AB251F" w:rsidRPr="00A5715D">
        <w:t>.</w:t>
      </w:r>
      <w:r w:rsidR="005D7195" w:rsidRPr="00A5715D">
        <w:t xml:space="preserve"> </w:t>
      </w:r>
      <w:r w:rsidR="000624C7" w:rsidRPr="00A5715D">
        <w:t>Supervisors will flag deviations from the contact protocols and will follow up promptly with interviewers.</w:t>
      </w:r>
      <w:r w:rsidR="000624C7">
        <w:t xml:space="preserve"> </w:t>
      </w:r>
      <w:r w:rsidR="00AB251F">
        <w:t xml:space="preserve"> </w:t>
      </w:r>
    </w:p>
    <w:p w14:paraId="48C1466A" w14:textId="77777777" w:rsidR="00380793" w:rsidRPr="00A5715D" w:rsidRDefault="00E75CE0" w:rsidP="0021074A">
      <w:pPr>
        <w:pStyle w:val="L1-FlLSp12"/>
        <w:widowControl w:val="0"/>
        <w:spacing w:after="120" w:line="23" w:lineRule="atLeast"/>
      </w:pPr>
      <w:r w:rsidRPr="00504E0A">
        <w:t>These other contact strategies may i</w:t>
      </w:r>
      <w:r>
        <w:t xml:space="preserve">nclude </w:t>
      </w:r>
      <w:r w:rsidR="00097B9D">
        <w:t xml:space="preserve">unscripted </w:t>
      </w:r>
      <w:r w:rsidRPr="001B6EAF">
        <w:t>telephone</w:t>
      </w:r>
      <w:r w:rsidR="00B74947">
        <w:t xml:space="preserve"> calls to households</w:t>
      </w:r>
      <w:r w:rsidR="00097B9D">
        <w:t xml:space="preserve"> (if requested by household</w:t>
      </w:r>
      <w:r w:rsidR="00097B9D" w:rsidRPr="001B6EAF">
        <w:t>)</w:t>
      </w:r>
      <w:r w:rsidR="00D53C3A">
        <w:t xml:space="preserve"> to answer questions and set appointments</w:t>
      </w:r>
      <w:r w:rsidRPr="001B6EAF">
        <w:t xml:space="preserve">, FedEx letters, or postcards via USPS mail. We plan to staff each PSU with two </w:t>
      </w:r>
      <w:r w:rsidR="00D91314" w:rsidRPr="001B6EAF">
        <w:t>interviewers</w:t>
      </w:r>
      <w:r w:rsidRPr="001B6EAF">
        <w:t xml:space="preserve">. </w:t>
      </w:r>
      <w:r w:rsidR="00B74947" w:rsidRPr="001B6EAF">
        <w:t xml:space="preserve">Having </w:t>
      </w:r>
      <w:r w:rsidRPr="001B6EAF">
        <w:t xml:space="preserve">multiple </w:t>
      </w:r>
      <w:r w:rsidR="00D91314" w:rsidRPr="001B6EAF">
        <w:t>interviewers</w:t>
      </w:r>
      <w:r w:rsidRPr="001B6EAF">
        <w:t xml:space="preserve"> in a PSU </w:t>
      </w:r>
      <w:r w:rsidR="00B74947" w:rsidRPr="001B6EAF">
        <w:t xml:space="preserve">is advantageous because it </w:t>
      </w:r>
      <w:r w:rsidRPr="001B6EAF">
        <w:t xml:space="preserve">allows </w:t>
      </w:r>
      <w:r w:rsidR="00E73F11" w:rsidRPr="001B6EAF">
        <w:t xml:space="preserve">supervisors to assign the interviewer best suited to work each case based on the demographic characteristics of the </w:t>
      </w:r>
      <w:r w:rsidR="00E73F11" w:rsidRPr="00A5715D">
        <w:t xml:space="preserve">neighborhood, </w:t>
      </w:r>
      <w:r w:rsidRPr="00A5715D">
        <w:t xml:space="preserve">and allows for coverage in case of data collector illness or unavailability. </w:t>
      </w:r>
    </w:p>
    <w:p w14:paraId="2D1EBD40" w14:textId="012E27E8" w:rsidR="00663BF1" w:rsidRDefault="00663BF1" w:rsidP="0021074A">
      <w:pPr>
        <w:pStyle w:val="L1-FlLSp12"/>
        <w:widowControl w:val="0"/>
        <w:spacing w:after="120" w:line="23" w:lineRule="atLeast"/>
      </w:pPr>
      <w:r w:rsidRPr="00A5715D">
        <w:t xml:space="preserve">Interviewers are trained to handle refusals to participate in the study in a way that leaves the door open to further contacts. Unless the refusal was hostile, in which case no further contact with the household is had, the cases </w:t>
      </w:r>
      <w:r w:rsidR="00A5715D" w:rsidRPr="00A5715D">
        <w:t>of</w:t>
      </w:r>
      <w:r w:rsidRPr="00A5715D">
        <w:t xml:space="preserve"> households that have refused to complete the Screener and respondents who have refused to complete the interview are discussed by supervisors and interviewers during the weekly call to determine the best approach for attempting to convert the refusal into a completed interview.</w:t>
      </w:r>
      <w:r>
        <w:t xml:space="preserve"> </w:t>
      </w:r>
    </w:p>
    <w:p w14:paraId="7EF14E0C" w14:textId="051D042F" w:rsidR="00E75CE0" w:rsidRPr="00A5715D" w:rsidRDefault="00E75CE0" w:rsidP="0021074A">
      <w:pPr>
        <w:pStyle w:val="L1-FlLSp12"/>
        <w:widowControl w:val="0"/>
        <w:spacing w:after="120" w:line="23" w:lineRule="atLeast"/>
      </w:pPr>
      <w:r w:rsidRPr="00504E0A">
        <w:t>In carrying out efforts to achieve high response and participation rates</w:t>
      </w:r>
      <w:r>
        <w:t>,</w:t>
      </w:r>
      <w:r w:rsidRPr="00504E0A">
        <w:t xml:space="preserve"> our data collection efforts </w:t>
      </w:r>
      <w:r>
        <w:t xml:space="preserve">follow a </w:t>
      </w:r>
      <w:r w:rsidRPr="00504E0A">
        <w:t>phased approach that</w:t>
      </w:r>
      <w:r>
        <w:t xml:space="preserve"> allows for refusal conversion</w:t>
      </w:r>
      <w:r w:rsidR="00380793">
        <w:t>. A</w:t>
      </w:r>
      <w:r w:rsidR="00CF1A04">
        <w:t xml:space="preserve">lthough that will not </w:t>
      </w:r>
      <w:r w:rsidR="00A74EF1">
        <w:t xml:space="preserve">be a priority during the Field </w:t>
      </w:r>
      <w:r w:rsidR="00A74EF1" w:rsidRPr="00A5715D">
        <w:t>Test</w:t>
      </w:r>
      <w:r w:rsidR="00380793" w:rsidRPr="00A5715D">
        <w:t>, refusal conversion efforts may be called for to reach the 50 percent response rate set in the standards for the Field Test</w:t>
      </w:r>
      <w:r w:rsidRPr="00A5715D">
        <w:t>.</w:t>
      </w:r>
      <w:r w:rsidR="00380793" w:rsidRPr="00A5715D">
        <w:t xml:space="preserve"> Refusal conversion efforts include:</w:t>
      </w:r>
    </w:p>
    <w:p w14:paraId="76DD5600" w14:textId="1D68D711" w:rsidR="00380793" w:rsidRPr="00A5715D" w:rsidRDefault="00380793" w:rsidP="0021074A">
      <w:pPr>
        <w:pStyle w:val="L1-FlLSp12"/>
        <w:widowControl w:val="0"/>
        <w:numPr>
          <w:ilvl w:val="0"/>
          <w:numId w:val="29"/>
        </w:numPr>
        <w:spacing w:after="120" w:line="23" w:lineRule="atLeast"/>
      </w:pPr>
      <w:r w:rsidRPr="00A5715D">
        <w:t>Refusal conversion online training;</w:t>
      </w:r>
    </w:p>
    <w:p w14:paraId="60FBDB67" w14:textId="114E1AD9" w:rsidR="00380793" w:rsidRPr="00A5715D" w:rsidRDefault="00380793" w:rsidP="0021074A">
      <w:pPr>
        <w:pStyle w:val="L1-FlLSp12"/>
        <w:widowControl w:val="0"/>
        <w:numPr>
          <w:ilvl w:val="0"/>
          <w:numId w:val="29"/>
        </w:numPr>
        <w:spacing w:after="120" w:line="23" w:lineRule="atLeast"/>
      </w:pPr>
      <w:r w:rsidRPr="00A5715D">
        <w:t>Mailing refusal letters to households or respondents;</w:t>
      </w:r>
    </w:p>
    <w:p w14:paraId="3B97BD32" w14:textId="178A90A0" w:rsidR="00380793" w:rsidRPr="00A5715D" w:rsidRDefault="00380793" w:rsidP="0021074A">
      <w:pPr>
        <w:pStyle w:val="L1-FlLSp12"/>
        <w:widowControl w:val="0"/>
        <w:numPr>
          <w:ilvl w:val="0"/>
          <w:numId w:val="29"/>
        </w:numPr>
        <w:spacing w:after="120" w:line="23" w:lineRule="atLeast"/>
      </w:pPr>
      <w:r w:rsidRPr="00A5715D">
        <w:t>Reassignment of cases to another interviewer in the area; and</w:t>
      </w:r>
    </w:p>
    <w:p w14:paraId="140FEA16" w14:textId="30D075E2" w:rsidR="00380793" w:rsidRPr="00A5715D" w:rsidRDefault="00380793" w:rsidP="0021074A">
      <w:pPr>
        <w:pStyle w:val="L1-FlLSp12"/>
        <w:widowControl w:val="0"/>
        <w:numPr>
          <w:ilvl w:val="0"/>
          <w:numId w:val="29"/>
        </w:numPr>
        <w:spacing w:after="120" w:line="23" w:lineRule="atLeast"/>
      </w:pPr>
      <w:r w:rsidRPr="00A5715D">
        <w:t>Bringing in a traveling interviewer who is adept at converting refusals to work refusals cases in an area.</w:t>
      </w:r>
    </w:p>
    <w:p w14:paraId="1A31B42A" w14:textId="1D4DDF13" w:rsidR="00380793" w:rsidRPr="00A5715D" w:rsidRDefault="00380793" w:rsidP="0021074A">
      <w:pPr>
        <w:pStyle w:val="L1-FlLSp12"/>
        <w:widowControl w:val="0"/>
        <w:spacing w:before="240" w:after="120" w:line="23" w:lineRule="atLeast"/>
        <w:rPr>
          <w:rStyle w:val="Strong"/>
          <w:u w:val="single"/>
        </w:rPr>
      </w:pPr>
      <w:r w:rsidRPr="00A5715D">
        <w:rPr>
          <w:rStyle w:val="Strong"/>
          <w:u w:val="single"/>
        </w:rPr>
        <w:t>Refusal Conversion Online Training</w:t>
      </w:r>
    </w:p>
    <w:p w14:paraId="4F738AE2" w14:textId="5B135A2B" w:rsidR="00380793" w:rsidRPr="00A5715D" w:rsidRDefault="00380793" w:rsidP="0021074A">
      <w:pPr>
        <w:pStyle w:val="L1-FlLSp12"/>
        <w:widowControl w:val="0"/>
        <w:spacing w:after="120" w:line="23" w:lineRule="atLeast"/>
      </w:pPr>
      <w:r w:rsidRPr="00A5715D">
        <w:t xml:space="preserve">About a month into the field period, all interviewers are required to complete a Refusal Conversion online training module designed to reinforce the techniques learned at the in-person training. The module is followed by a conference call during which the supervisor asks more experienced interviewers and those who have converted several refusals since the field period started to share what strategies have worked from them and role-play with newer interviewers. </w:t>
      </w:r>
    </w:p>
    <w:p w14:paraId="61505C3D" w14:textId="65335AF1" w:rsidR="00663BF1" w:rsidRPr="00A5715D" w:rsidRDefault="00663BF1" w:rsidP="0021074A">
      <w:pPr>
        <w:pStyle w:val="L1-FlLSp12"/>
        <w:widowControl w:val="0"/>
        <w:spacing w:after="120" w:line="23" w:lineRule="atLeast"/>
        <w:rPr>
          <w:b/>
        </w:rPr>
      </w:pPr>
      <w:r w:rsidRPr="00A5715D">
        <w:rPr>
          <w:b/>
        </w:rPr>
        <w:t>Mailing of Refusal Letters</w:t>
      </w:r>
    </w:p>
    <w:p w14:paraId="7E34AF61" w14:textId="39AD8A84" w:rsidR="0027675D" w:rsidRPr="00A5715D" w:rsidRDefault="0027675D" w:rsidP="0021074A">
      <w:pPr>
        <w:pStyle w:val="L1-FlLSp12"/>
        <w:widowControl w:val="0"/>
        <w:spacing w:after="120" w:line="23" w:lineRule="atLeast"/>
      </w:pPr>
      <w:r w:rsidRPr="00A5715D">
        <w:t xml:space="preserve">Households and respondents that refused to participate are mailed refusal letters about two weeks after the refusal occurred. The letters are tailored to the particular refusal reason, if ascertained, otherwise a generic refusal letters is sent. The date when the letter is sent is recorded into the Case Management System so that the supervisor and the interviewer can decided when the best time to follow up is based on the interaction had at the door. Stronger refusals need more time, weak refusals are contacted sooner. </w:t>
      </w:r>
      <w:r w:rsidR="004302A8" w:rsidRPr="00A5715D">
        <w:t xml:space="preserve">Reluctant households usually receive only one refusal letter in the course of the field period. </w:t>
      </w:r>
    </w:p>
    <w:p w14:paraId="4AF8CAB7" w14:textId="35F0769E" w:rsidR="0027675D" w:rsidRPr="00A5715D" w:rsidRDefault="0027675D" w:rsidP="0021074A">
      <w:pPr>
        <w:pStyle w:val="L1-FlLSp12"/>
        <w:widowControl w:val="0"/>
        <w:spacing w:after="120" w:line="23" w:lineRule="atLeast"/>
        <w:rPr>
          <w:b/>
        </w:rPr>
      </w:pPr>
      <w:r w:rsidRPr="00A5715D">
        <w:rPr>
          <w:b/>
        </w:rPr>
        <w:t>Reassignment of cases to local interviewer</w:t>
      </w:r>
    </w:p>
    <w:p w14:paraId="63735B89" w14:textId="1024D266" w:rsidR="0027675D" w:rsidRPr="00A5715D" w:rsidRDefault="0027675D" w:rsidP="0021074A">
      <w:pPr>
        <w:pStyle w:val="L1-FlLSp12"/>
        <w:widowControl w:val="0"/>
        <w:spacing w:after="120" w:line="23" w:lineRule="atLeast"/>
      </w:pPr>
      <w:r w:rsidRPr="00A5715D">
        <w:t xml:space="preserve">Whenever possible, interviewers working on the same area will be instructed to trade refusal cases. In prior rounds of PIAAC, having a different interviewer contact a reluctant household </w:t>
      </w:r>
      <w:r w:rsidR="004302A8" w:rsidRPr="00A5715D">
        <w:t xml:space="preserve">or respondent </w:t>
      </w:r>
      <w:r w:rsidRPr="00A5715D">
        <w:t>often yielded better results than having the same interviewer</w:t>
      </w:r>
      <w:r w:rsidR="001F1B0F" w:rsidRPr="00A5715D">
        <w:t xml:space="preserve">, a fresh approach at a different sometimes makes all the difference. </w:t>
      </w:r>
      <w:r w:rsidRPr="00A5715D">
        <w:t xml:space="preserve"> </w:t>
      </w:r>
    </w:p>
    <w:p w14:paraId="4BBC0CCE" w14:textId="268CA890" w:rsidR="001F1B0F" w:rsidRPr="00A5715D" w:rsidRDefault="004302A8" w:rsidP="0021074A">
      <w:pPr>
        <w:pStyle w:val="L1-FlLSp12"/>
        <w:widowControl w:val="0"/>
        <w:spacing w:after="120" w:line="23" w:lineRule="atLeast"/>
        <w:rPr>
          <w:b/>
        </w:rPr>
      </w:pPr>
      <w:r w:rsidRPr="00A5715D">
        <w:rPr>
          <w:b/>
        </w:rPr>
        <w:t>Bringing in a Traveling Interviewer</w:t>
      </w:r>
    </w:p>
    <w:p w14:paraId="70AA7B2E" w14:textId="3CE09DF7" w:rsidR="00EB3838" w:rsidRDefault="004302A8" w:rsidP="0021074A">
      <w:pPr>
        <w:pStyle w:val="L1-FlLSp12"/>
        <w:widowControl w:val="0"/>
        <w:spacing w:after="120" w:line="23" w:lineRule="atLeast"/>
      </w:pPr>
      <w:r w:rsidRPr="00A5715D">
        <w:t>A few interviewers are hired for the study without being assigned to a specific sampled area. These interviewers, known as travelers, are selected for their flexibility in meeting assignment requirements, their proven record as  high-producers and refusal converters, and their ability to travel by car or plane to assigned locations on short notice. These travelers are first used to cover areas that are currently unstaffed but</w:t>
      </w:r>
      <w:r w:rsidR="00F96004" w:rsidRPr="00A5715D">
        <w:t>,</w:t>
      </w:r>
      <w:r w:rsidRPr="00A5715D">
        <w:t xml:space="preserve"> as the field period advances, refusal conversion work becomes a large component of their assignment. All refusal cases are usually transferred to the traveler during their stay </w:t>
      </w:r>
      <w:r w:rsidR="00F96004" w:rsidRPr="00A5715D">
        <w:t xml:space="preserve">in an area </w:t>
      </w:r>
      <w:r w:rsidRPr="00A5715D">
        <w:t>to maximize the use of their skills in convincing households and respondents to participate.</w:t>
      </w:r>
      <w:r>
        <w:t xml:space="preserve"> </w:t>
      </w:r>
    </w:p>
    <w:p w14:paraId="02627276" w14:textId="4D285BEC" w:rsidR="009C6EB7" w:rsidRDefault="00E75CE0" w:rsidP="0021074A">
      <w:pPr>
        <w:pStyle w:val="L1-FlLSp12"/>
        <w:widowControl w:val="0"/>
        <w:spacing w:after="120" w:line="23" w:lineRule="atLeast"/>
      </w:pPr>
      <w:r w:rsidRPr="00504E0A">
        <w:t xml:space="preserve">Each </w:t>
      </w:r>
      <w:r w:rsidR="00595D5F">
        <w:t>interviewer</w:t>
      </w:r>
      <w:r w:rsidRPr="00504E0A">
        <w:t xml:space="preserve"> will receive a </w:t>
      </w:r>
      <w:r>
        <w:t>tablet</w:t>
      </w:r>
      <w:r w:rsidRPr="00504E0A">
        <w:t xml:space="preserve"> computer loaded with the Interviewer Management System</w:t>
      </w:r>
      <w:r>
        <w:t xml:space="preserve"> </w:t>
      </w:r>
      <w:r w:rsidR="0051667E">
        <w:t xml:space="preserve">(IMS) </w:t>
      </w:r>
      <w:r w:rsidRPr="00504E0A">
        <w:t xml:space="preserve">to launch all CAPI instruments </w:t>
      </w:r>
      <w:r>
        <w:t>for administration of the interview</w:t>
      </w:r>
      <w:r w:rsidRPr="00504E0A">
        <w:t>.</w:t>
      </w:r>
      <w:r>
        <w:t xml:space="preserve"> </w:t>
      </w:r>
      <w:r w:rsidR="00595D5F">
        <w:t>Interviewers</w:t>
      </w:r>
      <w:r>
        <w:t xml:space="preserve"> will also receive a study smartphone with a PIAAC application for recording information </w:t>
      </w:r>
      <w:r w:rsidRPr="00504E0A">
        <w:t xml:space="preserve">about each visit to a household that did not result in a completed interview. </w:t>
      </w:r>
      <w:r w:rsidR="009C6EB7" w:rsidRPr="00504E0A">
        <w:t xml:space="preserve">Whenever a refusal or breakoff is encountered, the </w:t>
      </w:r>
      <w:r w:rsidR="00595D5F">
        <w:t>interviewer</w:t>
      </w:r>
      <w:r w:rsidR="009C6EB7" w:rsidRPr="00504E0A">
        <w:t xml:space="preserve"> will </w:t>
      </w:r>
      <w:r w:rsidR="009C6EB7">
        <w:t>enter information</w:t>
      </w:r>
      <w:r w:rsidR="009C6EB7" w:rsidRPr="00504E0A">
        <w:t xml:space="preserve"> </w:t>
      </w:r>
      <w:r w:rsidR="009C6EB7">
        <w:t>on the PIAAC app</w:t>
      </w:r>
      <w:r w:rsidR="00595D5F">
        <w:t xml:space="preserve"> or the IMS on the tablet</w:t>
      </w:r>
      <w:r w:rsidR="009C6EB7">
        <w:t xml:space="preserve"> </w:t>
      </w:r>
      <w:r w:rsidR="009C6EB7" w:rsidRPr="00504E0A">
        <w:t>about the reason for refusal</w:t>
      </w:r>
      <w:r w:rsidR="009C6EB7">
        <w:t xml:space="preserve"> and suggestions for conversion strategies</w:t>
      </w:r>
      <w:r w:rsidR="009C6EB7" w:rsidRPr="00504E0A">
        <w:t xml:space="preserve">. </w:t>
      </w:r>
      <w:r w:rsidR="009C6EB7">
        <w:t xml:space="preserve">Information about contacts and </w:t>
      </w:r>
      <w:r w:rsidR="009C6EB7" w:rsidRPr="00A5715D">
        <w:t xml:space="preserve">refusals is available to the supervisors via automated data transmission from the smartphones </w:t>
      </w:r>
      <w:r w:rsidR="00595D5F" w:rsidRPr="00A5715D">
        <w:t xml:space="preserve">and tablets </w:t>
      </w:r>
      <w:r w:rsidR="009C6EB7" w:rsidRPr="00A5715D">
        <w:t>to the home office</w:t>
      </w:r>
      <w:r w:rsidR="00EB3838" w:rsidRPr="00A5715D">
        <w:t>, where it is displayed in the Study Management System and the dashboard (see Section A.3)</w:t>
      </w:r>
      <w:r w:rsidR="009C6EB7" w:rsidRPr="00A5715D">
        <w:t xml:space="preserve">. </w:t>
      </w:r>
      <w:r w:rsidRPr="00A5715D">
        <w:t xml:space="preserve">Information will include: contact date and time, contact result or disposition code, appointment information, and general </w:t>
      </w:r>
      <w:r w:rsidR="00595D5F" w:rsidRPr="00A5715D">
        <w:t>interviewer</w:t>
      </w:r>
      <w:r w:rsidRPr="00A5715D">
        <w:t xml:space="preserve"> comments. These data are very helpful </w:t>
      </w:r>
      <w:r w:rsidR="00595D5F" w:rsidRPr="00A5715D">
        <w:t>for supervisors to determine when to reassign cases, bring in a t</w:t>
      </w:r>
      <w:r w:rsidR="00B5172C" w:rsidRPr="00A5715D">
        <w:t>raveling interviewer</w:t>
      </w:r>
      <w:r w:rsidR="00595D5F" w:rsidRPr="00A5715D">
        <w:t xml:space="preserve">, </w:t>
      </w:r>
      <w:r w:rsidR="00B5172C" w:rsidRPr="00A5715D">
        <w:t xml:space="preserve">and </w:t>
      </w:r>
      <w:r w:rsidR="00595D5F" w:rsidRPr="00A5715D">
        <w:t>send out</w:t>
      </w:r>
      <w:r w:rsidR="00B5172C" w:rsidRPr="00A5715D">
        <w:t xml:space="preserve"> refusal conversion materials</w:t>
      </w:r>
      <w:r w:rsidR="005665F7" w:rsidRPr="00A5715D">
        <w:t>,</w:t>
      </w:r>
      <w:r w:rsidR="0051667E" w:rsidRPr="00A5715D">
        <w:t xml:space="preserve"> and </w:t>
      </w:r>
      <w:r w:rsidRPr="00A5715D">
        <w:t>in helping to design a more directed and effective</w:t>
      </w:r>
      <w:r w:rsidRPr="00504E0A">
        <w:t xml:space="preserve"> campaign to convert the nonresponding households.</w:t>
      </w:r>
      <w:r w:rsidR="00E664D6">
        <w:t xml:space="preserve"> </w:t>
      </w:r>
      <w:r w:rsidRPr="00504E0A">
        <w:t xml:space="preserve">Contact and decline information will be collected, coded, and included in the biweekly data collection progress report. </w:t>
      </w:r>
    </w:p>
    <w:p w14:paraId="252BD420" w14:textId="3DFE4F40" w:rsidR="00EB3838" w:rsidRDefault="00EB3838" w:rsidP="0021074A">
      <w:pPr>
        <w:pStyle w:val="L1-FlLSp12"/>
        <w:widowControl w:val="0"/>
        <w:spacing w:after="120" w:line="23" w:lineRule="atLeast"/>
      </w:pPr>
      <w:r w:rsidRPr="00A5715D">
        <w:t xml:space="preserve">The </w:t>
      </w:r>
      <w:r w:rsidR="007D54AF" w:rsidRPr="00A5715D">
        <w:t xml:space="preserve">PIAAC </w:t>
      </w:r>
      <w:r w:rsidRPr="00A5715D">
        <w:t xml:space="preserve">dashboard </w:t>
      </w:r>
      <w:r w:rsidR="007D54AF" w:rsidRPr="00A5715D">
        <w:t>was first</w:t>
      </w:r>
      <w:r w:rsidRPr="00A5715D">
        <w:t xml:space="preserve"> used in the Cycle I PIAAC 2017 data collection. The main purpose of the dashboard is to facilitate the </w:t>
      </w:r>
      <w:r w:rsidR="007D54AF" w:rsidRPr="00A5715D">
        <w:t>use of paradata in the management of the field work. Supervisors, field managers and survey operations staff at Westat all have access to the dashboard. In it, information about contact patterns, cost and production, transmission of data, field work activities (</w:t>
      </w:r>
      <w:r w:rsidR="001C1450" w:rsidRPr="00A5715D">
        <w:t xml:space="preserve">routes and time </w:t>
      </w:r>
      <w:r w:rsidR="007D54AF" w:rsidRPr="00A5715D">
        <w:t>travel</w:t>
      </w:r>
      <w:r w:rsidR="001C1450" w:rsidRPr="00A5715D">
        <w:t>ing</w:t>
      </w:r>
      <w:r w:rsidR="007D54AF" w:rsidRPr="00A5715D">
        <w:t xml:space="preserve">, </w:t>
      </w:r>
      <w:r w:rsidR="001C1450" w:rsidRPr="00A5715D">
        <w:t>completed interview tasks</w:t>
      </w:r>
      <w:r w:rsidR="007D54AF" w:rsidRPr="00A5715D">
        <w:t xml:space="preserve">, administrative work) is displayed all at once in various windows for ease of access. Clicking on a particular data point on a window will drill further into the data to get more details, and will link back to the Study Management System to review the history of cases as needed. </w:t>
      </w:r>
      <w:r w:rsidR="001C1450" w:rsidRPr="00A5715D">
        <w:t>The dashboard is updated continuously via automatic transmissions from interviewers’ smartphones and tablets, therefore the data displayed is up to the minute. Supervisors utilize the dashboard</w:t>
      </w:r>
      <w:r w:rsidR="00B24173" w:rsidRPr="00A5715D">
        <w:t>, for example,</w:t>
      </w:r>
      <w:r w:rsidR="001C1450" w:rsidRPr="00A5715D">
        <w:t xml:space="preserve"> to ensure interviewers are working the cases as expected, that their travel routes are efficient, and that their production aligns with their hours worked.</w:t>
      </w:r>
    </w:p>
    <w:p w14:paraId="232A9ED7" w14:textId="1B1AE27F" w:rsidR="00E75CE0" w:rsidRDefault="00E75CE0" w:rsidP="0021074A">
      <w:pPr>
        <w:pStyle w:val="L1-FlLSp12"/>
        <w:widowControl w:val="0"/>
        <w:spacing w:after="120" w:line="23" w:lineRule="atLeast"/>
      </w:pPr>
      <w:r w:rsidRPr="00504E0A">
        <w:t xml:space="preserve">NCES believes that frequent, open communication between all levels of field staff is required for a successful data collection effort. Supervisors will use </w:t>
      </w:r>
      <w:r>
        <w:t xml:space="preserve">texts and encrypted </w:t>
      </w:r>
      <w:r w:rsidRPr="00504E0A">
        <w:t>email for day-to-day communication with their staff. Scheduled weekly conference calls will also be used at all levels</w:t>
      </w:r>
      <w:r w:rsidR="006E72B1">
        <w:t xml:space="preserve"> of supervision</w:t>
      </w:r>
      <w:r w:rsidRPr="00504E0A">
        <w:t>. All supervisory staff will be available for questions or other issues that come up every day via telephone</w:t>
      </w:r>
      <w:r>
        <w:t>, texts</w:t>
      </w:r>
      <w:r w:rsidRPr="00504E0A">
        <w:t xml:space="preserve"> and email.</w:t>
      </w:r>
      <w:r>
        <w:t xml:space="preserve"> </w:t>
      </w:r>
    </w:p>
    <w:p w14:paraId="351C6DD5" w14:textId="3F0DEF46" w:rsidR="00E75CE0" w:rsidRDefault="00E75CE0" w:rsidP="0021074A">
      <w:pPr>
        <w:pStyle w:val="N1-1stBullet"/>
        <w:widowControl w:val="0"/>
        <w:numPr>
          <w:ilvl w:val="0"/>
          <w:numId w:val="0"/>
        </w:numPr>
        <w:spacing w:after="120" w:line="23" w:lineRule="atLeast"/>
      </w:pPr>
      <w:r w:rsidRPr="001712EE">
        <w:t xml:space="preserve">Screening households posed the greatest challenge in PIAAC Cycle </w:t>
      </w:r>
      <w:r w:rsidR="005A0111">
        <w:t>I</w:t>
      </w:r>
      <w:r w:rsidR="005A0111" w:rsidRPr="001712EE">
        <w:t xml:space="preserve"> </w:t>
      </w:r>
      <w:r w:rsidRPr="001712EE">
        <w:t>data collection</w:t>
      </w:r>
      <w:r w:rsidR="00737A28">
        <w:t xml:space="preserve"> with respect to nonresponse</w:t>
      </w:r>
      <w:r w:rsidRPr="001712EE">
        <w:t xml:space="preserve">. </w:t>
      </w:r>
      <w:r w:rsidR="00FB538C">
        <w:t xml:space="preserve">The </w:t>
      </w:r>
      <w:r w:rsidRPr="001712EE">
        <w:t>Cycle II</w:t>
      </w:r>
      <w:r w:rsidR="00FB538C">
        <w:t xml:space="preserve"> Field Test will be an </w:t>
      </w:r>
      <w:r w:rsidR="00A74EF1">
        <w:t>o</w:t>
      </w:r>
      <w:r w:rsidR="00FB538C">
        <w:t>pportu</w:t>
      </w:r>
      <w:r w:rsidR="00A74EF1">
        <w:t>nity to gauge respondents</w:t>
      </w:r>
      <w:r w:rsidR="00145879">
        <w:t>’</w:t>
      </w:r>
      <w:r w:rsidR="00A74EF1">
        <w:t xml:space="preserve"> receptiveness to the study and current reasons for refusing to participate.</w:t>
      </w:r>
      <w:r w:rsidRPr="00504E0A">
        <w:rPr>
          <w:b/>
        </w:rPr>
        <w:t xml:space="preserve"> </w:t>
      </w:r>
      <w:r w:rsidRPr="001712EE">
        <w:t>We will dedicate</w:t>
      </w:r>
      <w:r w:rsidRPr="00504E0A">
        <w:t xml:space="preserve"> more training time, in the home study package and during in</w:t>
      </w:r>
      <w:r>
        <w:t xml:space="preserve">itial interviewer training, to </w:t>
      </w:r>
      <w:r w:rsidRPr="00504E0A">
        <w:t>the importance of obtaining high screener completion rates and t</w:t>
      </w:r>
      <w:r w:rsidR="005665F7">
        <w:t>echniques</w:t>
      </w:r>
      <w:r w:rsidRPr="00504E0A">
        <w:t xml:space="preserve"> </w:t>
      </w:r>
      <w:r w:rsidR="005665F7">
        <w:t>for</w:t>
      </w:r>
      <w:r w:rsidRPr="00504E0A">
        <w:t xml:space="preserve"> com</w:t>
      </w:r>
      <w:r>
        <w:t>pleting screeners based on our PIAAC Cycle I experience.</w:t>
      </w:r>
      <w:r w:rsidRPr="00504E0A">
        <w:t xml:space="preserve"> </w:t>
      </w:r>
      <w:r>
        <w:t>We will c</w:t>
      </w:r>
      <w:r w:rsidRPr="00504E0A">
        <w:t xml:space="preserve">ontinue to focus on this throughout data collection via </w:t>
      </w:r>
      <w:r>
        <w:t xml:space="preserve">reviewing information about contacts and providing feedback during </w:t>
      </w:r>
      <w:r w:rsidRPr="00504E0A">
        <w:t xml:space="preserve">supervisor/interviewer conference calls. </w:t>
      </w:r>
      <w:r>
        <w:t xml:space="preserve">We will also pair successful interviewers with those needing to improve contacting skills. </w:t>
      </w:r>
      <w:r w:rsidR="00737A28">
        <w:t>We will also t</w:t>
      </w:r>
      <w:r>
        <w:t xml:space="preserve">arget hard-to-reach-households </w:t>
      </w:r>
      <w:r w:rsidR="00737A28">
        <w:t>by tailoring</w:t>
      </w:r>
      <w:r>
        <w:t xml:space="preserve"> mailings of </w:t>
      </w:r>
      <w:r w:rsidR="005665F7">
        <w:t>letters</w:t>
      </w:r>
      <w:r>
        <w:t xml:space="preserve"> and other study outreach materials. </w:t>
      </w:r>
    </w:p>
    <w:p w14:paraId="765909F0" w14:textId="43F0AB16" w:rsidR="00CF1A04" w:rsidRDefault="00CF1A04" w:rsidP="0021074A">
      <w:pPr>
        <w:pStyle w:val="L1-FlLSp12"/>
        <w:widowControl w:val="0"/>
        <w:spacing w:after="120" w:line="23" w:lineRule="atLeast"/>
      </w:pPr>
      <w:r>
        <w:t xml:space="preserve">Response rates are not a priority for the PIAAC Cycle II Field Test, but </w:t>
      </w:r>
      <w:r w:rsidR="004C5BA2">
        <w:t>the Field Test</w:t>
      </w:r>
      <w:r>
        <w:t xml:space="preserve"> will be used to </w:t>
      </w:r>
      <w:r w:rsidRPr="00177701">
        <w:t xml:space="preserve">implement an incentive experiment </w:t>
      </w:r>
      <w:r>
        <w:t>with the goal of maximizing</w:t>
      </w:r>
      <w:r w:rsidRPr="00177701">
        <w:t xml:space="preserve"> response rates</w:t>
      </w:r>
      <w:r>
        <w:t xml:space="preserve"> in the Main Study and to</w:t>
      </w:r>
      <w:r w:rsidRPr="00177701">
        <w:t xml:space="preserve"> </w:t>
      </w:r>
      <w:r>
        <w:t xml:space="preserve">test an adaptive survey design approach towards minimizing nonresponse bias a described below. </w:t>
      </w:r>
    </w:p>
    <w:p w14:paraId="39057A0A" w14:textId="51966F51" w:rsidR="00177701" w:rsidRPr="00177701" w:rsidRDefault="00177701" w:rsidP="0021074A">
      <w:pPr>
        <w:pStyle w:val="Heading4"/>
        <w:widowControl w:val="0"/>
        <w:spacing w:after="120" w:line="23" w:lineRule="atLeast"/>
        <w:rPr>
          <w:rFonts w:ascii="Garamond" w:hAnsi="Garamond"/>
          <w:szCs w:val="24"/>
        </w:rPr>
      </w:pPr>
      <w:r w:rsidRPr="00177701">
        <w:rPr>
          <w:rFonts w:ascii="Garamond" w:hAnsi="Garamond"/>
          <w:szCs w:val="24"/>
        </w:rPr>
        <w:t>Incentive Experiment</w:t>
      </w:r>
    </w:p>
    <w:p w14:paraId="36013CD7" w14:textId="3343BB74" w:rsidR="00BC1D08" w:rsidRDefault="00177701" w:rsidP="0021074A">
      <w:pPr>
        <w:pStyle w:val="L1-FlLSp12"/>
        <w:widowControl w:val="0"/>
        <w:spacing w:after="120" w:line="23" w:lineRule="atLeast"/>
      </w:pPr>
      <w:r w:rsidRPr="00177701">
        <w:t xml:space="preserve">Given results of an incentive experiment in the PIAAC </w:t>
      </w:r>
      <w:r w:rsidR="00A74EF1">
        <w:t xml:space="preserve">Cycle I </w:t>
      </w:r>
      <w:r w:rsidRPr="00177701">
        <w:t>F</w:t>
      </w:r>
      <w:r w:rsidR="00A74EF1">
        <w:t xml:space="preserve">ield </w:t>
      </w:r>
      <w:r w:rsidRPr="00177701">
        <w:t>T</w:t>
      </w:r>
      <w:r w:rsidR="00A74EF1">
        <w:t>est</w:t>
      </w:r>
      <w:r w:rsidRPr="00177701">
        <w:t xml:space="preserve"> conducted in 2011 (Krenzke, Mohadjer and Hao, 2012), </w:t>
      </w:r>
      <w:r w:rsidR="00A74EF1">
        <w:t xml:space="preserve">the </w:t>
      </w:r>
      <w:r w:rsidRPr="00177701">
        <w:t xml:space="preserve">PIAAC </w:t>
      </w:r>
      <w:r w:rsidR="00A74EF1">
        <w:t xml:space="preserve">Cycle I </w:t>
      </w:r>
      <w:r w:rsidRPr="00177701">
        <w:t xml:space="preserve">2012 </w:t>
      </w:r>
      <w:r w:rsidR="00A74EF1">
        <w:t xml:space="preserve">data collection </w:t>
      </w:r>
      <w:r w:rsidRPr="00177701">
        <w:t xml:space="preserve">provided a $50 incentive to the sampled person for completion of the full survey, and </w:t>
      </w:r>
      <w:r w:rsidR="00A74EF1">
        <w:t xml:space="preserve">the </w:t>
      </w:r>
      <w:r w:rsidRPr="00177701">
        <w:t xml:space="preserve">2014 </w:t>
      </w:r>
      <w:r w:rsidR="00A74EF1">
        <w:t xml:space="preserve">data collection </w:t>
      </w:r>
      <w:r w:rsidRPr="00177701">
        <w:t xml:space="preserve">included an additional $5 incentive to the household respondent after the screener. Both were promised incentives that were conditional upon completion of the survey instrument. </w:t>
      </w:r>
    </w:p>
    <w:p w14:paraId="7F0646AD" w14:textId="3D349E41" w:rsidR="00BC1D08" w:rsidRDefault="00BC1D08" w:rsidP="0021074A">
      <w:pPr>
        <w:pStyle w:val="L1-FlLSp12"/>
        <w:widowControl w:val="0"/>
        <w:spacing w:after="120" w:line="23" w:lineRule="atLeast"/>
      </w:pPr>
      <w:r>
        <w:t>The literature on incentives indicates</w:t>
      </w:r>
      <w:r w:rsidR="00177701" w:rsidRPr="00177701">
        <w:t xml:space="preserve"> that a pre-paid (unconditional) incentive is more effective than a promised incentive (e.g., Mercer, et al., 2015), although the research is primarily focused on mail, internet, and telephone surveys. A pre-paid incentive increases the salience of the promised incentive message and the belief that the researcher will follow through. </w:t>
      </w:r>
    </w:p>
    <w:p w14:paraId="2647366D" w14:textId="2929081D" w:rsidR="00177701" w:rsidRPr="00177701" w:rsidRDefault="00177701" w:rsidP="0021074A">
      <w:pPr>
        <w:pStyle w:val="L1-FlLSp12"/>
        <w:widowControl w:val="0"/>
        <w:spacing w:after="120" w:line="23" w:lineRule="atLeast"/>
      </w:pPr>
      <w:r w:rsidRPr="00177701">
        <w:t xml:space="preserve">We </w:t>
      </w:r>
      <w:r>
        <w:t>will</w:t>
      </w:r>
      <w:r w:rsidRPr="00177701">
        <w:t xml:space="preserve"> include an experiment in the </w:t>
      </w:r>
      <w:r w:rsidR="00A74EF1">
        <w:t>F</w:t>
      </w:r>
      <w:r w:rsidRPr="00177701">
        <w:t xml:space="preserve">ield </w:t>
      </w:r>
      <w:r w:rsidR="00A74EF1">
        <w:t>T</w:t>
      </w:r>
      <w:r w:rsidRPr="00177701">
        <w:t xml:space="preserve">est to test the impact of providing the incentive as a combination of pre-paid and promised incentives </w:t>
      </w:r>
      <w:r w:rsidR="00916563">
        <w:t xml:space="preserve">at three points during the survey process </w:t>
      </w:r>
      <w:r w:rsidRPr="00177701">
        <w:t xml:space="preserve">(treatment) versus providing the full amount as a promised incentive </w:t>
      </w:r>
      <w:r w:rsidR="00916563">
        <w:t xml:space="preserve">after completion of the survey </w:t>
      </w:r>
      <w:r w:rsidRPr="00177701">
        <w:t xml:space="preserve">(control). Specifically, for a random one-half of the sample (treatment group), we </w:t>
      </w:r>
      <w:r>
        <w:t>will</w:t>
      </w:r>
      <w:r w:rsidRPr="00177701">
        <w:t xml:space="preserve"> provide a $2 </w:t>
      </w:r>
      <w:r w:rsidR="00BC1D08">
        <w:t xml:space="preserve">prepaid </w:t>
      </w:r>
      <w:r w:rsidRPr="00177701">
        <w:t xml:space="preserve">cash incentive in the advance letter envelope, a $5 cash card upon screener completion, and a $50 cash card upon completion of the assessment. For the other half sample (control group), respondents will get a $50 cash card for completion of the </w:t>
      </w:r>
      <w:r w:rsidR="004C5BA2">
        <w:t>background questionnaire and the assessment</w:t>
      </w:r>
      <w:r w:rsidRPr="00177701">
        <w:t xml:space="preserve">. </w:t>
      </w:r>
      <w:r w:rsidR="00C87CC9">
        <w:t xml:space="preserve">In PIAAC Cycle I, the level of nonresponse was similar at the screener and BQ/assessment stages, and so the addition of a pre-paid incentive, along with an incentive for screener completion, could be beneficial. </w:t>
      </w:r>
    </w:p>
    <w:p w14:paraId="32B007EC" w14:textId="5EC039CD" w:rsidR="00177701" w:rsidRPr="00177701" w:rsidRDefault="00177701" w:rsidP="0021074A">
      <w:pPr>
        <w:pStyle w:val="L1-FlLSp12"/>
        <w:widowControl w:val="0"/>
        <w:spacing w:after="120" w:line="23" w:lineRule="atLeast"/>
      </w:pPr>
      <w:r w:rsidRPr="00177701">
        <w:t xml:space="preserve">We </w:t>
      </w:r>
      <w:r w:rsidR="00841641">
        <w:t>will</w:t>
      </w:r>
      <w:r w:rsidRPr="00177701">
        <w:t xml:space="preserve"> conduct the experiment at the SSU level rather than at the DU level because DU-level designs (1) have an increased chance of introducing error in administering the incentives to the respondents, and (2) introduce the risk of spreading information about different types of incentive in a single neighborhood. </w:t>
      </w:r>
    </w:p>
    <w:p w14:paraId="1E95EE8D" w14:textId="155EAC12" w:rsidR="00177701" w:rsidRPr="00177701" w:rsidRDefault="00177701" w:rsidP="0021074A">
      <w:pPr>
        <w:pStyle w:val="L1-FlLSp12"/>
        <w:widowControl w:val="0"/>
        <w:spacing w:after="120" w:line="23" w:lineRule="atLeast"/>
      </w:pPr>
      <w:r w:rsidRPr="00177701">
        <w:t>Incentive types will be randomly assigned to each SSU. The assignment will be done systematically by sorting the SSUs by PSU, and percentage of population who are below 150 percent poverty of the SSU within the PSU, and then alternating the assignment of the combination payment and the promised-only payment to the SSUs. After the assignment, quality checks will be conducted to ensure that each incentive group was balanced in terms of demographic characteristics (poverty status, educational attainment, percent Hispanic, and geographic region).</w:t>
      </w:r>
    </w:p>
    <w:p w14:paraId="78ED5376" w14:textId="77777777" w:rsidR="00177701" w:rsidRPr="00177701" w:rsidRDefault="00177701" w:rsidP="0021074A">
      <w:pPr>
        <w:pStyle w:val="L1-FlLSp12"/>
        <w:widowControl w:val="0"/>
        <w:spacing w:after="120" w:line="23" w:lineRule="atLeast"/>
      </w:pPr>
      <w:r w:rsidRPr="00177701">
        <w:t>The following highlights other major aspects of the incentive experiment design.</w:t>
      </w:r>
    </w:p>
    <w:p w14:paraId="1C4B14B4" w14:textId="77777777" w:rsidR="00145879" w:rsidRDefault="00177701" w:rsidP="0021074A">
      <w:pPr>
        <w:pStyle w:val="N1-1stBullet"/>
        <w:widowControl w:val="0"/>
        <w:numPr>
          <w:ilvl w:val="0"/>
          <w:numId w:val="21"/>
        </w:numPr>
        <w:spacing w:after="0" w:line="240" w:lineRule="auto"/>
        <w:ind w:left="720"/>
      </w:pPr>
      <w:r w:rsidRPr="00177701">
        <w:t xml:space="preserve">Interviewers will be given both combination and promised-only SSUs to minimize any interviewer impact on the incentive type effect. </w:t>
      </w:r>
    </w:p>
    <w:p w14:paraId="1C8C7172" w14:textId="77777777" w:rsidR="00145879" w:rsidRDefault="00177701" w:rsidP="0021074A">
      <w:pPr>
        <w:pStyle w:val="N1-1stBullet"/>
        <w:widowControl w:val="0"/>
        <w:numPr>
          <w:ilvl w:val="0"/>
          <w:numId w:val="21"/>
        </w:numPr>
        <w:spacing w:after="120" w:line="240" w:lineRule="auto"/>
        <w:ind w:left="720"/>
      </w:pPr>
      <w:r w:rsidRPr="00177701">
        <w:t xml:space="preserve">Incentive assignment to SSUs with common boundaries, or in close proximity, will follow its natural probability-based assignment. Therefore, there will be no special re-allocation of the incentive groups in order to have the same incentive type for SSUs close in proximity. </w:t>
      </w:r>
    </w:p>
    <w:p w14:paraId="18FFE8C4" w14:textId="718066A6" w:rsidR="00177701" w:rsidRDefault="00177701" w:rsidP="0021074A">
      <w:pPr>
        <w:pStyle w:val="L1-FlLSp12"/>
        <w:widowControl w:val="0"/>
        <w:spacing w:after="120" w:line="23" w:lineRule="atLeast"/>
      </w:pPr>
      <w:r w:rsidRPr="00177701">
        <w:t>We will test for differences in the screener response rate, and the assessment response rate (conditional on the screener completion). Given a sample size of 1,716 DUs in each group, with 80% power and significance level of 5%, and an expected screener response rate of 0.714, we can detect a significant increase of 0.043 due to the treatment. Given a sample size of 1,071 selected persons in each group, an expected assessment response rate of 0.700, we can detect a significant increase of 0.055 due to the treatment. These calculations assume no design effect. Some marginal increase to the detectable difference may occur because the design effect is likely small due to controlling on geography (both groups are in the same PSUs).</w:t>
      </w:r>
    </w:p>
    <w:p w14:paraId="209D7AC6" w14:textId="6DC99806" w:rsidR="00177701" w:rsidRPr="00177701" w:rsidRDefault="00177701" w:rsidP="0021074A">
      <w:pPr>
        <w:pStyle w:val="Heading4"/>
        <w:widowControl w:val="0"/>
        <w:spacing w:after="120" w:line="23" w:lineRule="atLeast"/>
        <w:rPr>
          <w:rFonts w:ascii="Garamond" w:hAnsi="Garamond"/>
          <w:szCs w:val="24"/>
        </w:rPr>
      </w:pPr>
      <w:r w:rsidRPr="00177701">
        <w:rPr>
          <w:rFonts w:ascii="Garamond" w:hAnsi="Garamond"/>
          <w:szCs w:val="24"/>
        </w:rPr>
        <w:t xml:space="preserve">Adaptive </w:t>
      </w:r>
      <w:r w:rsidR="00C773D0">
        <w:rPr>
          <w:rFonts w:ascii="Garamond" w:hAnsi="Garamond"/>
          <w:szCs w:val="24"/>
        </w:rPr>
        <w:t xml:space="preserve">survey </w:t>
      </w:r>
      <w:r w:rsidRPr="00177701">
        <w:rPr>
          <w:rFonts w:ascii="Garamond" w:hAnsi="Garamond"/>
          <w:szCs w:val="24"/>
        </w:rPr>
        <w:t>design</w:t>
      </w:r>
    </w:p>
    <w:p w14:paraId="5FAFC335" w14:textId="6465F15F" w:rsidR="00C10075" w:rsidRDefault="00C10075" w:rsidP="0021074A">
      <w:pPr>
        <w:pStyle w:val="L1-FlLSp12"/>
        <w:widowControl w:val="0"/>
        <w:spacing w:after="120" w:line="23" w:lineRule="atLeast"/>
      </w:pPr>
      <w:r>
        <w:t xml:space="preserve">We will use an adaptive survey design, a method of modifying data collection methods systematically in order to maximize response rates and reduce potential nonresponse bias (Schouten et al., 2013). </w:t>
      </w:r>
      <w:r w:rsidR="00C773D0">
        <w:t>In our implementation of a</w:t>
      </w:r>
      <w:r w:rsidR="00026351" w:rsidRPr="00026351">
        <w:t xml:space="preserve">daptive </w:t>
      </w:r>
      <w:r w:rsidR="00C773D0">
        <w:t xml:space="preserve">survey </w:t>
      </w:r>
      <w:r w:rsidR="00026351" w:rsidRPr="00026351">
        <w:t>design</w:t>
      </w:r>
      <w:r w:rsidR="00C773D0">
        <w:t>, we</w:t>
      </w:r>
      <w:r w:rsidR="00026351" w:rsidRPr="00026351">
        <w:t xml:space="preserve"> </w:t>
      </w:r>
      <w:r w:rsidR="00700E7B">
        <w:t xml:space="preserve">will </w:t>
      </w:r>
      <w:r w:rsidR="00026351" w:rsidRPr="00026351">
        <w:t>use</w:t>
      </w:r>
      <w:r w:rsidR="00C773D0">
        <w:t xml:space="preserve"> an optimization framework that uses</w:t>
      </w:r>
      <w:r w:rsidR="00026351" w:rsidRPr="00026351">
        <w:t xml:space="preserve"> paradata</w:t>
      </w:r>
      <w:r w:rsidR="00C773D0">
        <w:t>, covariates, and outcome measures</w:t>
      </w:r>
      <w:r w:rsidR="00026351" w:rsidRPr="00026351">
        <w:t xml:space="preserve"> from prior data collections to help </w:t>
      </w:r>
      <w:r w:rsidR="00C773D0">
        <w:t>provide guidance for</w:t>
      </w:r>
      <w:r w:rsidR="00026351" w:rsidRPr="00026351">
        <w:t xml:space="preserve"> the data collection effort, </w:t>
      </w:r>
      <w:r w:rsidR="00C773D0">
        <w:t>by</w:t>
      </w:r>
      <w:r w:rsidR="00026351" w:rsidRPr="00026351">
        <w:t xml:space="preserve"> </w:t>
      </w:r>
      <w:r w:rsidR="00C773D0">
        <w:t>adapting</w:t>
      </w:r>
      <w:r w:rsidR="00026351" w:rsidRPr="00026351">
        <w:t xml:space="preserve"> current data collection </w:t>
      </w:r>
      <w:r w:rsidR="00C773D0">
        <w:t>follow</w:t>
      </w:r>
      <w:r w:rsidR="00DF5F48">
        <w:t>-</w:t>
      </w:r>
      <w:r w:rsidR="00C773D0">
        <w:t>up strategies</w:t>
      </w:r>
      <w:r w:rsidR="00026351" w:rsidRPr="00026351">
        <w:t xml:space="preserve"> using case dispositions and other information collected throughout the current data collection.</w:t>
      </w:r>
      <w:r w:rsidR="00026351">
        <w:t xml:space="preserve"> </w:t>
      </w:r>
    </w:p>
    <w:p w14:paraId="613F524F" w14:textId="230A1143" w:rsidR="00177701" w:rsidRPr="00177701" w:rsidRDefault="00177701" w:rsidP="0021074A">
      <w:pPr>
        <w:pStyle w:val="L1-FlLSp12"/>
        <w:widowControl w:val="0"/>
        <w:spacing w:after="120" w:line="23" w:lineRule="atLeast"/>
      </w:pPr>
      <w:r w:rsidRPr="00177701">
        <w:t xml:space="preserve">An adaptive </w:t>
      </w:r>
      <w:r w:rsidR="00C773D0">
        <w:t xml:space="preserve">survey </w:t>
      </w:r>
      <w:r w:rsidRPr="00177701">
        <w:t>design experiment was conducted during the PIAAC</w:t>
      </w:r>
      <w:r w:rsidR="00A74EF1">
        <w:t xml:space="preserve"> Cycle I 2017 data collection</w:t>
      </w:r>
      <w:r w:rsidRPr="00177701">
        <w:t xml:space="preserve"> provid</w:t>
      </w:r>
      <w:r w:rsidR="00A74EF1">
        <w:t>ing</w:t>
      </w:r>
      <w:r w:rsidRPr="00177701">
        <w:t xml:space="preserve"> some positive results</w:t>
      </w:r>
      <w:r w:rsidR="00C773D0">
        <w:t xml:space="preserve"> (Krenzke, et al, 2019)</w:t>
      </w:r>
      <w:r w:rsidRPr="00177701">
        <w:t xml:space="preserve">, including indications of </w:t>
      </w:r>
      <w:r w:rsidR="00D643FC">
        <w:t xml:space="preserve">slightly </w:t>
      </w:r>
      <w:r w:rsidRPr="00177701">
        <w:t>higher response rates</w:t>
      </w:r>
      <w:r w:rsidR="00A74EF1">
        <w:t xml:space="preserve">, </w:t>
      </w:r>
      <w:r w:rsidR="00C10075">
        <w:t>lower costs per complete,</w:t>
      </w:r>
      <w:r w:rsidRPr="00177701">
        <w:t xml:space="preserve"> and indications of </w:t>
      </w:r>
      <w:r w:rsidR="00C10075">
        <w:t>lower</w:t>
      </w:r>
      <w:r w:rsidRPr="00177701">
        <w:t xml:space="preserve"> </w:t>
      </w:r>
      <w:r w:rsidR="00C773D0">
        <w:t xml:space="preserve">nonresponse </w:t>
      </w:r>
      <w:r w:rsidRPr="00177701">
        <w:t>bias</w:t>
      </w:r>
      <w:r w:rsidR="000F1C76">
        <w:t>.</w:t>
      </w:r>
      <w:r w:rsidRPr="00177701">
        <w:t xml:space="preserve"> For the upcoming PIAAC </w:t>
      </w:r>
      <w:r w:rsidR="00A74EF1">
        <w:t>Cycle II F</w:t>
      </w:r>
      <w:r w:rsidRPr="00177701">
        <w:t xml:space="preserve">ield </w:t>
      </w:r>
      <w:r w:rsidR="00A74EF1">
        <w:t>T</w:t>
      </w:r>
      <w:r>
        <w:t>est</w:t>
      </w:r>
      <w:r w:rsidRPr="00177701">
        <w:t xml:space="preserve">, we will employ the following adaptive survey design components. </w:t>
      </w:r>
    </w:p>
    <w:p w14:paraId="55459C7B" w14:textId="3AD19C1B" w:rsidR="00177701" w:rsidRPr="00C10075" w:rsidRDefault="00177701" w:rsidP="0021074A">
      <w:pPr>
        <w:pStyle w:val="L1-FlLSp12"/>
        <w:widowControl w:val="0"/>
        <w:numPr>
          <w:ilvl w:val="0"/>
          <w:numId w:val="28"/>
        </w:numPr>
        <w:spacing w:after="120" w:line="23" w:lineRule="atLeast"/>
      </w:pPr>
      <w:r w:rsidRPr="00097B9D">
        <w:rPr>
          <w:b/>
        </w:rPr>
        <w:t>Sample yield projections</w:t>
      </w:r>
      <w:r w:rsidRPr="00177701">
        <w:t xml:space="preserve">. </w:t>
      </w:r>
      <w:r w:rsidR="009F7EF8" w:rsidRPr="00177701">
        <w:t xml:space="preserve">The purpose of this component is to achieve the target number of completes. </w:t>
      </w:r>
      <w:r w:rsidR="009F7EF8">
        <w:t xml:space="preserve">To do so, we will </w:t>
      </w:r>
      <w:r w:rsidR="000F1C76">
        <w:t xml:space="preserve">predict the expected number of completes. </w:t>
      </w:r>
      <w:r w:rsidRPr="00177701">
        <w:t>The</w:t>
      </w:r>
      <w:r w:rsidR="000F1C76">
        <w:t>se</w:t>
      </w:r>
      <w:r w:rsidRPr="00177701">
        <w:t xml:space="preserve"> projections are based on a model using paradata and data</w:t>
      </w:r>
      <w:r w:rsidR="000F1C76">
        <w:t xml:space="preserve"> from the </w:t>
      </w:r>
      <w:r w:rsidR="00700E7B">
        <w:t>Cycle I</w:t>
      </w:r>
      <w:r w:rsidR="00056AC5">
        <w:t xml:space="preserve">. </w:t>
      </w:r>
      <w:r w:rsidR="00700E7B">
        <w:t>W</w:t>
      </w:r>
      <w:r w:rsidR="00056AC5">
        <w:t>e</w:t>
      </w:r>
      <w:r w:rsidRPr="00177701">
        <w:t xml:space="preserve"> </w:t>
      </w:r>
      <w:r w:rsidR="00C10075">
        <w:t xml:space="preserve">will </w:t>
      </w:r>
      <w:r w:rsidRPr="00177701">
        <w:t>estimate the number of completed cases at the end of the data collection period while in the early stages</w:t>
      </w:r>
      <w:r w:rsidR="00056AC5">
        <w:t xml:space="preserve"> of the Field Test</w:t>
      </w:r>
      <w:r w:rsidRPr="00177701">
        <w:t xml:space="preserve">. If </w:t>
      </w:r>
      <w:r w:rsidR="000F1C76">
        <w:t xml:space="preserve">the </w:t>
      </w:r>
      <w:r w:rsidR="002C7491">
        <w:t xml:space="preserve">projected </w:t>
      </w:r>
      <w:r w:rsidR="000F1C76">
        <w:t>number of completes in the Field Test is less than expected based on this model</w:t>
      </w:r>
      <w:r w:rsidRPr="00177701">
        <w:t xml:space="preserve">, then a random group </w:t>
      </w:r>
      <w:r w:rsidR="00524F59">
        <w:t xml:space="preserve">of dwelling units </w:t>
      </w:r>
      <w:r w:rsidRPr="00177701">
        <w:t>will be released</w:t>
      </w:r>
      <w:r w:rsidR="00D643FC">
        <w:t xml:space="preserve"> from the reserve sample</w:t>
      </w:r>
      <w:r w:rsidRPr="00177701">
        <w:t>.</w:t>
      </w:r>
      <w:r w:rsidR="00056AC5">
        <w:t xml:space="preserve"> </w:t>
      </w:r>
    </w:p>
    <w:p w14:paraId="6A90F738" w14:textId="6DA4C4C3" w:rsidR="00177701" w:rsidRPr="00C10075" w:rsidRDefault="00177701" w:rsidP="0021074A">
      <w:pPr>
        <w:pStyle w:val="L1-FlLSp12"/>
        <w:widowControl w:val="0"/>
        <w:numPr>
          <w:ilvl w:val="0"/>
          <w:numId w:val="28"/>
        </w:numPr>
        <w:tabs>
          <w:tab w:val="clear" w:pos="1152"/>
        </w:tabs>
        <w:spacing w:after="120" w:line="23" w:lineRule="atLeast"/>
      </w:pPr>
      <w:r w:rsidRPr="00097B9D">
        <w:rPr>
          <w:b/>
        </w:rPr>
        <w:t>Sample refreshment</w:t>
      </w:r>
      <w:r w:rsidRPr="00177701">
        <w:t xml:space="preserve">. </w:t>
      </w:r>
      <w:r w:rsidR="00056AC5" w:rsidRPr="00177701">
        <w:t>The purpose is to boost sample yield at fixed cost without introducing bias.</w:t>
      </w:r>
      <w:r w:rsidR="009F7EF8">
        <w:t xml:space="preserve"> </w:t>
      </w:r>
      <w:r w:rsidRPr="00177701">
        <w:t xml:space="preserve">The approach </w:t>
      </w:r>
      <w:r w:rsidR="009F7EF8">
        <w:t xml:space="preserve">first closes </w:t>
      </w:r>
      <w:r w:rsidRPr="00177701">
        <w:t xml:space="preserve">out cases that </w:t>
      </w:r>
      <w:r w:rsidR="00524F59">
        <w:t>are fully worked (</w:t>
      </w:r>
      <w:r w:rsidRPr="00177701">
        <w:t>meet the standard contact protocol</w:t>
      </w:r>
      <w:r w:rsidR="00524F59">
        <w:t xml:space="preserve">) and are </w:t>
      </w:r>
      <w:r w:rsidR="00524F59" w:rsidRPr="00524F59">
        <w:t>identified as</w:t>
      </w:r>
      <w:r w:rsidR="00C63E1B">
        <w:t xml:space="preserve"> very</w:t>
      </w:r>
      <w:r w:rsidR="00524F59" w:rsidRPr="00524F59">
        <w:t xml:space="preserve"> unlikely to be successful, as determined through statistical modeling</w:t>
      </w:r>
      <w:r w:rsidR="00C63E1B">
        <w:t xml:space="preserve"> </w:t>
      </w:r>
      <w:r w:rsidR="009C0136">
        <w:t>to estimate the propensity to respond</w:t>
      </w:r>
      <w:r w:rsidR="00524F59">
        <w:t>.</w:t>
      </w:r>
      <w:r w:rsidRPr="00177701">
        <w:t xml:space="preserve"> Then a random group </w:t>
      </w:r>
      <w:r w:rsidR="00524F59">
        <w:t xml:space="preserve">of dwelling units </w:t>
      </w:r>
      <w:r w:rsidRPr="00177701">
        <w:t xml:space="preserve">is released with size that is equal to spending the same expected number of attempts as </w:t>
      </w:r>
      <w:r w:rsidR="00C63E1B">
        <w:t xml:space="preserve">continuing with the </w:t>
      </w:r>
      <w:r w:rsidRPr="00177701">
        <w:t>closed out cases.</w:t>
      </w:r>
    </w:p>
    <w:p w14:paraId="566905B2" w14:textId="65307489" w:rsidR="00177701" w:rsidRPr="00C10075" w:rsidRDefault="00177701" w:rsidP="0021074A">
      <w:pPr>
        <w:pStyle w:val="L1-FlLSp12"/>
        <w:widowControl w:val="0"/>
        <w:numPr>
          <w:ilvl w:val="0"/>
          <w:numId w:val="28"/>
        </w:numPr>
        <w:tabs>
          <w:tab w:val="clear" w:pos="1152"/>
        </w:tabs>
        <w:spacing w:after="120" w:line="23" w:lineRule="atLeast"/>
      </w:pPr>
      <w:r w:rsidRPr="00097B9D">
        <w:rPr>
          <w:b/>
        </w:rPr>
        <w:t>Case prioritization</w:t>
      </w:r>
      <w:r w:rsidRPr="00177701">
        <w:t xml:space="preserve">. </w:t>
      </w:r>
      <w:r w:rsidR="00284F45">
        <w:t>The purpose of case prioritization is to reduce nonresponse bias.</w:t>
      </w:r>
      <w:r w:rsidR="00097B9D">
        <w:t xml:space="preserve"> </w:t>
      </w:r>
      <w:r w:rsidRPr="00177701">
        <w:t xml:space="preserve">This approach was developed under an optimization framework based on an </w:t>
      </w:r>
      <w:r w:rsidR="00145879">
        <w:t>“</w:t>
      </w:r>
      <w:r w:rsidRPr="00177701">
        <w:t>influence index</w:t>
      </w:r>
      <w:r w:rsidR="00145879">
        <w:t>”</w:t>
      </w:r>
      <w:r w:rsidR="00524F59">
        <w:t xml:space="preserve"> that measures each open case</w:t>
      </w:r>
      <w:r w:rsidR="00145879">
        <w:t>’</w:t>
      </w:r>
      <w:r w:rsidR="00524F59">
        <w:t>s potential influence on</w:t>
      </w:r>
      <w:r w:rsidR="00C63E1B">
        <w:t xml:space="preserve"> reducing</w:t>
      </w:r>
      <w:r w:rsidR="00524F59">
        <w:t xml:space="preserve"> nonresponse bias</w:t>
      </w:r>
      <w:r w:rsidR="00C63E1B">
        <w:t xml:space="preserve"> (Riddles and Krenzke, 2016)</w:t>
      </w:r>
      <w:r w:rsidRPr="00177701">
        <w:t>. The index is formed by minimizing nonresponse bias subject to achieving the target sample size, achieving the target response rate, and staying under budget. The index is a function of the estimated response propensity, sample weight, the difference of the open case</w:t>
      </w:r>
      <w:r w:rsidR="00145879">
        <w:t>’</w:t>
      </w:r>
      <w:r w:rsidR="00284F45">
        <w:t>s</w:t>
      </w:r>
      <w:r w:rsidRPr="00177701">
        <w:t xml:space="preserve"> predicted outcome and the average predicted outcome among respondents, and the difference between the average among the sample and the average among respondents. There will be two phases</w:t>
      </w:r>
      <w:r w:rsidR="00284F45">
        <w:t xml:space="preserve"> of this method. First, we will assign </w:t>
      </w:r>
      <w:r w:rsidRPr="00177701">
        <w:t>priorities among cases that have not met the contact protocols (six attempts at three different times of the week</w:t>
      </w:r>
      <w:r w:rsidR="00920ED6">
        <w:t>)</w:t>
      </w:r>
      <w:r w:rsidRPr="00177701">
        <w:t xml:space="preserve">. </w:t>
      </w:r>
      <w:r w:rsidR="00284F45">
        <w:t>Next we will</w:t>
      </w:r>
      <w:r w:rsidR="00A74EF1">
        <w:t xml:space="preserve"> </w:t>
      </w:r>
      <w:r w:rsidR="00284F45">
        <w:t xml:space="preserve">prioritize </w:t>
      </w:r>
      <w:r w:rsidR="00A74EF1">
        <w:t>cases that</w:t>
      </w:r>
      <w:r w:rsidR="00A74EF1" w:rsidRPr="00177701">
        <w:t xml:space="preserve"> </w:t>
      </w:r>
      <w:r w:rsidRPr="00177701">
        <w:t>have met the contact protocols</w:t>
      </w:r>
      <w:r w:rsidR="00A74EF1">
        <w:t xml:space="preserve"> based on an</w:t>
      </w:r>
      <w:r w:rsidRPr="00177701">
        <w:t xml:space="preserve"> influence index value</w:t>
      </w:r>
      <w:r w:rsidR="00284F45">
        <w:t>:</w:t>
      </w:r>
      <w:r w:rsidRPr="00177701">
        <w:t xml:space="preserve"> </w:t>
      </w:r>
      <w:r w:rsidR="00A74EF1" w:rsidRPr="00177701">
        <w:t>the higher the</w:t>
      </w:r>
      <w:r w:rsidR="00A74EF1">
        <w:t xml:space="preserve"> index influence value, </w:t>
      </w:r>
      <w:r w:rsidRPr="00177701">
        <w:t>the higher the priority.</w:t>
      </w:r>
      <w:r w:rsidR="004C5BA2">
        <w:t xml:space="preserve"> The Field Management System will display a priority flag for each priority case so that interviewers know which cases to prioritize in their contacts and supervisors can monitor priority cases closely. </w:t>
      </w:r>
    </w:p>
    <w:p w14:paraId="6E568A30" w14:textId="4F1BCAD8" w:rsidR="00267816" w:rsidRPr="00C10075" w:rsidRDefault="00177701" w:rsidP="0021074A">
      <w:pPr>
        <w:pStyle w:val="L1-FlLSp12"/>
        <w:widowControl w:val="0"/>
        <w:numPr>
          <w:ilvl w:val="0"/>
          <w:numId w:val="28"/>
        </w:numPr>
        <w:tabs>
          <w:tab w:val="clear" w:pos="1152"/>
        </w:tabs>
        <w:spacing w:after="120" w:line="23" w:lineRule="atLeast"/>
      </w:pPr>
      <w:r w:rsidRPr="00097B9D">
        <w:rPr>
          <w:b/>
        </w:rPr>
        <w:t>Extra postcard</w:t>
      </w:r>
      <w:r w:rsidRPr="00177701">
        <w:t xml:space="preserve">. An extra postcard will be sent to those </w:t>
      </w:r>
      <w:r w:rsidR="00E369EF">
        <w:t xml:space="preserve">cases that </w:t>
      </w:r>
      <w:r w:rsidRPr="00177701">
        <w:t>are assigned high priority</w:t>
      </w:r>
      <w:r w:rsidR="004C5BA2">
        <w:t xml:space="preserve"> on the day the high priority flag is assigned. Interviewers follow up with a visit soon after. </w:t>
      </w:r>
    </w:p>
    <w:p w14:paraId="09003359" w14:textId="4D9182A6" w:rsidR="00C04556" w:rsidRPr="00267816" w:rsidRDefault="00504E0A" w:rsidP="0021074A">
      <w:pPr>
        <w:pStyle w:val="Heading3"/>
        <w:widowControl w:val="0"/>
        <w:spacing w:after="120" w:line="23" w:lineRule="atLeast"/>
        <w:rPr>
          <w:sz w:val="32"/>
          <w:szCs w:val="32"/>
        </w:rPr>
      </w:pPr>
      <w:r w:rsidRPr="00267816">
        <w:rPr>
          <w:sz w:val="32"/>
          <w:szCs w:val="32"/>
        </w:rPr>
        <w:t>B</w:t>
      </w:r>
      <w:r w:rsidR="00C04556" w:rsidRPr="00267816">
        <w:rPr>
          <w:sz w:val="32"/>
          <w:szCs w:val="32"/>
        </w:rPr>
        <w:t>.4</w:t>
      </w:r>
      <w:r w:rsidR="00C04556" w:rsidRPr="00267816">
        <w:rPr>
          <w:sz w:val="32"/>
          <w:szCs w:val="32"/>
        </w:rPr>
        <w:tab/>
      </w:r>
      <w:bookmarkEnd w:id="8"/>
      <w:r w:rsidR="00622293">
        <w:rPr>
          <w:sz w:val="32"/>
          <w:szCs w:val="32"/>
        </w:rPr>
        <w:t>Tests of</w:t>
      </w:r>
      <w:r w:rsidR="009A24BD">
        <w:rPr>
          <w:sz w:val="32"/>
          <w:szCs w:val="32"/>
        </w:rPr>
        <w:t xml:space="preserve"> Methods and</w:t>
      </w:r>
      <w:r w:rsidR="00622293">
        <w:rPr>
          <w:sz w:val="32"/>
          <w:szCs w:val="32"/>
        </w:rPr>
        <w:t xml:space="preserve"> Procedures</w:t>
      </w:r>
    </w:p>
    <w:p w14:paraId="0452406B" w14:textId="0D36CD2E" w:rsidR="00373E2F" w:rsidRPr="00373E2F" w:rsidRDefault="00373E2F" w:rsidP="0021074A">
      <w:pPr>
        <w:pStyle w:val="L1-FlLSp12"/>
        <w:widowControl w:val="0"/>
        <w:spacing w:after="120" w:line="23" w:lineRule="atLeast"/>
      </w:pPr>
      <w:r w:rsidRPr="00373E2F">
        <w:t xml:space="preserve">The U.S. is participating in a full </w:t>
      </w:r>
      <w:r w:rsidR="00E369EF">
        <w:t>F</w:t>
      </w:r>
      <w:r w:rsidRPr="00373E2F">
        <w:t xml:space="preserve">ield </w:t>
      </w:r>
      <w:r w:rsidR="00E369EF">
        <w:t>T</w:t>
      </w:r>
      <w:r w:rsidRPr="00373E2F">
        <w:t>est for PIAAC</w:t>
      </w:r>
      <w:r w:rsidR="00E369EF">
        <w:t xml:space="preserve"> Cycle II</w:t>
      </w:r>
      <w:r w:rsidRPr="00373E2F">
        <w:t xml:space="preserve">. The </w:t>
      </w:r>
      <w:r w:rsidR="00E369EF">
        <w:t>F</w:t>
      </w:r>
      <w:r w:rsidRPr="00373E2F">
        <w:t xml:space="preserve">ield </w:t>
      </w:r>
      <w:r w:rsidR="00E369EF">
        <w:t>T</w:t>
      </w:r>
      <w:r w:rsidRPr="00373E2F">
        <w:t>est will provide an opportunity for testing several facets of sampling. The main objectives of the sampling activities are to:</w:t>
      </w:r>
    </w:p>
    <w:p w14:paraId="16693274" w14:textId="482C1C14" w:rsidR="00373E2F" w:rsidRPr="00373E2F" w:rsidRDefault="00373E2F" w:rsidP="0021074A">
      <w:pPr>
        <w:pStyle w:val="L1-FlLSp12"/>
        <w:widowControl w:val="0"/>
        <w:numPr>
          <w:ilvl w:val="0"/>
          <w:numId w:val="25"/>
        </w:numPr>
        <w:tabs>
          <w:tab w:val="left" w:pos="1152"/>
        </w:tabs>
        <w:spacing w:after="120" w:line="23" w:lineRule="atLeast"/>
        <w:ind w:left="720" w:hanging="360"/>
      </w:pPr>
      <w:r w:rsidRPr="00373E2F">
        <w:t xml:space="preserve">Provide a sample of adults that will be used </w:t>
      </w:r>
      <w:r w:rsidR="004A78A7" w:rsidRPr="004A78A7">
        <w:t xml:space="preserve">to validate the </w:t>
      </w:r>
      <w:r w:rsidR="00841641">
        <w:t xml:space="preserve">new and trend </w:t>
      </w:r>
      <w:r w:rsidR="004A78A7" w:rsidRPr="004A78A7">
        <w:t>items to be included in the psychometric assessment</w:t>
      </w:r>
      <w:r w:rsidRPr="00373E2F">
        <w:t>;</w:t>
      </w:r>
    </w:p>
    <w:p w14:paraId="5CC15A70" w14:textId="77777777" w:rsidR="00373E2F" w:rsidRPr="00373E2F" w:rsidRDefault="00373E2F" w:rsidP="0021074A">
      <w:pPr>
        <w:pStyle w:val="L1-FlLSp12"/>
        <w:widowControl w:val="0"/>
        <w:numPr>
          <w:ilvl w:val="0"/>
          <w:numId w:val="25"/>
        </w:numPr>
        <w:tabs>
          <w:tab w:val="left" w:pos="1152"/>
        </w:tabs>
        <w:spacing w:after="120" w:line="23" w:lineRule="atLeast"/>
        <w:ind w:left="720" w:hanging="360"/>
      </w:pPr>
      <w:r w:rsidRPr="00373E2F">
        <w:t>Test the within-household sample selection process;</w:t>
      </w:r>
    </w:p>
    <w:p w14:paraId="00B773C7" w14:textId="7E3C3F20" w:rsidR="00373E2F" w:rsidRPr="00373E2F" w:rsidRDefault="00373E2F" w:rsidP="0021074A">
      <w:pPr>
        <w:pStyle w:val="L1-FlLSp12"/>
        <w:widowControl w:val="0"/>
        <w:numPr>
          <w:ilvl w:val="0"/>
          <w:numId w:val="25"/>
        </w:numPr>
        <w:tabs>
          <w:tab w:val="left" w:pos="1152"/>
        </w:tabs>
        <w:spacing w:after="120" w:line="23" w:lineRule="atLeast"/>
        <w:ind w:left="720" w:hanging="360"/>
      </w:pPr>
      <w:r w:rsidRPr="00373E2F">
        <w:t>Train field staff in the</w:t>
      </w:r>
      <w:r w:rsidR="00BB4C1C">
        <w:t xml:space="preserve"> implementation of </w:t>
      </w:r>
      <w:r w:rsidRPr="00373E2F">
        <w:t>sampling activities</w:t>
      </w:r>
      <w:r w:rsidR="00BB4C1C">
        <w:t xml:space="preserve"> in the field</w:t>
      </w:r>
      <w:r w:rsidRPr="00373E2F">
        <w:t>;</w:t>
      </w:r>
    </w:p>
    <w:p w14:paraId="18E13ACA" w14:textId="77777777" w:rsidR="00373E2F" w:rsidRPr="00373E2F" w:rsidRDefault="00373E2F" w:rsidP="0021074A">
      <w:pPr>
        <w:pStyle w:val="L1-FlLSp12"/>
        <w:widowControl w:val="0"/>
        <w:numPr>
          <w:ilvl w:val="0"/>
          <w:numId w:val="25"/>
        </w:numPr>
        <w:tabs>
          <w:tab w:val="left" w:pos="1152"/>
        </w:tabs>
        <w:spacing w:after="120" w:line="23" w:lineRule="atLeast"/>
        <w:ind w:left="720" w:hanging="360"/>
      </w:pPr>
      <w:r w:rsidRPr="00373E2F">
        <w:t>Test the Quality Control (QC) sampling-related procedures; and</w:t>
      </w:r>
    </w:p>
    <w:p w14:paraId="67BEA3FD" w14:textId="28165DAB" w:rsidR="00575FC0" w:rsidRDefault="00373E2F" w:rsidP="0021074A">
      <w:pPr>
        <w:pStyle w:val="L1-FlLSp12"/>
        <w:widowControl w:val="0"/>
        <w:numPr>
          <w:ilvl w:val="0"/>
          <w:numId w:val="25"/>
        </w:numPr>
        <w:tabs>
          <w:tab w:val="left" w:pos="1152"/>
        </w:tabs>
        <w:spacing w:after="120" w:line="23" w:lineRule="atLeast"/>
        <w:ind w:left="720" w:hanging="360"/>
      </w:pPr>
      <w:r w:rsidRPr="00373E2F">
        <w:t>Test the flow of materials and the sample data from sample selection to the delivery of the Sample Design International File (SDIF) at the end of the data collection.</w:t>
      </w:r>
    </w:p>
    <w:p w14:paraId="17A605C4" w14:textId="77777777" w:rsidR="00C04556" w:rsidRPr="00267816" w:rsidRDefault="00504E0A" w:rsidP="0021074A">
      <w:pPr>
        <w:pStyle w:val="Heading3"/>
        <w:widowControl w:val="0"/>
        <w:spacing w:after="120" w:line="23" w:lineRule="atLeast"/>
        <w:rPr>
          <w:sz w:val="32"/>
          <w:szCs w:val="32"/>
        </w:rPr>
      </w:pPr>
      <w:bookmarkStart w:id="9" w:name="_Toc452967963"/>
      <w:r w:rsidRPr="00267816">
        <w:rPr>
          <w:sz w:val="32"/>
          <w:szCs w:val="32"/>
        </w:rPr>
        <w:t>B</w:t>
      </w:r>
      <w:r w:rsidR="00C04556" w:rsidRPr="00267816">
        <w:rPr>
          <w:sz w:val="32"/>
          <w:szCs w:val="32"/>
        </w:rPr>
        <w:t>.5</w:t>
      </w:r>
      <w:r w:rsidR="00C04556" w:rsidRPr="00267816">
        <w:rPr>
          <w:sz w:val="32"/>
          <w:szCs w:val="32"/>
        </w:rPr>
        <w:tab/>
      </w:r>
      <w:bookmarkEnd w:id="9"/>
      <w:r w:rsidRPr="00267816">
        <w:rPr>
          <w:sz w:val="32"/>
          <w:szCs w:val="32"/>
        </w:rPr>
        <w:t>Individuals Consulted on Study Design</w:t>
      </w:r>
    </w:p>
    <w:p w14:paraId="5737F669" w14:textId="77777777" w:rsidR="00504E0A" w:rsidRDefault="00504E0A" w:rsidP="0021074A">
      <w:pPr>
        <w:pStyle w:val="L1-FlLSp12"/>
        <w:widowControl w:val="0"/>
        <w:spacing w:line="240" w:lineRule="auto"/>
      </w:pPr>
      <w:bookmarkStart w:id="10" w:name="_Toc452967964"/>
      <w:r>
        <w:t>The following are responsible for the statistical design of PIAAC:</w:t>
      </w:r>
    </w:p>
    <w:p w14:paraId="18F4FB8E" w14:textId="77777777" w:rsidR="00BD2960" w:rsidRDefault="00BD2960" w:rsidP="0021074A">
      <w:pPr>
        <w:pStyle w:val="N1-1stBullet"/>
        <w:widowControl w:val="0"/>
        <w:numPr>
          <w:ilvl w:val="0"/>
          <w:numId w:val="21"/>
        </w:numPr>
        <w:spacing w:after="0" w:line="240" w:lineRule="auto"/>
        <w:ind w:left="720"/>
      </w:pPr>
      <w:r>
        <w:t>Holly Xie, National Center for Education Statistics;</w:t>
      </w:r>
    </w:p>
    <w:p w14:paraId="3D14F0B1" w14:textId="7C3236F4" w:rsidR="00504E0A" w:rsidRDefault="00BD2960" w:rsidP="0021074A">
      <w:pPr>
        <w:pStyle w:val="N1-1stBullet"/>
        <w:widowControl w:val="0"/>
        <w:numPr>
          <w:ilvl w:val="0"/>
          <w:numId w:val="21"/>
        </w:numPr>
        <w:spacing w:after="0" w:line="240" w:lineRule="auto"/>
        <w:ind w:left="720"/>
      </w:pPr>
      <w:r>
        <w:t>Stephen Provasnik, National Center for Education Statistics;</w:t>
      </w:r>
      <w:r w:rsidR="00504E0A">
        <w:t xml:space="preserve"> and</w:t>
      </w:r>
    </w:p>
    <w:p w14:paraId="67628400" w14:textId="77777777" w:rsidR="00504E0A" w:rsidRDefault="00504E0A" w:rsidP="0021074A">
      <w:pPr>
        <w:pStyle w:val="N1-1stBullet"/>
        <w:widowControl w:val="0"/>
        <w:numPr>
          <w:ilvl w:val="0"/>
          <w:numId w:val="21"/>
        </w:numPr>
        <w:spacing w:after="120" w:line="240" w:lineRule="auto"/>
        <w:ind w:left="720"/>
      </w:pPr>
      <w:r>
        <w:t>Kentaro Yamamoto, PIAAC Consortium/Educational Testing Service.</w:t>
      </w:r>
    </w:p>
    <w:p w14:paraId="496EDBB3" w14:textId="77777777" w:rsidR="00504E0A" w:rsidRDefault="00007C47" w:rsidP="0021074A">
      <w:pPr>
        <w:pStyle w:val="L1-FlLSp12"/>
        <w:widowControl w:val="0"/>
        <w:spacing w:line="240" w:lineRule="auto"/>
      </w:pPr>
      <w:r>
        <w:t>The following are</w:t>
      </w:r>
      <w:r w:rsidR="00504E0A">
        <w:t xml:space="preserve"> responsible for sampling activities:</w:t>
      </w:r>
    </w:p>
    <w:p w14:paraId="3CEF4ADA" w14:textId="77777777" w:rsidR="00504E0A" w:rsidRDefault="00504E0A" w:rsidP="0021074A">
      <w:pPr>
        <w:pStyle w:val="N1-1stBullet"/>
        <w:widowControl w:val="0"/>
        <w:numPr>
          <w:ilvl w:val="0"/>
          <w:numId w:val="21"/>
        </w:numPr>
        <w:spacing w:after="0" w:line="240" w:lineRule="auto"/>
        <w:ind w:left="720"/>
      </w:pPr>
      <w:r>
        <w:t>Leyla Mohadjer</w:t>
      </w:r>
      <w:r w:rsidR="00007C47">
        <w:t>, PIAAC Consortium/Westat</w:t>
      </w:r>
      <w:r>
        <w:t>; and</w:t>
      </w:r>
    </w:p>
    <w:p w14:paraId="43176B75" w14:textId="77777777" w:rsidR="00504E0A" w:rsidRDefault="00504E0A" w:rsidP="0021074A">
      <w:pPr>
        <w:pStyle w:val="N1-1stBullet"/>
        <w:widowControl w:val="0"/>
        <w:numPr>
          <w:ilvl w:val="0"/>
          <w:numId w:val="21"/>
        </w:numPr>
        <w:spacing w:after="120" w:line="240" w:lineRule="auto"/>
        <w:ind w:left="720"/>
      </w:pPr>
      <w:r>
        <w:t>Tom Krenzke</w:t>
      </w:r>
      <w:r w:rsidR="00007C47">
        <w:t>, PIAAC Consortium/Westat</w:t>
      </w:r>
      <w:r>
        <w:t>.</w:t>
      </w:r>
    </w:p>
    <w:p w14:paraId="74822E4F" w14:textId="02415FCB" w:rsidR="00504E0A" w:rsidRDefault="00504E0A" w:rsidP="0021074A">
      <w:pPr>
        <w:pStyle w:val="L1-FlLSp12"/>
        <w:widowControl w:val="0"/>
        <w:spacing w:line="240" w:lineRule="auto"/>
      </w:pPr>
      <w:bookmarkStart w:id="11" w:name="_Hlk14774784"/>
      <w:r w:rsidRPr="00D53C3A">
        <w:t xml:space="preserve">Analysis </w:t>
      </w:r>
      <w:r w:rsidR="00D53C3A" w:rsidRPr="00D53C3A">
        <w:t xml:space="preserve">of assessment items </w:t>
      </w:r>
      <w:r w:rsidRPr="00D53C3A">
        <w:t>will be performed</w:t>
      </w:r>
      <w:r>
        <w:t xml:space="preserve"> by:</w:t>
      </w:r>
    </w:p>
    <w:p w14:paraId="41377F7D" w14:textId="30E6DB21" w:rsidR="00504E0A" w:rsidRDefault="00504E0A" w:rsidP="0021074A">
      <w:pPr>
        <w:pStyle w:val="N1-1stBullet"/>
        <w:widowControl w:val="0"/>
        <w:numPr>
          <w:ilvl w:val="0"/>
          <w:numId w:val="21"/>
        </w:numPr>
        <w:spacing w:after="120" w:line="240" w:lineRule="auto"/>
        <w:ind w:left="720"/>
      </w:pPr>
      <w:r>
        <w:t>Kentaro Yamamoto, Educational Testing Service.</w:t>
      </w:r>
      <w:bookmarkEnd w:id="11"/>
    </w:p>
    <w:p w14:paraId="23714720" w14:textId="77777777" w:rsidR="000275CC" w:rsidRDefault="000275CC" w:rsidP="0021074A">
      <w:pPr>
        <w:pStyle w:val="N1-1stBullet"/>
        <w:widowControl w:val="0"/>
        <w:numPr>
          <w:ilvl w:val="0"/>
          <w:numId w:val="0"/>
        </w:numPr>
        <w:spacing w:after="120" w:line="23" w:lineRule="atLeast"/>
      </w:pPr>
    </w:p>
    <w:bookmarkEnd w:id="10"/>
    <w:p w14:paraId="0922C2BE" w14:textId="77777777" w:rsidR="005E4F0C" w:rsidRDefault="005E4F0C" w:rsidP="0021074A">
      <w:pPr>
        <w:pStyle w:val="Heading2"/>
        <w:widowControl w:val="0"/>
        <w:spacing w:after="120" w:line="23" w:lineRule="atLeast"/>
      </w:pPr>
      <w:r>
        <w:t>References</w:t>
      </w:r>
    </w:p>
    <w:p w14:paraId="5AD83290" w14:textId="77CEA348" w:rsidR="00D5234D" w:rsidRDefault="00D5234D" w:rsidP="0021074A">
      <w:pPr>
        <w:pStyle w:val="SL-FlLftSgl"/>
        <w:widowControl w:val="0"/>
        <w:spacing w:after="120" w:line="23" w:lineRule="atLeast"/>
        <w:ind w:left="245" w:hanging="245"/>
      </w:pPr>
      <w:r>
        <w:t xml:space="preserve">U.S. Census Bureau. (2018). 2017 National Population Projections Tables. Retrieved from: </w:t>
      </w:r>
      <w:r w:rsidRPr="00D5234D">
        <w:t>https://www.census.gov/data/tables/2017/demo/popproj/2017-summary-tables.html</w:t>
      </w:r>
      <w:r>
        <w:t>.</w:t>
      </w:r>
    </w:p>
    <w:p w14:paraId="1BA2AC0A" w14:textId="061E7E19" w:rsidR="00B54CE6" w:rsidRDefault="00B54CE6" w:rsidP="0021074A">
      <w:pPr>
        <w:pStyle w:val="SL-FlLftSgl"/>
        <w:widowControl w:val="0"/>
        <w:spacing w:after="120" w:line="23" w:lineRule="atLeast"/>
        <w:ind w:left="245" w:hanging="245"/>
      </w:pPr>
      <w:r>
        <w:t xml:space="preserve">Kish, L. (1965). </w:t>
      </w:r>
      <w:r>
        <w:rPr>
          <w:i/>
        </w:rPr>
        <w:t>Survey Sampling.</w:t>
      </w:r>
      <w:r>
        <w:t xml:space="preserve"> New York: John Wiley &amp; Sons.</w:t>
      </w:r>
    </w:p>
    <w:p w14:paraId="1964505F" w14:textId="47121454" w:rsidR="00A2487A" w:rsidRDefault="00920ED6" w:rsidP="0021074A">
      <w:pPr>
        <w:pStyle w:val="SL-FlLftSgl"/>
        <w:widowControl w:val="0"/>
        <w:spacing w:after="120" w:line="23" w:lineRule="atLeast"/>
        <w:ind w:left="245" w:hanging="245"/>
      </w:pPr>
      <w:r w:rsidRPr="00920ED6">
        <w:t>Krenzke, T., Mohadjer, L., and Hao, H. (2012, May). Programme for the International Assessment of Adult Competencies (PIAAC): U.S. incentive experiment. Annual Meeting of the American Association for Public Opinion Research, Orlando, FL.</w:t>
      </w:r>
    </w:p>
    <w:p w14:paraId="032079E4" w14:textId="1FF8507A" w:rsidR="00C773D0" w:rsidRPr="00A2487A" w:rsidRDefault="00C773D0" w:rsidP="0021074A">
      <w:pPr>
        <w:pStyle w:val="SL-FlLftSgl"/>
        <w:widowControl w:val="0"/>
        <w:spacing w:after="120" w:line="23" w:lineRule="atLeast"/>
        <w:ind w:left="245" w:hanging="245"/>
      </w:pPr>
      <w:r>
        <w:t>Krenzke, T., Mohadjer, L., Riddles, M. and Shlomo, N. (2019). Adaptive Survey Design PIAAC Experiment and International Implementation. Presented at the European Survey Research Association Conference, Zagreb, Croatia, July 17, 2019.</w:t>
      </w:r>
    </w:p>
    <w:p w14:paraId="65CC9DCF" w14:textId="03AEB0DA" w:rsidR="00920ED6" w:rsidRDefault="00920ED6" w:rsidP="0021074A">
      <w:pPr>
        <w:pStyle w:val="SL-FlLftSgl"/>
        <w:widowControl w:val="0"/>
        <w:spacing w:after="120" w:line="23" w:lineRule="atLeast"/>
        <w:ind w:left="245" w:hanging="245"/>
      </w:pPr>
      <w:r w:rsidRPr="00572904">
        <w:rPr>
          <w:lang w:val="es-MX"/>
        </w:rPr>
        <w:t xml:space="preserve">Mercer A, Caporaso A, Cantor D, Townsend R. (2015). </w:t>
      </w:r>
      <w:r w:rsidRPr="00920ED6">
        <w:t xml:space="preserve">How Much Gets You How Much? Monetary Incentives and Response Rates in Household Surveys. </w:t>
      </w:r>
      <w:r w:rsidRPr="00920ED6">
        <w:rPr>
          <w:i/>
        </w:rPr>
        <w:t>Public Opinion Quarterly</w:t>
      </w:r>
      <w:r w:rsidRPr="00920ED6">
        <w:t>. 79(1):105-129.</w:t>
      </w:r>
    </w:p>
    <w:p w14:paraId="5FC342E5" w14:textId="6A1DF185" w:rsidR="00C63E1B" w:rsidRDefault="00C63E1B" w:rsidP="0021074A">
      <w:pPr>
        <w:pStyle w:val="SL-FlLftSgl"/>
        <w:widowControl w:val="0"/>
        <w:spacing w:after="120" w:line="23" w:lineRule="atLeast"/>
        <w:ind w:left="245" w:hanging="245"/>
      </w:pPr>
      <w:r>
        <w:t xml:space="preserve">Riddles, M., and Krenzke, T. (2016). </w:t>
      </w:r>
      <w:r w:rsidRPr="00C63E1B">
        <w:t>Adapting Responsive Design Strategies in a Recurring Adult Literacy Assessment</w:t>
      </w:r>
      <w:r>
        <w:t>. Presented at the Joint Statistical Meetings, Chicago, Illinois, August 2016.</w:t>
      </w:r>
    </w:p>
    <w:p w14:paraId="19C76B67" w14:textId="67D82688" w:rsidR="00C10075" w:rsidRPr="00C10075" w:rsidRDefault="00C10075" w:rsidP="0021074A">
      <w:pPr>
        <w:pStyle w:val="SL-FlLftSgl"/>
        <w:widowControl w:val="0"/>
        <w:spacing w:after="120" w:line="23" w:lineRule="atLeast"/>
        <w:ind w:left="245" w:hanging="245"/>
      </w:pPr>
      <w:r>
        <w:t xml:space="preserve">Schouten, B., Calinescu, M., Luiten, A. (2013). Optimizing Quality of Response through Adaptive Survey Designs. </w:t>
      </w:r>
      <w:r>
        <w:rPr>
          <w:i/>
        </w:rPr>
        <w:t>Survey Methodology, 39</w:t>
      </w:r>
      <w:r>
        <w:t>(1), 29-58.</w:t>
      </w:r>
    </w:p>
    <w:p w14:paraId="386C1E7C" w14:textId="77777777" w:rsidR="00A2487A" w:rsidRPr="00B27EFE" w:rsidRDefault="00A2487A" w:rsidP="0021074A">
      <w:pPr>
        <w:pStyle w:val="SL-FlLftSgl"/>
        <w:widowControl w:val="0"/>
        <w:spacing w:after="120" w:line="23" w:lineRule="atLeast"/>
        <w:ind w:left="245" w:hanging="245"/>
      </w:pPr>
    </w:p>
    <w:sectPr w:rsidR="00A2487A" w:rsidRPr="00B27EFE" w:rsidSect="0021074A">
      <w:footerReference w:type="first" r:id="rId12"/>
      <w:pgSz w:w="12240" w:h="15840" w:code="1"/>
      <w:pgMar w:top="720"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8F0B2" w14:textId="77777777" w:rsidR="00421D8F" w:rsidRDefault="00421D8F">
      <w:r>
        <w:separator/>
      </w:r>
    </w:p>
  </w:endnote>
  <w:endnote w:type="continuationSeparator" w:id="0">
    <w:p w14:paraId="17305534" w14:textId="77777777" w:rsidR="00421D8F" w:rsidRDefault="00421D8F">
      <w:r>
        <w:continuationSeparator/>
      </w:r>
    </w:p>
  </w:endnote>
  <w:endnote w:type="continuationNotice" w:id="1">
    <w:p w14:paraId="4ED13E55" w14:textId="77777777" w:rsidR="00421D8F" w:rsidRDefault="00421D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ecilia-Roman">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420668"/>
      <w:docPartObj>
        <w:docPartGallery w:val="Page Numbers (Bottom of Page)"/>
        <w:docPartUnique/>
      </w:docPartObj>
    </w:sdtPr>
    <w:sdtEndPr>
      <w:rPr>
        <w:noProof/>
        <w:sz w:val="20"/>
      </w:rPr>
    </w:sdtEndPr>
    <w:sdtContent>
      <w:p w14:paraId="37A2AB96" w14:textId="383C1074" w:rsidR="000425D2" w:rsidRPr="0021074A" w:rsidRDefault="000425D2" w:rsidP="0021074A">
        <w:pPr>
          <w:pStyle w:val="Footer"/>
          <w:spacing w:line="240" w:lineRule="auto"/>
          <w:jc w:val="center"/>
          <w:rPr>
            <w:sz w:val="20"/>
          </w:rPr>
        </w:pPr>
        <w:r w:rsidRPr="0021074A">
          <w:rPr>
            <w:sz w:val="20"/>
          </w:rPr>
          <w:fldChar w:fldCharType="begin"/>
        </w:r>
        <w:r w:rsidRPr="0021074A">
          <w:rPr>
            <w:sz w:val="20"/>
          </w:rPr>
          <w:instrText xml:space="preserve"> PAGE   \* MERGEFORMAT </w:instrText>
        </w:r>
        <w:r w:rsidRPr="0021074A">
          <w:rPr>
            <w:sz w:val="20"/>
          </w:rPr>
          <w:fldChar w:fldCharType="separate"/>
        </w:r>
        <w:r w:rsidR="001612B3">
          <w:rPr>
            <w:noProof/>
            <w:sz w:val="20"/>
          </w:rPr>
          <w:t>iv</w:t>
        </w:r>
        <w:r w:rsidRPr="0021074A">
          <w:rPr>
            <w:noProof/>
            <w:sz w:val="20"/>
          </w:rPr>
          <w:fldChar w:fldCharType="end"/>
        </w:r>
      </w:p>
    </w:sdtContent>
  </w:sdt>
  <w:p w14:paraId="769D761A" w14:textId="77777777" w:rsidR="0067662E" w:rsidRPr="0067662E" w:rsidRDefault="0067662E" w:rsidP="0067662E">
    <w:pPr>
      <w:pStyle w:val="Footer"/>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C34A3" w14:textId="7B75A823" w:rsidR="0067662E" w:rsidRPr="00AD14DD" w:rsidRDefault="0067662E" w:rsidP="00AD14DD">
    <w:pPr>
      <w:pStyle w:val="Footer"/>
      <w:spacing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785668"/>
      <w:docPartObj>
        <w:docPartGallery w:val="Page Numbers (Bottom of Page)"/>
        <w:docPartUnique/>
      </w:docPartObj>
    </w:sdtPr>
    <w:sdtEndPr>
      <w:rPr>
        <w:noProof/>
      </w:rPr>
    </w:sdtEndPr>
    <w:sdtContent>
      <w:p w14:paraId="6FABAE8A" w14:textId="6719B9CC" w:rsidR="00DB6B78" w:rsidRPr="00AD14DD" w:rsidRDefault="00DB6B78" w:rsidP="00AD14DD">
        <w:pPr>
          <w:pStyle w:val="Footer"/>
          <w:spacing w:line="240" w:lineRule="auto"/>
          <w:jc w:val="center"/>
        </w:pPr>
        <w:r>
          <w:fldChar w:fldCharType="begin"/>
        </w:r>
        <w:r>
          <w:instrText xml:space="preserve"> PAGE   \* MERGEFORMAT </w:instrText>
        </w:r>
        <w:r>
          <w:fldChar w:fldCharType="separate"/>
        </w:r>
        <w:r w:rsidR="007E00F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8BDC6" w14:textId="77777777" w:rsidR="00421D8F" w:rsidRDefault="00421D8F">
      <w:r>
        <w:separator/>
      </w:r>
    </w:p>
  </w:footnote>
  <w:footnote w:type="continuationSeparator" w:id="0">
    <w:p w14:paraId="7A684106" w14:textId="77777777" w:rsidR="00421D8F" w:rsidRDefault="00421D8F">
      <w:r>
        <w:continuationSeparator/>
      </w:r>
    </w:p>
  </w:footnote>
  <w:footnote w:type="continuationNotice" w:id="1">
    <w:p w14:paraId="0ED41E6E" w14:textId="77777777" w:rsidR="00421D8F" w:rsidRDefault="00421D8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2537" w14:textId="77777777" w:rsidR="004D1D4D" w:rsidRDefault="004D1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nsid w:val="FFFFFFFE"/>
    <w:multiLevelType w:val="singleLevel"/>
    <w:tmpl w:val="6298D8E6"/>
    <w:lvl w:ilvl="0">
      <w:numFmt w:val="decimal"/>
      <w:lvlText w:val="*"/>
      <w:lvlJc w:val="left"/>
    </w:lvl>
  </w:abstractNum>
  <w:abstractNum w:abstractNumId="2">
    <w:nsid w:val="046672DE"/>
    <w:multiLevelType w:val="hybridMultilevel"/>
    <w:tmpl w:val="FECA49E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nsid w:val="08EB427D"/>
    <w:multiLevelType w:val="hybridMultilevel"/>
    <w:tmpl w:val="8D6E5C22"/>
    <w:lvl w:ilvl="0" w:tplc="AE1CE24E">
      <w:start w:val="1"/>
      <w:numFmt w:val="decimal"/>
      <w:lvlText w:val="%1."/>
      <w:lvlJc w:val="left"/>
      <w:pPr>
        <w:tabs>
          <w:tab w:val="num" w:pos="1152"/>
        </w:tabs>
        <w:ind w:left="1152" w:hanging="576"/>
      </w:pPr>
      <w:rPr>
        <w:rFonts w:ascii="Garamond" w:hAnsi="Garamond"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D31F68"/>
    <w:multiLevelType w:val="hybridMultilevel"/>
    <w:tmpl w:val="0A2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EC0C2B"/>
    <w:multiLevelType w:val="hybridMultilevel"/>
    <w:tmpl w:val="732E2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E1BD1"/>
    <w:multiLevelType w:val="hybridMultilevel"/>
    <w:tmpl w:val="BFFA95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20CD0D74"/>
    <w:multiLevelType w:val="hybridMultilevel"/>
    <w:tmpl w:val="512EC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07460"/>
    <w:multiLevelType w:val="hybridMultilevel"/>
    <w:tmpl w:val="B5D655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308E0733"/>
    <w:multiLevelType w:val="hybridMultilevel"/>
    <w:tmpl w:val="DA42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8017D"/>
    <w:multiLevelType w:val="hybridMultilevel"/>
    <w:tmpl w:val="AE5C89E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6615A90"/>
    <w:multiLevelType w:val="hybridMultilevel"/>
    <w:tmpl w:val="383E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690161"/>
    <w:multiLevelType w:val="hybridMultilevel"/>
    <w:tmpl w:val="112070F0"/>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0466A"/>
    <w:multiLevelType w:val="hybridMultilevel"/>
    <w:tmpl w:val="2F3A166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9474DB"/>
    <w:multiLevelType w:val="hybridMultilevel"/>
    <w:tmpl w:val="6D98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D47D07"/>
    <w:multiLevelType w:val="hybridMultilevel"/>
    <w:tmpl w:val="BE7870DC"/>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113325"/>
    <w:multiLevelType w:val="hybridMultilevel"/>
    <w:tmpl w:val="7A104A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14"/>
  </w:num>
  <w:num w:numId="8">
    <w:abstractNumId w:val="18"/>
  </w:num>
  <w:num w:numId="9">
    <w:abstractNumId w:val="6"/>
  </w:num>
  <w:num w:numId="10">
    <w:abstractNumId w:val="1"/>
    <w:lvlOverride w:ilvl="0">
      <w:lvl w:ilvl="0">
        <w:start w:val="1"/>
        <w:numFmt w:val="bullet"/>
        <w:lvlText w:val="-"/>
        <w:legacy w:legacy="1" w:legacySpace="0" w:legacyIndent="576"/>
        <w:lvlJc w:val="left"/>
        <w:pPr>
          <w:ind w:left="2286" w:hanging="576"/>
        </w:pPr>
        <w:rPr>
          <w:rFonts w:ascii="Times New Roman" w:hAnsi="Times New Roman" w:hint="default"/>
        </w:rPr>
      </w:lvl>
    </w:lvlOverride>
  </w:num>
  <w:num w:numId="11">
    <w:abstractNumId w:val="2"/>
  </w:num>
  <w:num w:numId="12">
    <w:abstractNumId w:val="15"/>
  </w:num>
  <w:num w:numId="13">
    <w:abstractNumId w:val="13"/>
  </w:num>
  <w:num w:numId="14">
    <w:abstractNumId w:val="16"/>
  </w:num>
  <w:num w:numId="15">
    <w:abstractNumId w:val="17"/>
  </w:num>
  <w:num w:numId="16">
    <w:abstractNumId w:val="20"/>
  </w:num>
  <w:num w:numId="17">
    <w:abstractNumId w:val="18"/>
    <w:lvlOverride w:ilvl="0">
      <w:startOverride w:val="1"/>
    </w:lvlOverride>
  </w:num>
  <w:num w:numId="18">
    <w:abstractNumId w:val="21"/>
  </w:num>
  <w:num w:numId="19">
    <w:abstractNumId w:val="7"/>
  </w:num>
  <w:num w:numId="20">
    <w:abstractNumId w:val="22"/>
  </w:num>
  <w:num w:numId="21">
    <w:abstractNumId w:val="11"/>
  </w:num>
  <w:num w:numId="22">
    <w:abstractNumId w:val="5"/>
  </w:num>
  <w:num w:numId="23">
    <w:abstractNumId w:val="5"/>
  </w:num>
  <w:num w:numId="24">
    <w:abstractNumId w:val="9"/>
  </w:num>
  <w:num w:numId="25">
    <w:abstractNumId w:val="3"/>
  </w:num>
  <w:num w:numId="26">
    <w:abstractNumId w:val="4"/>
  </w:num>
  <w:num w:numId="27">
    <w:abstractNumId w:val="8"/>
  </w:num>
  <w:num w:numId="28">
    <w:abstractNumId w:val="10"/>
  </w:num>
  <w:num w:numId="29">
    <w:abstractNumId w:val="12"/>
  </w:num>
  <w:num w:numId="3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es-MX" w:vendorID="64" w:dllVersion="131078"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8E"/>
    <w:rsid w:val="00000B53"/>
    <w:rsid w:val="00001491"/>
    <w:rsid w:val="00001DA2"/>
    <w:rsid w:val="00001FAA"/>
    <w:rsid w:val="00002217"/>
    <w:rsid w:val="0000757F"/>
    <w:rsid w:val="00007C47"/>
    <w:rsid w:val="00012F8E"/>
    <w:rsid w:val="000144D9"/>
    <w:rsid w:val="00017178"/>
    <w:rsid w:val="000240F0"/>
    <w:rsid w:val="00025BCF"/>
    <w:rsid w:val="000261DC"/>
    <w:rsid w:val="00026351"/>
    <w:rsid w:val="000275CC"/>
    <w:rsid w:val="0003182B"/>
    <w:rsid w:val="00031F08"/>
    <w:rsid w:val="0003277F"/>
    <w:rsid w:val="000364AA"/>
    <w:rsid w:val="00036DC8"/>
    <w:rsid w:val="00037FE2"/>
    <w:rsid w:val="0004084E"/>
    <w:rsid w:val="00040938"/>
    <w:rsid w:val="00040A87"/>
    <w:rsid w:val="00041462"/>
    <w:rsid w:val="000423DA"/>
    <w:rsid w:val="000425D2"/>
    <w:rsid w:val="00043B43"/>
    <w:rsid w:val="00043DB0"/>
    <w:rsid w:val="00044488"/>
    <w:rsid w:val="00046201"/>
    <w:rsid w:val="0004622B"/>
    <w:rsid w:val="000472B9"/>
    <w:rsid w:val="00051EA0"/>
    <w:rsid w:val="0005441D"/>
    <w:rsid w:val="00054AAC"/>
    <w:rsid w:val="0005561B"/>
    <w:rsid w:val="000566FB"/>
    <w:rsid w:val="00056932"/>
    <w:rsid w:val="00056AC5"/>
    <w:rsid w:val="00057246"/>
    <w:rsid w:val="000612D7"/>
    <w:rsid w:val="000615A5"/>
    <w:rsid w:val="000624C7"/>
    <w:rsid w:val="0006724A"/>
    <w:rsid w:val="0007053E"/>
    <w:rsid w:val="00071442"/>
    <w:rsid w:val="000719A5"/>
    <w:rsid w:val="00071F03"/>
    <w:rsid w:val="00072586"/>
    <w:rsid w:val="00076CA6"/>
    <w:rsid w:val="00076F5A"/>
    <w:rsid w:val="000803A6"/>
    <w:rsid w:val="00083D11"/>
    <w:rsid w:val="000901D3"/>
    <w:rsid w:val="000916F5"/>
    <w:rsid w:val="000920CF"/>
    <w:rsid w:val="00095F2B"/>
    <w:rsid w:val="0009601B"/>
    <w:rsid w:val="000965E8"/>
    <w:rsid w:val="00096D1C"/>
    <w:rsid w:val="0009718C"/>
    <w:rsid w:val="00097B9D"/>
    <w:rsid w:val="000A08BC"/>
    <w:rsid w:val="000A122C"/>
    <w:rsid w:val="000A3262"/>
    <w:rsid w:val="000A3605"/>
    <w:rsid w:val="000A4539"/>
    <w:rsid w:val="000A456D"/>
    <w:rsid w:val="000A5CE0"/>
    <w:rsid w:val="000A680A"/>
    <w:rsid w:val="000A6BBA"/>
    <w:rsid w:val="000B0F64"/>
    <w:rsid w:val="000B2626"/>
    <w:rsid w:val="000B2738"/>
    <w:rsid w:val="000B2A57"/>
    <w:rsid w:val="000B4E97"/>
    <w:rsid w:val="000B56CC"/>
    <w:rsid w:val="000B5A66"/>
    <w:rsid w:val="000B5B0C"/>
    <w:rsid w:val="000B7590"/>
    <w:rsid w:val="000B7E5F"/>
    <w:rsid w:val="000C1343"/>
    <w:rsid w:val="000C324C"/>
    <w:rsid w:val="000C3349"/>
    <w:rsid w:val="000C3986"/>
    <w:rsid w:val="000C4190"/>
    <w:rsid w:val="000C53B3"/>
    <w:rsid w:val="000C7964"/>
    <w:rsid w:val="000C79BA"/>
    <w:rsid w:val="000D326E"/>
    <w:rsid w:val="000D52B4"/>
    <w:rsid w:val="000D5596"/>
    <w:rsid w:val="000D7EA3"/>
    <w:rsid w:val="000E6AD4"/>
    <w:rsid w:val="000E6D79"/>
    <w:rsid w:val="000E7E31"/>
    <w:rsid w:val="000F070D"/>
    <w:rsid w:val="000F1329"/>
    <w:rsid w:val="000F1C76"/>
    <w:rsid w:val="000F3E3D"/>
    <w:rsid w:val="000F43AA"/>
    <w:rsid w:val="000F688D"/>
    <w:rsid w:val="000F7885"/>
    <w:rsid w:val="000F7A40"/>
    <w:rsid w:val="000F7F98"/>
    <w:rsid w:val="001006B2"/>
    <w:rsid w:val="001007DA"/>
    <w:rsid w:val="00100944"/>
    <w:rsid w:val="00100CFA"/>
    <w:rsid w:val="00100F21"/>
    <w:rsid w:val="00101104"/>
    <w:rsid w:val="0010112E"/>
    <w:rsid w:val="0010266F"/>
    <w:rsid w:val="00105D19"/>
    <w:rsid w:val="0010637D"/>
    <w:rsid w:val="00107AEC"/>
    <w:rsid w:val="00111B37"/>
    <w:rsid w:val="0011216D"/>
    <w:rsid w:val="00112582"/>
    <w:rsid w:val="00114B30"/>
    <w:rsid w:val="001160F0"/>
    <w:rsid w:val="00116C0D"/>
    <w:rsid w:val="00120323"/>
    <w:rsid w:val="001216EB"/>
    <w:rsid w:val="00121ADD"/>
    <w:rsid w:val="00123177"/>
    <w:rsid w:val="001238DD"/>
    <w:rsid w:val="00124790"/>
    <w:rsid w:val="00124C60"/>
    <w:rsid w:val="00131184"/>
    <w:rsid w:val="00134A81"/>
    <w:rsid w:val="001353B1"/>
    <w:rsid w:val="0014171D"/>
    <w:rsid w:val="00141D1A"/>
    <w:rsid w:val="00143F8E"/>
    <w:rsid w:val="00143FD8"/>
    <w:rsid w:val="00144916"/>
    <w:rsid w:val="00145879"/>
    <w:rsid w:val="00150B67"/>
    <w:rsid w:val="00151E88"/>
    <w:rsid w:val="00152A6F"/>
    <w:rsid w:val="001538B1"/>
    <w:rsid w:val="00155775"/>
    <w:rsid w:val="00156DDF"/>
    <w:rsid w:val="00157D53"/>
    <w:rsid w:val="00160BD1"/>
    <w:rsid w:val="001612B3"/>
    <w:rsid w:val="00161829"/>
    <w:rsid w:val="00163EC0"/>
    <w:rsid w:val="001669D4"/>
    <w:rsid w:val="001700C3"/>
    <w:rsid w:val="00170748"/>
    <w:rsid w:val="001715FF"/>
    <w:rsid w:val="00171A3A"/>
    <w:rsid w:val="0017349D"/>
    <w:rsid w:val="001734BD"/>
    <w:rsid w:val="001743D4"/>
    <w:rsid w:val="00174B67"/>
    <w:rsid w:val="0017575D"/>
    <w:rsid w:val="001763EA"/>
    <w:rsid w:val="00177627"/>
    <w:rsid w:val="00177701"/>
    <w:rsid w:val="00177F0F"/>
    <w:rsid w:val="00191720"/>
    <w:rsid w:val="00191842"/>
    <w:rsid w:val="00192968"/>
    <w:rsid w:val="00194A59"/>
    <w:rsid w:val="001A1738"/>
    <w:rsid w:val="001A17E3"/>
    <w:rsid w:val="001A1983"/>
    <w:rsid w:val="001A72E5"/>
    <w:rsid w:val="001B0253"/>
    <w:rsid w:val="001B16AC"/>
    <w:rsid w:val="001B31DC"/>
    <w:rsid w:val="001B337F"/>
    <w:rsid w:val="001B3E0E"/>
    <w:rsid w:val="001B47B1"/>
    <w:rsid w:val="001B50DB"/>
    <w:rsid w:val="001B5E97"/>
    <w:rsid w:val="001B6EAF"/>
    <w:rsid w:val="001C1103"/>
    <w:rsid w:val="001C126F"/>
    <w:rsid w:val="001C1450"/>
    <w:rsid w:val="001C1BDC"/>
    <w:rsid w:val="001C23E9"/>
    <w:rsid w:val="001C3FCA"/>
    <w:rsid w:val="001C7642"/>
    <w:rsid w:val="001D2FA0"/>
    <w:rsid w:val="001D5C4C"/>
    <w:rsid w:val="001E0AB5"/>
    <w:rsid w:val="001E13B5"/>
    <w:rsid w:val="001E1C05"/>
    <w:rsid w:val="001E6C59"/>
    <w:rsid w:val="001F021A"/>
    <w:rsid w:val="001F06D8"/>
    <w:rsid w:val="001F159D"/>
    <w:rsid w:val="001F1B0F"/>
    <w:rsid w:val="001F2B1E"/>
    <w:rsid w:val="001F7882"/>
    <w:rsid w:val="00201B32"/>
    <w:rsid w:val="00203AA4"/>
    <w:rsid w:val="00204709"/>
    <w:rsid w:val="00204920"/>
    <w:rsid w:val="00204C5C"/>
    <w:rsid w:val="002056C5"/>
    <w:rsid w:val="0021019B"/>
    <w:rsid w:val="0021074A"/>
    <w:rsid w:val="0021124B"/>
    <w:rsid w:val="00212799"/>
    <w:rsid w:val="00212FC8"/>
    <w:rsid w:val="00214AC0"/>
    <w:rsid w:val="00215C9B"/>
    <w:rsid w:val="00215DFD"/>
    <w:rsid w:val="00215FE8"/>
    <w:rsid w:val="00216F8F"/>
    <w:rsid w:val="00221703"/>
    <w:rsid w:val="00224241"/>
    <w:rsid w:val="002250E5"/>
    <w:rsid w:val="00225238"/>
    <w:rsid w:val="002256FD"/>
    <w:rsid w:val="00226D6B"/>
    <w:rsid w:val="00226EAA"/>
    <w:rsid w:val="0022753E"/>
    <w:rsid w:val="00230184"/>
    <w:rsid w:val="00234132"/>
    <w:rsid w:val="00236560"/>
    <w:rsid w:val="00240743"/>
    <w:rsid w:val="00244033"/>
    <w:rsid w:val="002461F1"/>
    <w:rsid w:val="002462ED"/>
    <w:rsid w:val="00246AA1"/>
    <w:rsid w:val="0025083A"/>
    <w:rsid w:val="00252DCD"/>
    <w:rsid w:val="002535F3"/>
    <w:rsid w:val="00256BB4"/>
    <w:rsid w:val="002572CE"/>
    <w:rsid w:val="00257DE4"/>
    <w:rsid w:val="002617F7"/>
    <w:rsid w:val="00261AFA"/>
    <w:rsid w:val="002642B9"/>
    <w:rsid w:val="00265789"/>
    <w:rsid w:val="002666F0"/>
    <w:rsid w:val="00266A53"/>
    <w:rsid w:val="00267816"/>
    <w:rsid w:val="00270289"/>
    <w:rsid w:val="002709F6"/>
    <w:rsid w:val="00271C13"/>
    <w:rsid w:val="002721B1"/>
    <w:rsid w:val="00272E8A"/>
    <w:rsid w:val="002742AB"/>
    <w:rsid w:val="00275FD5"/>
    <w:rsid w:val="002762ED"/>
    <w:rsid w:val="0027675D"/>
    <w:rsid w:val="00276A68"/>
    <w:rsid w:val="00276EFD"/>
    <w:rsid w:val="0028130D"/>
    <w:rsid w:val="00282CC4"/>
    <w:rsid w:val="00283A3E"/>
    <w:rsid w:val="00284B9E"/>
    <w:rsid w:val="00284CEC"/>
    <w:rsid w:val="00284F45"/>
    <w:rsid w:val="002860FC"/>
    <w:rsid w:val="002875F9"/>
    <w:rsid w:val="002879F0"/>
    <w:rsid w:val="00290C16"/>
    <w:rsid w:val="00291BF6"/>
    <w:rsid w:val="0029777E"/>
    <w:rsid w:val="002A1970"/>
    <w:rsid w:val="002A1C10"/>
    <w:rsid w:val="002A3740"/>
    <w:rsid w:val="002A43D0"/>
    <w:rsid w:val="002A6964"/>
    <w:rsid w:val="002B129F"/>
    <w:rsid w:val="002B3657"/>
    <w:rsid w:val="002B411E"/>
    <w:rsid w:val="002B46B3"/>
    <w:rsid w:val="002B55D9"/>
    <w:rsid w:val="002B6588"/>
    <w:rsid w:val="002B6E86"/>
    <w:rsid w:val="002C0C2E"/>
    <w:rsid w:val="002C0E30"/>
    <w:rsid w:val="002C2911"/>
    <w:rsid w:val="002C31BF"/>
    <w:rsid w:val="002C4A9D"/>
    <w:rsid w:val="002C4BEE"/>
    <w:rsid w:val="002C5043"/>
    <w:rsid w:val="002C635B"/>
    <w:rsid w:val="002C6483"/>
    <w:rsid w:val="002C7491"/>
    <w:rsid w:val="002D0680"/>
    <w:rsid w:val="002D1B2B"/>
    <w:rsid w:val="002D2C92"/>
    <w:rsid w:val="002D43CB"/>
    <w:rsid w:val="002D576A"/>
    <w:rsid w:val="002D651D"/>
    <w:rsid w:val="002D762F"/>
    <w:rsid w:val="002E208D"/>
    <w:rsid w:val="002E20D0"/>
    <w:rsid w:val="002E5429"/>
    <w:rsid w:val="002E5E0D"/>
    <w:rsid w:val="002E6B17"/>
    <w:rsid w:val="002E7661"/>
    <w:rsid w:val="002F0826"/>
    <w:rsid w:val="002F08E3"/>
    <w:rsid w:val="002F0FEE"/>
    <w:rsid w:val="002F1DDF"/>
    <w:rsid w:val="002F4C7C"/>
    <w:rsid w:val="002F7F33"/>
    <w:rsid w:val="00300C81"/>
    <w:rsid w:val="00301ADC"/>
    <w:rsid w:val="003031E1"/>
    <w:rsid w:val="00303380"/>
    <w:rsid w:val="003043AE"/>
    <w:rsid w:val="0030454D"/>
    <w:rsid w:val="00304D4A"/>
    <w:rsid w:val="0030574D"/>
    <w:rsid w:val="003057D0"/>
    <w:rsid w:val="00305AF2"/>
    <w:rsid w:val="00307CC9"/>
    <w:rsid w:val="0031098B"/>
    <w:rsid w:val="00311E37"/>
    <w:rsid w:val="00311F7C"/>
    <w:rsid w:val="003124F0"/>
    <w:rsid w:val="00312584"/>
    <w:rsid w:val="00315F8E"/>
    <w:rsid w:val="003169BB"/>
    <w:rsid w:val="00316BD1"/>
    <w:rsid w:val="00317668"/>
    <w:rsid w:val="00321482"/>
    <w:rsid w:val="003214A4"/>
    <w:rsid w:val="0032156F"/>
    <w:rsid w:val="00321D7B"/>
    <w:rsid w:val="00321FB7"/>
    <w:rsid w:val="00323657"/>
    <w:rsid w:val="00330D66"/>
    <w:rsid w:val="003310F8"/>
    <w:rsid w:val="00331D91"/>
    <w:rsid w:val="00332E6E"/>
    <w:rsid w:val="00333EBE"/>
    <w:rsid w:val="00337A9D"/>
    <w:rsid w:val="003424C0"/>
    <w:rsid w:val="00344E9F"/>
    <w:rsid w:val="00345489"/>
    <w:rsid w:val="00347B6C"/>
    <w:rsid w:val="00347F1A"/>
    <w:rsid w:val="0035089B"/>
    <w:rsid w:val="00353102"/>
    <w:rsid w:val="00354BFD"/>
    <w:rsid w:val="00355012"/>
    <w:rsid w:val="00357039"/>
    <w:rsid w:val="003615AC"/>
    <w:rsid w:val="00362A5B"/>
    <w:rsid w:val="00364348"/>
    <w:rsid w:val="0036471D"/>
    <w:rsid w:val="00365797"/>
    <w:rsid w:val="0036798D"/>
    <w:rsid w:val="003709D0"/>
    <w:rsid w:val="003716A1"/>
    <w:rsid w:val="00371F19"/>
    <w:rsid w:val="0037361F"/>
    <w:rsid w:val="00373E2F"/>
    <w:rsid w:val="003743E2"/>
    <w:rsid w:val="00375C00"/>
    <w:rsid w:val="00375DE6"/>
    <w:rsid w:val="0037641C"/>
    <w:rsid w:val="003766FA"/>
    <w:rsid w:val="003806CE"/>
    <w:rsid w:val="00380793"/>
    <w:rsid w:val="00381CEF"/>
    <w:rsid w:val="00382091"/>
    <w:rsid w:val="00386EB5"/>
    <w:rsid w:val="00387619"/>
    <w:rsid w:val="00387D6A"/>
    <w:rsid w:val="003901D6"/>
    <w:rsid w:val="00390588"/>
    <w:rsid w:val="003933A1"/>
    <w:rsid w:val="00396C4B"/>
    <w:rsid w:val="003A0AC3"/>
    <w:rsid w:val="003A1494"/>
    <w:rsid w:val="003A51C3"/>
    <w:rsid w:val="003A52AA"/>
    <w:rsid w:val="003A630A"/>
    <w:rsid w:val="003A6981"/>
    <w:rsid w:val="003B0B7B"/>
    <w:rsid w:val="003B3243"/>
    <w:rsid w:val="003B3471"/>
    <w:rsid w:val="003B4820"/>
    <w:rsid w:val="003B4B13"/>
    <w:rsid w:val="003B4B22"/>
    <w:rsid w:val="003B578D"/>
    <w:rsid w:val="003B6014"/>
    <w:rsid w:val="003B7F97"/>
    <w:rsid w:val="003C08F0"/>
    <w:rsid w:val="003C10FF"/>
    <w:rsid w:val="003C1161"/>
    <w:rsid w:val="003C40C1"/>
    <w:rsid w:val="003C6852"/>
    <w:rsid w:val="003C6DD7"/>
    <w:rsid w:val="003C7414"/>
    <w:rsid w:val="003D1040"/>
    <w:rsid w:val="003D4531"/>
    <w:rsid w:val="003D5365"/>
    <w:rsid w:val="003E0C8A"/>
    <w:rsid w:val="003E52EF"/>
    <w:rsid w:val="003E601C"/>
    <w:rsid w:val="003F1082"/>
    <w:rsid w:val="003F148F"/>
    <w:rsid w:val="003F266F"/>
    <w:rsid w:val="003F27AD"/>
    <w:rsid w:val="003F5515"/>
    <w:rsid w:val="003F5740"/>
    <w:rsid w:val="003F6100"/>
    <w:rsid w:val="003F64BA"/>
    <w:rsid w:val="003F6AE3"/>
    <w:rsid w:val="004004A3"/>
    <w:rsid w:val="00400BF5"/>
    <w:rsid w:val="00401894"/>
    <w:rsid w:val="00401E19"/>
    <w:rsid w:val="004036C1"/>
    <w:rsid w:val="00404DD9"/>
    <w:rsid w:val="00406515"/>
    <w:rsid w:val="004068F3"/>
    <w:rsid w:val="00406A75"/>
    <w:rsid w:val="00411C2F"/>
    <w:rsid w:val="004131BB"/>
    <w:rsid w:val="00413D9C"/>
    <w:rsid w:val="004164E9"/>
    <w:rsid w:val="00421D8F"/>
    <w:rsid w:val="00424412"/>
    <w:rsid w:val="00424EEA"/>
    <w:rsid w:val="00425588"/>
    <w:rsid w:val="00425A6A"/>
    <w:rsid w:val="00426A18"/>
    <w:rsid w:val="00427956"/>
    <w:rsid w:val="00427BCA"/>
    <w:rsid w:val="00427DF5"/>
    <w:rsid w:val="00430243"/>
    <w:rsid w:val="004302A8"/>
    <w:rsid w:val="004305F0"/>
    <w:rsid w:val="00431B10"/>
    <w:rsid w:val="004328F1"/>
    <w:rsid w:val="00432BCF"/>
    <w:rsid w:val="00434D20"/>
    <w:rsid w:val="00436864"/>
    <w:rsid w:val="00436AB2"/>
    <w:rsid w:val="004372A9"/>
    <w:rsid w:val="004427E0"/>
    <w:rsid w:val="00443A73"/>
    <w:rsid w:val="00444687"/>
    <w:rsid w:val="00446463"/>
    <w:rsid w:val="004468B0"/>
    <w:rsid w:val="0045053F"/>
    <w:rsid w:val="00450E53"/>
    <w:rsid w:val="00460B14"/>
    <w:rsid w:val="0046119F"/>
    <w:rsid w:val="00462472"/>
    <w:rsid w:val="004629C5"/>
    <w:rsid w:val="0046518A"/>
    <w:rsid w:val="00466BC1"/>
    <w:rsid w:val="00466F7C"/>
    <w:rsid w:val="00467182"/>
    <w:rsid w:val="00472183"/>
    <w:rsid w:val="004739FE"/>
    <w:rsid w:val="0047617A"/>
    <w:rsid w:val="00477376"/>
    <w:rsid w:val="0048079A"/>
    <w:rsid w:val="00480C28"/>
    <w:rsid w:val="00481873"/>
    <w:rsid w:val="004847FB"/>
    <w:rsid w:val="0048632F"/>
    <w:rsid w:val="0049206E"/>
    <w:rsid w:val="00492178"/>
    <w:rsid w:val="00492B85"/>
    <w:rsid w:val="004937D1"/>
    <w:rsid w:val="00493E68"/>
    <w:rsid w:val="00496331"/>
    <w:rsid w:val="0049668B"/>
    <w:rsid w:val="00496A80"/>
    <w:rsid w:val="00496CD3"/>
    <w:rsid w:val="00497444"/>
    <w:rsid w:val="004A0F4D"/>
    <w:rsid w:val="004A1644"/>
    <w:rsid w:val="004A257D"/>
    <w:rsid w:val="004A29C8"/>
    <w:rsid w:val="004A2D2F"/>
    <w:rsid w:val="004A5055"/>
    <w:rsid w:val="004A67CA"/>
    <w:rsid w:val="004A78A7"/>
    <w:rsid w:val="004A7AC0"/>
    <w:rsid w:val="004A7EB3"/>
    <w:rsid w:val="004B10B8"/>
    <w:rsid w:val="004B15E1"/>
    <w:rsid w:val="004B16D5"/>
    <w:rsid w:val="004B3182"/>
    <w:rsid w:val="004B37CF"/>
    <w:rsid w:val="004B4750"/>
    <w:rsid w:val="004B5753"/>
    <w:rsid w:val="004B7C9B"/>
    <w:rsid w:val="004B7E2C"/>
    <w:rsid w:val="004C19CB"/>
    <w:rsid w:val="004C1A68"/>
    <w:rsid w:val="004C38AB"/>
    <w:rsid w:val="004C44B5"/>
    <w:rsid w:val="004C45B6"/>
    <w:rsid w:val="004C5BA2"/>
    <w:rsid w:val="004C6FE8"/>
    <w:rsid w:val="004D1306"/>
    <w:rsid w:val="004D1D4D"/>
    <w:rsid w:val="004D4331"/>
    <w:rsid w:val="004D5AA2"/>
    <w:rsid w:val="004D636A"/>
    <w:rsid w:val="004D72DE"/>
    <w:rsid w:val="004E15E1"/>
    <w:rsid w:val="004E307F"/>
    <w:rsid w:val="004E342B"/>
    <w:rsid w:val="004E3B01"/>
    <w:rsid w:val="004E5F39"/>
    <w:rsid w:val="004E638C"/>
    <w:rsid w:val="004F14BC"/>
    <w:rsid w:val="004F2283"/>
    <w:rsid w:val="004F4F41"/>
    <w:rsid w:val="004F6BD1"/>
    <w:rsid w:val="004F6C62"/>
    <w:rsid w:val="004F7A21"/>
    <w:rsid w:val="005003BD"/>
    <w:rsid w:val="00501011"/>
    <w:rsid w:val="005019BA"/>
    <w:rsid w:val="00501E5E"/>
    <w:rsid w:val="00503408"/>
    <w:rsid w:val="00504E0A"/>
    <w:rsid w:val="005059E2"/>
    <w:rsid w:val="00507114"/>
    <w:rsid w:val="0051108F"/>
    <w:rsid w:val="00511DC4"/>
    <w:rsid w:val="005130C3"/>
    <w:rsid w:val="005159EB"/>
    <w:rsid w:val="0051667E"/>
    <w:rsid w:val="0052031D"/>
    <w:rsid w:val="00521EAB"/>
    <w:rsid w:val="00524E06"/>
    <w:rsid w:val="00524F59"/>
    <w:rsid w:val="00524F5E"/>
    <w:rsid w:val="005263F8"/>
    <w:rsid w:val="005268CD"/>
    <w:rsid w:val="00526CEE"/>
    <w:rsid w:val="00526D7A"/>
    <w:rsid w:val="00527562"/>
    <w:rsid w:val="005301A2"/>
    <w:rsid w:val="00530B6A"/>
    <w:rsid w:val="005315D7"/>
    <w:rsid w:val="0053160F"/>
    <w:rsid w:val="0053486C"/>
    <w:rsid w:val="00536277"/>
    <w:rsid w:val="0053750E"/>
    <w:rsid w:val="005410C9"/>
    <w:rsid w:val="0054392A"/>
    <w:rsid w:val="00544072"/>
    <w:rsid w:val="00544DAE"/>
    <w:rsid w:val="00545FC0"/>
    <w:rsid w:val="00552D79"/>
    <w:rsid w:val="00555008"/>
    <w:rsid w:val="00565BE3"/>
    <w:rsid w:val="0056624F"/>
    <w:rsid w:val="005665F7"/>
    <w:rsid w:val="00570593"/>
    <w:rsid w:val="00570C9B"/>
    <w:rsid w:val="00571256"/>
    <w:rsid w:val="005714B6"/>
    <w:rsid w:val="00571E97"/>
    <w:rsid w:val="005720D7"/>
    <w:rsid w:val="00572904"/>
    <w:rsid w:val="00575FC0"/>
    <w:rsid w:val="005810F3"/>
    <w:rsid w:val="00582D3C"/>
    <w:rsid w:val="005830A9"/>
    <w:rsid w:val="0058500E"/>
    <w:rsid w:val="005854D3"/>
    <w:rsid w:val="00587BCE"/>
    <w:rsid w:val="005907B4"/>
    <w:rsid w:val="00591DE6"/>
    <w:rsid w:val="00594C2F"/>
    <w:rsid w:val="00595499"/>
    <w:rsid w:val="005954BB"/>
    <w:rsid w:val="00595D5F"/>
    <w:rsid w:val="0059691C"/>
    <w:rsid w:val="00596EAC"/>
    <w:rsid w:val="00597E5E"/>
    <w:rsid w:val="005A0111"/>
    <w:rsid w:val="005A0DD6"/>
    <w:rsid w:val="005A1B10"/>
    <w:rsid w:val="005A3F7F"/>
    <w:rsid w:val="005A54B9"/>
    <w:rsid w:val="005A569A"/>
    <w:rsid w:val="005A5E48"/>
    <w:rsid w:val="005B0E04"/>
    <w:rsid w:val="005B2449"/>
    <w:rsid w:val="005B2A5F"/>
    <w:rsid w:val="005B2B00"/>
    <w:rsid w:val="005B3D0A"/>
    <w:rsid w:val="005B45E3"/>
    <w:rsid w:val="005B4D04"/>
    <w:rsid w:val="005B5F3A"/>
    <w:rsid w:val="005B705C"/>
    <w:rsid w:val="005B73D9"/>
    <w:rsid w:val="005C1B6C"/>
    <w:rsid w:val="005C36E1"/>
    <w:rsid w:val="005C56FD"/>
    <w:rsid w:val="005C7370"/>
    <w:rsid w:val="005C76D1"/>
    <w:rsid w:val="005D448E"/>
    <w:rsid w:val="005D576B"/>
    <w:rsid w:val="005D57BA"/>
    <w:rsid w:val="005D6441"/>
    <w:rsid w:val="005D691C"/>
    <w:rsid w:val="005D7195"/>
    <w:rsid w:val="005D724C"/>
    <w:rsid w:val="005D7DBF"/>
    <w:rsid w:val="005E1DC1"/>
    <w:rsid w:val="005E24E4"/>
    <w:rsid w:val="005E2AA6"/>
    <w:rsid w:val="005E4F0C"/>
    <w:rsid w:val="005E7159"/>
    <w:rsid w:val="005E7729"/>
    <w:rsid w:val="005E7A15"/>
    <w:rsid w:val="005E7DA2"/>
    <w:rsid w:val="005F1067"/>
    <w:rsid w:val="005F2C70"/>
    <w:rsid w:val="005F2DA4"/>
    <w:rsid w:val="005F581D"/>
    <w:rsid w:val="00604EF2"/>
    <w:rsid w:val="006063A8"/>
    <w:rsid w:val="00607E0F"/>
    <w:rsid w:val="00610692"/>
    <w:rsid w:val="00611299"/>
    <w:rsid w:val="00611CE2"/>
    <w:rsid w:val="00611CF8"/>
    <w:rsid w:val="0061201E"/>
    <w:rsid w:val="00612C1F"/>
    <w:rsid w:val="00613E7B"/>
    <w:rsid w:val="006159DF"/>
    <w:rsid w:val="00615D60"/>
    <w:rsid w:val="00616F4D"/>
    <w:rsid w:val="006216AA"/>
    <w:rsid w:val="00622293"/>
    <w:rsid w:val="00622950"/>
    <w:rsid w:val="006237D2"/>
    <w:rsid w:val="006239DA"/>
    <w:rsid w:val="006247CD"/>
    <w:rsid w:val="00624B26"/>
    <w:rsid w:val="0062678E"/>
    <w:rsid w:val="0063183C"/>
    <w:rsid w:val="00631BF8"/>
    <w:rsid w:val="00632BF5"/>
    <w:rsid w:val="0063343E"/>
    <w:rsid w:val="00633BB1"/>
    <w:rsid w:val="006364CC"/>
    <w:rsid w:val="00642174"/>
    <w:rsid w:val="0064261F"/>
    <w:rsid w:val="006449AE"/>
    <w:rsid w:val="00644A46"/>
    <w:rsid w:val="00646506"/>
    <w:rsid w:val="00646C20"/>
    <w:rsid w:val="00650C5E"/>
    <w:rsid w:val="00651C0B"/>
    <w:rsid w:val="00653483"/>
    <w:rsid w:val="00654352"/>
    <w:rsid w:val="00654DA4"/>
    <w:rsid w:val="006550E6"/>
    <w:rsid w:val="00656236"/>
    <w:rsid w:val="006565EA"/>
    <w:rsid w:val="0065691E"/>
    <w:rsid w:val="00660921"/>
    <w:rsid w:val="006626CF"/>
    <w:rsid w:val="00663BF1"/>
    <w:rsid w:val="00663DB3"/>
    <w:rsid w:val="00664A24"/>
    <w:rsid w:val="0066527A"/>
    <w:rsid w:val="00665BEA"/>
    <w:rsid w:val="006661E9"/>
    <w:rsid w:val="00666853"/>
    <w:rsid w:val="00667D43"/>
    <w:rsid w:val="0067000A"/>
    <w:rsid w:val="00670865"/>
    <w:rsid w:val="00670D85"/>
    <w:rsid w:val="00671C64"/>
    <w:rsid w:val="006727EF"/>
    <w:rsid w:val="00672BB1"/>
    <w:rsid w:val="0067662E"/>
    <w:rsid w:val="00676ED2"/>
    <w:rsid w:val="00677DAA"/>
    <w:rsid w:val="0068540F"/>
    <w:rsid w:val="00686A45"/>
    <w:rsid w:val="00687B00"/>
    <w:rsid w:val="00690639"/>
    <w:rsid w:val="00695989"/>
    <w:rsid w:val="00697ABC"/>
    <w:rsid w:val="006A1066"/>
    <w:rsid w:val="006A1C76"/>
    <w:rsid w:val="006A4AA2"/>
    <w:rsid w:val="006A5786"/>
    <w:rsid w:val="006A5BCC"/>
    <w:rsid w:val="006A6504"/>
    <w:rsid w:val="006A6940"/>
    <w:rsid w:val="006B0D2B"/>
    <w:rsid w:val="006B128E"/>
    <w:rsid w:val="006B170A"/>
    <w:rsid w:val="006B563D"/>
    <w:rsid w:val="006B7855"/>
    <w:rsid w:val="006C2C03"/>
    <w:rsid w:val="006C3779"/>
    <w:rsid w:val="006C381F"/>
    <w:rsid w:val="006C3C2B"/>
    <w:rsid w:val="006C4498"/>
    <w:rsid w:val="006C71C6"/>
    <w:rsid w:val="006D04B5"/>
    <w:rsid w:val="006D0E11"/>
    <w:rsid w:val="006D33BE"/>
    <w:rsid w:val="006D3DC4"/>
    <w:rsid w:val="006D5CD8"/>
    <w:rsid w:val="006D6634"/>
    <w:rsid w:val="006D68D3"/>
    <w:rsid w:val="006D77A6"/>
    <w:rsid w:val="006E3975"/>
    <w:rsid w:val="006E51AA"/>
    <w:rsid w:val="006E72B1"/>
    <w:rsid w:val="006E79B6"/>
    <w:rsid w:val="006F3657"/>
    <w:rsid w:val="006F5509"/>
    <w:rsid w:val="006F7A60"/>
    <w:rsid w:val="006F7F61"/>
    <w:rsid w:val="007000F7"/>
    <w:rsid w:val="00700E7B"/>
    <w:rsid w:val="007045C8"/>
    <w:rsid w:val="0070638F"/>
    <w:rsid w:val="007064D6"/>
    <w:rsid w:val="0070693F"/>
    <w:rsid w:val="00706992"/>
    <w:rsid w:val="007079A1"/>
    <w:rsid w:val="007119A8"/>
    <w:rsid w:val="007127AC"/>
    <w:rsid w:val="00716C9B"/>
    <w:rsid w:val="0071733A"/>
    <w:rsid w:val="00720057"/>
    <w:rsid w:val="00720A9C"/>
    <w:rsid w:val="00721E35"/>
    <w:rsid w:val="00723D24"/>
    <w:rsid w:val="00725720"/>
    <w:rsid w:val="00725E2A"/>
    <w:rsid w:val="00726C6A"/>
    <w:rsid w:val="00727151"/>
    <w:rsid w:val="007313EA"/>
    <w:rsid w:val="00732371"/>
    <w:rsid w:val="00735389"/>
    <w:rsid w:val="007354CF"/>
    <w:rsid w:val="00735566"/>
    <w:rsid w:val="00736FEA"/>
    <w:rsid w:val="00737A28"/>
    <w:rsid w:val="00737C39"/>
    <w:rsid w:val="00747B03"/>
    <w:rsid w:val="00747DD3"/>
    <w:rsid w:val="007524B6"/>
    <w:rsid w:val="007533D4"/>
    <w:rsid w:val="007537E4"/>
    <w:rsid w:val="007547A5"/>
    <w:rsid w:val="007617D3"/>
    <w:rsid w:val="0076236F"/>
    <w:rsid w:val="0076370F"/>
    <w:rsid w:val="00763F32"/>
    <w:rsid w:val="00764842"/>
    <w:rsid w:val="00765822"/>
    <w:rsid w:val="00770BA4"/>
    <w:rsid w:val="00774EF3"/>
    <w:rsid w:val="0077548E"/>
    <w:rsid w:val="00776197"/>
    <w:rsid w:val="00776FB7"/>
    <w:rsid w:val="00782DAD"/>
    <w:rsid w:val="0078360F"/>
    <w:rsid w:val="00784CC8"/>
    <w:rsid w:val="00784DE3"/>
    <w:rsid w:val="007868FD"/>
    <w:rsid w:val="00786D7A"/>
    <w:rsid w:val="00790211"/>
    <w:rsid w:val="00790BA5"/>
    <w:rsid w:val="007935C6"/>
    <w:rsid w:val="007937CC"/>
    <w:rsid w:val="00796CCB"/>
    <w:rsid w:val="00797B32"/>
    <w:rsid w:val="007A049E"/>
    <w:rsid w:val="007A2601"/>
    <w:rsid w:val="007A45AB"/>
    <w:rsid w:val="007A566B"/>
    <w:rsid w:val="007A58A9"/>
    <w:rsid w:val="007A5B60"/>
    <w:rsid w:val="007A7802"/>
    <w:rsid w:val="007A7F83"/>
    <w:rsid w:val="007B18F0"/>
    <w:rsid w:val="007B3912"/>
    <w:rsid w:val="007B419C"/>
    <w:rsid w:val="007B60D2"/>
    <w:rsid w:val="007B649C"/>
    <w:rsid w:val="007B676D"/>
    <w:rsid w:val="007C0268"/>
    <w:rsid w:val="007C03F9"/>
    <w:rsid w:val="007C1CF1"/>
    <w:rsid w:val="007C41FE"/>
    <w:rsid w:val="007C4F03"/>
    <w:rsid w:val="007C577B"/>
    <w:rsid w:val="007C5880"/>
    <w:rsid w:val="007C6ACD"/>
    <w:rsid w:val="007C7E1A"/>
    <w:rsid w:val="007D2890"/>
    <w:rsid w:val="007D54AF"/>
    <w:rsid w:val="007D55CF"/>
    <w:rsid w:val="007D5A68"/>
    <w:rsid w:val="007E00F4"/>
    <w:rsid w:val="007E0E2F"/>
    <w:rsid w:val="007E0FB1"/>
    <w:rsid w:val="007E1AB1"/>
    <w:rsid w:val="007E3427"/>
    <w:rsid w:val="007E4AF8"/>
    <w:rsid w:val="007E5E08"/>
    <w:rsid w:val="007E6869"/>
    <w:rsid w:val="007E6875"/>
    <w:rsid w:val="007E6C64"/>
    <w:rsid w:val="007E7324"/>
    <w:rsid w:val="007E74C8"/>
    <w:rsid w:val="007F2A4C"/>
    <w:rsid w:val="007F2FE0"/>
    <w:rsid w:val="007F32A6"/>
    <w:rsid w:val="007F3C31"/>
    <w:rsid w:val="007F3D54"/>
    <w:rsid w:val="007F49CC"/>
    <w:rsid w:val="007F4C63"/>
    <w:rsid w:val="007F5657"/>
    <w:rsid w:val="007F7B28"/>
    <w:rsid w:val="00801B8E"/>
    <w:rsid w:val="00802654"/>
    <w:rsid w:val="00803E54"/>
    <w:rsid w:val="00803EBD"/>
    <w:rsid w:val="0080545E"/>
    <w:rsid w:val="008057CF"/>
    <w:rsid w:val="008061DB"/>
    <w:rsid w:val="00807168"/>
    <w:rsid w:val="00812C5D"/>
    <w:rsid w:val="00814594"/>
    <w:rsid w:val="00814750"/>
    <w:rsid w:val="00815993"/>
    <w:rsid w:val="0082119C"/>
    <w:rsid w:val="00821900"/>
    <w:rsid w:val="00824589"/>
    <w:rsid w:val="008257B3"/>
    <w:rsid w:val="00825F45"/>
    <w:rsid w:val="008347C6"/>
    <w:rsid w:val="00834FDF"/>
    <w:rsid w:val="008378E2"/>
    <w:rsid w:val="00837D5E"/>
    <w:rsid w:val="00837DD4"/>
    <w:rsid w:val="0084020A"/>
    <w:rsid w:val="00841641"/>
    <w:rsid w:val="00841A79"/>
    <w:rsid w:val="0084281B"/>
    <w:rsid w:val="00843F5B"/>
    <w:rsid w:val="008518E0"/>
    <w:rsid w:val="008518FF"/>
    <w:rsid w:val="00851906"/>
    <w:rsid w:val="008519D9"/>
    <w:rsid w:val="00851ACE"/>
    <w:rsid w:val="00855C48"/>
    <w:rsid w:val="008600A6"/>
    <w:rsid w:val="00860A11"/>
    <w:rsid w:val="00861625"/>
    <w:rsid w:val="00866065"/>
    <w:rsid w:val="00866501"/>
    <w:rsid w:val="00866EC9"/>
    <w:rsid w:val="00867ADE"/>
    <w:rsid w:val="00867D6A"/>
    <w:rsid w:val="00870C90"/>
    <w:rsid w:val="0087226C"/>
    <w:rsid w:val="00872E15"/>
    <w:rsid w:val="00872E96"/>
    <w:rsid w:val="00874DC4"/>
    <w:rsid w:val="00876E11"/>
    <w:rsid w:val="008803A1"/>
    <w:rsid w:val="00880B92"/>
    <w:rsid w:val="008817F8"/>
    <w:rsid w:val="00882253"/>
    <w:rsid w:val="008825CA"/>
    <w:rsid w:val="008827B5"/>
    <w:rsid w:val="00882DFA"/>
    <w:rsid w:val="0088317D"/>
    <w:rsid w:val="008836BC"/>
    <w:rsid w:val="008839B4"/>
    <w:rsid w:val="00883F18"/>
    <w:rsid w:val="0088485D"/>
    <w:rsid w:val="00885C0E"/>
    <w:rsid w:val="008902C7"/>
    <w:rsid w:val="00890331"/>
    <w:rsid w:val="008907E4"/>
    <w:rsid w:val="00890879"/>
    <w:rsid w:val="00890ADE"/>
    <w:rsid w:val="00890F3B"/>
    <w:rsid w:val="00891365"/>
    <w:rsid w:val="008917EB"/>
    <w:rsid w:val="00892152"/>
    <w:rsid w:val="0089418D"/>
    <w:rsid w:val="00894774"/>
    <w:rsid w:val="008959CE"/>
    <w:rsid w:val="008961D0"/>
    <w:rsid w:val="00896657"/>
    <w:rsid w:val="00897E35"/>
    <w:rsid w:val="008A0140"/>
    <w:rsid w:val="008A0B7B"/>
    <w:rsid w:val="008A0F65"/>
    <w:rsid w:val="008A1498"/>
    <w:rsid w:val="008A171D"/>
    <w:rsid w:val="008A2291"/>
    <w:rsid w:val="008A29C8"/>
    <w:rsid w:val="008A520A"/>
    <w:rsid w:val="008A5604"/>
    <w:rsid w:val="008A5D68"/>
    <w:rsid w:val="008B12C8"/>
    <w:rsid w:val="008B2C08"/>
    <w:rsid w:val="008B2DF5"/>
    <w:rsid w:val="008B3C93"/>
    <w:rsid w:val="008B5E9F"/>
    <w:rsid w:val="008B7B83"/>
    <w:rsid w:val="008C447B"/>
    <w:rsid w:val="008C49F2"/>
    <w:rsid w:val="008C4C18"/>
    <w:rsid w:val="008C6BEF"/>
    <w:rsid w:val="008C6DC7"/>
    <w:rsid w:val="008C6F6D"/>
    <w:rsid w:val="008C723F"/>
    <w:rsid w:val="008C7555"/>
    <w:rsid w:val="008C777E"/>
    <w:rsid w:val="008D1A63"/>
    <w:rsid w:val="008D2404"/>
    <w:rsid w:val="008D27CE"/>
    <w:rsid w:val="008D5673"/>
    <w:rsid w:val="008D575B"/>
    <w:rsid w:val="008D5CC8"/>
    <w:rsid w:val="008D640B"/>
    <w:rsid w:val="008E0889"/>
    <w:rsid w:val="008E0ADD"/>
    <w:rsid w:val="008E2750"/>
    <w:rsid w:val="008E58A7"/>
    <w:rsid w:val="008E6B74"/>
    <w:rsid w:val="008E6D5B"/>
    <w:rsid w:val="008E7599"/>
    <w:rsid w:val="008E7627"/>
    <w:rsid w:val="008F2C89"/>
    <w:rsid w:val="008F3421"/>
    <w:rsid w:val="008F498D"/>
    <w:rsid w:val="008F4A29"/>
    <w:rsid w:val="008F4A5B"/>
    <w:rsid w:val="009002FD"/>
    <w:rsid w:val="009014AC"/>
    <w:rsid w:val="009023A2"/>
    <w:rsid w:val="00904D2C"/>
    <w:rsid w:val="00905C4A"/>
    <w:rsid w:val="00906A61"/>
    <w:rsid w:val="00906C0E"/>
    <w:rsid w:val="009073D3"/>
    <w:rsid w:val="00910AE9"/>
    <w:rsid w:val="00912918"/>
    <w:rsid w:val="009141A9"/>
    <w:rsid w:val="009145D3"/>
    <w:rsid w:val="00914E84"/>
    <w:rsid w:val="00915E20"/>
    <w:rsid w:val="00916563"/>
    <w:rsid w:val="0091680B"/>
    <w:rsid w:val="0092062C"/>
    <w:rsid w:val="00920ED6"/>
    <w:rsid w:val="009230AE"/>
    <w:rsid w:val="00924735"/>
    <w:rsid w:val="009267D2"/>
    <w:rsid w:val="00926E8B"/>
    <w:rsid w:val="00930529"/>
    <w:rsid w:val="00931EFC"/>
    <w:rsid w:val="0093250E"/>
    <w:rsid w:val="009326CD"/>
    <w:rsid w:val="00934BD7"/>
    <w:rsid w:val="009353FB"/>
    <w:rsid w:val="00935527"/>
    <w:rsid w:val="009404BC"/>
    <w:rsid w:val="009412CA"/>
    <w:rsid w:val="009419EB"/>
    <w:rsid w:val="00941E4E"/>
    <w:rsid w:val="00942A69"/>
    <w:rsid w:val="00943491"/>
    <w:rsid w:val="00944EA3"/>
    <w:rsid w:val="00944F57"/>
    <w:rsid w:val="00945ED7"/>
    <w:rsid w:val="00946686"/>
    <w:rsid w:val="00950589"/>
    <w:rsid w:val="009516F7"/>
    <w:rsid w:val="0095266D"/>
    <w:rsid w:val="00952CCD"/>
    <w:rsid w:val="00952D92"/>
    <w:rsid w:val="0095574A"/>
    <w:rsid w:val="009569DB"/>
    <w:rsid w:val="00957338"/>
    <w:rsid w:val="00957CD1"/>
    <w:rsid w:val="0096079E"/>
    <w:rsid w:val="00960F09"/>
    <w:rsid w:val="00961337"/>
    <w:rsid w:val="00962645"/>
    <w:rsid w:val="00962E4F"/>
    <w:rsid w:val="00966C34"/>
    <w:rsid w:val="00967D7F"/>
    <w:rsid w:val="00970810"/>
    <w:rsid w:val="00974128"/>
    <w:rsid w:val="00974EA4"/>
    <w:rsid w:val="0097581C"/>
    <w:rsid w:val="009766AE"/>
    <w:rsid w:val="00980E23"/>
    <w:rsid w:val="009849CF"/>
    <w:rsid w:val="00986380"/>
    <w:rsid w:val="00986919"/>
    <w:rsid w:val="0099250D"/>
    <w:rsid w:val="009928A0"/>
    <w:rsid w:val="00993FFC"/>
    <w:rsid w:val="0099582B"/>
    <w:rsid w:val="00997357"/>
    <w:rsid w:val="009A06A2"/>
    <w:rsid w:val="009A14E6"/>
    <w:rsid w:val="009A24BD"/>
    <w:rsid w:val="009A2947"/>
    <w:rsid w:val="009A3821"/>
    <w:rsid w:val="009A4189"/>
    <w:rsid w:val="009B4833"/>
    <w:rsid w:val="009B4DF0"/>
    <w:rsid w:val="009B7156"/>
    <w:rsid w:val="009B7D1D"/>
    <w:rsid w:val="009C0136"/>
    <w:rsid w:val="009C3023"/>
    <w:rsid w:val="009C348D"/>
    <w:rsid w:val="009C3A83"/>
    <w:rsid w:val="009C3D66"/>
    <w:rsid w:val="009C6EB7"/>
    <w:rsid w:val="009C753C"/>
    <w:rsid w:val="009C7A19"/>
    <w:rsid w:val="009D1D40"/>
    <w:rsid w:val="009D2441"/>
    <w:rsid w:val="009D3CE9"/>
    <w:rsid w:val="009D671A"/>
    <w:rsid w:val="009D67C8"/>
    <w:rsid w:val="009E1C37"/>
    <w:rsid w:val="009E3267"/>
    <w:rsid w:val="009E4539"/>
    <w:rsid w:val="009E4C8D"/>
    <w:rsid w:val="009F07A5"/>
    <w:rsid w:val="009F330B"/>
    <w:rsid w:val="009F40C0"/>
    <w:rsid w:val="009F4C1E"/>
    <w:rsid w:val="009F59D4"/>
    <w:rsid w:val="009F7AED"/>
    <w:rsid w:val="009F7EF8"/>
    <w:rsid w:val="00A0002A"/>
    <w:rsid w:val="00A0085F"/>
    <w:rsid w:val="00A009BD"/>
    <w:rsid w:val="00A01343"/>
    <w:rsid w:val="00A019A3"/>
    <w:rsid w:val="00A01D75"/>
    <w:rsid w:val="00A03C2D"/>
    <w:rsid w:val="00A046B4"/>
    <w:rsid w:val="00A06924"/>
    <w:rsid w:val="00A06BD8"/>
    <w:rsid w:val="00A07322"/>
    <w:rsid w:val="00A10435"/>
    <w:rsid w:val="00A1219F"/>
    <w:rsid w:val="00A1384F"/>
    <w:rsid w:val="00A1779D"/>
    <w:rsid w:val="00A178FA"/>
    <w:rsid w:val="00A20234"/>
    <w:rsid w:val="00A206AE"/>
    <w:rsid w:val="00A21671"/>
    <w:rsid w:val="00A2252E"/>
    <w:rsid w:val="00A23571"/>
    <w:rsid w:val="00A2487A"/>
    <w:rsid w:val="00A27C4E"/>
    <w:rsid w:val="00A27E54"/>
    <w:rsid w:val="00A324F1"/>
    <w:rsid w:val="00A3431D"/>
    <w:rsid w:val="00A346C4"/>
    <w:rsid w:val="00A34F85"/>
    <w:rsid w:val="00A35896"/>
    <w:rsid w:val="00A363D8"/>
    <w:rsid w:val="00A374EC"/>
    <w:rsid w:val="00A379C8"/>
    <w:rsid w:val="00A41B46"/>
    <w:rsid w:val="00A42957"/>
    <w:rsid w:val="00A440F0"/>
    <w:rsid w:val="00A44C84"/>
    <w:rsid w:val="00A466C7"/>
    <w:rsid w:val="00A46F76"/>
    <w:rsid w:val="00A50EE1"/>
    <w:rsid w:val="00A51034"/>
    <w:rsid w:val="00A535E4"/>
    <w:rsid w:val="00A53AF0"/>
    <w:rsid w:val="00A54679"/>
    <w:rsid w:val="00A5554F"/>
    <w:rsid w:val="00A5715D"/>
    <w:rsid w:val="00A606D1"/>
    <w:rsid w:val="00A62620"/>
    <w:rsid w:val="00A63283"/>
    <w:rsid w:val="00A63D52"/>
    <w:rsid w:val="00A64599"/>
    <w:rsid w:val="00A67BDA"/>
    <w:rsid w:val="00A7020C"/>
    <w:rsid w:val="00A71FBF"/>
    <w:rsid w:val="00A72538"/>
    <w:rsid w:val="00A74DB3"/>
    <w:rsid w:val="00A74EF1"/>
    <w:rsid w:val="00A7548D"/>
    <w:rsid w:val="00A7719D"/>
    <w:rsid w:val="00A777FF"/>
    <w:rsid w:val="00A81966"/>
    <w:rsid w:val="00A821EE"/>
    <w:rsid w:val="00A8280F"/>
    <w:rsid w:val="00A8323A"/>
    <w:rsid w:val="00A83E0D"/>
    <w:rsid w:val="00A83EBE"/>
    <w:rsid w:val="00A91F1D"/>
    <w:rsid w:val="00A922F0"/>
    <w:rsid w:val="00A925EB"/>
    <w:rsid w:val="00A92945"/>
    <w:rsid w:val="00A92BC2"/>
    <w:rsid w:val="00A9338C"/>
    <w:rsid w:val="00A935CE"/>
    <w:rsid w:val="00A940CA"/>
    <w:rsid w:val="00A94B63"/>
    <w:rsid w:val="00A94F0B"/>
    <w:rsid w:val="00A955DC"/>
    <w:rsid w:val="00A95C00"/>
    <w:rsid w:val="00A97A1C"/>
    <w:rsid w:val="00AA0FEE"/>
    <w:rsid w:val="00AA2A25"/>
    <w:rsid w:val="00AA3714"/>
    <w:rsid w:val="00AA4231"/>
    <w:rsid w:val="00AA4B31"/>
    <w:rsid w:val="00AA6582"/>
    <w:rsid w:val="00AA7E6B"/>
    <w:rsid w:val="00AA7F58"/>
    <w:rsid w:val="00AB0541"/>
    <w:rsid w:val="00AB15A8"/>
    <w:rsid w:val="00AB251F"/>
    <w:rsid w:val="00AB35AC"/>
    <w:rsid w:val="00AB3DD6"/>
    <w:rsid w:val="00AB4559"/>
    <w:rsid w:val="00AB493E"/>
    <w:rsid w:val="00AB5A97"/>
    <w:rsid w:val="00AB767E"/>
    <w:rsid w:val="00AB79B1"/>
    <w:rsid w:val="00AC09FE"/>
    <w:rsid w:val="00AC0CA3"/>
    <w:rsid w:val="00AC1F78"/>
    <w:rsid w:val="00AC42FB"/>
    <w:rsid w:val="00AD008E"/>
    <w:rsid w:val="00AD14DD"/>
    <w:rsid w:val="00AD336A"/>
    <w:rsid w:val="00AD461A"/>
    <w:rsid w:val="00AD67D7"/>
    <w:rsid w:val="00AD67DF"/>
    <w:rsid w:val="00AE61D5"/>
    <w:rsid w:val="00AE7039"/>
    <w:rsid w:val="00AE7B2A"/>
    <w:rsid w:val="00AE7DF7"/>
    <w:rsid w:val="00AF0B9A"/>
    <w:rsid w:val="00AF25CC"/>
    <w:rsid w:val="00AF39FB"/>
    <w:rsid w:val="00AF461E"/>
    <w:rsid w:val="00AF570C"/>
    <w:rsid w:val="00AF5FF2"/>
    <w:rsid w:val="00AF6764"/>
    <w:rsid w:val="00AF770B"/>
    <w:rsid w:val="00AF7B22"/>
    <w:rsid w:val="00B02998"/>
    <w:rsid w:val="00B03A5D"/>
    <w:rsid w:val="00B122E3"/>
    <w:rsid w:val="00B1333A"/>
    <w:rsid w:val="00B147D5"/>
    <w:rsid w:val="00B15464"/>
    <w:rsid w:val="00B16E1B"/>
    <w:rsid w:val="00B1718D"/>
    <w:rsid w:val="00B174DC"/>
    <w:rsid w:val="00B1793E"/>
    <w:rsid w:val="00B20668"/>
    <w:rsid w:val="00B2081C"/>
    <w:rsid w:val="00B21D65"/>
    <w:rsid w:val="00B22892"/>
    <w:rsid w:val="00B23138"/>
    <w:rsid w:val="00B23A9B"/>
    <w:rsid w:val="00B24173"/>
    <w:rsid w:val="00B24181"/>
    <w:rsid w:val="00B24375"/>
    <w:rsid w:val="00B250E7"/>
    <w:rsid w:val="00B25BCF"/>
    <w:rsid w:val="00B274DF"/>
    <w:rsid w:val="00B27EFE"/>
    <w:rsid w:val="00B32C0F"/>
    <w:rsid w:val="00B32D0B"/>
    <w:rsid w:val="00B33A6C"/>
    <w:rsid w:val="00B34432"/>
    <w:rsid w:val="00B34BFA"/>
    <w:rsid w:val="00B3636D"/>
    <w:rsid w:val="00B40783"/>
    <w:rsid w:val="00B41462"/>
    <w:rsid w:val="00B43344"/>
    <w:rsid w:val="00B435F4"/>
    <w:rsid w:val="00B472AD"/>
    <w:rsid w:val="00B50D10"/>
    <w:rsid w:val="00B5172C"/>
    <w:rsid w:val="00B51B4F"/>
    <w:rsid w:val="00B52734"/>
    <w:rsid w:val="00B53659"/>
    <w:rsid w:val="00B54CE6"/>
    <w:rsid w:val="00B5551E"/>
    <w:rsid w:val="00B55DC9"/>
    <w:rsid w:val="00B57526"/>
    <w:rsid w:val="00B6101D"/>
    <w:rsid w:val="00B61E3A"/>
    <w:rsid w:val="00B63F68"/>
    <w:rsid w:val="00B648A0"/>
    <w:rsid w:val="00B65C37"/>
    <w:rsid w:val="00B65D16"/>
    <w:rsid w:val="00B74517"/>
    <w:rsid w:val="00B74947"/>
    <w:rsid w:val="00B76692"/>
    <w:rsid w:val="00B76CAB"/>
    <w:rsid w:val="00B80261"/>
    <w:rsid w:val="00B80801"/>
    <w:rsid w:val="00B80C96"/>
    <w:rsid w:val="00B80F12"/>
    <w:rsid w:val="00B815DB"/>
    <w:rsid w:val="00B81D71"/>
    <w:rsid w:val="00B8252F"/>
    <w:rsid w:val="00B8346C"/>
    <w:rsid w:val="00B83D4C"/>
    <w:rsid w:val="00B84933"/>
    <w:rsid w:val="00B84AFF"/>
    <w:rsid w:val="00B86A36"/>
    <w:rsid w:val="00B92697"/>
    <w:rsid w:val="00B9644F"/>
    <w:rsid w:val="00B9671F"/>
    <w:rsid w:val="00B97923"/>
    <w:rsid w:val="00B97CE5"/>
    <w:rsid w:val="00BA0776"/>
    <w:rsid w:val="00BA188E"/>
    <w:rsid w:val="00BA18A6"/>
    <w:rsid w:val="00BA1A86"/>
    <w:rsid w:val="00BA28F6"/>
    <w:rsid w:val="00BA34F7"/>
    <w:rsid w:val="00BA40F4"/>
    <w:rsid w:val="00BA48F1"/>
    <w:rsid w:val="00BA5848"/>
    <w:rsid w:val="00BA618C"/>
    <w:rsid w:val="00BB0267"/>
    <w:rsid w:val="00BB169B"/>
    <w:rsid w:val="00BB1BFA"/>
    <w:rsid w:val="00BB20E6"/>
    <w:rsid w:val="00BB3023"/>
    <w:rsid w:val="00BB3BC4"/>
    <w:rsid w:val="00BB4C1C"/>
    <w:rsid w:val="00BB51B1"/>
    <w:rsid w:val="00BB55B5"/>
    <w:rsid w:val="00BB6664"/>
    <w:rsid w:val="00BB6DA0"/>
    <w:rsid w:val="00BC1D08"/>
    <w:rsid w:val="00BC318E"/>
    <w:rsid w:val="00BC3322"/>
    <w:rsid w:val="00BC3F76"/>
    <w:rsid w:val="00BC4B43"/>
    <w:rsid w:val="00BC63B5"/>
    <w:rsid w:val="00BC6B6B"/>
    <w:rsid w:val="00BC6C95"/>
    <w:rsid w:val="00BC74E6"/>
    <w:rsid w:val="00BC79A2"/>
    <w:rsid w:val="00BD0176"/>
    <w:rsid w:val="00BD124E"/>
    <w:rsid w:val="00BD2960"/>
    <w:rsid w:val="00BD3D5C"/>
    <w:rsid w:val="00BD51EB"/>
    <w:rsid w:val="00BD5D63"/>
    <w:rsid w:val="00BE13DF"/>
    <w:rsid w:val="00BE190F"/>
    <w:rsid w:val="00BE5184"/>
    <w:rsid w:val="00BF0E7C"/>
    <w:rsid w:val="00BF4E3C"/>
    <w:rsid w:val="00BF547F"/>
    <w:rsid w:val="00BF5C5F"/>
    <w:rsid w:val="00BF7296"/>
    <w:rsid w:val="00C0311E"/>
    <w:rsid w:val="00C04556"/>
    <w:rsid w:val="00C054A6"/>
    <w:rsid w:val="00C054CA"/>
    <w:rsid w:val="00C057ED"/>
    <w:rsid w:val="00C0725C"/>
    <w:rsid w:val="00C07429"/>
    <w:rsid w:val="00C10075"/>
    <w:rsid w:val="00C14CB7"/>
    <w:rsid w:val="00C15241"/>
    <w:rsid w:val="00C178C0"/>
    <w:rsid w:val="00C23143"/>
    <w:rsid w:val="00C23962"/>
    <w:rsid w:val="00C240A4"/>
    <w:rsid w:val="00C24DD9"/>
    <w:rsid w:val="00C27A00"/>
    <w:rsid w:val="00C31AFD"/>
    <w:rsid w:val="00C32563"/>
    <w:rsid w:val="00C367CB"/>
    <w:rsid w:val="00C368D6"/>
    <w:rsid w:val="00C36C10"/>
    <w:rsid w:val="00C42370"/>
    <w:rsid w:val="00C43293"/>
    <w:rsid w:val="00C43611"/>
    <w:rsid w:val="00C437B1"/>
    <w:rsid w:val="00C43DBD"/>
    <w:rsid w:val="00C473C0"/>
    <w:rsid w:val="00C4751F"/>
    <w:rsid w:val="00C525AC"/>
    <w:rsid w:val="00C555BA"/>
    <w:rsid w:val="00C571BD"/>
    <w:rsid w:val="00C605C8"/>
    <w:rsid w:val="00C60D9C"/>
    <w:rsid w:val="00C63D39"/>
    <w:rsid w:val="00C63E1B"/>
    <w:rsid w:val="00C63FEA"/>
    <w:rsid w:val="00C6416B"/>
    <w:rsid w:val="00C65DB8"/>
    <w:rsid w:val="00C65F11"/>
    <w:rsid w:val="00C66196"/>
    <w:rsid w:val="00C67096"/>
    <w:rsid w:val="00C67BC9"/>
    <w:rsid w:val="00C705BA"/>
    <w:rsid w:val="00C70D88"/>
    <w:rsid w:val="00C720DF"/>
    <w:rsid w:val="00C72520"/>
    <w:rsid w:val="00C73121"/>
    <w:rsid w:val="00C73D6D"/>
    <w:rsid w:val="00C74588"/>
    <w:rsid w:val="00C7508F"/>
    <w:rsid w:val="00C773D0"/>
    <w:rsid w:val="00C777D4"/>
    <w:rsid w:val="00C77B64"/>
    <w:rsid w:val="00C82DDC"/>
    <w:rsid w:val="00C85A91"/>
    <w:rsid w:val="00C86BF8"/>
    <w:rsid w:val="00C876A3"/>
    <w:rsid w:val="00C87A3F"/>
    <w:rsid w:val="00C87CC9"/>
    <w:rsid w:val="00C91164"/>
    <w:rsid w:val="00C91384"/>
    <w:rsid w:val="00C91B46"/>
    <w:rsid w:val="00C92CAA"/>
    <w:rsid w:val="00C92DFD"/>
    <w:rsid w:val="00C93287"/>
    <w:rsid w:val="00C939BA"/>
    <w:rsid w:val="00C95179"/>
    <w:rsid w:val="00C9660C"/>
    <w:rsid w:val="00C974B9"/>
    <w:rsid w:val="00C974D0"/>
    <w:rsid w:val="00C97A88"/>
    <w:rsid w:val="00CA1320"/>
    <w:rsid w:val="00CA18DA"/>
    <w:rsid w:val="00CA2AB7"/>
    <w:rsid w:val="00CA3C73"/>
    <w:rsid w:val="00CA63DF"/>
    <w:rsid w:val="00CA7427"/>
    <w:rsid w:val="00CB231F"/>
    <w:rsid w:val="00CB44CD"/>
    <w:rsid w:val="00CB5A19"/>
    <w:rsid w:val="00CC002F"/>
    <w:rsid w:val="00CC1737"/>
    <w:rsid w:val="00CC277F"/>
    <w:rsid w:val="00CC3BB2"/>
    <w:rsid w:val="00CC6967"/>
    <w:rsid w:val="00CC755E"/>
    <w:rsid w:val="00CD226E"/>
    <w:rsid w:val="00CD27A2"/>
    <w:rsid w:val="00CD523D"/>
    <w:rsid w:val="00CD6492"/>
    <w:rsid w:val="00CD696A"/>
    <w:rsid w:val="00CD7151"/>
    <w:rsid w:val="00CD7416"/>
    <w:rsid w:val="00CD7A04"/>
    <w:rsid w:val="00CE01E3"/>
    <w:rsid w:val="00CE1148"/>
    <w:rsid w:val="00CE21C8"/>
    <w:rsid w:val="00CE314C"/>
    <w:rsid w:val="00CE3328"/>
    <w:rsid w:val="00CE36DF"/>
    <w:rsid w:val="00CE4DC4"/>
    <w:rsid w:val="00CE5038"/>
    <w:rsid w:val="00CE7CA0"/>
    <w:rsid w:val="00CF0514"/>
    <w:rsid w:val="00CF0AD7"/>
    <w:rsid w:val="00CF1A04"/>
    <w:rsid w:val="00CF357D"/>
    <w:rsid w:val="00CF4246"/>
    <w:rsid w:val="00CF525C"/>
    <w:rsid w:val="00CF5EE7"/>
    <w:rsid w:val="00CF7AEA"/>
    <w:rsid w:val="00D005C7"/>
    <w:rsid w:val="00D034FC"/>
    <w:rsid w:val="00D041FC"/>
    <w:rsid w:val="00D04EE7"/>
    <w:rsid w:val="00D11CA4"/>
    <w:rsid w:val="00D13170"/>
    <w:rsid w:val="00D1562D"/>
    <w:rsid w:val="00D17DA7"/>
    <w:rsid w:val="00D20595"/>
    <w:rsid w:val="00D20B0B"/>
    <w:rsid w:val="00D21466"/>
    <w:rsid w:val="00D23917"/>
    <w:rsid w:val="00D26C1B"/>
    <w:rsid w:val="00D27854"/>
    <w:rsid w:val="00D308C2"/>
    <w:rsid w:val="00D33420"/>
    <w:rsid w:val="00D3349A"/>
    <w:rsid w:val="00D348CC"/>
    <w:rsid w:val="00D35855"/>
    <w:rsid w:val="00D36C9A"/>
    <w:rsid w:val="00D37EB6"/>
    <w:rsid w:val="00D40879"/>
    <w:rsid w:val="00D40ABF"/>
    <w:rsid w:val="00D416CF"/>
    <w:rsid w:val="00D42141"/>
    <w:rsid w:val="00D4408E"/>
    <w:rsid w:val="00D444B2"/>
    <w:rsid w:val="00D44B5F"/>
    <w:rsid w:val="00D44C26"/>
    <w:rsid w:val="00D45A9C"/>
    <w:rsid w:val="00D5234D"/>
    <w:rsid w:val="00D53108"/>
    <w:rsid w:val="00D53C3A"/>
    <w:rsid w:val="00D5513A"/>
    <w:rsid w:val="00D62106"/>
    <w:rsid w:val="00D62F96"/>
    <w:rsid w:val="00D63354"/>
    <w:rsid w:val="00D638DC"/>
    <w:rsid w:val="00D643FC"/>
    <w:rsid w:val="00D649FF"/>
    <w:rsid w:val="00D651BC"/>
    <w:rsid w:val="00D6577D"/>
    <w:rsid w:val="00D66697"/>
    <w:rsid w:val="00D66D2D"/>
    <w:rsid w:val="00D67228"/>
    <w:rsid w:val="00D6759C"/>
    <w:rsid w:val="00D67F6E"/>
    <w:rsid w:val="00D72086"/>
    <w:rsid w:val="00D726B5"/>
    <w:rsid w:val="00D72C2D"/>
    <w:rsid w:val="00D74DED"/>
    <w:rsid w:val="00D7578C"/>
    <w:rsid w:val="00D762F0"/>
    <w:rsid w:val="00D81E1E"/>
    <w:rsid w:val="00D8223D"/>
    <w:rsid w:val="00D826AD"/>
    <w:rsid w:val="00D82BE1"/>
    <w:rsid w:val="00D83270"/>
    <w:rsid w:val="00D84C8F"/>
    <w:rsid w:val="00D86CAB"/>
    <w:rsid w:val="00D91314"/>
    <w:rsid w:val="00D9175C"/>
    <w:rsid w:val="00D92B06"/>
    <w:rsid w:val="00D93530"/>
    <w:rsid w:val="00D949E4"/>
    <w:rsid w:val="00D94F1F"/>
    <w:rsid w:val="00D967B6"/>
    <w:rsid w:val="00DA1A03"/>
    <w:rsid w:val="00DA1F99"/>
    <w:rsid w:val="00DA4B8D"/>
    <w:rsid w:val="00DA6547"/>
    <w:rsid w:val="00DA67F1"/>
    <w:rsid w:val="00DB32FA"/>
    <w:rsid w:val="00DB5256"/>
    <w:rsid w:val="00DB5B36"/>
    <w:rsid w:val="00DB6B78"/>
    <w:rsid w:val="00DC0BF5"/>
    <w:rsid w:val="00DC3EBC"/>
    <w:rsid w:val="00DC5322"/>
    <w:rsid w:val="00DC5E28"/>
    <w:rsid w:val="00DC7089"/>
    <w:rsid w:val="00DD11A4"/>
    <w:rsid w:val="00DD4191"/>
    <w:rsid w:val="00DD434A"/>
    <w:rsid w:val="00DD4551"/>
    <w:rsid w:val="00DD536F"/>
    <w:rsid w:val="00DD747F"/>
    <w:rsid w:val="00DD7D43"/>
    <w:rsid w:val="00DE09A0"/>
    <w:rsid w:val="00DE18EC"/>
    <w:rsid w:val="00DE2CC2"/>
    <w:rsid w:val="00DE3CD0"/>
    <w:rsid w:val="00DE3F37"/>
    <w:rsid w:val="00DE4947"/>
    <w:rsid w:val="00DE5B79"/>
    <w:rsid w:val="00DE5F4B"/>
    <w:rsid w:val="00DE65A8"/>
    <w:rsid w:val="00DE66D2"/>
    <w:rsid w:val="00DE6D3B"/>
    <w:rsid w:val="00DE7BF5"/>
    <w:rsid w:val="00DF2D16"/>
    <w:rsid w:val="00DF389D"/>
    <w:rsid w:val="00DF4449"/>
    <w:rsid w:val="00DF5306"/>
    <w:rsid w:val="00DF5F48"/>
    <w:rsid w:val="00DF6C0D"/>
    <w:rsid w:val="00E00FF1"/>
    <w:rsid w:val="00E02096"/>
    <w:rsid w:val="00E02E5B"/>
    <w:rsid w:val="00E0457F"/>
    <w:rsid w:val="00E059F4"/>
    <w:rsid w:val="00E05D8E"/>
    <w:rsid w:val="00E06D58"/>
    <w:rsid w:val="00E07A85"/>
    <w:rsid w:val="00E07B66"/>
    <w:rsid w:val="00E11C55"/>
    <w:rsid w:val="00E11F27"/>
    <w:rsid w:val="00E127BF"/>
    <w:rsid w:val="00E16336"/>
    <w:rsid w:val="00E172B6"/>
    <w:rsid w:val="00E174E8"/>
    <w:rsid w:val="00E17DBD"/>
    <w:rsid w:val="00E2098F"/>
    <w:rsid w:val="00E2235B"/>
    <w:rsid w:val="00E22CB5"/>
    <w:rsid w:val="00E22FC4"/>
    <w:rsid w:val="00E25B9D"/>
    <w:rsid w:val="00E2668B"/>
    <w:rsid w:val="00E279AA"/>
    <w:rsid w:val="00E27EA5"/>
    <w:rsid w:val="00E32640"/>
    <w:rsid w:val="00E32A1E"/>
    <w:rsid w:val="00E32C23"/>
    <w:rsid w:val="00E33CDA"/>
    <w:rsid w:val="00E346C9"/>
    <w:rsid w:val="00E347C6"/>
    <w:rsid w:val="00E369EF"/>
    <w:rsid w:val="00E40AAB"/>
    <w:rsid w:val="00E427F3"/>
    <w:rsid w:val="00E428D0"/>
    <w:rsid w:val="00E43565"/>
    <w:rsid w:val="00E445C2"/>
    <w:rsid w:val="00E44FDD"/>
    <w:rsid w:val="00E470EF"/>
    <w:rsid w:val="00E4714B"/>
    <w:rsid w:val="00E502BF"/>
    <w:rsid w:val="00E50667"/>
    <w:rsid w:val="00E508D9"/>
    <w:rsid w:val="00E52F2E"/>
    <w:rsid w:val="00E54118"/>
    <w:rsid w:val="00E543C2"/>
    <w:rsid w:val="00E56385"/>
    <w:rsid w:val="00E56E69"/>
    <w:rsid w:val="00E63A90"/>
    <w:rsid w:val="00E646AE"/>
    <w:rsid w:val="00E656D4"/>
    <w:rsid w:val="00E664D6"/>
    <w:rsid w:val="00E6709D"/>
    <w:rsid w:val="00E6712E"/>
    <w:rsid w:val="00E71BF3"/>
    <w:rsid w:val="00E71CE9"/>
    <w:rsid w:val="00E72F4A"/>
    <w:rsid w:val="00E73263"/>
    <w:rsid w:val="00E73F11"/>
    <w:rsid w:val="00E742EA"/>
    <w:rsid w:val="00E74B16"/>
    <w:rsid w:val="00E75CE0"/>
    <w:rsid w:val="00E80B70"/>
    <w:rsid w:val="00E8623C"/>
    <w:rsid w:val="00E870AD"/>
    <w:rsid w:val="00E90CE2"/>
    <w:rsid w:val="00E94C8A"/>
    <w:rsid w:val="00E963A8"/>
    <w:rsid w:val="00E97DEA"/>
    <w:rsid w:val="00EA4A41"/>
    <w:rsid w:val="00EA661E"/>
    <w:rsid w:val="00EA6ED1"/>
    <w:rsid w:val="00EB3838"/>
    <w:rsid w:val="00EB4490"/>
    <w:rsid w:val="00EB5214"/>
    <w:rsid w:val="00EB63AF"/>
    <w:rsid w:val="00EB73E5"/>
    <w:rsid w:val="00EB7BE1"/>
    <w:rsid w:val="00EC195A"/>
    <w:rsid w:val="00EC22C2"/>
    <w:rsid w:val="00EC45F2"/>
    <w:rsid w:val="00EC556A"/>
    <w:rsid w:val="00EC5E17"/>
    <w:rsid w:val="00EC733E"/>
    <w:rsid w:val="00ED14A9"/>
    <w:rsid w:val="00ED19BC"/>
    <w:rsid w:val="00ED1CF6"/>
    <w:rsid w:val="00ED1FFD"/>
    <w:rsid w:val="00ED42C7"/>
    <w:rsid w:val="00ED4BB1"/>
    <w:rsid w:val="00ED5B5E"/>
    <w:rsid w:val="00ED5BAB"/>
    <w:rsid w:val="00ED6F3C"/>
    <w:rsid w:val="00ED7936"/>
    <w:rsid w:val="00EE058E"/>
    <w:rsid w:val="00EE0E95"/>
    <w:rsid w:val="00EE430F"/>
    <w:rsid w:val="00EF0742"/>
    <w:rsid w:val="00EF10DD"/>
    <w:rsid w:val="00EF13B0"/>
    <w:rsid w:val="00EF212F"/>
    <w:rsid w:val="00EF2F04"/>
    <w:rsid w:val="00EF3076"/>
    <w:rsid w:val="00EF3982"/>
    <w:rsid w:val="00EF548E"/>
    <w:rsid w:val="00EF582A"/>
    <w:rsid w:val="00EF628B"/>
    <w:rsid w:val="00F0440A"/>
    <w:rsid w:val="00F051A4"/>
    <w:rsid w:val="00F1229C"/>
    <w:rsid w:val="00F124B4"/>
    <w:rsid w:val="00F12DF2"/>
    <w:rsid w:val="00F132FC"/>
    <w:rsid w:val="00F13F01"/>
    <w:rsid w:val="00F217A0"/>
    <w:rsid w:val="00F22253"/>
    <w:rsid w:val="00F238FB"/>
    <w:rsid w:val="00F271B8"/>
    <w:rsid w:val="00F27211"/>
    <w:rsid w:val="00F311AB"/>
    <w:rsid w:val="00F340F4"/>
    <w:rsid w:val="00F346CF"/>
    <w:rsid w:val="00F366FF"/>
    <w:rsid w:val="00F37876"/>
    <w:rsid w:val="00F403A7"/>
    <w:rsid w:val="00F41A32"/>
    <w:rsid w:val="00F41F5C"/>
    <w:rsid w:val="00F43052"/>
    <w:rsid w:val="00F50E7A"/>
    <w:rsid w:val="00F51A74"/>
    <w:rsid w:val="00F51A98"/>
    <w:rsid w:val="00F53CA2"/>
    <w:rsid w:val="00F5617F"/>
    <w:rsid w:val="00F57ECF"/>
    <w:rsid w:val="00F6030D"/>
    <w:rsid w:val="00F6243A"/>
    <w:rsid w:val="00F6268B"/>
    <w:rsid w:val="00F64BE4"/>
    <w:rsid w:val="00F66571"/>
    <w:rsid w:val="00F73FE2"/>
    <w:rsid w:val="00F7548E"/>
    <w:rsid w:val="00F75F9F"/>
    <w:rsid w:val="00F8513E"/>
    <w:rsid w:val="00F85EA6"/>
    <w:rsid w:val="00F86536"/>
    <w:rsid w:val="00F869CC"/>
    <w:rsid w:val="00F879A3"/>
    <w:rsid w:val="00F87D0E"/>
    <w:rsid w:val="00F87DD5"/>
    <w:rsid w:val="00F90638"/>
    <w:rsid w:val="00F9200B"/>
    <w:rsid w:val="00F96004"/>
    <w:rsid w:val="00F9637F"/>
    <w:rsid w:val="00F96742"/>
    <w:rsid w:val="00F96B4F"/>
    <w:rsid w:val="00FA017E"/>
    <w:rsid w:val="00FA3C76"/>
    <w:rsid w:val="00FA69BD"/>
    <w:rsid w:val="00FA7776"/>
    <w:rsid w:val="00FB0696"/>
    <w:rsid w:val="00FB0EDC"/>
    <w:rsid w:val="00FB538C"/>
    <w:rsid w:val="00FB5824"/>
    <w:rsid w:val="00FB76C8"/>
    <w:rsid w:val="00FC007A"/>
    <w:rsid w:val="00FC04D9"/>
    <w:rsid w:val="00FC0797"/>
    <w:rsid w:val="00FC1265"/>
    <w:rsid w:val="00FC1909"/>
    <w:rsid w:val="00FC406F"/>
    <w:rsid w:val="00FC5AB5"/>
    <w:rsid w:val="00FC5B05"/>
    <w:rsid w:val="00FD16DC"/>
    <w:rsid w:val="00FD254B"/>
    <w:rsid w:val="00FD41E1"/>
    <w:rsid w:val="00FD5906"/>
    <w:rsid w:val="00FD6388"/>
    <w:rsid w:val="00FD7A6A"/>
    <w:rsid w:val="00FD7AE0"/>
    <w:rsid w:val="00FE0480"/>
    <w:rsid w:val="00FE0557"/>
    <w:rsid w:val="00FE06CF"/>
    <w:rsid w:val="00FE38F4"/>
    <w:rsid w:val="00FE4085"/>
    <w:rsid w:val="00FE53BE"/>
    <w:rsid w:val="00FE71BE"/>
    <w:rsid w:val="00FF35C0"/>
    <w:rsid w:val="00FF50A2"/>
    <w:rsid w:val="00FF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661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39"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F0"/>
    <w:pPr>
      <w:spacing w:line="240" w:lineRule="atLeast"/>
    </w:pPr>
    <w:rPr>
      <w:rFonts w:ascii="Garamond" w:hAnsi="Garamond"/>
      <w:sz w:val="24"/>
    </w:rPr>
  </w:style>
  <w:style w:type="paragraph" w:styleId="Heading1">
    <w:name w:val="heading 1"/>
    <w:aliases w:val="H1-Sec.Head,H1-Chap. Head"/>
    <w:basedOn w:val="Normal"/>
    <w:link w:val="Heading1Char"/>
    <w:qFormat/>
    <w:rsid w:val="000240F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240F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240F0"/>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0240F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240F0"/>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240F0"/>
    <w:pPr>
      <w:keepNext/>
      <w:spacing w:before="240"/>
      <w:jc w:val="center"/>
      <w:outlineLvl w:val="5"/>
    </w:pPr>
    <w:rPr>
      <w:b/>
      <w:caps/>
    </w:rPr>
  </w:style>
  <w:style w:type="paragraph" w:styleId="Heading7">
    <w:name w:val="heading 7"/>
    <w:basedOn w:val="Normal"/>
    <w:next w:val="Normal"/>
    <w:link w:val="Heading7Char"/>
    <w:qFormat/>
    <w:rsid w:val="000240F0"/>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link w:val="Heading1"/>
    <w:locked/>
    <w:rsid w:val="001F159D"/>
    <w:rPr>
      <w:rFonts w:ascii="Franklin Gothic Medium" w:hAnsi="Franklin Gothic Medium"/>
      <w:b/>
      <w:color w:val="324162"/>
      <w:sz w:val="40"/>
    </w:rPr>
  </w:style>
  <w:style w:type="character" w:customStyle="1" w:styleId="Heading2Char">
    <w:name w:val="Heading 2 Char"/>
    <w:aliases w:val="H2-Sec. Head Char"/>
    <w:link w:val="Heading2"/>
    <w:locked/>
    <w:rsid w:val="005D691C"/>
    <w:rPr>
      <w:rFonts w:ascii="Franklin Gothic Medium" w:hAnsi="Franklin Gothic Medium"/>
      <w:b/>
      <w:color w:val="324162"/>
      <w:sz w:val="32"/>
    </w:rPr>
  </w:style>
  <w:style w:type="character" w:customStyle="1" w:styleId="Heading3Char">
    <w:name w:val="Heading 3 Char"/>
    <w:aliases w:val="H3-Sec. Head Char"/>
    <w:link w:val="Heading3"/>
    <w:locked/>
    <w:rsid w:val="003716A1"/>
    <w:rPr>
      <w:rFonts w:ascii="Franklin Gothic Medium" w:hAnsi="Franklin Gothic Medium"/>
      <w:b/>
      <w:color w:val="324162"/>
      <w:sz w:val="28"/>
    </w:rPr>
  </w:style>
  <w:style w:type="character" w:customStyle="1" w:styleId="Heading4Char">
    <w:name w:val="Heading 4 Char"/>
    <w:aliases w:val="H4 Sec.Heading Char,H4-Sec. Head Char"/>
    <w:link w:val="Heading4"/>
    <w:locked/>
    <w:rsid w:val="008A5604"/>
    <w:rPr>
      <w:rFonts w:ascii="Franklin Gothic Medium" w:hAnsi="Franklin Gothic Medium"/>
      <w:b/>
      <w:sz w:val="24"/>
    </w:rPr>
  </w:style>
  <w:style w:type="character" w:customStyle="1" w:styleId="Heading5Char">
    <w:name w:val="Heading 5 Char"/>
    <w:aliases w:val="H5-Sec. Head Char"/>
    <w:link w:val="Heading5"/>
    <w:locked/>
    <w:rsid w:val="005D691C"/>
    <w:rPr>
      <w:rFonts w:ascii="Franklin Gothic Medium" w:hAnsi="Franklin Gothic Medium"/>
      <w:b/>
      <w:i/>
      <w:sz w:val="24"/>
    </w:rPr>
  </w:style>
  <w:style w:type="character" w:customStyle="1" w:styleId="Heading6Char">
    <w:name w:val="Heading 6 Char"/>
    <w:link w:val="Heading6"/>
    <w:locked/>
    <w:rsid w:val="005D691C"/>
    <w:rPr>
      <w:rFonts w:ascii="Garamond" w:hAnsi="Garamond"/>
      <w:b/>
      <w:caps/>
      <w:sz w:val="24"/>
    </w:rPr>
  </w:style>
  <w:style w:type="character" w:customStyle="1" w:styleId="Heading7Char">
    <w:name w:val="Heading 7 Char"/>
    <w:link w:val="Heading7"/>
    <w:locked/>
    <w:rsid w:val="005D691C"/>
    <w:rPr>
      <w:rFonts w:ascii="Garamond" w:hAnsi="Garamond"/>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unhideWhenUsed/>
    <w:rsid w:val="00024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40F0"/>
    <w:rPr>
      <w:rFonts w:ascii="Tahoma" w:hAnsi="Tahoma" w:cs="Tahoma"/>
      <w:sz w:val="16"/>
      <w:szCs w:val="16"/>
    </w:rPr>
  </w:style>
  <w:style w:type="paragraph" w:customStyle="1" w:styleId="C1-CtrBoldHd">
    <w:name w:val="C1-Ctr BoldHd"/>
    <w:rsid w:val="000240F0"/>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0240F0"/>
    <w:pPr>
      <w:keepLines/>
      <w:jc w:val="center"/>
    </w:pPr>
  </w:style>
  <w:style w:type="paragraph" w:customStyle="1" w:styleId="C3-CtrSp12">
    <w:name w:val="C3-Ctr Sp&amp;1/2"/>
    <w:basedOn w:val="Normal"/>
    <w:rsid w:val="000240F0"/>
    <w:pPr>
      <w:keepLines/>
      <w:spacing w:line="360" w:lineRule="atLeast"/>
      <w:jc w:val="center"/>
    </w:pPr>
  </w:style>
  <w:style w:type="paragraph" w:customStyle="1" w:styleId="E1-Equation">
    <w:name w:val="E1-Equation"/>
    <w:basedOn w:val="Normal"/>
    <w:rsid w:val="000240F0"/>
    <w:pPr>
      <w:tabs>
        <w:tab w:val="center" w:pos="4680"/>
        <w:tab w:val="right" w:pos="9360"/>
      </w:tabs>
    </w:pPr>
  </w:style>
  <w:style w:type="paragraph" w:customStyle="1" w:styleId="E2-Equation">
    <w:name w:val="E2-Equation"/>
    <w:basedOn w:val="Normal"/>
    <w:rsid w:val="000240F0"/>
    <w:pPr>
      <w:tabs>
        <w:tab w:val="right" w:pos="1152"/>
        <w:tab w:val="center" w:pos="1440"/>
        <w:tab w:val="left" w:pos="1728"/>
      </w:tabs>
      <w:ind w:left="1728" w:hanging="1728"/>
    </w:pPr>
  </w:style>
  <w:style w:type="paragraph" w:styleId="FootnoteText">
    <w:name w:val="footnote text"/>
    <w:aliases w:val="F1"/>
    <w:link w:val="FootnoteTextChar"/>
    <w:rsid w:val="000240F0"/>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locked/>
    <w:rsid w:val="00C705BA"/>
    <w:rPr>
      <w:rFonts w:ascii="Garamond" w:hAnsi="Garamond"/>
    </w:rPr>
  </w:style>
  <w:style w:type="paragraph" w:customStyle="1" w:styleId="L1-FlLSp12">
    <w:name w:val="L1-FlL Sp&amp;1/2"/>
    <w:basedOn w:val="Normal"/>
    <w:link w:val="L1-FlLSp12Char"/>
    <w:uiPriority w:val="99"/>
    <w:rsid w:val="000240F0"/>
    <w:pPr>
      <w:tabs>
        <w:tab w:val="left" w:pos="1152"/>
      </w:tabs>
      <w:spacing w:line="360" w:lineRule="atLeast"/>
    </w:pPr>
  </w:style>
  <w:style w:type="paragraph" w:customStyle="1" w:styleId="N0-FlLftBullet">
    <w:name w:val="N0-Fl Lft Bullet"/>
    <w:basedOn w:val="Normal"/>
    <w:rsid w:val="000240F0"/>
    <w:pPr>
      <w:tabs>
        <w:tab w:val="left" w:pos="576"/>
      </w:tabs>
      <w:spacing w:after="240"/>
      <w:ind w:left="576" w:hanging="576"/>
    </w:pPr>
  </w:style>
  <w:style w:type="paragraph" w:customStyle="1" w:styleId="N1-1stBullet">
    <w:name w:val="N1-1st Bullet"/>
    <w:basedOn w:val="Normal"/>
    <w:rsid w:val="000240F0"/>
    <w:pPr>
      <w:numPr>
        <w:numId w:val="6"/>
      </w:numPr>
      <w:spacing w:after="240"/>
    </w:pPr>
  </w:style>
  <w:style w:type="paragraph" w:customStyle="1" w:styleId="N2-2ndBullet">
    <w:name w:val="N2-2nd Bullet"/>
    <w:basedOn w:val="Normal"/>
    <w:rsid w:val="000240F0"/>
    <w:pPr>
      <w:numPr>
        <w:numId w:val="7"/>
      </w:numPr>
      <w:spacing w:after="240"/>
    </w:pPr>
  </w:style>
  <w:style w:type="paragraph" w:customStyle="1" w:styleId="N3-3rdBullet">
    <w:name w:val="N3-3rd Bullet"/>
    <w:basedOn w:val="Normal"/>
    <w:rsid w:val="000240F0"/>
    <w:pPr>
      <w:numPr>
        <w:numId w:val="8"/>
      </w:numPr>
      <w:spacing w:after="240"/>
    </w:pPr>
  </w:style>
  <w:style w:type="paragraph" w:customStyle="1" w:styleId="N4-4thBullet">
    <w:name w:val="N4-4th Bullet"/>
    <w:basedOn w:val="Normal"/>
    <w:rsid w:val="000240F0"/>
    <w:pPr>
      <w:numPr>
        <w:numId w:val="9"/>
      </w:numPr>
      <w:spacing w:after="240"/>
    </w:pPr>
  </w:style>
  <w:style w:type="paragraph" w:customStyle="1" w:styleId="N5-5thBullet">
    <w:name w:val="N5-5th Bullet"/>
    <w:basedOn w:val="Normal"/>
    <w:rsid w:val="000240F0"/>
    <w:pPr>
      <w:tabs>
        <w:tab w:val="left" w:pos="3456"/>
      </w:tabs>
      <w:spacing w:after="240"/>
      <w:ind w:left="3456" w:hanging="576"/>
    </w:pPr>
  </w:style>
  <w:style w:type="paragraph" w:customStyle="1" w:styleId="N6-DateInd">
    <w:name w:val="N6-Date Ind."/>
    <w:basedOn w:val="Normal"/>
    <w:rsid w:val="000240F0"/>
    <w:pPr>
      <w:tabs>
        <w:tab w:val="left" w:pos="4910"/>
      </w:tabs>
      <w:ind w:left="4910"/>
    </w:pPr>
  </w:style>
  <w:style w:type="paragraph" w:customStyle="1" w:styleId="N7-3Block">
    <w:name w:val="N7-3&quot; Block"/>
    <w:basedOn w:val="Normal"/>
    <w:rsid w:val="000240F0"/>
    <w:pPr>
      <w:tabs>
        <w:tab w:val="left" w:pos="1152"/>
      </w:tabs>
      <w:ind w:left="1152" w:right="1152"/>
    </w:pPr>
  </w:style>
  <w:style w:type="paragraph" w:customStyle="1" w:styleId="N8-QxQBlock">
    <w:name w:val="N8-QxQ Block"/>
    <w:basedOn w:val="Normal"/>
    <w:rsid w:val="000240F0"/>
    <w:pPr>
      <w:tabs>
        <w:tab w:val="left" w:pos="1152"/>
      </w:tabs>
      <w:spacing w:after="360" w:line="360" w:lineRule="atLeast"/>
      <w:ind w:left="1152" w:hanging="1152"/>
    </w:pPr>
  </w:style>
  <w:style w:type="paragraph" w:customStyle="1" w:styleId="P1-StandPara">
    <w:name w:val="P1-Stand Para"/>
    <w:basedOn w:val="Normal"/>
    <w:rsid w:val="000240F0"/>
    <w:pPr>
      <w:spacing w:line="360" w:lineRule="atLeast"/>
      <w:ind w:firstLine="1152"/>
    </w:pPr>
  </w:style>
  <w:style w:type="paragraph" w:customStyle="1" w:styleId="Q1-BestFinQ">
    <w:name w:val="Q1-Best/Fin Q"/>
    <w:rsid w:val="000240F0"/>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0240F0"/>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0240F0"/>
  </w:style>
  <w:style w:type="paragraph" w:customStyle="1" w:styleId="SP-SglSpPara">
    <w:name w:val="SP-Sgl Sp Para"/>
    <w:basedOn w:val="Normal"/>
    <w:rsid w:val="000240F0"/>
    <w:pPr>
      <w:tabs>
        <w:tab w:val="left" w:pos="576"/>
      </w:tabs>
      <w:ind w:firstLine="576"/>
    </w:pPr>
  </w:style>
  <w:style w:type="paragraph" w:customStyle="1" w:styleId="T0-ChapPgHd">
    <w:name w:val="T0-Chap/Pg Hd"/>
    <w:basedOn w:val="Normal"/>
    <w:rsid w:val="000240F0"/>
    <w:pPr>
      <w:tabs>
        <w:tab w:val="left" w:pos="8640"/>
      </w:tabs>
    </w:pPr>
    <w:rPr>
      <w:rFonts w:ascii="Franklin Gothic Medium" w:hAnsi="Franklin Gothic Medium"/>
      <w:u w:val="words"/>
    </w:rPr>
  </w:style>
  <w:style w:type="paragraph" w:styleId="TOC1">
    <w:name w:val="toc 1"/>
    <w:basedOn w:val="Normal"/>
    <w:uiPriority w:val="39"/>
    <w:rsid w:val="000240F0"/>
    <w:pPr>
      <w:tabs>
        <w:tab w:val="left" w:pos="1440"/>
        <w:tab w:val="right" w:leader="dot" w:pos="8208"/>
        <w:tab w:val="left" w:pos="8640"/>
      </w:tabs>
      <w:ind w:left="1440" w:right="1800" w:hanging="1152"/>
    </w:pPr>
  </w:style>
  <w:style w:type="paragraph" w:styleId="TOC2">
    <w:name w:val="toc 2"/>
    <w:basedOn w:val="Normal"/>
    <w:uiPriority w:val="39"/>
    <w:rsid w:val="000240F0"/>
    <w:pPr>
      <w:tabs>
        <w:tab w:val="left" w:pos="2160"/>
        <w:tab w:val="right" w:leader="dot" w:pos="8208"/>
        <w:tab w:val="left" w:pos="8640"/>
      </w:tabs>
      <w:ind w:left="2160" w:right="1800" w:hanging="720"/>
    </w:pPr>
    <w:rPr>
      <w:szCs w:val="22"/>
    </w:rPr>
  </w:style>
  <w:style w:type="paragraph" w:styleId="TOC3">
    <w:name w:val="toc 3"/>
    <w:basedOn w:val="Normal"/>
    <w:uiPriority w:val="39"/>
    <w:rsid w:val="000240F0"/>
    <w:pPr>
      <w:tabs>
        <w:tab w:val="left" w:pos="3024"/>
        <w:tab w:val="right" w:leader="dot" w:pos="8208"/>
        <w:tab w:val="left" w:pos="8640"/>
      </w:tabs>
      <w:ind w:left="3024" w:right="1800" w:hanging="864"/>
    </w:pPr>
  </w:style>
  <w:style w:type="paragraph" w:styleId="TOC4">
    <w:name w:val="toc 4"/>
    <w:basedOn w:val="Normal"/>
    <w:semiHidden/>
    <w:rsid w:val="000240F0"/>
    <w:pPr>
      <w:tabs>
        <w:tab w:val="left" w:pos="3888"/>
        <w:tab w:val="right" w:leader="dot" w:pos="8208"/>
        <w:tab w:val="left" w:pos="8640"/>
      </w:tabs>
      <w:ind w:left="3888" w:right="1800" w:hanging="864"/>
    </w:pPr>
  </w:style>
  <w:style w:type="paragraph" w:styleId="TOC5">
    <w:name w:val="toc 5"/>
    <w:basedOn w:val="Normal"/>
    <w:uiPriority w:val="39"/>
    <w:rsid w:val="000240F0"/>
    <w:pPr>
      <w:tabs>
        <w:tab w:val="left" w:pos="1440"/>
        <w:tab w:val="right" w:leader="dot" w:pos="8208"/>
        <w:tab w:val="left" w:pos="8640"/>
      </w:tabs>
      <w:ind w:left="1440" w:right="1800" w:hanging="1152"/>
    </w:pPr>
  </w:style>
  <w:style w:type="paragraph" w:customStyle="1" w:styleId="TT-TableTitle">
    <w:name w:val="TT-Table Title"/>
    <w:rsid w:val="000240F0"/>
    <w:pPr>
      <w:keepNext/>
      <w:tabs>
        <w:tab w:val="left" w:pos="1440"/>
      </w:tabs>
      <w:spacing w:line="240" w:lineRule="atLeast"/>
      <w:ind w:left="1440" w:hanging="1440"/>
    </w:pPr>
    <w:rPr>
      <w:rFonts w:ascii="Franklin Gothic Medium" w:hAnsi="Franklin Gothic Medium"/>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unhideWhenUsed/>
    <w:rsid w:val="000240F0"/>
    <w:rPr>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0240F0"/>
  </w:style>
  <w:style w:type="character" w:customStyle="1" w:styleId="FooterChar">
    <w:name w:val="Footer Char"/>
    <w:link w:val="Footer"/>
    <w:uiPriority w:val="99"/>
    <w:locked/>
    <w:rsid w:val="008A5604"/>
    <w:rPr>
      <w:rFonts w:ascii="Garamond" w:hAnsi="Garamond"/>
      <w:sz w:val="24"/>
    </w:rPr>
  </w:style>
  <w:style w:type="character" w:styleId="PageNumber">
    <w:name w:val="page number"/>
    <w:basedOn w:val="DefaultParagraphFont"/>
    <w:rsid w:val="000240F0"/>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rsid w:val="000240F0"/>
    <w:pPr>
      <w:tabs>
        <w:tab w:val="left" w:pos="2232"/>
      </w:tabs>
      <w:spacing w:line="240" w:lineRule="exact"/>
    </w:pPr>
    <w:rPr>
      <w:vanish/>
    </w:rPr>
  </w:style>
  <w:style w:type="paragraph" w:styleId="Header">
    <w:name w:val="header"/>
    <w:basedOn w:val="Normal"/>
    <w:link w:val="HeaderChar"/>
    <w:rsid w:val="000240F0"/>
    <w:rPr>
      <w:sz w:val="20"/>
    </w:rPr>
  </w:style>
  <w:style w:type="character" w:customStyle="1" w:styleId="HeaderChar">
    <w:name w:val="Header Char"/>
    <w:link w:val="Header"/>
    <w:locked/>
    <w:rsid w:val="00FE38F4"/>
    <w:rPr>
      <w:rFonts w:ascii="Garamond" w:hAnsi="Garamond"/>
    </w:rPr>
  </w:style>
  <w:style w:type="paragraph" w:customStyle="1" w:styleId="Header-1">
    <w:name w:val="Header-1"/>
    <w:rsid w:val="000240F0"/>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uiPriority w:val="99"/>
    <w:rsid w:val="00EC195A"/>
    <w:pPr>
      <w:tabs>
        <w:tab w:val="clear" w:pos="1152"/>
      </w:tabs>
    </w:p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rsid w:val="000240F0"/>
    <w:pPr>
      <w:keepNext/>
      <w:spacing w:line="240" w:lineRule="atLeast"/>
    </w:pPr>
    <w:rPr>
      <w:rFonts w:ascii="Franklin Gothic Medium" w:hAnsi="Franklin Gothic Medium" w:cs="Times New Roman Bold"/>
      <w:i/>
      <w:sz w:val="24"/>
    </w:rPr>
  </w:style>
  <w:style w:type="paragraph" w:customStyle="1" w:styleId="R1-ResPara">
    <w:name w:val="R1-Res. Para"/>
    <w:rsid w:val="000240F0"/>
    <w:pPr>
      <w:spacing w:line="240" w:lineRule="atLeast"/>
      <w:ind w:left="288"/>
    </w:pPr>
    <w:rPr>
      <w:rFonts w:ascii="Garamond" w:hAnsi="Garamond"/>
      <w:sz w:val="24"/>
    </w:rPr>
  </w:style>
  <w:style w:type="paragraph" w:customStyle="1" w:styleId="R2-ResBullet">
    <w:name w:val="R2-Res Bullet"/>
    <w:basedOn w:val="Normal"/>
    <w:rsid w:val="000240F0"/>
    <w:pPr>
      <w:tabs>
        <w:tab w:val="left" w:pos="720"/>
      </w:tabs>
      <w:ind w:left="720" w:hanging="432"/>
    </w:pPr>
  </w:style>
  <w:style w:type="paragraph" w:customStyle="1" w:styleId="RF-Reference">
    <w:name w:val="RF-Reference"/>
    <w:basedOn w:val="Normal"/>
    <w:rsid w:val="000240F0"/>
    <w:pPr>
      <w:spacing w:line="240" w:lineRule="exact"/>
      <w:ind w:left="216" w:hanging="216"/>
    </w:pPr>
  </w:style>
  <w:style w:type="paragraph" w:customStyle="1" w:styleId="RH-SglSpHead">
    <w:name w:val="RH-Sgl Sp Head"/>
    <w:next w:val="RL-FlLftSgl"/>
    <w:rsid w:val="000240F0"/>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0240F0"/>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0240F0"/>
    <w:pPr>
      <w:keepNext/>
      <w:spacing w:line="240" w:lineRule="exact"/>
    </w:pPr>
    <w:rPr>
      <w:u w:val="single"/>
    </w:rPr>
  </w:style>
  <w:style w:type="table" w:customStyle="1" w:styleId="TableWestatStandardFormat">
    <w:name w:val="Table Westat Standard Format"/>
    <w:basedOn w:val="TableNormal"/>
    <w:rsid w:val="000240F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240F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240F0"/>
    <w:rPr>
      <w:rFonts w:ascii="Franklin Gothic Medium" w:hAnsi="Franklin Gothic Medium"/>
      <w:sz w:val="16"/>
    </w:rPr>
  </w:style>
  <w:style w:type="paragraph" w:customStyle="1" w:styleId="TH-TableHeading">
    <w:name w:val="TH-Table Heading"/>
    <w:rsid w:val="000240F0"/>
    <w:pPr>
      <w:keepNext/>
      <w:spacing w:line="240" w:lineRule="atLeast"/>
      <w:jc w:val="center"/>
    </w:pPr>
    <w:rPr>
      <w:rFonts w:ascii="Franklin Gothic Medium" w:hAnsi="Franklin Gothic Medium"/>
      <w:b/>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semiHidden/>
    <w:rsid w:val="000240F0"/>
    <w:pPr>
      <w:tabs>
        <w:tab w:val="right" w:leader="dot" w:pos="8208"/>
        <w:tab w:val="left" w:pos="8640"/>
      </w:tabs>
      <w:ind w:left="288"/>
    </w:pPr>
    <w:rPr>
      <w:rFonts w:ascii="Garamond" w:hAnsi="Garamond"/>
      <w:sz w:val="24"/>
      <w:szCs w:val="22"/>
    </w:rPr>
  </w:style>
  <w:style w:type="paragraph" w:styleId="TOC7">
    <w:name w:val="toc 7"/>
    <w:semiHidden/>
    <w:rsid w:val="000240F0"/>
    <w:pPr>
      <w:tabs>
        <w:tab w:val="right" w:leader="dot" w:pos="8208"/>
        <w:tab w:val="left" w:pos="8640"/>
      </w:tabs>
      <w:ind w:left="1440"/>
    </w:pPr>
    <w:rPr>
      <w:rFonts w:ascii="Garamond" w:hAnsi="Garamond"/>
      <w:sz w:val="24"/>
      <w:szCs w:val="22"/>
    </w:rPr>
  </w:style>
  <w:style w:type="paragraph" w:styleId="TOC8">
    <w:name w:val="toc 8"/>
    <w:semiHidden/>
    <w:rsid w:val="000240F0"/>
    <w:pPr>
      <w:tabs>
        <w:tab w:val="right" w:leader="dot" w:pos="8208"/>
        <w:tab w:val="left" w:pos="8640"/>
      </w:tabs>
      <w:ind w:left="2160"/>
    </w:pPr>
    <w:rPr>
      <w:rFonts w:ascii="Garamond" w:hAnsi="Garamond"/>
      <w:sz w:val="24"/>
      <w:szCs w:val="22"/>
    </w:rPr>
  </w:style>
  <w:style w:type="paragraph" w:styleId="TOC9">
    <w:name w:val="toc 9"/>
    <w:semiHidden/>
    <w:rsid w:val="000240F0"/>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0240F0"/>
    <w:rPr>
      <w:rFonts w:ascii="Franklin Gothic Medium" w:hAnsi="Franklin Gothic Medium"/>
      <w:sz w:val="20"/>
    </w:rPr>
  </w:style>
  <w:style w:type="character" w:customStyle="1" w:styleId="TT-TableTitleChar">
    <w:name w:val="TT-Table Title Char"/>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line="276" w:lineRule="auto"/>
      <w:outlineLvl w:val="9"/>
    </w:pPr>
    <w:rPr>
      <w:rFonts w:ascii="Cambria" w:eastAsia="MS Gothic" w:hAnsi="Cambria"/>
      <w:bCs/>
      <w:color w:val="365F91"/>
      <w:sz w:val="28"/>
      <w:szCs w:val="28"/>
      <w:lang w:eastAsia="ja-JP"/>
    </w:rPr>
  </w:style>
  <w:style w:type="table" w:customStyle="1" w:styleId="TableWestatStandardFormat1">
    <w:name w:val="Table Westat Standard Format1"/>
    <w:basedOn w:val="TableNormal"/>
    <w:rsid w:val="00504E0A"/>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styleId="FollowedHyperlink">
    <w:name w:val="FollowedHyperlink"/>
    <w:basedOn w:val="DefaultParagraphFont"/>
    <w:uiPriority w:val="99"/>
    <w:semiHidden/>
    <w:unhideWhenUsed/>
    <w:locked/>
    <w:rsid w:val="00B74517"/>
    <w:rPr>
      <w:color w:val="800080" w:themeColor="followedHyperlink"/>
      <w:u w:val="single"/>
    </w:rPr>
  </w:style>
  <w:style w:type="character" w:styleId="PlaceholderText">
    <w:name w:val="Placeholder Text"/>
    <w:basedOn w:val="DefaultParagraphFont"/>
    <w:uiPriority w:val="99"/>
    <w:semiHidden/>
    <w:rsid w:val="0031098B"/>
    <w:rPr>
      <w:color w:val="808080"/>
    </w:rPr>
  </w:style>
  <w:style w:type="paragraph" w:customStyle="1" w:styleId="TB-TableBullet">
    <w:name w:val="TB-Table Bullet"/>
    <w:basedOn w:val="TX-TableText"/>
    <w:qFormat/>
    <w:rsid w:val="000240F0"/>
    <w:pPr>
      <w:numPr>
        <w:numId w:val="18"/>
      </w:numPr>
    </w:pPr>
  </w:style>
  <w:style w:type="paragraph" w:customStyle="1" w:styleId="Cov-Address">
    <w:name w:val="Cov-Address"/>
    <w:basedOn w:val="Normal"/>
    <w:rsid w:val="00051EA0"/>
    <w:pPr>
      <w:spacing w:line="240" w:lineRule="auto"/>
      <w:jc w:val="right"/>
    </w:pPr>
    <w:rPr>
      <w:rFonts w:ascii="Arial" w:hAnsi="Arial"/>
    </w:rPr>
  </w:style>
  <w:style w:type="paragraph" w:customStyle="1" w:styleId="Cov-Subtitle">
    <w:name w:val="Cov-Subtitle"/>
    <w:basedOn w:val="Normal"/>
    <w:rsid w:val="00051EA0"/>
    <w:pPr>
      <w:spacing w:line="240" w:lineRule="auto"/>
      <w:jc w:val="right"/>
    </w:pPr>
    <w:rPr>
      <w:rFonts w:ascii="Arial Black" w:hAnsi="Arial Black"/>
      <w:sz w:val="32"/>
    </w:rPr>
  </w:style>
  <w:style w:type="paragraph" w:customStyle="1" w:styleId="Cov-Title">
    <w:name w:val="Cov-Title"/>
    <w:basedOn w:val="Normal"/>
    <w:rsid w:val="00051EA0"/>
    <w:pPr>
      <w:spacing w:line="240" w:lineRule="auto"/>
      <w:jc w:val="right"/>
    </w:pPr>
    <w:rPr>
      <w:rFonts w:ascii="Arial Black" w:hAnsi="Arial Black"/>
      <w:sz w:val="40"/>
    </w:rPr>
  </w:style>
  <w:style w:type="character" w:styleId="Strong">
    <w:name w:val="Strong"/>
    <w:basedOn w:val="DefaultParagraphFont"/>
    <w:qFormat/>
    <w:rsid w:val="00663BF1"/>
    <w:rPr>
      <w:b/>
      <w:bCs/>
    </w:rPr>
  </w:style>
  <w:style w:type="character" w:customStyle="1" w:styleId="L1-FlLSp12Char">
    <w:name w:val="L1-FlL Sp&amp;1/2 Char"/>
    <w:basedOn w:val="DefaultParagraphFont"/>
    <w:link w:val="L1-FlLSp12"/>
    <w:uiPriority w:val="99"/>
    <w:locked/>
    <w:rsid w:val="007E5E08"/>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39"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F0"/>
    <w:pPr>
      <w:spacing w:line="240" w:lineRule="atLeast"/>
    </w:pPr>
    <w:rPr>
      <w:rFonts w:ascii="Garamond" w:hAnsi="Garamond"/>
      <w:sz w:val="24"/>
    </w:rPr>
  </w:style>
  <w:style w:type="paragraph" w:styleId="Heading1">
    <w:name w:val="heading 1"/>
    <w:aliases w:val="H1-Sec.Head,H1-Chap. Head"/>
    <w:basedOn w:val="Normal"/>
    <w:link w:val="Heading1Char"/>
    <w:qFormat/>
    <w:rsid w:val="000240F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240F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240F0"/>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0240F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240F0"/>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240F0"/>
    <w:pPr>
      <w:keepNext/>
      <w:spacing w:before="240"/>
      <w:jc w:val="center"/>
      <w:outlineLvl w:val="5"/>
    </w:pPr>
    <w:rPr>
      <w:b/>
      <w:caps/>
    </w:rPr>
  </w:style>
  <w:style w:type="paragraph" w:styleId="Heading7">
    <w:name w:val="heading 7"/>
    <w:basedOn w:val="Normal"/>
    <w:next w:val="Normal"/>
    <w:link w:val="Heading7Char"/>
    <w:qFormat/>
    <w:rsid w:val="000240F0"/>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link w:val="Heading1"/>
    <w:locked/>
    <w:rsid w:val="001F159D"/>
    <w:rPr>
      <w:rFonts w:ascii="Franklin Gothic Medium" w:hAnsi="Franklin Gothic Medium"/>
      <w:b/>
      <w:color w:val="324162"/>
      <w:sz w:val="40"/>
    </w:rPr>
  </w:style>
  <w:style w:type="character" w:customStyle="1" w:styleId="Heading2Char">
    <w:name w:val="Heading 2 Char"/>
    <w:aliases w:val="H2-Sec. Head Char"/>
    <w:link w:val="Heading2"/>
    <w:locked/>
    <w:rsid w:val="005D691C"/>
    <w:rPr>
      <w:rFonts w:ascii="Franklin Gothic Medium" w:hAnsi="Franklin Gothic Medium"/>
      <w:b/>
      <w:color w:val="324162"/>
      <w:sz w:val="32"/>
    </w:rPr>
  </w:style>
  <w:style w:type="character" w:customStyle="1" w:styleId="Heading3Char">
    <w:name w:val="Heading 3 Char"/>
    <w:aliases w:val="H3-Sec. Head Char"/>
    <w:link w:val="Heading3"/>
    <w:locked/>
    <w:rsid w:val="003716A1"/>
    <w:rPr>
      <w:rFonts w:ascii="Franklin Gothic Medium" w:hAnsi="Franklin Gothic Medium"/>
      <w:b/>
      <w:color w:val="324162"/>
      <w:sz w:val="28"/>
    </w:rPr>
  </w:style>
  <w:style w:type="character" w:customStyle="1" w:styleId="Heading4Char">
    <w:name w:val="Heading 4 Char"/>
    <w:aliases w:val="H4 Sec.Heading Char,H4-Sec. Head Char"/>
    <w:link w:val="Heading4"/>
    <w:locked/>
    <w:rsid w:val="008A5604"/>
    <w:rPr>
      <w:rFonts w:ascii="Franklin Gothic Medium" w:hAnsi="Franklin Gothic Medium"/>
      <w:b/>
      <w:sz w:val="24"/>
    </w:rPr>
  </w:style>
  <w:style w:type="character" w:customStyle="1" w:styleId="Heading5Char">
    <w:name w:val="Heading 5 Char"/>
    <w:aliases w:val="H5-Sec. Head Char"/>
    <w:link w:val="Heading5"/>
    <w:locked/>
    <w:rsid w:val="005D691C"/>
    <w:rPr>
      <w:rFonts w:ascii="Franklin Gothic Medium" w:hAnsi="Franklin Gothic Medium"/>
      <w:b/>
      <w:i/>
      <w:sz w:val="24"/>
    </w:rPr>
  </w:style>
  <w:style w:type="character" w:customStyle="1" w:styleId="Heading6Char">
    <w:name w:val="Heading 6 Char"/>
    <w:link w:val="Heading6"/>
    <w:locked/>
    <w:rsid w:val="005D691C"/>
    <w:rPr>
      <w:rFonts w:ascii="Garamond" w:hAnsi="Garamond"/>
      <w:b/>
      <w:caps/>
      <w:sz w:val="24"/>
    </w:rPr>
  </w:style>
  <w:style w:type="character" w:customStyle="1" w:styleId="Heading7Char">
    <w:name w:val="Heading 7 Char"/>
    <w:link w:val="Heading7"/>
    <w:locked/>
    <w:rsid w:val="005D691C"/>
    <w:rPr>
      <w:rFonts w:ascii="Garamond" w:hAnsi="Garamond"/>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unhideWhenUsed/>
    <w:rsid w:val="00024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40F0"/>
    <w:rPr>
      <w:rFonts w:ascii="Tahoma" w:hAnsi="Tahoma" w:cs="Tahoma"/>
      <w:sz w:val="16"/>
      <w:szCs w:val="16"/>
    </w:rPr>
  </w:style>
  <w:style w:type="paragraph" w:customStyle="1" w:styleId="C1-CtrBoldHd">
    <w:name w:val="C1-Ctr BoldHd"/>
    <w:rsid w:val="000240F0"/>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0240F0"/>
    <w:pPr>
      <w:keepLines/>
      <w:jc w:val="center"/>
    </w:pPr>
  </w:style>
  <w:style w:type="paragraph" w:customStyle="1" w:styleId="C3-CtrSp12">
    <w:name w:val="C3-Ctr Sp&amp;1/2"/>
    <w:basedOn w:val="Normal"/>
    <w:rsid w:val="000240F0"/>
    <w:pPr>
      <w:keepLines/>
      <w:spacing w:line="360" w:lineRule="atLeast"/>
      <w:jc w:val="center"/>
    </w:pPr>
  </w:style>
  <w:style w:type="paragraph" w:customStyle="1" w:styleId="E1-Equation">
    <w:name w:val="E1-Equation"/>
    <w:basedOn w:val="Normal"/>
    <w:rsid w:val="000240F0"/>
    <w:pPr>
      <w:tabs>
        <w:tab w:val="center" w:pos="4680"/>
        <w:tab w:val="right" w:pos="9360"/>
      </w:tabs>
    </w:pPr>
  </w:style>
  <w:style w:type="paragraph" w:customStyle="1" w:styleId="E2-Equation">
    <w:name w:val="E2-Equation"/>
    <w:basedOn w:val="Normal"/>
    <w:rsid w:val="000240F0"/>
    <w:pPr>
      <w:tabs>
        <w:tab w:val="right" w:pos="1152"/>
        <w:tab w:val="center" w:pos="1440"/>
        <w:tab w:val="left" w:pos="1728"/>
      </w:tabs>
      <w:ind w:left="1728" w:hanging="1728"/>
    </w:pPr>
  </w:style>
  <w:style w:type="paragraph" w:styleId="FootnoteText">
    <w:name w:val="footnote text"/>
    <w:aliases w:val="F1"/>
    <w:link w:val="FootnoteTextChar"/>
    <w:rsid w:val="000240F0"/>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locked/>
    <w:rsid w:val="00C705BA"/>
    <w:rPr>
      <w:rFonts w:ascii="Garamond" w:hAnsi="Garamond"/>
    </w:rPr>
  </w:style>
  <w:style w:type="paragraph" w:customStyle="1" w:styleId="L1-FlLSp12">
    <w:name w:val="L1-FlL Sp&amp;1/2"/>
    <w:basedOn w:val="Normal"/>
    <w:link w:val="L1-FlLSp12Char"/>
    <w:uiPriority w:val="99"/>
    <w:rsid w:val="000240F0"/>
    <w:pPr>
      <w:tabs>
        <w:tab w:val="left" w:pos="1152"/>
      </w:tabs>
      <w:spacing w:line="360" w:lineRule="atLeast"/>
    </w:pPr>
  </w:style>
  <w:style w:type="paragraph" w:customStyle="1" w:styleId="N0-FlLftBullet">
    <w:name w:val="N0-Fl Lft Bullet"/>
    <w:basedOn w:val="Normal"/>
    <w:rsid w:val="000240F0"/>
    <w:pPr>
      <w:tabs>
        <w:tab w:val="left" w:pos="576"/>
      </w:tabs>
      <w:spacing w:after="240"/>
      <w:ind w:left="576" w:hanging="576"/>
    </w:pPr>
  </w:style>
  <w:style w:type="paragraph" w:customStyle="1" w:styleId="N1-1stBullet">
    <w:name w:val="N1-1st Bullet"/>
    <w:basedOn w:val="Normal"/>
    <w:rsid w:val="000240F0"/>
    <w:pPr>
      <w:numPr>
        <w:numId w:val="6"/>
      </w:numPr>
      <w:spacing w:after="240"/>
    </w:pPr>
  </w:style>
  <w:style w:type="paragraph" w:customStyle="1" w:styleId="N2-2ndBullet">
    <w:name w:val="N2-2nd Bullet"/>
    <w:basedOn w:val="Normal"/>
    <w:rsid w:val="000240F0"/>
    <w:pPr>
      <w:numPr>
        <w:numId w:val="7"/>
      </w:numPr>
      <w:spacing w:after="240"/>
    </w:pPr>
  </w:style>
  <w:style w:type="paragraph" w:customStyle="1" w:styleId="N3-3rdBullet">
    <w:name w:val="N3-3rd Bullet"/>
    <w:basedOn w:val="Normal"/>
    <w:rsid w:val="000240F0"/>
    <w:pPr>
      <w:numPr>
        <w:numId w:val="8"/>
      </w:numPr>
      <w:spacing w:after="240"/>
    </w:pPr>
  </w:style>
  <w:style w:type="paragraph" w:customStyle="1" w:styleId="N4-4thBullet">
    <w:name w:val="N4-4th Bullet"/>
    <w:basedOn w:val="Normal"/>
    <w:rsid w:val="000240F0"/>
    <w:pPr>
      <w:numPr>
        <w:numId w:val="9"/>
      </w:numPr>
      <w:spacing w:after="240"/>
    </w:pPr>
  </w:style>
  <w:style w:type="paragraph" w:customStyle="1" w:styleId="N5-5thBullet">
    <w:name w:val="N5-5th Bullet"/>
    <w:basedOn w:val="Normal"/>
    <w:rsid w:val="000240F0"/>
    <w:pPr>
      <w:tabs>
        <w:tab w:val="left" w:pos="3456"/>
      </w:tabs>
      <w:spacing w:after="240"/>
      <w:ind w:left="3456" w:hanging="576"/>
    </w:pPr>
  </w:style>
  <w:style w:type="paragraph" w:customStyle="1" w:styleId="N6-DateInd">
    <w:name w:val="N6-Date Ind."/>
    <w:basedOn w:val="Normal"/>
    <w:rsid w:val="000240F0"/>
    <w:pPr>
      <w:tabs>
        <w:tab w:val="left" w:pos="4910"/>
      </w:tabs>
      <w:ind w:left="4910"/>
    </w:pPr>
  </w:style>
  <w:style w:type="paragraph" w:customStyle="1" w:styleId="N7-3Block">
    <w:name w:val="N7-3&quot; Block"/>
    <w:basedOn w:val="Normal"/>
    <w:rsid w:val="000240F0"/>
    <w:pPr>
      <w:tabs>
        <w:tab w:val="left" w:pos="1152"/>
      </w:tabs>
      <w:ind w:left="1152" w:right="1152"/>
    </w:pPr>
  </w:style>
  <w:style w:type="paragraph" w:customStyle="1" w:styleId="N8-QxQBlock">
    <w:name w:val="N8-QxQ Block"/>
    <w:basedOn w:val="Normal"/>
    <w:rsid w:val="000240F0"/>
    <w:pPr>
      <w:tabs>
        <w:tab w:val="left" w:pos="1152"/>
      </w:tabs>
      <w:spacing w:after="360" w:line="360" w:lineRule="atLeast"/>
      <w:ind w:left="1152" w:hanging="1152"/>
    </w:pPr>
  </w:style>
  <w:style w:type="paragraph" w:customStyle="1" w:styleId="P1-StandPara">
    <w:name w:val="P1-Stand Para"/>
    <w:basedOn w:val="Normal"/>
    <w:rsid w:val="000240F0"/>
    <w:pPr>
      <w:spacing w:line="360" w:lineRule="atLeast"/>
      <w:ind w:firstLine="1152"/>
    </w:pPr>
  </w:style>
  <w:style w:type="paragraph" w:customStyle="1" w:styleId="Q1-BestFinQ">
    <w:name w:val="Q1-Best/Fin Q"/>
    <w:rsid w:val="000240F0"/>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0240F0"/>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0240F0"/>
  </w:style>
  <w:style w:type="paragraph" w:customStyle="1" w:styleId="SP-SglSpPara">
    <w:name w:val="SP-Sgl Sp Para"/>
    <w:basedOn w:val="Normal"/>
    <w:rsid w:val="000240F0"/>
    <w:pPr>
      <w:tabs>
        <w:tab w:val="left" w:pos="576"/>
      </w:tabs>
      <w:ind w:firstLine="576"/>
    </w:pPr>
  </w:style>
  <w:style w:type="paragraph" w:customStyle="1" w:styleId="T0-ChapPgHd">
    <w:name w:val="T0-Chap/Pg Hd"/>
    <w:basedOn w:val="Normal"/>
    <w:rsid w:val="000240F0"/>
    <w:pPr>
      <w:tabs>
        <w:tab w:val="left" w:pos="8640"/>
      </w:tabs>
    </w:pPr>
    <w:rPr>
      <w:rFonts w:ascii="Franklin Gothic Medium" w:hAnsi="Franklin Gothic Medium"/>
      <w:u w:val="words"/>
    </w:rPr>
  </w:style>
  <w:style w:type="paragraph" w:styleId="TOC1">
    <w:name w:val="toc 1"/>
    <w:basedOn w:val="Normal"/>
    <w:uiPriority w:val="39"/>
    <w:rsid w:val="000240F0"/>
    <w:pPr>
      <w:tabs>
        <w:tab w:val="left" w:pos="1440"/>
        <w:tab w:val="right" w:leader="dot" w:pos="8208"/>
        <w:tab w:val="left" w:pos="8640"/>
      </w:tabs>
      <w:ind w:left="1440" w:right="1800" w:hanging="1152"/>
    </w:pPr>
  </w:style>
  <w:style w:type="paragraph" w:styleId="TOC2">
    <w:name w:val="toc 2"/>
    <w:basedOn w:val="Normal"/>
    <w:uiPriority w:val="39"/>
    <w:rsid w:val="000240F0"/>
    <w:pPr>
      <w:tabs>
        <w:tab w:val="left" w:pos="2160"/>
        <w:tab w:val="right" w:leader="dot" w:pos="8208"/>
        <w:tab w:val="left" w:pos="8640"/>
      </w:tabs>
      <w:ind w:left="2160" w:right="1800" w:hanging="720"/>
    </w:pPr>
    <w:rPr>
      <w:szCs w:val="22"/>
    </w:rPr>
  </w:style>
  <w:style w:type="paragraph" w:styleId="TOC3">
    <w:name w:val="toc 3"/>
    <w:basedOn w:val="Normal"/>
    <w:uiPriority w:val="39"/>
    <w:rsid w:val="000240F0"/>
    <w:pPr>
      <w:tabs>
        <w:tab w:val="left" w:pos="3024"/>
        <w:tab w:val="right" w:leader="dot" w:pos="8208"/>
        <w:tab w:val="left" w:pos="8640"/>
      </w:tabs>
      <w:ind w:left="3024" w:right="1800" w:hanging="864"/>
    </w:pPr>
  </w:style>
  <w:style w:type="paragraph" w:styleId="TOC4">
    <w:name w:val="toc 4"/>
    <w:basedOn w:val="Normal"/>
    <w:semiHidden/>
    <w:rsid w:val="000240F0"/>
    <w:pPr>
      <w:tabs>
        <w:tab w:val="left" w:pos="3888"/>
        <w:tab w:val="right" w:leader="dot" w:pos="8208"/>
        <w:tab w:val="left" w:pos="8640"/>
      </w:tabs>
      <w:ind w:left="3888" w:right="1800" w:hanging="864"/>
    </w:pPr>
  </w:style>
  <w:style w:type="paragraph" w:styleId="TOC5">
    <w:name w:val="toc 5"/>
    <w:basedOn w:val="Normal"/>
    <w:uiPriority w:val="39"/>
    <w:rsid w:val="000240F0"/>
    <w:pPr>
      <w:tabs>
        <w:tab w:val="left" w:pos="1440"/>
        <w:tab w:val="right" w:leader="dot" w:pos="8208"/>
        <w:tab w:val="left" w:pos="8640"/>
      </w:tabs>
      <w:ind w:left="1440" w:right="1800" w:hanging="1152"/>
    </w:pPr>
  </w:style>
  <w:style w:type="paragraph" w:customStyle="1" w:styleId="TT-TableTitle">
    <w:name w:val="TT-Table Title"/>
    <w:rsid w:val="000240F0"/>
    <w:pPr>
      <w:keepNext/>
      <w:tabs>
        <w:tab w:val="left" w:pos="1440"/>
      </w:tabs>
      <w:spacing w:line="240" w:lineRule="atLeast"/>
      <w:ind w:left="1440" w:hanging="1440"/>
    </w:pPr>
    <w:rPr>
      <w:rFonts w:ascii="Franklin Gothic Medium" w:hAnsi="Franklin Gothic Medium"/>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unhideWhenUsed/>
    <w:rsid w:val="000240F0"/>
    <w:rPr>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0240F0"/>
  </w:style>
  <w:style w:type="character" w:customStyle="1" w:styleId="FooterChar">
    <w:name w:val="Footer Char"/>
    <w:link w:val="Footer"/>
    <w:uiPriority w:val="99"/>
    <w:locked/>
    <w:rsid w:val="008A5604"/>
    <w:rPr>
      <w:rFonts w:ascii="Garamond" w:hAnsi="Garamond"/>
      <w:sz w:val="24"/>
    </w:rPr>
  </w:style>
  <w:style w:type="character" w:styleId="PageNumber">
    <w:name w:val="page number"/>
    <w:basedOn w:val="DefaultParagraphFont"/>
    <w:rsid w:val="000240F0"/>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rsid w:val="000240F0"/>
    <w:pPr>
      <w:tabs>
        <w:tab w:val="left" w:pos="2232"/>
      </w:tabs>
      <w:spacing w:line="240" w:lineRule="exact"/>
    </w:pPr>
    <w:rPr>
      <w:vanish/>
    </w:rPr>
  </w:style>
  <w:style w:type="paragraph" w:styleId="Header">
    <w:name w:val="header"/>
    <w:basedOn w:val="Normal"/>
    <w:link w:val="HeaderChar"/>
    <w:rsid w:val="000240F0"/>
    <w:rPr>
      <w:sz w:val="20"/>
    </w:rPr>
  </w:style>
  <w:style w:type="character" w:customStyle="1" w:styleId="HeaderChar">
    <w:name w:val="Header Char"/>
    <w:link w:val="Header"/>
    <w:locked/>
    <w:rsid w:val="00FE38F4"/>
    <w:rPr>
      <w:rFonts w:ascii="Garamond" w:hAnsi="Garamond"/>
    </w:rPr>
  </w:style>
  <w:style w:type="paragraph" w:customStyle="1" w:styleId="Header-1">
    <w:name w:val="Header-1"/>
    <w:rsid w:val="000240F0"/>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uiPriority w:val="99"/>
    <w:rsid w:val="00EC195A"/>
    <w:pPr>
      <w:tabs>
        <w:tab w:val="clear" w:pos="1152"/>
      </w:tabs>
    </w:p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rsid w:val="000240F0"/>
    <w:pPr>
      <w:keepNext/>
      <w:spacing w:line="240" w:lineRule="atLeast"/>
    </w:pPr>
    <w:rPr>
      <w:rFonts w:ascii="Franklin Gothic Medium" w:hAnsi="Franklin Gothic Medium" w:cs="Times New Roman Bold"/>
      <w:i/>
      <w:sz w:val="24"/>
    </w:rPr>
  </w:style>
  <w:style w:type="paragraph" w:customStyle="1" w:styleId="R1-ResPara">
    <w:name w:val="R1-Res. Para"/>
    <w:rsid w:val="000240F0"/>
    <w:pPr>
      <w:spacing w:line="240" w:lineRule="atLeast"/>
      <w:ind w:left="288"/>
    </w:pPr>
    <w:rPr>
      <w:rFonts w:ascii="Garamond" w:hAnsi="Garamond"/>
      <w:sz w:val="24"/>
    </w:rPr>
  </w:style>
  <w:style w:type="paragraph" w:customStyle="1" w:styleId="R2-ResBullet">
    <w:name w:val="R2-Res Bullet"/>
    <w:basedOn w:val="Normal"/>
    <w:rsid w:val="000240F0"/>
    <w:pPr>
      <w:tabs>
        <w:tab w:val="left" w:pos="720"/>
      </w:tabs>
      <w:ind w:left="720" w:hanging="432"/>
    </w:pPr>
  </w:style>
  <w:style w:type="paragraph" w:customStyle="1" w:styleId="RF-Reference">
    <w:name w:val="RF-Reference"/>
    <w:basedOn w:val="Normal"/>
    <w:rsid w:val="000240F0"/>
    <w:pPr>
      <w:spacing w:line="240" w:lineRule="exact"/>
      <w:ind w:left="216" w:hanging="216"/>
    </w:pPr>
  </w:style>
  <w:style w:type="paragraph" w:customStyle="1" w:styleId="RH-SglSpHead">
    <w:name w:val="RH-Sgl Sp Head"/>
    <w:next w:val="RL-FlLftSgl"/>
    <w:rsid w:val="000240F0"/>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0240F0"/>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0240F0"/>
    <w:pPr>
      <w:keepNext/>
      <w:spacing w:line="240" w:lineRule="exact"/>
    </w:pPr>
    <w:rPr>
      <w:u w:val="single"/>
    </w:rPr>
  </w:style>
  <w:style w:type="table" w:customStyle="1" w:styleId="TableWestatStandardFormat">
    <w:name w:val="Table Westat Standard Format"/>
    <w:basedOn w:val="TableNormal"/>
    <w:rsid w:val="000240F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240F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240F0"/>
    <w:rPr>
      <w:rFonts w:ascii="Franklin Gothic Medium" w:hAnsi="Franklin Gothic Medium"/>
      <w:sz w:val="16"/>
    </w:rPr>
  </w:style>
  <w:style w:type="paragraph" w:customStyle="1" w:styleId="TH-TableHeading">
    <w:name w:val="TH-Table Heading"/>
    <w:rsid w:val="000240F0"/>
    <w:pPr>
      <w:keepNext/>
      <w:spacing w:line="240" w:lineRule="atLeast"/>
      <w:jc w:val="center"/>
    </w:pPr>
    <w:rPr>
      <w:rFonts w:ascii="Franklin Gothic Medium" w:hAnsi="Franklin Gothic Medium"/>
      <w:b/>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semiHidden/>
    <w:rsid w:val="000240F0"/>
    <w:pPr>
      <w:tabs>
        <w:tab w:val="right" w:leader="dot" w:pos="8208"/>
        <w:tab w:val="left" w:pos="8640"/>
      </w:tabs>
      <w:ind w:left="288"/>
    </w:pPr>
    <w:rPr>
      <w:rFonts w:ascii="Garamond" w:hAnsi="Garamond"/>
      <w:sz w:val="24"/>
      <w:szCs w:val="22"/>
    </w:rPr>
  </w:style>
  <w:style w:type="paragraph" w:styleId="TOC7">
    <w:name w:val="toc 7"/>
    <w:semiHidden/>
    <w:rsid w:val="000240F0"/>
    <w:pPr>
      <w:tabs>
        <w:tab w:val="right" w:leader="dot" w:pos="8208"/>
        <w:tab w:val="left" w:pos="8640"/>
      </w:tabs>
      <w:ind w:left="1440"/>
    </w:pPr>
    <w:rPr>
      <w:rFonts w:ascii="Garamond" w:hAnsi="Garamond"/>
      <w:sz w:val="24"/>
      <w:szCs w:val="22"/>
    </w:rPr>
  </w:style>
  <w:style w:type="paragraph" w:styleId="TOC8">
    <w:name w:val="toc 8"/>
    <w:semiHidden/>
    <w:rsid w:val="000240F0"/>
    <w:pPr>
      <w:tabs>
        <w:tab w:val="right" w:leader="dot" w:pos="8208"/>
        <w:tab w:val="left" w:pos="8640"/>
      </w:tabs>
      <w:ind w:left="2160"/>
    </w:pPr>
    <w:rPr>
      <w:rFonts w:ascii="Garamond" w:hAnsi="Garamond"/>
      <w:sz w:val="24"/>
      <w:szCs w:val="22"/>
    </w:rPr>
  </w:style>
  <w:style w:type="paragraph" w:styleId="TOC9">
    <w:name w:val="toc 9"/>
    <w:semiHidden/>
    <w:rsid w:val="000240F0"/>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0240F0"/>
    <w:rPr>
      <w:rFonts w:ascii="Franklin Gothic Medium" w:hAnsi="Franklin Gothic Medium"/>
      <w:sz w:val="20"/>
    </w:rPr>
  </w:style>
  <w:style w:type="character" w:customStyle="1" w:styleId="TT-TableTitleChar">
    <w:name w:val="TT-Table Title Char"/>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line="276" w:lineRule="auto"/>
      <w:outlineLvl w:val="9"/>
    </w:pPr>
    <w:rPr>
      <w:rFonts w:ascii="Cambria" w:eastAsia="MS Gothic" w:hAnsi="Cambria"/>
      <w:bCs/>
      <w:color w:val="365F91"/>
      <w:sz w:val="28"/>
      <w:szCs w:val="28"/>
      <w:lang w:eastAsia="ja-JP"/>
    </w:rPr>
  </w:style>
  <w:style w:type="table" w:customStyle="1" w:styleId="TableWestatStandardFormat1">
    <w:name w:val="Table Westat Standard Format1"/>
    <w:basedOn w:val="TableNormal"/>
    <w:rsid w:val="00504E0A"/>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styleId="FollowedHyperlink">
    <w:name w:val="FollowedHyperlink"/>
    <w:basedOn w:val="DefaultParagraphFont"/>
    <w:uiPriority w:val="99"/>
    <w:semiHidden/>
    <w:unhideWhenUsed/>
    <w:locked/>
    <w:rsid w:val="00B74517"/>
    <w:rPr>
      <w:color w:val="800080" w:themeColor="followedHyperlink"/>
      <w:u w:val="single"/>
    </w:rPr>
  </w:style>
  <w:style w:type="character" w:styleId="PlaceholderText">
    <w:name w:val="Placeholder Text"/>
    <w:basedOn w:val="DefaultParagraphFont"/>
    <w:uiPriority w:val="99"/>
    <w:semiHidden/>
    <w:rsid w:val="0031098B"/>
    <w:rPr>
      <w:color w:val="808080"/>
    </w:rPr>
  </w:style>
  <w:style w:type="paragraph" w:customStyle="1" w:styleId="TB-TableBullet">
    <w:name w:val="TB-Table Bullet"/>
    <w:basedOn w:val="TX-TableText"/>
    <w:qFormat/>
    <w:rsid w:val="000240F0"/>
    <w:pPr>
      <w:numPr>
        <w:numId w:val="18"/>
      </w:numPr>
    </w:pPr>
  </w:style>
  <w:style w:type="paragraph" w:customStyle="1" w:styleId="Cov-Address">
    <w:name w:val="Cov-Address"/>
    <w:basedOn w:val="Normal"/>
    <w:rsid w:val="00051EA0"/>
    <w:pPr>
      <w:spacing w:line="240" w:lineRule="auto"/>
      <w:jc w:val="right"/>
    </w:pPr>
    <w:rPr>
      <w:rFonts w:ascii="Arial" w:hAnsi="Arial"/>
    </w:rPr>
  </w:style>
  <w:style w:type="paragraph" w:customStyle="1" w:styleId="Cov-Subtitle">
    <w:name w:val="Cov-Subtitle"/>
    <w:basedOn w:val="Normal"/>
    <w:rsid w:val="00051EA0"/>
    <w:pPr>
      <w:spacing w:line="240" w:lineRule="auto"/>
      <w:jc w:val="right"/>
    </w:pPr>
    <w:rPr>
      <w:rFonts w:ascii="Arial Black" w:hAnsi="Arial Black"/>
      <w:sz w:val="32"/>
    </w:rPr>
  </w:style>
  <w:style w:type="paragraph" w:customStyle="1" w:styleId="Cov-Title">
    <w:name w:val="Cov-Title"/>
    <w:basedOn w:val="Normal"/>
    <w:rsid w:val="00051EA0"/>
    <w:pPr>
      <w:spacing w:line="240" w:lineRule="auto"/>
      <w:jc w:val="right"/>
    </w:pPr>
    <w:rPr>
      <w:rFonts w:ascii="Arial Black" w:hAnsi="Arial Black"/>
      <w:sz w:val="40"/>
    </w:rPr>
  </w:style>
  <w:style w:type="character" w:styleId="Strong">
    <w:name w:val="Strong"/>
    <w:basedOn w:val="DefaultParagraphFont"/>
    <w:qFormat/>
    <w:rsid w:val="00663BF1"/>
    <w:rPr>
      <w:b/>
      <w:bCs/>
    </w:rPr>
  </w:style>
  <w:style w:type="character" w:customStyle="1" w:styleId="L1-FlLSp12Char">
    <w:name w:val="L1-FlL Sp&amp;1/2 Char"/>
    <w:basedOn w:val="DefaultParagraphFont"/>
    <w:link w:val="L1-FlLSp12"/>
    <w:uiPriority w:val="99"/>
    <w:locked/>
    <w:rsid w:val="007E5E08"/>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8234">
      <w:bodyDiv w:val="1"/>
      <w:marLeft w:val="0"/>
      <w:marRight w:val="0"/>
      <w:marTop w:val="0"/>
      <w:marBottom w:val="0"/>
      <w:divBdr>
        <w:top w:val="none" w:sz="0" w:space="0" w:color="auto"/>
        <w:left w:val="none" w:sz="0" w:space="0" w:color="auto"/>
        <w:bottom w:val="none" w:sz="0" w:space="0" w:color="auto"/>
        <w:right w:val="none" w:sz="0" w:space="0" w:color="auto"/>
      </w:divBdr>
    </w:div>
    <w:div w:id="443382254">
      <w:bodyDiv w:val="1"/>
      <w:marLeft w:val="0"/>
      <w:marRight w:val="0"/>
      <w:marTop w:val="0"/>
      <w:marBottom w:val="0"/>
      <w:divBdr>
        <w:top w:val="none" w:sz="0" w:space="0" w:color="auto"/>
        <w:left w:val="none" w:sz="0" w:space="0" w:color="auto"/>
        <w:bottom w:val="none" w:sz="0" w:space="0" w:color="auto"/>
        <w:right w:val="none" w:sz="0" w:space="0" w:color="auto"/>
      </w:divBdr>
    </w:div>
    <w:div w:id="614403744">
      <w:bodyDiv w:val="1"/>
      <w:marLeft w:val="0"/>
      <w:marRight w:val="0"/>
      <w:marTop w:val="0"/>
      <w:marBottom w:val="0"/>
      <w:divBdr>
        <w:top w:val="none" w:sz="0" w:space="0" w:color="auto"/>
        <w:left w:val="none" w:sz="0" w:space="0" w:color="auto"/>
        <w:bottom w:val="none" w:sz="0" w:space="0" w:color="auto"/>
        <w:right w:val="none" w:sz="0" w:space="0" w:color="auto"/>
      </w:divBdr>
    </w:div>
    <w:div w:id="766075451">
      <w:bodyDiv w:val="1"/>
      <w:marLeft w:val="0"/>
      <w:marRight w:val="0"/>
      <w:marTop w:val="0"/>
      <w:marBottom w:val="0"/>
      <w:divBdr>
        <w:top w:val="none" w:sz="0" w:space="0" w:color="auto"/>
        <w:left w:val="none" w:sz="0" w:space="0" w:color="auto"/>
        <w:bottom w:val="none" w:sz="0" w:space="0" w:color="auto"/>
        <w:right w:val="none" w:sz="0" w:space="0" w:color="auto"/>
      </w:divBdr>
    </w:div>
    <w:div w:id="838926488">
      <w:bodyDiv w:val="1"/>
      <w:marLeft w:val="0"/>
      <w:marRight w:val="0"/>
      <w:marTop w:val="0"/>
      <w:marBottom w:val="0"/>
      <w:divBdr>
        <w:top w:val="none" w:sz="0" w:space="0" w:color="auto"/>
        <w:left w:val="none" w:sz="0" w:space="0" w:color="auto"/>
        <w:bottom w:val="none" w:sz="0" w:space="0" w:color="auto"/>
        <w:right w:val="none" w:sz="0" w:space="0" w:color="auto"/>
      </w:divBdr>
      <w:divsChild>
        <w:div w:id="1993438064">
          <w:marLeft w:val="0"/>
          <w:marRight w:val="0"/>
          <w:marTop w:val="0"/>
          <w:marBottom w:val="0"/>
          <w:divBdr>
            <w:top w:val="none" w:sz="0" w:space="0" w:color="auto"/>
            <w:left w:val="none" w:sz="0" w:space="0" w:color="auto"/>
            <w:bottom w:val="none" w:sz="0" w:space="0" w:color="auto"/>
            <w:right w:val="none" w:sz="0" w:space="0" w:color="auto"/>
          </w:divBdr>
        </w:div>
      </w:divsChild>
    </w:div>
    <w:div w:id="888805102">
      <w:bodyDiv w:val="1"/>
      <w:marLeft w:val="0"/>
      <w:marRight w:val="0"/>
      <w:marTop w:val="0"/>
      <w:marBottom w:val="0"/>
      <w:divBdr>
        <w:top w:val="none" w:sz="0" w:space="0" w:color="auto"/>
        <w:left w:val="none" w:sz="0" w:space="0" w:color="auto"/>
        <w:bottom w:val="none" w:sz="0" w:space="0" w:color="auto"/>
        <w:right w:val="none" w:sz="0" w:space="0" w:color="auto"/>
      </w:divBdr>
    </w:div>
    <w:div w:id="901671668">
      <w:bodyDiv w:val="1"/>
      <w:marLeft w:val="0"/>
      <w:marRight w:val="0"/>
      <w:marTop w:val="0"/>
      <w:marBottom w:val="0"/>
      <w:divBdr>
        <w:top w:val="none" w:sz="0" w:space="0" w:color="auto"/>
        <w:left w:val="none" w:sz="0" w:space="0" w:color="auto"/>
        <w:bottom w:val="none" w:sz="0" w:space="0" w:color="auto"/>
        <w:right w:val="none" w:sz="0" w:space="0" w:color="auto"/>
      </w:divBdr>
      <w:divsChild>
        <w:div w:id="1995529304">
          <w:marLeft w:val="0"/>
          <w:marRight w:val="0"/>
          <w:marTop w:val="0"/>
          <w:marBottom w:val="0"/>
          <w:divBdr>
            <w:top w:val="none" w:sz="0" w:space="0" w:color="auto"/>
            <w:left w:val="none" w:sz="0" w:space="0" w:color="auto"/>
            <w:bottom w:val="none" w:sz="0" w:space="0" w:color="auto"/>
            <w:right w:val="none" w:sz="0" w:space="0" w:color="auto"/>
          </w:divBdr>
        </w:div>
        <w:div w:id="1096681181">
          <w:marLeft w:val="0"/>
          <w:marRight w:val="0"/>
          <w:marTop w:val="0"/>
          <w:marBottom w:val="0"/>
          <w:divBdr>
            <w:top w:val="none" w:sz="0" w:space="0" w:color="auto"/>
            <w:left w:val="none" w:sz="0" w:space="0" w:color="auto"/>
            <w:bottom w:val="none" w:sz="0" w:space="0" w:color="auto"/>
            <w:right w:val="none" w:sz="0" w:space="0" w:color="auto"/>
          </w:divBdr>
        </w:div>
        <w:div w:id="1509637920">
          <w:marLeft w:val="0"/>
          <w:marRight w:val="0"/>
          <w:marTop w:val="0"/>
          <w:marBottom w:val="0"/>
          <w:divBdr>
            <w:top w:val="none" w:sz="0" w:space="0" w:color="auto"/>
            <w:left w:val="none" w:sz="0" w:space="0" w:color="auto"/>
            <w:bottom w:val="none" w:sz="0" w:space="0" w:color="auto"/>
            <w:right w:val="none" w:sz="0" w:space="0" w:color="auto"/>
          </w:divBdr>
        </w:div>
        <w:div w:id="1265770307">
          <w:marLeft w:val="0"/>
          <w:marRight w:val="0"/>
          <w:marTop w:val="0"/>
          <w:marBottom w:val="0"/>
          <w:divBdr>
            <w:top w:val="none" w:sz="0" w:space="0" w:color="auto"/>
            <w:left w:val="none" w:sz="0" w:space="0" w:color="auto"/>
            <w:bottom w:val="none" w:sz="0" w:space="0" w:color="auto"/>
            <w:right w:val="none" w:sz="0" w:space="0" w:color="auto"/>
          </w:divBdr>
        </w:div>
        <w:div w:id="1646161192">
          <w:marLeft w:val="0"/>
          <w:marRight w:val="0"/>
          <w:marTop w:val="0"/>
          <w:marBottom w:val="0"/>
          <w:divBdr>
            <w:top w:val="none" w:sz="0" w:space="0" w:color="auto"/>
            <w:left w:val="none" w:sz="0" w:space="0" w:color="auto"/>
            <w:bottom w:val="none" w:sz="0" w:space="0" w:color="auto"/>
            <w:right w:val="none" w:sz="0" w:space="0" w:color="auto"/>
          </w:divBdr>
        </w:div>
        <w:div w:id="840586005">
          <w:marLeft w:val="0"/>
          <w:marRight w:val="0"/>
          <w:marTop w:val="0"/>
          <w:marBottom w:val="0"/>
          <w:divBdr>
            <w:top w:val="none" w:sz="0" w:space="0" w:color="auto"/>
            <w:left w:val="none" w:sz="0" w:space="0" w:color="auto"/>
            <w:bottom w:val="none" w:sz="0" w:space="0" w:color="auto"/>
            <w:right w:val="none" w:sz="0" w:space="0" w:color="auto"/>
          </w:divBdr>
        </w:div>
        <w:div w:id="1632976250">
          <w:marLeft w:val="0"/>
          <w:marRight w:val="0"/>
          <w:marTop w:val="0"/>
          <w:marBottom w:val="0"/>
          <w:divBdr>
            <w:top w:val="none" w:sz="0" w:space="0" w:color="auto"/>
            <w:left w:val="none" w:sz="0" w:space="0" w:color="auto"/>
            <w:bottom w:val="none" w:sz="0" w:space="0" w:color="auto"/>
            <w:right w:val="none" w:sz="0" w:space="0" w:color="auto"/>
          </w:divBdr>
        </w:div>
        <w:div w:id="468791569">
          <w:marLeft w:val="0"/>
          <w:marRight w:val="0"/>
          <w:marTop w:val="0"/>
          <w:marBottom w:val="0"/>
          <w:divBdr>
            <w:top w:val="none" w:sz="0" w:space="0" w:color="auto"/>
            <w:left w:val="none" w:sz="0" w:space="0" w:color="auto"/>
            <w:bottom w:val="none" w:sz="0" w:space="0" w:color="auto"/>
            <w:right w:val="none" w:sz="0" w:space="0" w:color="auto"/>
          </w:divBdr>
        </w:div>
        <w:div w:id="1663511315">
          <w:marLeft w:val="0"/>
          <w:marRight w:val="0"/>
          <w:marTop w:val="0"/>
          <w:marBottom w:val="0"/>
          <w:divBdr>
            <w:top w:val="none" w:sz="0" w:space="0" w:color="auto"/>
            <w:left w:val="none" w:sz="0" w:space="0" w:color="auto"/>
            <w:bottom w:val="none" w:sz="0" w:space="0" w:color="auto"/>
            <w:right w:val="none" w:sz="0" w:space="0" w:color="auto"/>
          </w:divBdr>
        </w:div>
        <w:div w:id="2076392126">
          <w:marLeft w:val="0"/>
          <w:marRight w:val="0"/>
          <w:marTop w:val="0"/>
          <w:marBottom w:val="0"/>
          <w:divBdr>
            <w:top w:val="none" w:sz="0" w:space="0" w:color="auto"/>
            <w:left w:val="none" w:sz="0" w:space="0" w:color="auto"/>
            <w:bottom w:val="none" w:sz="0" w:space="0" w:color="auto"/>
            <w:right w:val="none" w:sz="0" w:space="0" w:color="auto"/>
          </w:divBdr>
        </w:div>
        <w:div w:id="290789555">
          <w:marLeft w:val="0"/>
          <w:marRight w:val="0"/>
          <w:marTop w:val="0"/>
          <w:marBottom w:val="0"/>
          <w:divBdr>
            <w:top w:val="none" w:sz="0" w:space="0" w:color="auto"/>
            <w:left w:val="none" w:sz="0" w:space="0" w:color="auto"/>
            <w:bottom w:val="none" w:sz="0" w:space="0" w:color="auto"/>
            <w:right w:val="none" w:sz="0" w:space="0" w:color="auto"/>
          </w:divBdr>
        </w:div>
        <w:div w:id="322586913">
          <w:marLeft w:val="0"/>
          <w:marRight w:val="0"/>
          <w:marTop w:val="0"/>
          <w:marBottom w:val="0"/>
          <w:divBdr>
            <w:top w:val="none" w:sz="0" w:space="0" w:color="auto"/>
            <w:left w:val="none" w:sz="0" w:space="0" w:color="auto"/>
            <w:bottom w:val="none" w:sz="0" w:space="0" w:color="auto"/>
            <w:right w:val="none" w:sz="0" w:space="0" w:color="auto"/>
          </w:divBdr>
        </w:div>
        <w:div w:id="158547219">
          <w:marLeft w:val="0"/>
          <w:marRight w:val="0"/>
          <w:marTop w:val="0"/>
          <w:marBottom w:val="0"/>
          <w:divBdr>
            <w:top w:val="none" w:sz="0" w:space="0" w:color="auto"/>
            <w:left w:val="none" w:sz="0" w:space="0" w:color="auto"/>
            <w:bottom w:val="none" w:sz="0" w:space="0" w:color="auto"/>
            <w:right w:val="none" w:sz="0" w:space="0" w:color="auto"/>
          </w:divBdr>
        </w:div>
        <w:div w:id="376858598">
          <w:marLeft w:val="0"/>
          <w:marRight w:val="0"/>
          <w:marTop w:val="0"/>
          <w:marBottom w:val="0"/>
          <w:divBdr>
            <w:top w:val="none" w:sz="0" w:space="0" w:color="auto"/>
            <w:left w:val="none" w:sz="0" w:space="0" w:color="auto"/>
            <w:bottom w:val="none" w:sz="0" w:space="0" w:color="auto"/>
            <w:right w:val="none" w:sz="0" w:space="0" w:color="auto"/>
          </w:divBdr>
        </w:div>
        <w:div w:id="460618015">
          <w:marLeft w:val="0"/>
          <w:marRight w:val="0"/>
          <w:marTop w:val="0"/>
          <w:marBottom w:val="0"/>
          <w:divBdr>
            <w:top w:val="none" w:sz="0" w:space="0" w:color="auto"/>
            <w:left w:val="none" w:sz="0" w:space="0" w:color="auto"/>
            <w:bottom w:val="none" w:sz="0" w:space="0" w:color="auto"/>
            <w:right w:val="none" w:sz="0" w:space="0" w:color="auto"/>
          </w:divBdr>
        </w:div>
      </w:divsChild>
    </w:div>
    <w:div w:id="1092121081">
      <w:bodyDiv w:val="1"/>
      <w:marLeft w:val="0"/>
      <w:marRight w:val="0"/>
      <w:marTop w:val="0"/>
      <w:marBottom w:val="0"/>
      <w:divBdr>
        <w:top w:val="none" w:sz="0" w:space="0" w:color="auto"/>
        <w:left w:val="none" w:sz="0" w:space="0" w:color="auto"/>
        <w:bottom w:val="none" w:sz="0" w:space="0" w:color="auto"/>
        <w:right w:val="none" w:sz="0" w:space="0" w:color="auto"/>
      </w:divBdr>
    </w:div>
    <w:div w:id="1228804979">
      <w:marLeft w:val="0"/>
      <w:marRight w:val="0"/>
      <w:marTop w:val="0"/>
      <w:marBottom w:val="0"/>
      <w:divBdr>
        <w:top w:val="none" w:sz="0" w:space="0" w:color="auto"/>
        <w:left w:val="none" w:sz="0" w:space="0" w:color="auto"/>
        <w:bottom w:val="none" w:sz="0" w:space="0" w:color="auto"/>
        <w:right w:val="none" w:sz="0" w:space="0" w:color="auto"/>
      </w:divBdr>
    </w:div>
    <w:div w:id="1228804980">
      <w:marLeft w:val="0"/>
      <w:marRight w:val="0"/>
      <w:marTop w:val="0"/>
      <w:marBottom w:val="0"/>
      <w:divBdr>
        <w:top w:val="none" w:sz="0" w:space="0" w:color="auto"/>
        <w:left w:val="none" w:sz="0" w:space="0" w:color="auto"/>
        <w:bottom w:val="none" w:sz="0" w:space="0" w:color="auto"/>
        <w:right w:val="none" w:sz="0" w:space="0" w:color="auto"/>
      </w:divBdr>
    </w:div>
    <w:div w:id="1228804981">
      <w:marLeft w:val="0"/>
      <w:marRight w:val="0"/>
      <w:marTop w:val="0"/>
      <w:marBottom w:val="0"/>
      <w:divBdr>
        <w:top w:val="none" w:sz="0" w:space="0" w:color="auto"/>
        <w:left w:val="none" w:sz="0" w:space="0" w:color="auto"/>
        <w:bottom w:val="none" w:sz="0" w:space="0" w:color="auto"/>
        <w:right w:val="none" w:sz="0" w:space="0" w:color="auto"/>
      </w:divBdr>
    </w:div>
    <w:div w:id="1228804982">
      <w:marLeft w:val="0"/>
      <w:marRight w:val="0"/>
      <w:marTop w:val="0"/>
      <w:marBottom w:val="0"/>
      <w:divBdr>
        <w:top w:val="none" w:sz="0" w:space="0" w:color="auto"/>
        <w:left w:val="none" w:sz="0" w:space="0" w:color="auto"/>
        <w:bottom w:val="none" w:sz="0" w:space="0" w:color="auto"/>
        <w:right w:val="none" w:sz="0" w:space="0" w:color="auto"/>
      </w:divBdr>
    </w:div>
    <w:div w:id="1228804983">
      <w:marLeft w:val="0"/>
      <w:marRight w:val="0"/>
      <w:marTop w:val="0"/>
      <w:marBottom w:val="0"/>
      <w:divBdr>
        <w:top w:val="none" w:sz="0" w:space="0" w:color="auto"/>
        <w:left w:val="none" w:sz="0" w:space="0" w:color="auto"/>
        <w:bottom w:val="none" w:sz="0" w:space="0" w:color="auto"/>
        <w:right w:val="none" w:sz="0" w:space="0" w:color="auto"/>
      </w:divBdr>
    </w:div>
    <w:div w:id="1228804984">
      <w:marLeft w:val="0"/>
      <w:marRight w:val="0"/>
      <w:marTop w:val="0"/>
      <w:marBottom w:val="0"/>
      <w:divBdr>
        <w:top w:val="none" w:sz="0" w:space="0" w:color="auto"/>
        <w:left w:val="none" w:sz="0" w:space="0" w:color="auto"/>
        <w:bottom w:val="none" w:sz="0" w:space="0" w:color="auto"/>
        <w:right w:val="none" w:sz="0" w:space="0" w:color="auto"/>
      </w:divBdr>
    </w:div>
    <w:div w:id="1228804985">
      <w:marLeft w:val="0"/>
      <w:marRight w:val="0"/>
      <w:marTop w:val="0"/>
      <w:marBottom w:val="0"/>
      <w:divBdr>
        <w:top w:val="none" w:sz="0" w:space="0" w:color="auto"/>
        <w:left w:val="none" w:sz="0" w:space="0" w:color="auto"/>
        <w:bottom w:val="none" w:sz="0" w:space="0" w:color="auto"/>
        <w:right w:val="none" w:sz="0" w:space="0" w:color="auto"/>
      </w:divBdr>
    </w:div>
    <w:div w:id="1228804986">
      <w:marLeft w:val="0"/>
      <w:marRight w:val="0"/>
      <w:marTop w:val="0"/>
      <w:marBottom w:val="0"/>
      <w:divBdr>
        <w:top w:val="none" w:sz="0" w:space="0" w:color="auto"/>
        <w:left w:val="none" w:sz="0" w:space="0" w:color="auto"/>
        <w:bottom w:val="none" w:sz="0" w:space="0" w:color="auto"/>
        <w:right w:val="none" w:sz="0" w:space="0" w:color="auto"/>
      </w:divBdr>
    </w:div>
    <w:div w:id="1228804987">
      <w:marLeft w:val="0"/>
      <w:marRight w:val="0"/>
      <w:marTop w:val="0"/>
      <w:marBottom w:val="0"/>
      <w:divBdr>
        <w:top w:val="none" w:sz="0" w:space="0" w:color="auto"/>
        <w:left w:val="none" w:sz="0" w:space="0" w:color="auto"/>
        <w:bottom w:val="none" w:sz="0" w:space="0" w:color="auto"/>
        <w:right w:val="none" w:sz="0" w:space="0" w:color="auto"/>
      </w:divBdr>
    </w:div>
    <w:div w:id="1228804988">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28804990">
      <w:marLeft w:val="0"/>
      <w:marRight w:val="0"/>
      <w:marTop w:val="0"/>
      <w:marBottom w:val="0"/>
      <w:divBdr>
        <w:top w:val="none" w:sz="0" w:space="0" w:color="auto"/>
        <w:left w:val="none" w:sz="0" w:space="0" w:color="auto"/>
        <w:bottom w:val="none" w:sz="0" w:space="0" w:color="auto"/>
        <w:right w:val="none" w:sz="0" w:space="0" w:color="auto"/>
      </w:divBdr>
    </w:div>
    <w:div w:id="1450002974">
      <w:bodyDiv w:val="1"/>
      <w:marLeft w:val="0"/>
      <w:marRight w:val="0"/>
      <w:marTop w:val="0"/>
      <w:marBottom w:val="0"/>
      <w:divBdr>
        <w:top w:val="none" w:sz="0" w:space="0" w:color="auto"/>
        <w:left w:val="none" w:sz="0" w:space="0" w:color="auto"/>
        <w:bottom w:val="none" w:sz="0" w:space="0" w:color="auto"/>
        <w:right w:val="none" w:sz="0" w:space="0" w:color="auto"/>
      </w:divBdr>
    </w:div>
    <w:div w:id="1549755071">
      <w:bodyDiv w:val="1"/>
      <w:marLeft w:val="0"/>
      <w:marRight w:val="0"/>
      <w:marTop w:val="0"/>
      <w:marBottom w:val="0"/>
      <w:divBdr>
        <w:top w:val="none" w:sz="0" w:space="0" w:color="auto"/>
        <w:left w:val="none" w:sz="0" w:space="0" w:color="auto"/>
        <w:bottom w:val="none" w:sz="0" w:space="0" w:color="auto"/>
        <w:right w:val="none" w:sz="0" w:space="0" w:color="auto"/>
      </w:divBdr>
    </w:div>
    <w:div w:id="1747805275">
      <w:bodyDiv w:val="1"/>
      <w:marLeft w:val="0"/>
      <w:marRight w:val="0"/>
      <w:marTop w:val="0"/>
      <w:marBottom w:val="0"/>
      <w:divBdr>
        <w:top w:val="none" w:sz="0" w:space="0" w:color="auto"/>
        <w:left w:val="none" w:sz="0" w:space="0" w:color="auto"/>
        <w:bottom w:val="none" w:sz="0" w:space="0" w:color="auto"/>
        <w:right w:val="none" w:sz="0" w:space="0" w:color="auto"/>
      </w:divBdr>
      <w:divsChild>
        <w:div w:id="445544605">
          <w:marLeft w:val="0"/>
          <w:marRight w:val="0"/>
          <w:marTop w:val="0"/>
          <w:marBottom w:val="0"/>
          <w:divBdr>
            <w:top w:val="none" w:sz="0" w:space="0" w:color="auto"/>
            <w:left w:val="none" w:sz="0" w:space="0" w:color="auto"/>
            <w:bottom w:val="none" w:sz="0" w:space="0" w:color="auto"/>
            <w:right w:val="none" w:sz="0" w:space="0" w:color="auto"/>
          </w:divBdr>
        </w:div>
        <w:div w:id="1064253092">
          <w:marLeft w:val="0"/>
          <w:marRight w:val="0"/>
          <w:marTop w:val="0"/>
          <w:marBottom w:val="0"/>
          <w:divBdr>
            <w:top w:val="none" w:sz="0" w:space="0" w:color="auto"/>
            <w:left w:val="none" w:sz="0" w:space="0" w:color="auto"/>
            <w:bottom w:val="none" w:sz="0" w:space="0" w:color="auto"/>
            <w:right w:val="none" w:sz="0" w:space="0" w:color="auto"/>
          </w:divBdr>
        </w:div>
        <w:div w:id="947003236">
          <w:marLeft w:val="0"/>
          <w:marRight w:val="0"/>
          <w:marTop w:val="0"/>
          <w:marBottom w:val="0"/>
          <w:divBdr>
            <w:top w:val="none" w:sz="0" w:space="0" w:color="auto"/>
            <w:left w:val="none" w:sz="0" w:space="0" w:color="auto"/>
            <w:bottom w:val="none" w:sz="0" w:space="0" w:color="auto"/>
            <w:right w:val="none" w:sz="0" w:space="0" w:color="auto"/>
          </w:divBdr>
        </w:div>
        <w:div w:id="1306623485">
          <w:marLeft w:val="0"/>
          <w:marRight w:val="0"/>
          <w:marTop w:val="0"/>
          <w:marBottom w:val="0"/>
          <w:divBdr>
            <w:top w:val="none" w:sz="0" w:space="0" w:color="auto"/>
            <w:left w:val="none" w:sz="0" w:space="0" w:color="auto"/>
            <w:bottom w:val="none" w:sz="0" w:space="0" w:color="auto"/>
            <w:right w:val="none" w:sz="0" w:space="0" w:color="auto"/>
          </w:divBdr>
        </w:div>
        <w:div w:id="1950579654">
          <w:marLeft w:val="0"/>
          <w:marRight w:val="0"/>
          <w:marTop w:val="0"/>
          <w:marBottom w:val="0"/>
          <w:divBdr>
            <w:top w:val="none" w:sz="0" w:space="0" w:color="auto"/>
            <w:left w:val="none" w:sz="0" w:space="0" w:color="auto"/>
            <w:bottom w:val="none" w:sz="0" w:space="0" w:color="auto"/>
            <w:right w:val="none" w:sz="0" w:space="0" w:color="auto"/>
          </w:divBdr>
        </w:div>
        <w:div w:id="276303437">
          <w:marLeft w:val="0"/>
          <w:marRight w:val="0"/>
          <w:marTop w:val="0"/>
          <w:marBottom w:val="0"/>
          <w:divBdr>
            <w:top w:val="none" w:sz="0" w:space="0" w:color="auto"/>
            <w:left w:val="none" w:sz="0" w:space="0" w:color="auto"/>
            <w:bottom w:val="none" w:sz="0" w:space="0" w:color="auto"/>
            <w:right w:val="none" w:sz="0" w:space="0" w:color="auto"/>
          </w:divBdr>
        </w:div>
        <w:div w:id="896745589">
          <w:marLeft w:val="0"/>
          <w:marRight w:val="0"/>
          <w:marTop w:val="0"/>
          <w:marBottom w:val="0"/>
          <w:divBdr>
            <w:top w:val="none" w:sz="0" w:space="0" w:color="auto"/>
            <w:left w:val="none" w:sz="0" w:space="0" w:color="auto"/>
            <w:bottom w:val="none" w:sz="0" w:space="0" w:color="auto"/>
            <w:right w:val="none" w:sz="0" w:space="0" w:color="auto"/>
          </w:divBdr>
        </w:div>
        <w:div w:id="1609267668">
          <w:marLeft w:val="0"/>
          <w:marRight w:val="0"/>
          <w:marTop w:val="0"/>
          <w:marBottom w:val="0"/>
          <w:divBdr>
            <w:top w:val="none" w:sz="0" w:space="0" w:color="auto"/>
            <w:left w:val="none" w:sz="0" w:space="0" w:color="auto"/>
            <w:bottom w:val="none" w:sz="0" w:space="0" w:color="auto"/>
            <w:right w:val="none" w:sz="0" w:space="0" w:color="auto"/>
          </w:divBdr>
        </w:div>
        <w:div w:id="1910799042">
          <w:marLeft w:val="0"/>
          <w:marRight w:val="0"/>
          <w:marTop w:val="0"/>
          <w:marBottom w:val="0"/>
          <w:divBdr>
            <w:top w:val="none" w:sz="0" w:space="0" w:color="auto"/>
            <w:left w:val="none" w:sz="0" w:space="0" w:color="auto"/>
            <w:bottom w:val="none" w:sz="0" w:space="0" w:color="auto"/>
            <w:right w:val="none" w:sz="0" w:space="0" w:color="auto"/>
          </w:divBdr>
        </w:div>
        <w:div w:id="201096917">
          <w:marLeft w:val="0"/>
          <w:marRight w:val="0"/>
          <w:marTop w:val="0"/>
          <w:marBottom w:val="0"/>
          <w:divBdr>
            <w:top w:val="none" w:sz="0" w:space="0" w:color="auto"/>
            <w:left w:val="none" w:sz="0" w:space="0" w:color="auto"/>
            <w:bottom w:val="none" w:sz="0" w:space="0" w:color="auto"/>
            <w:right w:val="none" w:sz="0" w:space="0" w:color="auto"/>
          </w:divBdr>
        </w:div>
        <w:div w:id="1873498535">
          <w:marLeft w:val="0"/>
          <w:marRight w:val="0"/>
          <w:marTop w:val="0"/>
          <w:marBottom w:val="0"/>
          <w:divBdr>
            <w:top w:val="none" w:sz="0" w:space="0" w:color="auto"/>
            <w:left w:val="none" w:sz="0" w:space="0" w:color="auto"/>
            <w:bottom w:val="none" w:sz="0" w:space="0" w:color="auto"/>
            <w:right w:val="none" w:sz="0" w:space="0" w:color="auto"/>
          </w:divBdr>
        </w:div>
        <w:div w:id="567813100">
          <w:marLeft w:val="0"/>
          <w:marRight w:val="0"/>
          <w:marTop w:val="0"/>
          <w:marBottom w:val="0"/>
          <w:divBdr>
            <w:top w:val="none" w:sz="0" w:space="0" w:color="auto"/>
            <w:left w:val="none" w:sz="0" w:space="0" w:color="auto"/>
            <w:bottom w:val="none" w:sz="0" w:space="0" w:color="auto"/>
            <w:right w:val="none" w:sz="0" w:space="0" w:color="auto"/>
          </w:divBdr>
        </w:div>
        <w:div w:id="542408499">
          <w:marLeft w:val="0"/>
          <w:marRight w:val="0"/>
          <w:marTop w:val="0"/>
          <w:marBottom w:val="0"/>
          <w:divBdr>
            <w:top w:val="none" w:sz="0" w:space="0" w:color="auto"/>
            <w:left w:val="none" w:sz="0" w:space="0" w:color="auto"/>
            <w:bottom w:val="none" w:sz="0" w:space="0" w:color="auto"/>
            <w:right w:val="none" w:sz="0" w:space="0" w:color="auto"/>
          </w:divBdr>
        </w:div>
        <w:div w:id="2022735331">
          <w:marLeft w:val="0"/>
          <w:marRight w:val="0"/>
          <w:marTop w:val="0"/>
          <w:marBottom w:val="0"/>
          <w:divBdr>
            <w:top w:val="none" w:sz="0" w:space="0" w:color="auto"/>
            <w:left w:val="none" w:sz="0" w:space="0" w:color="auto"/>
            <w:bottom w:val="none" w:sz="0" w:space="0" w:color="auto"/>
            <w:right w:val="none" w:sz="0" w:space="0" w:color="auto"/>
          </w:divBdr>
        </w:div>
        <w:div w:id="309209504">
          <w:marLeft w:val="0"/>
          <w:marRight w:val="0"/>
          <w:marTop w:val="0"/>
          <w:marBottom w:val="0"/>
          <w:divBdr>
            <w:top w:val="none" w:sz="0" w:space="0" w:color="auto"/>
            <w:left w:val="none" w:sz="0" w:space="0" w:color="auto"/>
            <w:bottom w:val="none" w:sz="0" w:space="0" w:color="auto"/>
            <w:right w:val="none" w:sz="0" w:space="0" w:color="auto"/>
          </w:divBdr>
        </w:div>
        <w:div w:id="1824227183">
          <w:marLeft w:val="0"/>
          <w:marRight w:val="0"/>
          <w:marTop w:val="0"/>
          <w:marBottom w:val="0"/>
          <w:divBdr>
            <w:top w:val="none" w:sz="0" w:space="0" w:color="auto"/>
            <w:left w:val="none" w:sz="0" w:space="0" w:color="auto"/>
            <w:bottom w:val="none" w:sz="0" w:space="0" w:color="auto"/>
            <w:right w:val="none" w:sz="0" w:space="0" w:color="auto"/>
          </w:divBdr>
        </w:div>
        <w:div w:id="1657953123">
          <w:marLeft w:val="0"/>
          <w:marRight w:val="0"/>
          <w:marTop w:val="0"/>
          <w:marBottom w:val="0"/>
          <w:divBdr>
            <w:top w:val="none" w:sz="0" w:space="0" w:color="auto"/>
            <w:left w:val="none" w:sz="0" w:space="0" w:color="auto"/>
            <w:bottom w:val="none" w:sz="0" w:space="0" w:color="auto"/>
            <w:right w:val="none" w:sz="0" w:space="0" w:color="auto"/>
          </w:divBdr>
        </w:div>
        <w:div w:id="2030831687">
          <w:marLeft w:val="0"/>
          <w:marRight w:val="0"/>
          <w:marTop w:val="0"/>
          <w:marBottom w:val="0"/>
          <w:divBdr>
            <w:top w:val="none" w:sz="0" w:space="0" w:color="auto"/>
            <w:left w:val="none" w:sz="0" w:space="0" w:color="auto"/>
            <w:bottom w:val="none" w:sz="0" w:space="0" w:color="auto"/>
            <w:right w:val="none" w:sz="0" w:space="0" w:color="auto"/>
          </w:divBdr>
        </w:div>
        <w:div w:id="452165581">
          <w:marLeft w:val="0"/>
          <w:marRight w:val="0"/>
          <w:marTop w:val="0"/>
          <w:marBottom w:val="0"/>
          <w:divBdr>
            <w:top w:val="none" w:sz="0" w:space="0" w:color="auto"/>
            <w:left w:val="none" w:sz="0" w:space="0" w:color="auto"/>
            <w:bottom w:val="none" w:sz="0" w:space="0" w:color="auto"/>
            <w:right w:val="none" w:sz="0" w:space="0" w:color="auto"/>
          </w:divBdr>
        </w:div>
        <w:div w:id="90319473">
          <w:marLeft w:val="0"/>
          <w:marRight w:val="0"/>
          <w:marTop w:val="0"/>
          <w:marBottom w:val="0"/>
          <w:divBdr>
            <w:top w:val="none" w:sz="0" w:space="0" w:color="auto"/>
            <w:left w:val="none" w:sz="0" w:space="0" w:color="auto"/>
            <w:bottom w:val="none" w:sz="0" w:space="0" w:color="auto"/>
            <w:right w:val="none" w:sz="0" w:space="0" w:color="auto"/>
          </w:divBdr>
        </w:div>
        <w:div w:id="962493627">
          <w:marLeft w:val="0"/>
          <w:marRight w:val="0"/>
          <w:marTop w:val="0"/>
          <w:marBottom w:val="0"/>
          <w:divBdr>
            <w:top w:val="none" w:sz="0" w:space="0" w:color="auto"/>
            <w:left w:val="none" w:sz="0" w:space="0" w:color="auto"/>
            <w:bottom w:val="none" w:sz="0" w:space="0" w:color="auto"/>
            <w:right w:val="none" w:sz="0" w:space="0" w:color="auto"/>
          </w:divBdr>
        </w:div>
        <w:div w:id="1300186811">
          <w:marLeft w:val="0"/>
          <w:marRight w:val="0"/>
          <w:marTop w:val="0"/>
          <w:marBottom w:val="0"/>
          <w:divBdr>
            <w:top w:val="none" w:sz="0" w:space="0" w:color="auto"/>
            <w:left w:val="none" w:sz="0" w:space="0" w:color="auto"/>
            <w:bottom w:val="none" w:sz="0" w:space="0" w:color="auto"/>
            <w:right w:val="none" w:sz="0" w:space="0" w:color="auto"/>
          </w:divBdr>
        </w:div>
        <w:div w:id="486484600">
          <w:marLeft w:val="0"/>
          <w:marRight w:val="0"/>
          <w:marTop w:val="0"/>
          <w:marBottom w:val="0"/>
          <w:divBdr>
            <w:top w:val="none" w:sz="0" w:space="0" w:color="auto"/>
            <w:left w:val="none" w:sz="0" w:space="0" w:color="auto"/>
            <w:bottom w:val="none" w:sz="0" w:space="0" w:color="auto"/>
            <w:right w:val="none" w:sz="0" w:space="0" w:color="auto"/>
          </w:divBdr>
        </w:div>
        <w:div w:id="1537278193">
          <w:marLeft w:val="0"/>
          <w:marRight w:val="0"/>
          <w:marTop w:val="0"/>
          <w:marBottom w:val="0"/>
          <w:divBdr>
            <w:top w:val="none" w:sz="0" w:space="0" w:color="auto"/>
            <w:left w:val="none" w:sz="0" w:space="0" w:color="auto"/>
            <w:bottom w:val="none" w:sz="0" w:space="0" w:color="auto"/>
            <w:right w:val="none" w:sz="0" w:space="0" w:color="auto"/>
          </w:divBdr>
        </w:div>
        <w:div w:id="872235273">
          <w:marLeft w:val="0"/>
          <w:marRight w:val="0"/>
          <w:marTop w:val="0"/>
          <w:marBottom w:val="0"/>
          <w:divBdr>
            <w:top w:val="none" w:sz="0" w:space="0" w:color="auto"/>
            <w:left w:val="none" w:sz="0" w:space="0" w:color="auto"/>
            <w:bottom w:val="none" w:sz="0" w:space="0" w:color="auto"/>
            <w:right w:val="none" w:sz="0" w:space="0" w:color="auto"/>
          </w:divBdr>
        </w:div>
        <w:div w:id="130053378">
          <w:marLeft w:val="0"/>
          <w:marRight w:val="0"/>
          <w:marTop w:val="0"/>
          <w:marBottom w:val="0"/>
          <w:divBdr>
            <w:top w:val="none" w:sz="0" w:space="0" w:color="auto"/>
            <w:left w:val="none" w:sz="0" w:space="0" w:color="auto"/>
            <w:bottom w:val="none" w:sz="0" w:space="0" w:color="auto"/>
            <w:right w:val="none" w:sz="0" w:space="0" w:color="auto"/>
          </w:divBdr>
        </w:div>
        <w:div w:id="1805804774">
          <w:marLeft w:val="0"/>
          <w:marRight w:val="0"/>
          <w:marTop w:val="0"/>
          <w:marBottom w:val="0"/>
          <w:divBdr>
            <w:top w:val="none" w:sz="0" w:space="0" w:color="auto"/>
            <w:left w:val="none" w:sz="0" w:space="0" w:color="auto"/>
            <w:bottom w:val="none" w:sz="0" w:space="0" w:color="auto"/>
            <w:right w:val="none" w:sz="0" w:space="0" w:color="auto"/>
          </w:divBdr>
        </w:div>
      </w:divsChild>
    </w:div>
    <w:div w:id="1755081724">
      <w:bodyDiv w:val="1"/>
      <w:marLeft w:val="0"/>
      <w:marRight w:val="0"/>
      <w:marTop w:val="0"/>
      <w:marBottom w:val="0"/>
      <w:divBdr>
        <w:top w:val="none" w:sz="0" w:space="0" w:color="auto"/>
        <w:left w:val="none" w:sz="0" w:space="0" w:color="auto"/>
        <w:bottom w:val="none" w:sz="0" w:space="0" w:color="auto"/>
        <w:right w:val="none" w:sz="0" w:space="0" w:color="auto"/>
      </w:divBdr>
    </w:div>
    <w:div w:id="1889759726">
      <w:bodyDiv w:val="1"/>
      <w:marLeft w:val="0"/>
      <w:marRight w:val="0"/>
      <w:marTop w:val="0"/>
      <w:marBottom w:val="0"/>
      <w:divBdr>
        <w:top w:val="none" w:sz="0" w:space="0" w:color="auto"/>
        <w:left w:val="none" w:sz="0" w:space="0" w:color="auto"/>
        <w:bottom w:val="none" w:sz="0" w:space="0" w:color="auto"/>
        <w:right w:val="none" w:sz="0" w:space="0" w:color="auto"/>
      </w:divBdr>
    </w:div>
    <w:div w:id="2001231587">
      <w:bodyDiv w:val="1"/>
      <w:marLeft w:val="0"/>
      <w:marRight w:val="0"/>
      <w:marTop w:val="0"/>
      <w:marBottom w:val="0"/>
      <w:divBdr>
        <w:top w:val="none" w:sz="0" w:space="0" w:color="auto"/>
        <w:left w:val="none" w:sz="0" w:space="0" w:color="auto"/>
        <w:bottom w:val="none" w:sz="0" w:space="0" w:color="auto"/>
        <w:right w:val="none" w:sz="0" w:space="0" w:color="auto"/>
      </w:divBdr>
      <w:divsChild>
        <w:div w:id="524096496">
          <w:marLeft w:val="0"/>
          <w:marRight w:val="0"/>
          <w:marTop w:val="0"/>
          <w:marBottom w:val="0"/>
          <w:divBdr>
            <w:top w:val="none" w:sz="0" w:space="0" w:color="auto"/>
            <w:left w:val="none" w:sz="0" w:space="0" w:color="auto"/>
            <w:bottom w:val="none" w:sz="0" w:space="0" w:color="auto"/>
            <w:right w:val="none" w:sz="0" w:space="0" w:color="auto"/>
          </w:divBdr>
        </w:div>
      </w:divsChild>
    </w:div>
    <w:div w:id="20206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DEF6-E169-4D76-91C2-774724D8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6227</Words>
  <Characters>35497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PIAAC OMB Clearance Part A 12-15-09</vt:lpstr>
    </vt:vector>
  </TitlesOfParts>
  <Company>Westat</Company>
  <LinksUpToDate>false</LinksUpToDate>
  <CharactersWithSpaces>41641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creator>Michelle Amsbary</dc:creator>
  <cp:lastModifiedBy>SYSTEM</cp:lastModifiedBy>
  <cp:revision>2</cp:revision>
  <cp:lastPrinted>2019-08-23T19:08:00Z</cp:lastPrinted>
  <dcterms:created xsi:type="dcterms:W3CDTF">2019-11-01T18:44:00Z</dcterms:created>
  <dcterms:modified xsi:type="dcterms:W3CDTF">2019-11-01T18:44:00Z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