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1B68CC04" w14:textId="77777777">
      <w:pPr>
        <w:pStyle w:val="Header"/>
        <w:rPr>
          <w:rFonts w:ascii="Times New Roman" w:hAnsi="Times New Roman"/>
          <w:color w:val="FFFFFF" w:themeColor="background1"/>
          <w:szCs w:val="24"/>
        </w:rPr>
      </w:pPr>
      <w:bookmarkStart w:name="_GoBack" w:id="0"/>
      <w:bookmarkEnd w:id="0"/>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Pr="00AD381B" w:rsidR="00EA1767" w:rsidP="00AD381B" w:rsidRDefault="00043C32" w14:paraId="77AF21B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7B5CD0" w:rsidP="007B5CD0" w:rsidRDefault="007B5CD0" w14:paraId="3FDA394D" w14:textId="77777777">
      <w:pPr>
        <w:pStyle w:val="ListParagraph"/>
        <w:suppressAutoHyphens/>
        <w:spacing w:line="240" w:lineRule="exact"/>
        <w:rPr>
          <w:rFonts w:ascii="Times New Roman" w:hAnsi="Times New Roman"/>
          <w:szCs w:val="24"/>
        </w:rPr>
      </w:pPr>
    </w:p>
    <w:p w:rsidRPr="007B5CD0" w:rsidR="007B5CD0" w:rsidP="007B5CD0" w:rsidRDefault="007B5CD0" w14:paraId="599F785E" w14:textId="6AC1A239">
      <w:pPr>
        <w:pStyle w:val="ListParagraph"/>
        <w:suppressAutoHyphens/>
        <w:spacing w:line="240" w:lineRule="exact"/>
        <w:rPr>
          <w:rFonts w:ascii="Times New Roman" w:hAnsi="Times New Roman"/>
          <w:szCs w:val="24"/>
        </w:rPr>
      </w:pPr>
      <w:r w:rsidRPr="007B5CD0">
        <w:rPr>
          <w:rFonts w:ascii="Times New Roman" w:hAnsi="Times New Roman"/>
          <w:szCs w:val="24"/>
        </w:rPr>
        <w:t xml:space="preserve">The Credit Enhancement for Charter School Facilities Program and the Charter Schools Facilities Financing Demonstration Program have a statutory mandate for an annual report.  This reporting is a requirement in order to obtain or retain benefits according to section 4304 of the Elementary and Secondary Education Act of 1965 as amended by the Every Student Succeeds Act (ESSA) of 2015.  </w:t>
      </w:r>
      <w:r w:rsidR="006544F3">
        <w:rPr>
          <w:rFonts w:ascii="Times New Roman" w:hAnsi="Times New Roman"/>
          <w:szCs w:val="24"/>
        </w:rPr>
        <w:t xml:space="preserve">This extension </w:t>
      </w:r>
      <w:proofErr w:type="gramStart"/>
      <w:r w:rsidR="006544F3">
        <w:rPr>
          <w:rFonts w:ascii="Times New Roman" w:hAnsi="Times New Roman"/>
          <w:szCs w:val="24"/>
        </w:rPr>
        <w:t>will allow will allow</w:t>
      </w:r>
      <w:proofErr w:type="gramEnd"/>
      <w:r w:rsidR="006544F3">
        <w:rPr>
          <w:rFonts w:ascii="Times New Roman" w:hAnsi="Times New Roman"/>
          <w:szCs w:val="24"/>
        </w:rPr>
        <w:t xml:space="preserve"> for continued monitoring and evaluation of annual performance reports as statutorily required.</w:t>
      </w:r>
    </w:p>
    <w:p w:rsidRPr="007B5CD0" w:rsidR="007B5CD0" w:rsidP="007B5CD0" w:rsidRDefault="007B5CD0" w14:paraId="55D99194" w14:textId="77777777">
      <w:pPr>
        <w:pStyle w:val="ListParagraph"/>
        <w:suppressAutoHyphens/>
        <w:spacing w:line="240" w:lineRule="exact"/>
        <w:rPr>
          <w:rFonts w:ascii="Times New Roman" w:hAnsi="Times New Roman"/>
          <w:szCs w:val="24"/>
        </w:rPr>
      </w:pPr>
    </w:p>
    <w:p w:rsidRPr="007B5CD0" w:rsidR="007B5CD0" w:rsidP="007B5CD0" w:rsidRDefault="007B5CD0" w14:paraId="16B2B608"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Statutory/Application Notice Requirements</w:t>
      </w:r>
    </w:p>
    <w:p w:rsidRPr="007B5CD0" w:rsidR="007B5CD0" w:rsidP="007B5CD0" w:rsidRDefault="007B5CD0" w14:paraId="60FE0D86" w14:textId="77777777">
      <w:pPr>
        <w:pStyle w:val="ListParagraph"/>
        <w:suppressAutoHyphens/>
        <w:spacing w:line="240" w:lineRule="exact"/>
        <w:rPr>
          <w:rFonts w:ascii="Times New Roman" w:hAnsi="Times New Roman"/>
          <w:szCs w:val="24"/>
        </w:rPr>
      </w:pPr>
    </w:p>
    <w:p w:rsidRPr="007B5CD0" w:rsidR="007B5CD0" w:rsidP="007B5CD0" w:rsidRDefault="007B5CD0" w14:paraId="0D59A580"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All grantees must provide the following on an annual basis:</w:t>
      </w:r>
    </w:p>
    <w:p w:rsidRPr="007B5CD0" w:rsidR="007B5CD0" w:rsidP="007B5CD0" w:rsidRDefault="007B5CD0" w14:paraId="432ECE7B" w14:textId="77777777">
      <w:pPr>
        <w:pStyle w:val="ListParagraph"/>
        <w:suppressAutoHyphens/>
        <w:spacing w:line="240" w:lineRule="exact"/>
        <w:rPr>
          <w:rFonts w:ascii="Times New Roman" w:hAnsi="Times New Roman"/>
          <w:szCs w:val="24"/>
        </w:rPr>
      </w:pPr>
    </w:p>
    <w:p w:rsidRPr="007B5CD0" w:rsidR="007B5CD0" w:rsidP="007B5CD0" w:rsidRDefault="007B5CD0" w14:paraId="75B41A40"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A.  The grant performance summary page.  This page provides key summary data related to the performance of the grant;</w:t>
      </w:r>
    </w:p>
    <w:p w:rsidRPr="007B5CD0" w:rsidR="007B5CD0" w:rsidP="007B5CD0" w:rsidRDefault="007B5CD0" w14:paraId="195FF3BA" w14:textId="77777777">
      <w:pPr>
        <w:pStyle w:val="ListParagraph"/>
        <w:suppressAutoHyphens/>
        <w:spacing w:line="240" w:lineRule="exact"/>
        <w:rPr>
          <w:rFonts w:ascii="Times New Roman" w:hAnsi="Times New Roman"/>
          <w:szCs w:val="24"/>
        </w:rPr>
      </w:pPr>
    </w:p>
    <w:p w:rsidRPr="007B5CD0" w:rsidR="007B5CD0" w:rsidP="007B5CD0" w:rsidRDefault="007B5CD0" w14:paraId="1115DE65"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 xml:space="preserve">B. An evaluation by the grantee of the effectiveness of its use of Federal funds to leverage other funds.  This evaluation must include a description of the activities used to assist charter schools in acquiring (by purchase, lease or donation) or constructing (including renovating, repairing, and altering) school facilities and a description of the characteristics of lenders and other financial institutions participating in the activities undertaken by the grantee.  Furthermore, it must (1) include a statement about whether the grantee has sufficient resources from its grant to serve additional schools, (2) an approximate number of how many additional schools it can serve within 12 months, and (3) indicate the amount of grant funds available, including the amount of grant funds that are anticipated to be recycled within the next 12 months.  In the event that the </w:t>
      </w:r>
      <w:proofErr w:type="spellStart"/>
      <w:r w:rsidRPr="007B5CD0">
        <w:rPr>
          <w:rFonts w:ascii="Times New Roman" w:hAnsi="Times New Roman"/>
          <w:szCs w:val="24"/>
        </w:rPr>
        <w:t>there</w:t>
      </w:r>
      <w:proofErr w:type="spellEnd"/>
      <w:r w:rsidRPr="007B5CD0">
        <w:rPr>
          <w:rFonts w:ascii="Times New Roman" w:hAnsi="Times New Roman"/>
          <w:szCs w:val="24"/>
        </w:rPr>
        <w:t xml:space="preserve"> have been any delinquencies or defaults, the grantee must identify the school(s) and remedies, and indicate both draws from and reimbursements to the reserve account.  In the event that there has been a notice of probation, suspension, or revocation of a charter, the grantee must elaborate.  In the event there was collaboration with another grantee to serve one or more charter schools, the grantee must indicate the names of the schools and the grantees;</w:t>
      </w:r>
    </w:p>
    <w:p w:rsidRPr="007B5CD0" w:rsidR="007B5CD0" w:rsidP="007B5CD0" w:rsidRDefault="007B5CD0" w14:paraId="0F018889" w14:textId="77777777">
      <w:pPr>
        <w:pStyle w:val="ListParagraph"/>
        <w:suppressAutoHyphens/>
        <w:spacing w:line="240" w:lineRule="exact"/>
        <w:rPr>
          <w:rFonts w:ascii="Times New Roman" w:hAnsi="Times New Roman"/>
          <w:szCs w:val="24"/>
        </w:rPr>
      </w:pPr>
    </w:p>
    <w:p w:rsidRPr="007B5CD0" w:rsidR="007B5CD0" w:rsidP="007B5CD0" w:rsidRDefault="007B5CD0" w14:paraId="48DF99F4"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C.  A budget report including actual and projected expenditures.  In addition, the report must include a brief narrative describing the uses of the actual expenditures;</w:t>
      </w:r>
    </w:p>
    <w:p w:rsidRPr="007B5CD0" w:rsidR="007B5CD0" w:rsidP="007B5CD0" w:rsidRDefault="007B5CD0" w14:paraId="45220998" w14:textId="77777777">
      <w:pPr>
        <w:pStyle w:val="ListParagraph"/>
        <w:suppressAutoHyphens/>
        <w:spacing w:line="240" w:lineRule="exact"/>
        <w:rPr>
          <w:rFonts w:ascii="Times New Roman" w:hAnsi="Times New Roman"/>
          <w:szCs w:val="24"/>
        </w:rPr>
      </w:pPr>
    </w:p>
    <w:p w:rsidRPr="007B5CD0" w:rsidR="007B5CD0" w:rsidP="007B5CD0" w:rsidRDefault="007B5CD0" w14:paraId="45D6F1E5"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lastRenderedPageBreak/>
        <w:t xml:space="preserve">D.  A timeline that includes specific schedules and accomplishments pertaining to the Grantee’s program.  </w:t>
      </w:r>
    </w:p>
    <w:p w:rsidRPr="007B5CD0" w:rsidR="007B5CD0" w:rsidP="007B5CD0" w:rsidRDefault="007B5CD0" w14:paraId="620ACAB0" w14:textId="77777777">
      <w:pPr>
        <w:pStyle w:val="ListParagraph"/>
        <w:suppressAutoHyphens/>
        <w:spacing w:line="240" w:lineRule="exact"/>
        <w:rPr>
          <w:rFonts w:ascii="Times New Roman" w:hAnsi="Times New Roman"/>
          <w:szCs w:val="24"/>
        </w:rPr>
      </w:pPr>
    </w:p>
    <w:p w:rsidRPr="007B5CD0" w:rsidR="007B5CD0" w:rsidP="007B5CD0" w:rsidRDefault="007B5CD0" w14:paraId="530E9C60"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E.  An IRS Form 990 (due 30 days after filing);</w:t>
      </w:r>
    </w:p>
    <w:p w:rsidRPr="007B5CD0" w:rsidR="007B5CD0" w:rsidP="007B5CD0" w:rsidRDefault="007B5CD0" w14:paraId="7291F1ED" w14:textId="77777777">
      <w:pPr>
        <w:pStyle w:val="ListParagraph"/>
        <w:suppressAutoHyphens/>
        <w:spacing w:line="240" w:lineRule="exact"/>
        <w:rPr>
          <w:rFonts w:ascii="Times New Roman" w:hAnsi="Times New Roman"/>
          <w:szCs w:val="24"/>
        </w:rPr>
      </w:pPr>
    </w:p>
    <w:p w:rsidRPr="007B5CD0" w:rsidR="007B5CD0" w:rsidP="007B5CD0" w:rsidRDefault="007B5CD0" w14:paraId="63FB163E"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F.  An audit report (including any opinion thereon); the OMB Circular A-133 audit; and audited financial statements, including (1) the management letter and any response(s); (2) schedules; and (3) auditor’s notes related to the specific activity for which the Grant money was awarded, (due 180 days following the end of the Grantee’s standard fiscal year);</w:t>
      </w:r>
    </w:p>
    <w:p w:rsidRPr="007B5CD0" w:rsidR="007B5CD0" w:rsidP="007B5CD0" w:rsidRDefault="007B5CD0" w14:paraId="3291402F" w14:textId="77777777">
      <w:pPr>
        <w:pStyle w:val="ListParagraph"/>
        <w:suppressAutoHyphens/>
        <w:spacing w:line="240" w:lineRule="exact"/>
        <w:rPr>
          <w:rFonts w:ascii="Times New Roman" w:hAnsi="Times New Roman"/>
          <w:szCs w:val="24"/>
        </w:rPr>
      </w:pPr>
    </w:p>
    <w:p w:rsidRPr="007B5CD0" w:rsidR="007B5CD0" w:rsidP="007B5CD0" w:rsidRDefault="007B5CD0" w14:paraId="095827FD"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G.  The EXCEL spreadsheet.  The EXCEL spreadsheet includes the Newly, Previously, and Leases workbook, the Budget workbook, and the Reconciliation workbook;</w:t>
      </w:r>
    </w:p>
    <w:p w:rsidRPr="007B5CD0" w:rsidR="007B5CD0" w:rsidP="007B5CD0" w:rsidRDefault="007B5CD0" w14:paraId="1602D161" w14:textId="77777777">
      <w:pPr>
        <w:pStyle w:val="ListParagraph"/>
        <w:suppressAutoHyphens/>
        <w:spacing w:line="240" w:lineRule="exact"/>
        <w:rPr>
          <w:rFonts w:ascii="Times New Roman" w:hAnsi="Times New Roman"/>
          <w:szCs w:val="24"/>
        </w:rPr>
      </w:pPr>
    </w:p>
    <w:p w:rsidRPr="007B5CD0" w:rsidR="007B5CD0" w:rsidP="007B5CD0" w:rsidRDefault="007B5CD0" w14:paraId="0527401F"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H.  Bank or brokerage statement(s) for all reserve account investments and deposits as of the last day of the reporting period or as close to that date as possible.  There is no need to submit statements for every month of the year.</w:t>
      </w:r>
    </w:p>
    <w:p w:rsidRPr="007B5CD0" w:rsidR="007B5CD0" w:rsidP="007B5CD0" w:rsidRDefault="007B5CD0" w14:paraId="4DD39C7C" w14:textId="77777777">
      <w:pPr>
        <w:pStyle w:val="ListParagraph"/>
        <w:suppressAutoHyphens/>
        <w:spacing w:line="240" w:lineRule="exact"/>
        <w:rPr>
          <w:rFonts w:ascii="Times New Roman" w:hAnsi="Times New Roman"/>
          <w:szCs w:val="24"/>
        </w:rPr>
      </w:pPr>
    </w:p>
    <w:p w:rsidRPr="007B5CD0" w:rsidR="007B5CD0" w:rsidP="007B5CD0" w:rsidRDefault="007B5CD0" w14:paraId="4A2715DE" w14:textId="77777777">
      <w:pPr>
        <w:pStyle w:val="ListParagraph"/>
        <w:suppressAutoHyphens/>
        <w:spacing w:line="240" w:lineRule="exact"/>
        <w:rPr>
          <w:rFonts w:ascii="Times New Roman" w:hAnsi="Times New Roman"/>
          <w:szCs w:val="24"/>
        </w:rPr>
      </w:pPr>
      <w:r w:rsidRPr="007B5CD0">
        <w:rPr>
          <w:rFonts w:ascii="Times New Roman" w:hAnsi="Times New Roman"/>
          <w:szCs w:val="24"/>
        </w:rPr>
        <w:t>Grantees that make loans or own school facilities</w:t>
      </w:r>
    </w:p>
    <w:p w:rsidRPr="007B5CD0" w:rsidR="007B5CD0" w:rsidP="007B5CD0" w:rsidRDefault="007B5CD0" w14:paraId="587EB0CD" w14:textId="77777777">
      <w:pPr>
        <w:pStyle w:val="ListParagraph"/>
        <w:suppressAutoHyphens/>
        <w:spacing w:line="240" w:lineRule="exact"/>
        <w:rPr>
          <w:rFonts w:ascii="Times New Roman" w:hAnsi="Times New Roman"/>
          <w:szCs w:val="24"/>
        </w:rPr>
      </w:pPr>
    </w:p>
    <w:p w:rsidR="00AD381B" w:rsidP="007B5CD0" w:rsidRDefault="007B5CD0" w14:paraId="1B56F4D2" w14:textId="0F51896F">
      <w:pPr>
        <w:pStyle w:val="ListParagraph"/>
        <w:suppressAutoHyphens/>
        <w:spacing w:line="240" w:lineRule="exact"/>
        <w:rPr>
          <w:rFonts w:ascii="Times New Roman" w:hAnsi="Times New Roman"/>
          <w:szCs w:val="24"/>
        </w:rPr>
      </w:pPr>
      <w:r w:rsidRPr="007B5CD0">
        <w:rPr>
          <w:rFonts w:ascii="Times New Roman" w:hAnsi="Times New Roman"/>
          <w:szCs w:val="24"/>
        </w:rPr>
        <w:t xml:space="preserve">Furthermore, grantees that use their grants to credit-enhance loans that they (rather than a third party) make must provide copies of the term sheets for charter schools served under this grant as part of these reports.  In addition, grantees that guarantee or </w:t>
      </w:r>
      <w:proofErr w:type="spellStart"/>
      <w:r w:rsidRPr="007B5CD0">
        <w:rPr>
          <w:rFonts w:ascii="Times New Roman" w:hAnsi="Times New Roman"/>
          <w:szCs w:val="24"/>
        </w:rPr>
        <w:t>insureensure</w:t>
      </w:r>
      <w:proofErr w:type="spellEnd"/>
      <w:r w:rsidRPr="007B5CD0">
        <w:rPr>
          <w:rFonts w:ascii="Times New Roman" w:hAnsi="Times New Roman"/>
          <w:szCs w:val="24"/>
        </w:rPr>
        <w:t xml:space="preserve"> leases of a building(s) that they own must submit a copy of the lease and the terms and conditions of the guarantee of the lease.</w:t>
      </w:r>
    </w:p>
    <w:p w:rsidRPr="00AD381B"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7B5CD0" w:rsidP="007B5CD0" w:rsidRDefault="007B5CD0" w14:paraId="54F9AAEA" w14:textId="77777777">
      <w:pPr>
        <w:suppressAutoHyphens/>
        <w:spacing w:line="240" w:lineRule="exact"/>
        <w:ind w:left="720"/>
        <w:rPr>
          <w:rFonts w:ascii="Times New Roman" w:hAnsi="Times New Roman"/>
          <w:szCs w:val="24"/>
        </w:rPr>
      </w:pPr>
    </w:p>
    <w:p w:rsidRPr="007B5CD0" w:rsidR="007B5CD0" w:rsidP="007B5CD0" w:rsidRDefault="007B5CD0" w14:paraId="3112026B" w14:textId="55DB3128">
      <w:pPr>
        <w:suppressAutoHyphens/>
        <w:spacing w:line="240" w:lineRule="exact"/>
        <w:ind w:left="720"/>
        <w:rPr>
          <w:rFonts w:ascii="Times New Roman" w:hAnsi="Times New Roman"/>
          <w:szCs w:val="24"/>
        </w:rPr>
      </w:pPr>
      <w:r w:rsidRPr="007B5CD0">
        <w:rPr>
          <w:rFonts w:ascii="Times New Roman" w:hAnsi="Times New Roman"/>
          <w:szCs w:val="24"/>
        </w:rPr>
        <w:t xml:space="preserve">The reports will be used to monitor grantees for compliance with their performance agreements and the statutory and regulatory requirements for the program.  The reports will also be used to evaluate and improve the performance of the program.  </w:t>
      </w:r>
    </w:p>
    <w:p w:rsidRPr="007B5CD0" w:rsidR="007B5CD0" w:rsidP="007B5CD0" w:rsidRDefault="007B5CD0" w14:paraId="1AF390CD" w14:textId="77777777">
      <w:pPr>
        <w:suppressAutoHyphens/>
        <w:spacing w:line="240" w:lineRule="exact"/>
        <w:ind w:left="720"/>
        <w:rPr>
          <w:rFonts w:ascii="Times New Roman" w:hAnsi="Times New Roman"/>
          <w:szCs w:val="24"/>
        </w:rPr>
      </w:pPr>
    </w:p>
    <w:p w:rsidR="00AD381B" w:rsidP="007B5CD0" w:rsidRDefault="007B5CD0" w14:paraId="6BE9B02D" w14:textId="452A5DF8">
      <w:pPr>
        <w:suppressAutoHyphens/>
        <w:spacing w:line="240" w:lineRule="exact"/>
        <w:ind w:left="720"/>
        <w:rPr>
          <w:rFonts w:ascii="Times New Roman" w:hAnsi="Times New Roman"/>
          <w:szCs w:val="24"/>
        </w:rPr>
      </w:pPr>
      <w:r w:rsidRPr="007B5CD0">
        <w:rPr>
          <w:rFonts w:ascii="Times New Roman" w:hAnsi="Times New Roman"/>
          <w:szCs w:val="24"/>
        </w:rPr>
        <w:t>In addition, past performance reports must be added to the application package for the program</w:t>
      </w:r>
      <w:r w:rsidR="006544F3">
        <w:rPr>
          <w:rFonts w:ascii="Times New Roman" w:hAnsi="Times New Roman"/>
          <w:szCs w:val="24"/>
        </w:rPr>
        <w:t>,</w:t>
      </w:r>
      <w:r w:rsidRPr="007B5CD0">
        <w:rPr>
          <w:rFonts w:ascii="Times New Roman" w:hAnsi="Times New Roman"/>
          <w:szCs w:val="24"/>
        </w:rPr>
        <w:t xml:space="preserve"> since past performance is a factor under the selection criteria for previous grant recipients.  </w:t>
      </w: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7B5CD0" w:rsidP="007B5CD0" w:rsidRDefault="007B5CD0" w14:paraId="27241391" w14:textId="77777777">
      <w:pPr>
        <w:pStyle w:val="ListParagraph"/>
        <w:tabs>
          <w:tab w:val="left" w:pos="-720"/>
        </w:tabs>
        <w:suppressAutoHyphens/>
        <w:rPr>
          <w:rFonts w:ascii="Times New Roman" w:hAnsi="Times New Roman"/>
          <w:szCs w:val="24"/>
        </w:rPr>
      </w:pPr>
    </w:p>
    <w:p w:rsidRPr="007B5CD0" w:rsidR="007B5CD0" w:rsidP="007B5CD0" w:rsidRDefault="007B5CD0" w14:paraId="0BE6050C" w14:textId="012297BE">
      <w:pPr>
        <w:pStyle w:val="ListParagraph"/>
        <w:tabs>
          <w:tab w:val="left" w:pos="-720"/>
        </w:tabs>
        <w:suppressAutoHyphens/>
        <w:rPr>
          <w:rFonts w:ascii="Times New Roman" w:hAnsi="Times New Roman"/>
          <w:szCs w:val="24"/>
        </w:rPr>
      </w:pPr>
      <w:r w:rsidRPr="007B5CD0">
        <w:rPr>
          <w:rFonts w:ascii="Times New Roman" w:hAnsi="Times New Roman"/>
          <w:szCs w:val="24"/>
        </w:rPr>
        <w:t>To simplify reporting for the grantees, ED has divided the attached EXCEL spreadsheet into three workbooks: 1) Newly, Previously, and Leases; 2) Budget; and 3) Reconciliation.  Each section is explained below.  The information obtained in these annual reports would be used to monitor grantee performance.</w:t>
      </w:r>
    </w:p>
    <w:p w:rsidRPr="007B5CD0" w:rsidR="007B5CD0" w:rsidP="007B5CD0" w:rsidRDefault="007B5CD0" w14:paraId="125C5E07" w14:textId="77777777">
      <w:pPr>
        <w:pStyle w:val="ListParagraph"/>
        <w:tabs>
          <w:tab w:val="left" w:pos="-720"/>
        </w:tabs>
        <w:suppressAutoHyphens/>
        <w:rPr>
          <w:rFonts w:ascii="Times New Roman" w:hAnsi="Times New Roman"/>
          <w:szCs w:val="24"/>
        </w:rPr>
      </w:pPr>
      <w:r w:rsidRPr="007B5CD0">
        <w:rPr>
          <w:rFonts w:ascii="Times New Roman" w:hAnsi="Times New Roman"/>
          <w:szCs w:val="24"/>
        </w:rPr>
        <w:tab/>
      </w:r>
    </w:p>
    <w:p w:rsidRPr="007B5CD0" w:rsidR="007B5CD0" w:rsidP="007B5CD0" w:rsidRDefault="007B5CD0" w14:paraId="7C8FDCA6" w14:textId="77777777">
      <w:pPr>
        <w:pStyle w:val="ListParagraph"/>
        <w:tabs>
          <w:tab w:val="left" w:pos="-720"/>
        </w:tabs>
        <w:suppressAutoHyphens/>
        <w:rPr>
          <w:rFonts w:ascii="Times New Roman" w:hAnsi="Times New Roman"/>
          <w:szCs w:val="24"/>
        </w:rPr>
      </w:pPr>
      <w:r w:rsidRPr="007B5CD0">
        <w:rPr>
          <w:rFonts w:ascii="Times New Roman" w:hAnsi="Times New Roman"/>
          <w:szCs w:val="24"/>
        </w:rPr>
        <w:t>1)</w:t>
      </w:r>
      <w:r w:rsidRPr="007B5CD0">
        <w:rPr>
          <w:rFonts w:ascii="Times New Roman" w:hAnsi="Times New Roman"/>
          <w:szCs w:val="24"/>
        </w:rPr>
        <w:tab/>
        <w:t xml:space="preserve">Newly, Previously, and Leases: This section includes basic school identifiers that reveal what types of schools and students have been served with program funds.  In </w:t>
      </w:r>
      <w:r w:rsidRPr="007B5CD0">
        <w:rPr>
          <w:rFonts w:ascii="Times New Roman" w:hAnsi="Times New Roman"/>
          <w:szCs w:val="24"/>
        </w:rPr>
        <w:lastRenderedPageBreak/>
        <w:t>addition, this section requests specific information regarding the financings, to assist ED in determining if the program provides better rates and returns than the schools would be otherwise able to obtain.  Information provided in this section will also identify any defaults or other problems tied to repayments, and how the grantee has used grant funds to remedy such situations.  This section requires details regarding the resulting facilities for each school (purchase, construction, and renovation details) and how such facility improvements and/or acquisitions may have enabled the schools to accommodate more students.  Finally, while grantees primarily focus on guaranteeing and insuring debt, we also seek to capture uses of funds for the other three statutory purposes of the program: guaranteeing and insuring leases, facilitating lending, and facilitating bonding.</w:t>
      </w:r>
    </w:p>
    <w:p w:rsidRPr="007B5CD0" w:rsidR="007B5CD0" w:rsidP="007B5CD0" w:rsidRDefault="007B5CD0" w14:paraId="3610CFA8" w14:textId="77777777">
      <w:pPr>
        <w:pStyle w:val="ListParagraph"/>
        <w:tabs>
          <w:tab w:val="left" w:pos="-720"/>
        </w:tabs>
        <w:suppressAutoHyphens/>
        <w:rPr>
          <w:rFonts w:ascii="Times New Roman" w:hAnsi="Times New Roman"/>
          <w:szCs w:val="24"/>
        </w:rPr>
      </w:pPr>
    </w:p>
    <w:p w:rsidRPr="007B5CD0" w:rsidR="007B5CD0" w:rsidP="007B5CD0" w:rsidRDefault="007B5CD0" w14:paraId="3DFB238B" w14:textId="77777777">
      <w:pPr>
        <w:pStyle w:val="ListParagraph"/>
        <w:tabs>
          <w:tab w:val="left" w:pos="-720"/>
        </w:tabs>
        <w:suppressAutoHyphens/>
        <w:rPr>
          <w:rFonts w:ascii="Times New Roman" w:hAnsi="Times New Roman"/>
          <w:szCs w:val="24"/>
        </w:rPr>
      </w:pPr>
      <w:r w:rsidRPr="007B5CD0">
        <w:rPr>
          <w:rFonts w:ascii="Times New Roman" w:hAnsi="Times New Roman"/>
          <w:szCs w:val="24"/>
        </w:rPr>
        <w:t>2)</w:t>
      </w:r>
      <w:r w:rsidRPr="007B5CD0">
        <w:rPr>
          <w:rFonts w:ascii="Times New Roman" w:hAnsi="Times New Roman"/>
          <w:szCs w:val="24"/>
        </w:rPr>
        <w:tab/>
        <w:t>Budget: Since all of the grantee’s projects last for longer than the five years budgeted in the performance agreement, we seek to update these budgets, as well as to collect data on actual expenditures and earnings.</w:t>
      </w:r>
    </w:p>
    <w:p w:rsidRPr="007B5CD0" w:rsidR="007B5CD0" w:rsidP="007B5CD0" w:rsidRDefault="007B5CD0" w14:paraId="668F5838" w14:textId="77777777">
      <w:pPr>
        <w:pStyle w:val="ListParagraph"/>
        <w:tabs>
          <w:tab w:val="left" w:pos="-720"/>
        </w:tabs>
        <w:suppressAutoHyphens/>
        <w:rPr>
          <w:rFonts w:ascii="Times New Roman" w:hAnsi="Times New Roman"/>
          <w:szCs w:val="24"/>
        </w:rPr>
      </w:pPr>
    </w:p>
    <w:p w:rsidRPr="007B5CD0" w:rsidR="007B5CD0" w:rsidP="007B5CD0" w:rsidRDefault="007B5CD0" w14:paraId="24385C8C" w14:textId="77777777">
      <w:pPr>
        <w:pStyle w:val="ListParagraph"/>
        <w:tabs>
          <w:tab w:val="left" w:pos="-720"/>
        </w:tabs>
        <w:suppressAutoHyphens/>
        <w:rPr>
          <w:rFonts w:ascii="Times New Roman" w:hAnsi="Times New Roman"/>
          <w:szCs w:val="24"/>
        </w:rPr>
      </w:pPr>
      <w:r w:rsidRPr="007B5CD0">
        <w:rPr>
          <w:rFonts w:ascii="Times New Roman" w:hAnsi="Times New Roman"/>
          <w:szCs w:val="24"/>
        </w:rPr>
        <w:t>3)</w:t>
      </w:r>
      <w:r w:rsidRPr="007B5CD0">
        <w:rPr>
          <w:rFonts w:ascii="Times New Roman" w:hAnsi="Times New Roman"/>
          <w:szCs w:val="24"/>
        </w:rPr>
        <w:tab/>
        <w:t xml:space="preserve">Reconciliation: This section would have grantees reconcile the balances for their reserve accounts.  This grant program is unusual in that grantees may drawdown their entire grant without actually spending these funds.  In addition, these grants can both increase in size through earnings on the grant funds and decrease in size due to defaults and other types of grant expenses.  The reconciliation workbook would help track these grant funds and decrease the ability of someone to misstate grant expenses or improperly use these funds.     </w:t>
      </w:r>
    </w:p>
    <w:p w:rsidRPr="007B5CD0" w:rsidR="007B5CD0" w:rsidP="007B5CD0" w:rsidRDefault="007B5CD0" w14:paraId="21433889" w14:textId="77777777">
      <w:pPr>
        <w:pStyle w:val="ListParagraph"/>
        <w:tabs>
          <w:tab w:val="left" w:pos="-720"/>
        </w:tabs>
        <w:suppressAutoHyphens/>
        <w:rPr>
          <w:rFonts w:ascii="Times New Roman" w:hAnsi="Times New Roman"/>
          <w:szCs w:val="24"/>
        </w:rPr>
      </w:pPr>
    </w:p>
    <w:p w:rsidRPr="007B5CD0" w:rsidR="007B5CD0" w:rsidP="007B5CD0" w:rsidRDefault="007B5CD0" w14:paraId="2ADC92CC" w14:textId="77777777">
      <w:pPr>
        <w:pStyle w:val="ListParagraph"/>
        <w:tabs>
          <w:tab w:val="left" w:pos="-720"/>
        </w:tabs>
        <w:suppressAutoHyphens/>
        <w:rPr>
          <w:rFonts w:ascii="Times New Roman" w:hAnsi="Times New Roman"/>
          <w:szCs w:val="24"/>
        </w:rPr>
      </w:pPr>
      <w:r w:rsidRPr="007B5CD0">
        <w:rPr>
          <w:rFonts w:ascii="Times New Roman" w:hAnsi="Times New Roman"/>
          <w:szCs w:val="24"/>
        </w:rPr>
        <w:t xml:space="preserve">Lastly, grantees would include a summary page that would provide cursory quantitative information about the grantee’s performance.  We require grantees to submit their most recent performance report as part of their grant application.  The grant readers and ED’s evaluation office indicate that including this page would make it easier for them to judge the performance of the grantees. </w:t>
      </w:r>
    </w:p>
    <w:p w:rsidR="007B5CD0" w:rsidP="007B5CD0" w:rsidRDefault="007B5CD0" w14:paraId="6AF86A55" w14:textId="46BE374D">
      <w:pPr>
        <w:pStyle w:val="ListParagraph"/>
        <w:tabs>
          <w:tab w:val="left" w:pos="-720"/>
        </w:tabs>
        <w:suppressAutoHyphens/>
        <w:rPr>
          <w:rFonts w:ascii="Times New Roman" w:hAnsi="Times New Roman"/>
          <w:szCs w:val="24"/>
        </w:rPr>
      </w:pPr>
    </w:p>
    <w:p w:rsidR="00E277CA" w:rsidP="007B5CD0" w:rsidRDefault="00E277CA" w14:paraId="0A5C5500" w14:textId="11E07464">
      <w:pPr>
        <w:pStyle w:val="ListParagraph"/>
        <w:tabs>
          <w:tab w:val="left" w:pos="-720"/>
        </w:tabs>
        <w:suppressAutoHyphens/>
        <w:rPr>
          <w:rFonts w:ascii="Times New Roman" w:hAnsi="Times New Roman"/>
          <w:szCs w:val="24"/>
        </w:rPr>
      </w:pPr>
      <w:r w:rsidRPr="00E277CA">
        <w:rPr>
          <w:rFonts w:ascii="Times New Roman" w:hAnsi="Times New Roman"/>
          <w:szCs w:val="24"/>
        </w:rPr>
        <w:t>The Department plans to accept electronically submitted performance reports in Word and Excel.</w:t>
      </w:r>
    </w:p>
    <w:p w:rsidRPr="007B5CD0" w:rsidR="00E277CA" w:rsidP="007B5CD0" w:rsidRDefault="00E277CA" w14:paraId="09825E83" w14:textId="77777777">
      <w:pPr>
        <w:pStyle w:val="ListParagraph"/>
        <w:tabs>
          <w:tab w:val="left" w:pos="-720"/>
        </w:tabs>
        <w:suppressAutoHyphens/>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E277CA" w:rsidP="00E277CA" w:rsidRDefault="00E277CA" w14:paraId="02566E84" w14:textId="77777777">
      <w:pPr>
        <w:pStyle w:val="BodyTextIndent3"/>
        <w:ind w:left="720" w:firstLine="0"/>
        <w:rPr>
          <w:rFonts w:ascii="Times New Roman" w:hAnsi="Times New Roman"/>
        </w:rPr>
      </w:pPr>
    </w:p>
    <w:p w:rsidR="00E277CA" w:rsidP="00E277CA" w:rsidRDefault="00E277CA" w14:paraId="0919A9A9" w14:textId="4DA9B375">
      <w:pPr>
        <w:pStyle w:val="BodyTextIndent3"/>
        <w:ind w:left="720" w:firstLine="0"/>
        <w:rPr>
          <w:rFonts w:ascii="Times New Roman" w:hAnsi="Times New Roman"/>
        </w:rPr>
      </w:pPr>
      <w:r w:rsidRPr="00581353">
        <w:rPr>
          <w:rFonts w:ascii="Times New Roman" w:hAnsi="Times New Roman"/>
        </w:rPr>
        <w:t xml:space="preserve">The </w:t>
      </w:r>
      <w:r>
        <w:rPr>
          <w:rFonts w:ascii="Times New Roman" w:hAnsi="Times New Roman"/>
        </w:rPr>
        <w:t xml:space="preserve">annual performance report </w:t>
      </w:r>
      <w:r w:rsidRPr="00581353">
        <w:rPr>
          <w:rFonts w:ascii="Times New Roman" w:hAnsi="Times New Roman"/>
        </w:rPr>
        <w:t>is intended to serve a specific authorized purpose and is in keeping with statutory requirements.</w:t>
      </w:r>
      <w:r>
        <w:rPr>
          <w:rFonts w:ascii="Times New Roman" w:hAnsi="Times New Roman"/>
        </w:rPr>
        <w:t xml:space="preserve">  Without this data collection, the st</w:t>
      </w:r>
      <w:r w:rsidRPr="00C95DF5">
        <w:rPr>
          <w:rFonts w:ascii="Times New Roman" w:hAnsi="Times New Roman"/>
        </w:rPr>
        <w:t>atutory requirement cannot be met</w:t>
      </w:r>
      <w:r>
        <w:rPr>
          <w:rFonts w:ascii="Times New Roman" w:hAnsi="Times New Roman"/>
        </w:rPr>
        <w:t xml:space="preserve">.  </w:t>
      </w:r>
    </w:p>
    <w:p w:rsidR="00E277CA" w:rsidP="00E277CA" w:rsidRDefault="00E277CA" w14:paraId="388E5FE2" w14:textId="77777777">
      <w:pPr>
        <w:pStyle w:val="BodyTextIndent3"/>
        <w:ind w:left="720" w:firstLine="0"/>
        <w:rPr>
          <w:rFonts w:ascii="Times New Roman" w:hAnsi="Times New Roman"/>
        </w:rPr>
      </w:pPr>
    </w:p>
    <w:p w:rsidRPr="00C16466" w:rsidR="00E277CA" w:rsidP="00E277CA" w:rsidRDefault="00E277CA" w14:paraId="49013060" w14:textId="77777777">
      <w:pPr>
        <w:pStyle w:val="BodyTextIndent3"/>
        <w:ind w:left="720" w:firstLine="0"/>
        <w:rPr>
          <w:rFonts w:ascii="Times New Roman" w:hAnsi="Times New Roman"/>
        </w:rPr>
      </w:pPr>
      <w:r w:rsidRPr="00581353">
        <w:rPr>
          <w:rFonts w:ascii="Times New Roman" w:hAnsi="Times New Roman"/>
        </w:rPr>
        <w:t xml:space="preserve">The information supplied by the </w:t>
      </w:r>
      <w:r>
        <w:rPr>
          <w:rFonts w:ascii="Times New Roman" w:hAnsi="Times New Roman"/>
        </w:rPr>
        <w:t>grantees</w:t>
      </w:r>
      <w:r w:rsidRPr="00581353">
        <w:rPr>
          <w:rFonts w:ascii="Times New Roman" w:hAnsi="Times New Roman"/>
        </w:rPr>
        <w:t xml:space="preserve"> is unique to this program and the particular grantee.  </w:t>
      </w:r>
      <w:r>
        <w:rPr>
          <w:rFonts w:ascii="Times New Roman" w:hAnsi="Times New Roman"/>
        </w:rPr>
        <w:t xml:space="preserve">Each grantee is required to submit an annual performance report that details its activities under the Credit Enhancement for Charter School Facilities Grants Program.  The information collected in the annual performance report is not collected by other data collections or sources.  </w:t>
      </w:r>
    </w:p>
    <w:p w:rsidR="00AD381B" w:rsidP="00AD381B" w:rsidRDefault="00AD381B" w14:paraId="1A84D411" w14:textId="77777777">
      <w:pPr>
        <w:tabs>
          <w:tab w:val="left" w:pos="-720"/>
        </w:tabs>
        <w:suppressAutoHyphens/>
        <w:rPr>
          <w:rFonts w:ascii="Times New Roman" w:hAnsi="Times New Roman"/>
          <w:b/>
          <w:szCs w:val="24"/>
        </w:rPr>
      </w:pP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77777777">
      <w:pPr>
        <w:pStyle w:val="ListParagraph"/>
        <w:contextualSpacing w:val="0"/>
        <w:rPr>
          <w:rFonts w:ascii="Times New Roman" w:hAnsi="Times New Roman"/>
          <w:szCs w:val="24"/>
        </w:rPr>
      </w:pPr>
    </w:p>
    <w:p w:rsidRPr="00E277CA" w:rsidR="00E277CA" w:rsidP="00E277CA" w:rsidRDefault="00E277CA" w14:paraId="0E59A978" w14:textId="2DCC7CEB">
      <w:pPr>
        <w:pStyle w:val="ListParagraph"/>
        <w:rPr>
          <w:rFonts w:ascii="Times New Roman" w:hAnsi="Times New Roman"/>
          <w:szCs w:val="24"/>
        </w:rPr>
      </w:pPr>
      <w:r w:rsidRPr="00E277CA">
        <w:rPr>
          <w:rFonts w:ascii="Times New Roman" w:hAnsi="Times New Roman"/>
          <w:szCs w:val="24"/>
        </w:rPr>
        <w:t>Small businesses</w:t>
      </w:r>
      <w:r w:rsidR="00865F8F">
        <w:rPr>
          <w:rFonts w:ascii="Times New Roman" w:hAnsi="Times New Roman"/>
          <w:szCs w:val="24"/>
        </w:rPr>
        <w:t>, small organizations, and small government jurisdictions</w:t>
      </w:r>
      <w:r w:rsidRPr="00E277CA">
        <w:rPr>
          <w:rFonts w:ascii="Times New Roman" w:hAnsi="Times New Roman"/>
          <w:szCs w:val="24"/>
        </w:rPr>
        <w:t xml:space="preserve"> are not impacted by this data collection. </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277CA" w:rsidP="00AD381B" w:rsidRDefault="00E277CA" w14:paraId="30124641" w14:textId="77777777">
      <w:pPr>
        <w:tabs>
          <w:tab w:val="left" w:pos="-720"/>
        </w:tabs>
        <w:suppressAutoHyphens/>
        <w:rPr>
          <w:rFonts w:ascii="Times New Roman" w:hAnsi="Times New Roman"/>
          <w:szCs w:val="24"/>
        </w:rPr>
      </w:pPr>
    </w:p>
    <w:p w:rsidR="00AD381B" w:rsidP="00E277CA" w:rsidRDefault="00E277CA" w14:paraId="13239F66" w14:textId="4EA8780C">
      <w:pPr>
        <w:tabs>
          <w:tab w:val="left" w:pos="-720"/>
        </w:tabs>
        <w:suppressAutoHyphens/>
        <w:ind w:left="720"/>
        <w:rPr>
          <w:rFonts w:ascii="Times New Roman" w:hAnsi="Times New Roman"/>
          <w:szCs w:val="24"/>
        </w:rPr>
      </w:pPr>
      <w:r w:rsidRPr="00E277CA">
        <w:rPr>
          <w:rFonts w:ascii="Times New Roman" w:hAnsi="Times New Roman"/>
          <w:szCs w:val="24"/>
        </w:rPr>
        <w:t xml:space="preserve">The Department needs the information to monitor and evaluate grantees.  If no information were collected, the Department would not be in compliance with the authorizing statute and the application notice.  In addition, the Department would not be able to report on its GPRA performance indicators for the program.  Data collection is also critical in these grants to ensure that these grants are appropriately handled.  </w:t>
      </w: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lastRenderedPageBreak/>
        <w:t>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77777777">
      <w:pPr>
        <w:pStyle w:val="ListParagraph"/>
        <w:rPr>
          <w:rFonts w:ascii="Times New Roman" w:hAnsi="Times New Roman"/>
          <w:b/>
          <w:szCs w:val="24"/>
        </w:rPr>
      </w:pPr>
    </w:p>
    <w:p w:rsidRPr="00C16466" w:rsidR="00E277CA" w:rsidP="00E277CA" w:rsidRDefault="00E277CA" w14:paraId="41B2F119" w14:textId="77777777">
      <w:pPr>
        <w:pStyle w:val="BodyTextIndent"/>
        <w:ind w:left="720"/>
        <w:rPr>
          <w:rFonts w:ascii="Times New Roman" w:hAnsi="Times New Roman"/>
        </w:rPr>
      </w:pPr>
      <w:r w:rsidRPr="00C16466">
        <w:rPr>
          <w:rFonts w:ascii="Times New Roman" w:hAnsi="Times New Roman"/>
        </w:rPr>
        <w:t xml:space="preserve">There are no special circumstances that require the collection to be conducted in a manner inconsistent with the guidelines in 5 CFR 1320.5.  </w:t>
      </w:r>
    </w:p>
    <w:p w:rsidRPr="00AD381B" w:rsidR="00AD381B" w:rsidP="00AD381B" w:rsidRDefault="00AD381B" w14:paraId="0C3363E5"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44F3" w:rsidP="00865F8F" w:rsidRDefault="006544F3" w14:paraId="1B1A5AFE" w14:textId="4D872D9C">
      <w:pPr>
        <w:tabs>
          <w:tab w:val="left" w:pos="-720"/>
        </w:tabs>
        <w:suppressAutoHyphens/>
        <w:ind w:firstLine="720"/>
        <w:rPr>
          <w:rFonts w:ascii="Times New Roman" w:hAnsi="Times New Roman"/>
          <w:szCs w:val="24"/>
        </w:rPr>
      </w:pPr>
    </w:p>
    <w:p w:rsidR="00865F8F" w:rsidP="00865F8F" w:rsidRDefault="00865F8F" w14:paraId="248037FB" w14:textId="66DDA000">
      <w:pPr>
        <w:tabs>
          <w:tab w:val="left" w:pos="-720"/>
        </w:tabs>
        <w:suppressAutoHyphens/>
        <w:ind w:left="720"/>
        <w:rPr>
          <w:rFonts w:ascii="Times New Roman" w:hAnsi="Times New Roman"/>
          <w:szCs w:val="24"/>
        </w:rPr>
      </w:pPr>
      <w:r>
        <w:rPr>
          <w:rFonts w:ascii="Times New Roman" w:hAnsi="Times New Roman"/>
          <w:szCs w:val="24"/>
        </w:rPr>
        <w:t xml:space="preserve">The Department held a meeting with grantees to discuss changes to the annual performance report in 2018.  The Department asked for feedback on the current report and provided an opportunity for grantees to recommend additional changes.  The grantees did not have recommendations or feedback. No meetings regarding the annual performance report have been held since then. </w:t>
      </w:r>
    </w:p>
    <w:p w:rsidR="00865F8F" w:rsidP="00865F8F" w:rsidRDefault="00865F8F" w14:paraId="2BC8B2FC" w14:textId="77777777">
      <w:pPr>
        <w:tabs>
          <w:tab w:val="left" w:pos="-720"/>
        </w:tabs>
        <w:suppressAutoHyphens/>
        <w:ind w:firstLine="720"/>
        <w:rPr>
          <w:rFonts w:ascii="Times New Roman" w:hAnsi="Times New Roman"/>
          <w:szCs w:val="24"/>
        </w:rPr>
      </w:pPr>
    </w:p>
    <w:p w:rsidRPr="006544F3" w:rsidR="006544F3" w:rsidP="006544F3" w:rsidRDefault="006544F3" w14:paraId="26F4B03C" w14:textId="4684C1EF">
      <w:pPr>
        <w:tabs>
          <w:tab w:val="left" w:pos="-720"/>
        </w:tabs>
        <w:suppressAutoHyphens/>
        <w:ind w:left="720"/>
        <w:rPr>
          <w:rFonts w:ascii="Times New Roman" w:hAnsi="Times New Roman"/>
          <w:szCs w:val="24"/>
        </w:rPr>
      </w:pPr>
      <w:r w:rsidRPr="006544F3">
        <w:rPr>
          <w:rFonts w:ascii="Times New Roman" w:hAnsi="Times New Roman"/>
          <w:szCs w:val="24"/>
        </w:rPr>
        <w:t>ED will publish a 60-day Federal Register Notice, followed by a 30-day Federal Register Notice, to solicit comments from the public.</w:t>
      </w:r>
      <w:r w:rsidR="00865F8F">
        <w:rPr>
          <w:rFonts w:ascii="Times New Roman" w:hAnsi="Times New Roman"/>
          <w:szCs w:val="24"/>
        </w:rPr>
        <w:t xml:space="preserve"> </w:t>
      </w:r>
    </w:p>
    <w:p w:rsidRPr="00E277CA" w:rsidR="006544F3" w:rsidP="00E277CA" w:rsidRDefault="006544F3" w14:paraId="6C3E23EA" w14:textId="77777777">
      <w:pPr>
        <w:tabs>
          <w:tab w:val="left" w:pos="-720"/>
        </w:tabs>
        <w:suppressAutoHyphens/>
        <w:ind w:left="720"/>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DFFF2CC"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E277CA" w14:paraId="3F126682" w14:textId="4EB3CFD1">
      <w:pPr>
        <w:pStyle w:val="ListParagraph"/>
        <w:tabs>
          <w:tab w:val="left" w:pos="-720"/>
        </w:tabs>
        <w:suppressAutoHyphens/>
        <w:contextualSpacing w:val="0"/>
        <w:rPr>
          <w:rFonts w:ascii="Times New Roman" w:hAnsi="Times New Roman"/>
          <w:szCs w:val="24"/>
        </w:rPr>
      </w:pPr>
      <w:r w:rsidRPr="00E277CA">
        <w:rPr>
          <w:rFonts w:ascii="Times New Roman" w:hAnsi="Times New Roman"/>
          <w:szCs w:val="24"/>
        </w:rPr>
        <w:t>No gifts or payments will be made to respondents other than the award to the grant recipient.</w:t>
      </w:r>
    </w:p>
    <w:p w:rsidRPr="00920F63" w:rsidR="00920F63" w:rsidP="00920F63" w:rsidRDefault="00920F63" w14:paraId="3FF3605E"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w:t>
      </w:r>
      <w:r w:rsidRPr="00920F63">
        <w:rPr>
          <w:rFonts w:ascii="Times New Roman" w:hAnsi="Times New Roman"/>
          <w:b/>
          <w:szCs w:val="24"/>
        </w:rPr>
        <w:lastRenderedPageBreak/>
        <w:t>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00920F63" w:rsidP="00517F84" w:rsidRDefault="00517F84" w14:paraId="335B86F2" w14:textId="2C3B5504">
      <w:pPr>
        <w:tabs>
          <w:tab w:val="left" w:pos="-720"/>
        </w:tabs>
        <w:suppressAutoHyphens/>
        <w:ind w:left="720"/>
        <w:rPr>
          <w:rFonts w:ascii="Times New Roman" w:hAnsi="Times New Roman"/>
          <w:szCs w:val="24"/>
        </w:rPr>
      </w:pPr>
      <w:r>
        <w:rPr>
          <w:rFonts w:ascii="Times New Roman" w:hAnsi="Times New Roman"/>
        </w:rPr>
        <w:t xml:space="preserve">The purpose of the annual performance report collection is to evaluate grantee performance in accordance </w:t>
      </w:r>
      <w:r w:rsidRPr="00517F84">
        <w:rPr>
          <w:rFonts w:ascii="Times New Roman" w:hAnsi="Times New Roman"/>
        </w:rPr>
        <w:t>with the provisions in the authorizing statute and EDGAR.</w:t>
      </w:r>
      <w:r>
        <w:rPr>
          <w:rFonts w:ascii="Times New Roman" w:hAnsi="Times New Roman"/>
        </w:rPr>
        <w:t xml:space="preserve"> The information collected is not personally identifiable information or confidential nature, and no assurance of confidentiality is provided.  This collection does not have a Systems of Record Notice or Privacy Impact Assessment.</w:t>
      </w:r>
    </w:p>
    <w:p w:rsidRPr="00920F63" w:rsidR="00517F84" w:rsidP="00E25EBC" w:rsidRDefault="00517F84" w14:paraId="150450CB"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E277CA" w:rsidRDefault="00E277CA" w14:paraId="008CD30F" w14:textId="68C545F7">
      <w:pPr>
        <w:tabs>
          <w:tab w:val="left" w:pos="-720"/>
        </w:tabs>
        <w:suppressAutoHyphens/>
        <w:ind w:left="720"/>
        <w:rPr>
          <w:rFonts w:ascii="Times New Roman" w:hAnsi="Times New Roman"/>
          <w:szCs w:val="24"/>
        </w:rPr>
      </w:pPr>
      <w:r w:rsidRPr="00E277CA">
        <w:rPr>
          <w:rFonts w:ascii="Times New Roman" w:hAnsi="Times New Roman"/>
          <w:szCs w:val="24"/>
        </w:rPr>
        <w:t xml:space="preserve">There </w:t>
      </w:r>
      <w:r w:rsidR="008475EA">
        <w:rPr>
          <w:rFonts w:ascii="Times New Roman" w:hAnsi="Times New Roman"/>
          <w:szCs w:val="24"/>
        </w:rPr>
        <w:t>are</w:t>
      </w:r>
      <w:r w:rsidRPr="00E277CA">
        <w:rPr>
          <w:rFonts w:ascii="Times New Roman" w:hAnsi="Times New Roman"/>
          <w:szCs w:val="24"/>
        </w:rPr>
        <w:t xml:space="preserve"> no question</w:t>
      </w:r>
      <w:r w:rsidR="008475EA">
        <w:rPr>
          <w:rFonts w:ascii="Times New Roman" w:hAnsi="Times New Roman"/>
          <w:szCs w:val="24"/>
        </w:rPr>
        <w:t>s</w:t>
      </w:r>
      <w:r w:rsidRPr="00E277CA">
        <w:rPr>
          <w:rFonts w:ascii="Times New Roman" w:hAnsi="Times New Roman"/>
          <w:szCs w:val="24"/>
        </w:rPr>
        <w:t xml:space="preserve"> of a sensitive nature in this</w:t>
      </w:r>
      <w:r w:rsidR="008475EA">
        <w:rPr>
          <w:rFonts w:ascii="Times New Roman" w:hAnsi="Times New Roman"/>
          <w:szCs w:val="24"/>
        </w:rPr>
        <w:t xml:space="preserve"> information collection</w:t>
      </w:r>
      <w:r w:rsidRPr="00E277CA">
        <w:rPr>
          <w:rFonts w:ascii="Times New Roman" w:hAnsi="Times New Roman"/>
          <w:szCs w:val="24"/>
        </w:rPr>
        <w:t>.</w:t>
      </w:r>
    </w:p>
    <w:p w:rsidRPr="00920F63" w:rsidR="00E277CA" w:rsidP="00920F63" w:rsidRDefault="00E277CA" w14:paraId="391A540D"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920F63" w:rsidP="00920F63" w:rsidRDefault="00920F63" w14:paraId="14318AD3" w14:textId="33EA0DFD">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55"/>
        <w:gridCol w:w="1239"/>
        <w:gridCol w:w="3149"/>
        <w:gridCol w:w="1136"/>
        <w:gridCol w:w="1942"/>
      </w:tblGrid>
      <w:tr w:rsidRPr="00920F63" w:rsidR="00920F63" w:rsidTr="00CB6D09" w14:paraId="1A33EF9C" w14:textId="77777777">
        <w:trPr>
          <w:cantSplit/>
          <w:jc w:val="center"/>
        </w:trPr>
        <w:tc>
          <w:tcPr>
            <w:tcW w:w="1255" w:type="dxa"/>
            <w:vAlign w:val="center"/>
          </w:tcPr>
          <w:p w:rsidRPr="00920F63" w:rsidR="00920F63" w:rsidP="00CB6D09" w:rsidRDefault="00920F63" w14:paraId="71FC6936" w14:textId="77777777">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rsidRPr="00920F63" w:rsidR="00920F63" w:rsidP="00CB6D09" w:rsidRDefault="00920F63" w14:paraId="7B5D2118" w14:textId="77777777">
            <w:pPr>
              <w:jc w:val="center"/>
              <w:rPr>
                <w:rFonts w:ascii="Times New Roman" w:hAnsi="Times New Roman"/>
                <w:szCs w:val="24"/>
              </w:rPr>
            </w:pPr>
            <w:r w:rsidRPr="00920F63">
              <w:rPr>
                <w:rFonts w:ascii="Times New Roman" w:hAnsi="Times New Roman"/>
                <w:szCs w:val="24"/>
              </w:rPr>
              <w:t>Number of</w:t>
            </w:r>
          </w:p>
          <w:p w:rsidRPr="00920F63" w:rsidR="00920F63" w:rsidP="00CB6D09" w:rsidRDefault="00920F63" w14:paraId="3ECB85E3" w14:textId="77777777">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rsidRPr="00920F63" w:rsidR="00920F63" w:rsidP="00CB6D09" w:rsidRDefault="00920F63" w14:paraId="20DC2C29" w14:textId="77777777">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rsidRPr="00920F63" w:rsidR="00920F63" w:rsidP="00CB6D09" w:rsidRDefault="00920F63" w14:paraId="3996DA71" w14:textId="77777777">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rsidRPr="00920F63" w:rsidR="00920F63" w:rsidP="00CB6D09" w:rsidRDefault="00920F63" w14:paraId="6B46E7B5" w14:textId="77777777">
            <w:pPr>
              <w:jc w:val="center"/>
              <w:rPr>
                <w:rFonts w:ascii="Times New Roman" w:hAnsi="Times New Roman"/>
                <w:szCs w:val="24"/>
              </w:rPr>
            </w:pPr>
            <w:r w:rsidRPr="00920F63">
              <w:rPr>
                <w:rFonts w:ascii="Times New Roman" w:hAnsi="Times New Roman"/>
                <w:szCs w:val="24"/>
              </w:rPr>
              <w:t>Total Burden Hours</w:t>
            </w:r>
          </w:p>
        </w:tc>
      </w:tr>
      <w:tr w:rsidRPr="00920F63" w:rsidR="00920F63" w:rsidTr="00CB6D09" w14:paraId="61884E66" w14:textId="77777777">
        <w:trPr>
          <w:cantSplit/>
          <w:jc w:val="center"/>
        </w:trPr>
        <w:tc>
          <w:tcPr>
            <w:tcW w:w="1255" w:type="dxa"/>
          </w:tcPr>
          <w:p w:rsidRPr="00920F63" w:rsidR="00920F63" w:rsidP="00CB6D09" w:rsidRDefault="003F3FC2" w14:paraId="557BF9E1" w14:textId="0128B655">
            <w:pPr>
              <w:rPr>
                <w:rFonts w:ascii="Times New Roman" w:hAnsi="Times New Roman"/>
                <w:szCs w:val="24"/>
              </w:rPr>
            </w:pPr>
            <w:r>
              <w:rPr>
                <w:rFonts w:ascii="Times New Roman" w:hAnsi="Times New Roman"/>
                <w:szCs w:val="24"/>
              </w:rPr>
              <w:t>2020</w:t>
            </w:r>
          </w:p>
        </w:tc>
        <w:tc>
          <w:tcPr>
            <w:tcW w:w="1239" w:type="dxa"/>
          </w:tcPr>
          <w:p w:rsidRPr="00920F63" w:rsidR="00920F63" w:rsidP="00CB6D09" w:rsidRDefault="003F3FC2" w14:paraId="102E0E26" w14:textId="78D4A72E">
            <w:pPr>
              <w:jc w:val="center"/>
              <w:rPr>
                <w:rFonts w:ascii="Times New Roman" w:hAnsi="Times New Roman"/>
                <w:szCs w:val="24"/>
              </w:rPr>
            </w:pPr>
            <w:r>
              <w:rPr>
                <w:rFonts w:ascii="Times New Roman" w:hAnsi="Times New Roman"/>
                <w:szCs w:val="24"/>
              </w:rPr>
              <w:t>60</w:t>
            </w:r>
          </w:p>
        </w:tc>
        <w:tc>
          <w:tcPr>
            <w:tcW w:w="3149" w:type="dxa"/>
          </w:tcPr>
          <w:p w:rsidRPr="00920F63" w:rsidR="00920F63" w:rsidP="00CB6D09" w:rsidRDefault="003F3FC2" w14:paraId="748231CB" w14:textId="65C41EC9">
            <w:pPr>
              <w:rPr>
                <w:rFonts w:ascii="Times New Roman" w:hAnsi="Times New Roman"/>
                <w:szCs w:val="24"/>
              </w:rPr>
            </w:pPr>
            <w:r>
              <w:rPr>
                <w:rFonts w:ascii="Times New Roman" w:hAnsi="Times New Roman"/>
                <w:szCs w:val="24"/>
              </w:rPr>
              <w:t>Project</w:t>
            </w:r>
          </w:p>
        </w:tc>
        <w:tc>
          <w:tcPr>
            <w:tcW w:w="1136" w:type="dxa"/>
          </w:tcPr>
          <w:p w:rsidRPr="00920F63" w:rsidR="00920F63" w:rsidP="00CB6D09" w:rsidRDefault="003F3FC2" w14:paraId="0FBDBC61" w14:textId="711F8889">
            <w:pPr>
              <w:jc w:val="center"/>
              <w:rPr>
                <w:rFonts w:ascii="Times New Roman" w:hAnsi="Times New Roman"/>
                <w:szCs w:val="24"/>
              </w:rPr>
            </w:pPr>
            <w:r>
              <w:rPr>
                <w:rFonts w:ascii="Times New Roman" w:hAnsi="Times New Roman"/>
                <w:szCs w:val="24"/>
              </w:rPr>
              <w:t>25</w:t>
            </w:r>
          </w:p>
        </w:tc>
        <w:tc>
          <w:tcPr>
            <w:tcW w:w="1942" w:type="dxa"/>
          </w:tcPr>
          <w:p w:rsidRPr="00920F63" w:rsidR="00920F63" w:rsidP="00F0414F" w:rsidRDefault="003F3FC2" w14:paraId="3CDF673C" w14:textId="6411F359">
            <w:pPr>
              <w:jc w:val="center"/>
              <w:rPr>
                <w:rFonts w:ascii="Times New Roman" w:hAnsi="Times New Roman"/>
                <w:szCs w:val="24"/>
              </w:rPr>
            </w:pPr>
            <w:r>
              <w:rPr>
                <w:rFonts w:ascii="Times New Roman" w:hAnsi="Times New Roman"/>
                <w:szCs w:val="24"/>
              </w:rPr>
              <w:t>1,500</w:t>
            </w:r>
          </w:p>
        </w:tc>
      </w:tr>
    </w:tbl>
    <w:p w:rsidRPr="00920F63" w:rsidR="00920F63" w:rsidP="00920F63" w:rsidRDefault="00920F63" w14:paraId="2A7B7677" w14:textId="77777777">
      <w:pPr>
        <w:pStyle w:val="ListParagraph"/>
        <w:tabs>
          <w:tab w:val="left" w:pos="-720"/>
        </w:tabs>
        <w:suppressAutoHyphens/>
        <w:rPr>
          <w:rStyle w:val="a"/>
          <w:rFonts w:ascii="Times New Roman" w:hAnsi="Times New Roman"/>
          <w:szCs w:val="24"/>
        </w:rPr>
      </w:pPr>
    </w:p>
    <w:p w:rsidRPr="00920F63" w:rsidR="00920F63" w:rsidP="00920F63" w:rsidRDefault="00920F63" w14:paraId="5D7C7338" w14:textId="77777777">
      <w:pPr>
        <w:pStyle w:val="ListParagraph"/>
        <w:tabs>
          <w:tab w:val="left" w:pos="-720"/>
        </w:tabs>
        <w:suppressAutoHyphens/>
        <w:rPr>
          <w:rStyle w:val="a"/>
          <w:rFonts w:ascii="Times New Roman" w:hAnsi="Times New Roman"/>
          <w:szCs w:val="24"/>
        </w:rPr>
      </w:pPr>
    </w:p>
    <w:p w:rsidRPr="00920F63" w:rsidR="00ED7195" w:rsidP="00ED7195" w:rsidRDefault="00ED7195" w14:paraId="78B60277" w14:textId="6E8F0DCD">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p w:rsidR="00920F63" w:rsidP="00920F63" w:rsidRDefault="00920F63" w14:paraId="6C31014C" w14:textId="77777777">
      <w:pPr>
        <w:pStyle w:val="ListParagraph"/>
        <w:tabs>
          <w:tab w:val="left" w:pos="-720"/>
        </w:tabs>
        <w:suppressAutoHyphens/>
        <w:rPr>
          <w:rStyle w:val="a"/>
          <w:rFonts w:ascii="Times New Roman" w:hAnsi="Times New Roman"/>
          <w:szCs w:val="24"/>
        </w:rPr>
      </w:pPr>
    </w:p>
    <w:tbl>
      <w:tblPr>
        <w:tblW w:w="9558"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3207"/>
        <w:gridCol w:w="1203"/>
        <w:gridCol w:w="941"/>
        <w:gridCol w:w="1296"/>
        <w:gridCol w:w="913"/>
        <w:gridCol w:w="1278"/>
      </w:tblGrid>
      <w:tr w:rsidRPr="00442E07" w:rsidR="00442E07" w:rsidTr="003F3FC2" w14:paraId="31B9B430" w14:textId="77777777">
        <w:tc>
          <w:tcPr>
            <w:tcW w:w="720" w:type="dxa"/>
            <w:vAlign w:val="center"/>
          </w:tcPr>
          <w:p w:rsidRPr="00442E07" w:rsidR="00442E07" w:rsidP="00CB6D09" w:rsidRDefault="00442E07" w14:paraId="668DFA8D" w14:textId="77777777">
            <w:pPr>
              <w:jc w:val="center"/>
              <w:rPr>
                <w:rFonts w:ascii="Times New Roman" w:hAnsi="Times New Roman"/>
                <w:szCs w:val="24"/>
              </w:rPr>
            </w:pPr>
            <w:r w:rsidRPr="00442E07">
              <w:rPr>
                <w:rFonts w:ascii="Times New Roman" w:hAnsi="Times New Roman"/>
                <w:szCs w:val="24"/>
              </w:rPr>
              <w:t>Year</w:t>
            </w:r>
          </w:p>
        </w:tc>
        <w:tc>
          <w:tcPr>
            <w:tcW w:w="3207" w:type="dxa"/>
            <w:vAlign w:val="center"/>
          </w:tcPr>
          <w:p w:rsidRPr="00442E07" w:rsidR="00442E07" w:rsidP="00CB6D09" w:rsidRDefault="00442E07" w14:paraId="6FD1EEC7" w14:textId="77777777">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rsidRPr="00442E07" w:rsidR="00442E07" w:rsidP="00CB6D09" w:rsidRDefault="00442E07" w14:paraId="63C23649" w14:textId="77777777">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rsidRPr="00442E07" w:rsidR="00442E07" w:rsidP="00CB6D09" w:rsidRDefault="00442E07" w14:paraId="2CA9813C" w14:textId="77777777">
            <w:pPr>
              <w:jc w:val="center"/>
              <w:rPr>
                <w:rFonts w:ascii="Times New Roman" w:hAnsi="Times New Roman"/>
                <w:szCs w:val="24"/>
              </w:rPr>
            </w:pPr>
            <w:r w:rsidRPr="00442E07">
              <w:rPr>
                <w:rFonts w:ascii="Times New Roman" w:hAnsi="Times New Roman"/>
                <w:szCs w:val="24"/>
              </w:rPr>
              <w:t>Hourly Rate</w:t>
            </w:r>
          </w:p>
        </w:tc>
        <w:tc>
          <w:tcPr>
            <w:tcW w:w="1296" w:type="dxa"/>
            <w:vAlign w:val="center"/>
          </w:tcPr>
          <w:p w:rsidRPr="00442E07" w:rsidR="00442E07" w:rsidP="00CB6D09" w:rsidRDefault="00442E07" w14:paraId="7DCFB827" w14:textId="77777777">
            <w:pPr>
              <w:jc w:val="center"/>
              <w:rPr>
                <w:rFonts w:ascii="Times New Roman" w:hAnsi="Times New Roman"/>
                <w:szCs w:val="24"/>
              </w:rPr>
            </w:pPr>
            <w:r w:rsidRPr="00442E07">
              <w:rPr>
                <w:rFonts w:ascii="Times New Roman" w:hAnsi="Times New Roman"/>
                <w:szCs w:val="24"/>
              </w:rPr>
              <w:t>Average Total Cost Per  Response</w:t>
            </w:r>
          </w:p>
        </w:tc>
        <w:tc>
          <w:tcPr>
            <w:tcW w:w="913" w:type="dxa"/>
          </w:tcPr>
          <w:p w:rsidRPr="00442E07" w:rsidR="00442E07" w:rsidP="00442E07" w:rsidRDefault="00442E07" w14:paraId="24D8BCCF" w14:textId="1A4108D4">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278" w:type="dxa"/>
          </w:tcPr>
          <w:p w:rsidRPr="00442E07" w:rsidR="00442E07" w:rsidP="00CB6D09" w:rsidRDefault="00442E07" w14:paraId="29D028CB" w14:textId="77777777">
            <w:pPr>
              <w:jc w:val="center"/>
              <w:rPr>
                <w:rFonts w:ascii="Times New Roman" w:hAnsi="Times New Roman"/>
                <w:szCs w:val="24"/>
              </w:rPr>
            </w:pPr>
            <w:r w:rsidRPr="00442E07">
              <w:rPr>
                <w:rFonts w:ascii="Times New Roman" w:hAnsi="Times New Roman"/>
                <w:szCs w:val="24"/>
              </w:rPr>
              <w:t>Total Annual Costs</w:t>
            </w:r>
          </w:p>
        </w:tc>
      </w:tr>
      <w:tr w:rsidRPr="00442E07" w:rsidR="00442E07" w:rsidTr="003F3FC2" w14:paraId="5534CF8B" w14:textId="77777777">
        <w:tc>
          <w:tcPr>
            <w:tcW w:w="720" w:type="dxa"/>
          </w:tcPr>
          <w:p w:rsidRPr="00442E07" w:rsidR="00442E07" w:rsidP="00CB6D09" w:rsidRDefault="003F3FC2" w14:paraId="3C425102" w14:textId="53DF4C6F">
            <w:pPr>
              <w:rPr>
                <w:rFonts w:ascii="Times New Roman" w:hAnsi="Times New Roman"/>
                <w:szCs w:val="24"/>
              </w:rPr>
            </w:pPr>
            <w:r>
              <w:rPr>
                <w:rFonts w:ascii="Times New Roman" w:hAnsi="Times New Roman"/>
                <w:szCs w:val="24"/>
              </w:rPr>
              <w:t>2020</w:t>
            </w:r>
          </w:p>
        </w:tc>
        <w:tc>
          <w:tcPr>
            <w:tcW w:w="3207" w:type="dxa"/>
          </w:tcPr>
          <w:p w:rsidRPr="00442E07" w:rsidR="00442E07" w:rsidP="00CB6D09" w:rsidRDefault="003F3FC2" w14:paraId="13FF3ACC" w14:textId="7CDFC537">
            <w:pPr>
              <w:rPr>
                <w:rFonts w:ascii="Times New Roman" w:hAnsi="Times New Roman"/>
                <w:szCs w:val="24"/>
              </w:rPr>
            </w:pPr>
            <w:r>
              <w:rPr>
                <w:rFonts w:ascii="Times New Roman" w:hAnsi="Times New Roman"/>
                <w:szCs w:val="24"/>
              </w:rPr>
              <w:t>Grantee</w:t>
            </w:r>
          </w:p>
        </w:tc>
        <w:tc>
          <w:tcPr>
            <w:tcW w:w="1203" w:type="dxa"/>
          </w:tcPr>
          <w:p w:rsidRPr="00442E07" w:rsidR="00442E07" w:rsidP="00F0414F" w:rsidRDefault="003F3FC2" w14:paraId="4BE2D797" w14:textId="4054C146">
            <w:pPr>
              <w:jc w:val="center"/>
              <w:rPr>
                <w:rFonts w:ascii="Times New Roman" w:hAnsi="Times New Roman"/>
                <w:szCs w:val="24"/>
              </w:rPr>
            </w:pPr>
            <w:r>
              <w:rPr>
                <w:rFonts w:ascii="Times New Roman" w:hAnsi="Times New Roman"/>
                <w:szCs w:val="24"/>
              </w:rPr>
              <w:t>25</w:t>
            </w:r>
          </w:p>
        </w:tc>
        <w:tc>
          <w:tcPr>
            <w:tcW w:w="941" w:type="dxa"/>
          </w:tcPr>
          <w:p w:rsidRPr="00442E07" w:rsidR="00442E07" w:rsidP="00972262" w:rsidRDefault="003F3FC2" w14:paraId="2FDD57C8" w14:textId="7B90233D">
            <w:pPr>
              <w:jc w:val="center"/>
              <w:rPr>
                <w:rFonts w:ascii="Times New Roman" w:hAnsi="Times New Roman"/>
                <w:szCs w:val="24"/>
              </w:rPr>
            </w:pPr>
            <w:r>
              <w:rPr>
                <w:rFonts w:ascii="Times New Roman" w:hAnsi="Times New Roman"/>
                <w:szCs w:val="24"/>
              </w:rPr>
              <w:t>30</w:t>
            </w:r>
          </w:p>
        </w:tc>
        <w:tc>
          <w:tcPr>
            <w:tcW w:w="1296" w:type="dxa"/>
          </w:tcPr>
          <w:p w:rsidRPr="00442E07" w:rsidR="00F0414F" w:rsidP="00972262" w:rsidRDefault="00972262" w14:paraId="020F2248" w14:textId="0BF2F479">
            <w:pPr>
              <w:ind w:firstLine="116"/>
              <w:jc w:val="center"/>
              <w:rPr>
                <w:rFonts w:ascii="Times New Roman" w:hAnsi="Times New Roman"/>
                <w:szCs w:val="24"/>
              </w:rPr>
            </w:pPr>
            <w:r>
              <w:rPr>
                <w:rFonts w:ascii="Times New Roman" w:hAnsi="Times New Roman"/>
                <w:szCs w:val="24"/>
              </w:rPr>
              <w:t>$</w:t>
            </w:r>
            <w:r w:rsidR="003F3FC2">
              <w:rPr>
                <w:rFonts w:ascii="Times New Roman" w:hAnsi="Times New Roman"/>
                <w:szCs w:val="24"/>
              </w:rPr>
              <w:t>750</w:t>
            </w:r>
          </w:p>
        </w:tc>
        <w:tc>
          <w:tcPr>
            <w:tcW w:w="913" w:type="dxa"/>
          </w:tcPr>
          <w:p w:rsidRPr="00442E07" w:rsidR="00442E07" w:rsidP="00CB6D09" w:rsidRDefault="003F3FC2" w14:paraId="19A2DD7B" w14:textId="6490284F">
            <w:pPr>
              <w:ind w:firstLine="116"/>
              <w:rPr>
                <w:rFonts w:ascii="Times New Roman" w:hAnsi="Times New Roman"/>
                <w:szCs w:val="24"/>
              </w:rPr>
            </w:pPr>
            <w:r>
              <w:rPr>
                <w:rFonts w:ascii="Times New Roman" w:hAnsi="Times New Roman"/>
                <w:szCs w:val="24"/>
              </w:rPr>
              <w:t>60</w:t>
            </w:r>
          </w:p>
        </w:tc>
        <w:tc>
          <w:tcPr>
            <w:tcW w:w="1278" w:type="dxa"/>
          </w:tcPr>
          <w:p w:rsidRPr="00442E07" w:rsidR="00442E07" w:rsidP="00CB6D09" w:rsidRDefault="003F3FC2" w14:paraId="18176971" w14:textId="51632868">
            <w:pPr>
              <w:rPr>
                <w:rFonts w:ascii="Times New Roman" w:hAnsi="Times New Roman"/>
                <w:szCs w:val="24"/>
              </w:rPr>
            </w:pPr>
            <w:r>
              <w:rPr>
                <w:rFonts w:ascii="Times New Roman" w:hAnsi="Times New Roman"/>
                <w:szCs w:val="24"/>
              </w:rPr>
              <w:t>$45,000</w:t>
            </w:r>
          </w:p>
        </w:tc>
      </w:tr>
      <w:tr w:rsidRPr="00442E07" w:rsidR="00442E07" w:rsidTr="003F3FC2" w14:paraId="7BDF9043" w14:textId="77777777">
        <w:tc>
          <w:tcPr>
            <w:tcW w:w="720" w:type="dxa"/>
          </w:tcPr>
          <w:p w:rsidRPr="00442E07" w:rsidR="00442E07" w:rsidP="00CB6D09" w:rsidRDefault="00442E07" w14:paraId="50DEF820" w14:textId="77777777">
            <w:pPr>
              <w:rPr>
                <w:rFonts w:ascii="Times New Roman" w:hAnsi="Times New Roman"/>
                <w:szCs w:val="24"/>
              </w:rPr>
            </w:pPr>
          </w:p>
        </w:tc>
        <w:tc>
          <w:tcPr>
            <w:tcW w:w="3207" w:type="dxa"/>
          </w:tcPr>
          <w:p w:rsidRPr="00442E07" w:rsidR="00442E07" w:rsidP="00CB6D09" w:rsidRDefault="00ED7195" w14:paraId="14E1C8C8" w14:textId="01115D86">
            <w:pPr>
              <w:rPr>
                <w:rFonts w:ascii="Times New Roman" w:hAnsi="Times New Roman"/>
                <w:szCs w:val="24"/>
              </w:rPr>
            </w:pPr>
            <w:r>
              <w:rPr>
                <w:rFonts w:ascii="Times New Roman" w:hAnsi="Times New Roman"/>
                <w:szCs w:val="24"/>
              </w:rPr>
              <w:t>Average</w:t>
            </w:r>
          </w:p>
        </w:tc>
        <w:tc>
          <w:tcPr>
            <w:tcW w:w="1203" w:type="dxa"/>
          </w:tcPr>
          <w:p w:rsidRPr="00442E07" w:rsidR="00442E07" w:rsidP="00CB6D09" w:rsidRDefault="00442E07" w14:paraId="34E05C60" w14:textId="2A6E1792">
            <w:pPr>
              <w:rPr>
                <w:rFonts w:ascii="Times New Roman" w:hAnsi="Times New Roman"/>
                <w:szCs w:val="24"/>
              </w:rPr>
            </w:pPr>
          </w:p>
        </w:tc>
        <w:tc>
          <w:tcPr>
            <w:tcW w:w="941" w:type="dxa"/>
          </w:tcPr>
          <w:p w:rsidRPr="00442E07" w:rsidR="00442E07" w:rsidP="00ED7195" w:rsidRDefault="00442E07" w14:paraId="1E449FCD" w14:textId="77A5B06C">
            <w:pPr>
              <w:rPr>
                <w:rFonts w:ascii="Times New Roman" w:hAnsi="Times New Roman"/>
                <w:szCs w:val="24"/>
              </w:rPr>
            </w:pPr>
          </w:p>
        </w:tc>
        <w:tc>
          <w:tcPr>
            <w:tcW w:w="1296" w:type="dxa"/>
          </w:tcPr>
          <w:p w:rsidRPr="00442E07" w:rsidR="00442E07" w:rsidP="00CB6D09" w:rsidRDefault="00442E07" w14:paraId="49B3358B" w14:textId="58029F4A">
            <w:pPr>
              <w:ind w:firstLine="116"/>
              <w:rPr>
                <w:rFonts w:ascii="Times New Roman" w:hAnsi="Times New Roman"/>
                <w:szCs w:val="24"/>
              </w:rPr>
            </w:pPr>
          </w:p>
        </w:tc>
        <w:tc>
          <w:tcPr>
            <w:tcW w:w="913" w:type="dxa"/>
          </w:tcPr>
          <w:p w:rsidRPr="00442E07" w:rsidR="00442E07" w:rsidP="00CB6D09" w:rsidRDefault="00442E07" w14:paraId="7B19E691" w14:textId="43636ABD">
            <w:pPr>
              <w:ind w:firstLine="116"/>
              <w:rPr>
                <w:rFonts w:ascii="Times New Roman" w:hAnsi="Times New Roman"/>
                <w:szCs w:val="24"/>
              </w:rPr>
            </w:pPr>
          </w:p>
        </w:tc>
        <w:tc>
          <w:tcPr>
            <w:tcW w:w="1278" w:type="dxa"/>
          </w:tcPr>
          <w:p w:rsidRPr="00442E07" w:rsidR="00442E07" w:rsidP="00CB6D09" w:rsidRDefault="00442E07" w14:paraId="2BAF370C" w14:textId="58AEC25E">
            <w:pPr>
              <w:rPr>
                <w:rFonts w:ascii="Times New Roman" w:hAnsi="Times New Roman"/>
                <w:szCs w:val="24"/>
              </w:rPr>
            </w:pPr>
          </w:p>
        </w:tc>
      </w:tr>
    </w:tbl>
    <w:p w:rsidR="00920F63" w:rsidP="00920F63" w:rsidRDefault="00920F63" w14:paraId="2F0BAA09" w14:textId="42175223">
      <w:pPr>
        <w:pStyle w:val="ListParagraph"/>
        <w:tabs>
          <w:tab w:val="left" w:pos="-720"/>
        </w:tabs>
        <w:suppressAutoHyphens/>
        <w:rPr>
          <w:rStyle w:val="a"/>
          <w:rFonts w:ascii="Times New Roman" w:hAnsi="Times New Roman"/>
          <w:szCs w:val="24"/>
        </w:rPr>
      </w:pPr>
    </w:p>
    <w:p w:rsidR="00E277CA" w:rsidP="00920F63" w:rsidRDefault="00E277CA" w14:paraId="13B6D346" w14:textId="67D3CDA3">
      <w:pPr>
        <w:pStyle w:val="ListParagraph"/>
        <w:tabs>
          <w:tab w:val="left" w:pos="-720"/>
        </w:tabs>
        <w:suppressAutoHyphens/>
        <w:rPr>
          <w:rStyle w:val="a"/>
          <w:rFonts w:ascii="Times New Roman" w:hAnsi="Times New Roman"/>
          <w:szCs w:val="24"/>
        </w:rPr>
      </w:pPr>
    </w:p>
    <w:p w:rsidR="00920F63" w:rsidP="00920F63" w:rsidRDefault="00920F63" w14:paraId="6D86E49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ED7195">
        <w:rPr>
          <w:rFonts w:ascii="Times New Roman" w:hAnsi="Times New Roman"/>
          <w:b/>
          <w:szCs w:val="24"/>
        </w:rPr>
        <w:lastRenderedPageBreak/>
        <w:t>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3FB119DC">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E277CA">
        <w:rPr>
          <w:rFonts w:ascii="Times New Roman" w:hAnsi="Times New Roman"/>
          <w:b/>
          <w:szCs w:val="24"/>
        </w:rPr>
        <w:t>0</w:t>
      </w:r>
    </w:p>
    <w:p w:rsidRPr="00ED7195" w:rsidR="00043C32" w:rsidP="00AD381B" w:rsidRDefault="00043C32" w14:paraId="03560D8C" w14:textId="0839D8E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w:t>
      </w:r>
      <w:r w:rsidR="00E277CA">
        <w:rPr>
          <w:rFonts w:ascii="Times New Roman" w:hAnsi="Times New Roman"/>
          <w:b/>
          <w:szCs w:val="24"/>
        </w:rPr>
        <w:t>0</w:t>
      </w:r>
      <w:r w:rsidRPr="00ED7195">
        <w:rPr>
          <w:rFonts w:ascii="Times New Roman" w:hAnsi="Times New Roman"/>
          <w:b/>
          <w:szCs w:val="24"/>
        </w:rPr>
        <w:t>_____________</w:t>
      </w:r>
    </w:p>
    <w:p w:rsidRPr="00ED7195" w:rsidR="00043C32" w:rsidP="00AD381B" w:rsidRDefault="00043C32" w14:paraId="03560D8D" w14:textId="2E42D070">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E277CA">
        <w:rPr>
          <w:rFonts w:ascii="Times New Roman" w:hAnsi="Times New Roman"/>
          <w:b/>
          <w:szCs w:val="24"/>
        </w:rPr>
        <w:t>0</w:t>
      </w:r>
    </w:p>
    <w:p w:rsidR="00043C32" w:rsidP="00AD381B" w:rsidRDefault="00043C32" w14:paraId="03560D8E" w14:textId="77777777">
      <w:pPr>
        <w:tabs>
          <w:tab w:val="left" w:pos="-720"/>
        </w:tabs>
        <w:suppressAutoHyphens/>
        <w:rPr>
          <w:rFonts w:ascii="Times New Roman" w:hAnsi="Times New Roman"/>
          <w:szCs w:val="24"/>
        </w:rPr>
      </w:pPr>
    </w:p>
    <w:p w:rsidRPr="00E277CA" w:rsidR="00E277CA" w:rsidP="00E277CA" w:rsidRDefault="00865F8F" w14:paraId="471AB7AE" w14:textId="04B1EB2A">
      <w:pPr>
        <w:tabs>
          <w:tab w:val="left" w:pos="-720"/>
        </w:tabs>
        <w:suppressAutoHyphens/>
        <w:ind w:left="720"/>
        <w:rPr>
          <w:rFonts w:ascii="Times New Roman" w:hAnsi="Times New Roman"/>
          <w:szCs w:val="24"/>
        </w:rPr>
      </w:pPr>
      <w:r>
        <w:rPr>
          <w:rFonts w:ascii="Times New Roman" w:hAnsi="Times New Roman"/>
          <w:szCs w:val="24"/>
        </w:rPr>
        <w:t xml:space="preserve">   </w:t>
      </w:r>
      <w:r w:rsidRPr="00E277CA" w:rsidR="00E277CA">
        <w:rPr>
          <w:rFonts w:ascii="Times New Roman" w:hAnsi="Times New Roman"/>
          <w:szCs w:val="24"/>
        </w:rPr>
        <w:t>There are no startup costs to respondents.</w:t>
      </w:r>
    </w:p>
    <w:p w:rsidR="00534B4A" w:rsidP="00E277CA" w:rsidRDefault="00534B4A" w14:paraId="38A92C21" w14:textId="77777777">
      <w:pPr>
        <w:tabs>
          <w:tab w:val="left" w:pos="-720"/>
        </w:tabs>
        <w:suppressAutoHyphens/>
        <w:ind w:left="720"/>
        <w:rPr>
          <w:rFonts w:ascii="Times New Roman" w:hAnsi="Times New Roman"/>
          <w:szCs w:val="24"/>
        </w:rPr>
      </w:pPr>
    </w:p>
    <w:p w:rsidRPr="00534B4A"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1706E839" w14:textId="77777777">
      <w:pPr>
        <w:tabs>
          <w:tab w:val="left" w:pos="-720"/>
        </w:tabs>
        <w:suppressAutoHyphens/>
        <w:rPr>
          <w:rFonts w:ascii="Times New Roman" w:hAnsi="Times New Roman"/>
          <w:szCs w:val="24"/>
        </w:rPr>
      </w:pPr>
    </w:p>
    <w:p w:rsidRPr="00E277CA" w:rsidR="00E277CA" w:rsidP="00E277CA" w:rsidRDefault="00E277CA" w14:paraId="5A86BE3C" w14:textId="77777777">
      <w:pPr>
        <w:pStyle w:val="ListParagraph"/>
        <w:tabs>
          <w:tab w:val="left" w:pos="-720"/>
        </w:tabs>
        <w:suppressAutoHyphens/>
        <w:ind w:left="907"/>
        <w:rPr>
          <w:rFonts w:ascii="Times New Roman" w:hAnsi="Times New Roman"/>
          <w:szCs w:val="24"/>
        </w:rPr>
      </w:pPr>
      <w:r w:rsidRPr="00E277CA">
        <w:rPr>
          <w:rFonts w:ascii="Times New Roman" w:hAnsi="Times New Roman"/>
          <w:szCs w:val="24"/>
        </w:rPr>
        <w:t>Estimated annualized Federal cost:</w:t>
      </w:r>
    </w:p>
    <w:p w:rsidRPr="00E277CA" w:rsidR="00E277CA" w:rsidP="00E277CA" w:rsidRDefault="00E277CA" w14:paraId="7E3CE101" w14:textId="77777777">
      <w:pPr>
        <w:pStyle w:val="ListParagraph"/>
        <w:tabs>
          <w:tab w:val="left" w:pos="-720"/>
        </w:tabs>
        <w:suppressAutoHyphens/>
        <w:ind w:left="907"/>
        <w:rPr>
          <w:rFonts w:ascii="Times New Roman" w:hAnsi="Times New Roman"/>
          <w:szCs w:val="24"/>
        </w:rPr>
      </w:pPr>
    </w:p>
    <w:p w:rsidRPr="00E277CA" w:rsidR="00E277CA" w:rsidP="00E277CA" w:rsidRDefault="00E277CA" w14:paraId="0090E212" w14:textId="77777777">
      <w:pPr>
        <w:pStyle w:val="ListParagraph"/>
        <w:tabs>
          <w:tab w:val="left" w:pos="-720"/>
        </w:tabs>
        <w:suppressAutoHyphens/>
        <w:ind w:left="907"/>
        <w:rPr>
          <w:rFonts w:ascii="Times New Roman" w:hAnsi="Times New Roman"/>
          <w:szCs w:val="24"/>
        </w:rPr>
      </w:pPr>
      <w:r w:rsidRPr="00E277CA">
        <w:rPr>
          <w:rFonts w:ascii="Times New Roman" w:hAnsi="Times New Roman"/>
          <w:szCs w:val="24"/>
        </w:rPr>
        <w:t xml:space="preserve">The salary of the staff that will be conducting the reviews is higher than previously reported and therefore the estimated annualized Federal cost has increased.  Currently, the Department has one employee working on this program so this change is reflected in the below calculation.  </w:t>
      </w:r>
    </w:p>
    <w:p w:rsidRPr="00E277CA" w:rsidR="00E277CA" w:rsidP="00E277CA" w:rsidRDefault="00E277CA" w14:paraId="513D8602" w14:textId="77777777">
      <w:pPr>
        <w:pStyle w:val="ListParagraph"/>
        <w:tabs>
          <w:tab w:val="left" w:pos="-720"/>
        </w:tabs>
        <w:suppressAutoHyphens/>
        <w:ind w:left="907"/>
        <w:rPr>
          <w:rFonts w:ascii="Times New Roman" w:hAnsi="Times New Roman"/>
          <w:szCs w:val="24"/>
        </w:rPr>
      </w:pPr>
    </w:p>
    <w:p w:rsidRPr="00E277CA" w:rsidR="00E277CA" w:rsidP="00E277CA" w:rsidRDefault="00E277CA" w14:paraId="404AE0C8" w14:textId="77777777">
      <w:pPr>
        <w:pStyle w:val="ListParagraph"/>
        <w:tabs>
          <w:tab w:val="left" w:pos="-720"/>
        </w:tabs>
        <w:suppressAutoHyphens/>
        <w:ind w:left="907"/>
        <w:rPr>
          <w:rFonts w:ascii="Times New Roman" w:hAnsi="Times New Roman"/>
          <w:szCs w:val="24"/>
        </w:rPr>
      </w:pPr>
      <w:r w:rsidRPr="00E277CA">
        <w:rPr>
          <w:rFonts w:ascii="Times New Roman" w:hAnsi="Times New Roman"/>
          <w:szCs w:val="24"/>
        </w:rPr>
        <w:t>Program Personnel:</w:t>
      </w:r>
    </w:p>
    <w:p w:rsidRPr="00E277CA" w:rsidR="00E277CA" w:rsidP="00E277CA" w:rsidRDefault="00E277CA" w14:paraId="139E26BC" w14:textId="77777777">
      <w:pPr>
        <w:pStyle w:val="ListParagraph"/>
        <w:tabs>
          <w:tab w:val="left" w:pos="-720"/>
        </w:tabs>
        <w:suppressAutoHyphens/>
        <w:ind w:left="907"/>
        <w:rPr>
          <w:rFonts w:ascii="Times New Roman" w:hAnsi="Times New Roman"/>
          <w:szCs w:val="24"/>
        </w:rPr>
      </w:pPr>
    </w:p>
    <w:p w:rsidRPr="00E277CA" w:rsidR="00E277CA" w:rsidP="00E277CA" w:rsidRDefault="00E277CA" w14:paraId="3540B81D" w14:textId="7293BF68">
      <w:pPr>
        <w:pStyle w:val="ListParagraph"/>
        <w:tabs>
          <w:tab w:val="left" w:pos="-720"/>
        </w:tabs>
        <w:suppressAutoHyphens/>
        <w:ind w:left="907"/>
        <w:rPr>
          <w:rFonts w:ascii="Times New Roman" w:hAnsi="Times New Roman"/>
          <w:szCs w:val="24"/>
        </w:rPr>
      </w:pPr>
      <w:r w:rsidRPr="00E277CA">
        <w:rPr>
          <w:rFonts w:ascii="Times New Roman" w:hAnsi="Times New Roman"/>
          <w:szCs w:val="24"/>
        </w:rPr>
        <w:t>1 person @ $39.46 hr. x 600 hours</w:t>
      </w:r>
      <w:r w:rsidRPr="00E277CA">
        <w:rPr>
          <w:rFonts w:ascii="Times New Roman" w:hAnsi="Times New Roman"/>
          <w:szCs w:val="24"/>
        </w:rPr>
        <w:tab/>
      </w:r>
      <w:proofErr w:type="gramStart"/>
      <w:r w:rsidRPr="00E277CA">
        <w:rPr>
          <w:rFonts w:ascii="Times New Roman" w:hAnsi="Times New Roman"/>
          <w:szCs w:val="24"/>
        </w:rPr>
        <w:t>=</w:t>
      </w:r>
      <w:r w:rsidR="00865F8F">
        <w:rPr>
          <w:rFonts w:ascii="Times New Roman" w:hAnsi="Times New Roman"/>
          <w:szCs w:val="24"/>
        </w:rPr>
        <w:t xml:space="preserve">  </w:t>
      </w:r>
      <w:r w:rsidRPr="00E277CA">
        <w:rPr>
          <w:rFonts w:ascii="Times New Roman" w:hAnsi="Times New Roman"/>
          <w:szCs w:val="24"/>
        </w:rPr>
        <w:t>$</w:t>
      </w:r>
      <w:proofErr w:type="gramEnd"/>
      <w:r w:rsidRPr="00E277CA">
        <w:rPr>
          <w:rFonts w:ascii="Times New Roman" w:hAnsi="Times New Roman"/>
          <w:szCs w:val="24"/>
        </w:rPr>
        <w:t>23,640</w:t>
      </w:r>
    </w:p>
    <w:p w:rsidR="00534B4A" w:rsidP="00534B4A" w:rsidRDefault="00534B4A" w14:paraId="7F079457" w14:textId="77777777">
      <w:pPr>
        <w:pStyle w:val="ListParagraph"/>
        <w:tabs>
          <w:tab w:val="left" w:pos="-720"/>
        </w:tabs>
        <w:suppressAutoHyphens/>
        <w:ind w:left="907"/>
        <w:contextualSpacing w:val="0"/>
        <w:rPr>
          <w:rFonts w:ascii="Times New Roman" w:hAnsi="Times New Roman"/>
          <w:szCs w:val="24"/>
        </w:rPr>
      </w:pPr>
    </w:p>
    <w:p w:rsidRPr="00534B4A"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E277CA" w:rsidP="00534B4A" w:rsidRDefault="00E277CA" w14:paraId="24B8425E" w14:textId="77777777">
      <w:pPr>
        <w:tabs>
          <w:tab w:val="left" w:pos="-720"/>
        </w:tabs>
        <w:suppressAutoHyphens/>
        <w:rPr>
          <w:rFonts w:ascii="Times New Roman" w:hAnsi="Times New Roman"/>
          <w:b/>
          <w:szCs w:val="24"/>
        </w:rPr>
      </w:pPr>
    </w:p>
    <w:p w:rsidRPr="00E277CA" w:rsidR="00534B4A" w:rsidP="00E277CA" w:rsidRDefault="00972262" w14:paraId="60D2D24D" w14:textId="0BF9BC31">
      <w:pPr>
        <w:tabs>
          <w:tab w:val="left" w:pos="-720"/>
        </w:tabs>
        <w:suppressAutoHyphens/>
        <w:ind w:left="720"/>
        <w:rPr>
          <w:rFonts w:ascii="Times New Roman" w:hAnsi="Times New Roman"/>
          <w:bCs/>
          <w:szCs w:val="24"/>
        </w:rPr>
      </w:pPr>
      <w:r>
        <w:rPr>
          <w:rFonts w:ascii="Times New Roman" w:hAnsi="Times New Roman"/>
          <w:bCs/>
          <w:szCs w:val="24"/>
        </w:rPr>
        <w:t xml:space="preserve">The adjustment in burden is due to an increase in the number of grantees. </w:t>
      </w:r>
      <w:r w:rsidR="000605A2">
        <w:rPr>
          <w:rFonts w:ascii="Times New Roman" w:hAnsi="Times New Roman"/>
          <w:bCs/>
          <w:szCs w:val="24"/>
        </w:rPr>
        <w:t>T</w:t>
      </w:r>
      <w:r w:rsidR="00583D6B">
        <w:rPr>
          <w:rFonts w:ascii="Times New Roman" w:hAnsi="Times New Roman"/>
          <w:bCs/>
          <w:szCs w:val="24"/>
        </w:rPr>
        <w:t xml:space="preserve">he number of potential grantees </w:t>
      </w:r>
      <w:r w:rsidR="00561914">
        <w:rPr>
          <w:rFonts w:ascii="Times New Roman" w:hAnsi="Times New Roman"/>
          <w:bCs/>
          <w:szCs w:val="24"/>
        </w:rPr>
        <w:t>has increased</w:t>
      </w:r>
      <w:r w:rsidR="004F7E05">
        <w:rPr>
          <w:rFonts w:ascii="Times New Roman" w:hAnsi="Times New Roman"/>
          <w:bCs/>
          <w:szCs w:val="24"/>
        </w:rPr>
        <w:t>,</w:t>
      </w:r>
      <w:r w:rsidR="000B11B8">
        <w:rPr>
          <w:rFonts w:ascii="Times New Roman" w:hAnsi="Times New Roman"/>
          <w:bCs/>
          <w:szCs w:val="24"/>
        </w:rPr>
        <w:t xml:space="preserve"> so</w:t>
      </w:r>
      <w:r w:rsidR="004F7E05">
        <w:rPr>
          <w:rFonts w:ascii="Times New Roman" w:hAnsi="Times New Roman"/>
          <w:bCs/>
          <w:szCs w:val="24"/>
        </w:rPr>
        <w:t xml:space="preserve"> the Department is increasing its estimate of </w:t>
      </w:r>
      <w:r w:rsidR="000B11B8">
        <w:rPr>
          <w:rFonts w:ascii="Times New Roman" w:hAnsi="Times New Roman"/>
          <w:bCs/>
          <w:szCs w:val="24"/>
        </w:rPr>
        <w:t xml:space="preserve">the burden from </w:t>
      </w:r>
      <w:r w:rsidR="00792232">
        <w:rPr>
          <w:rFonts w:ascii="Times New Roman" w:hAnsi="Times New Roman"/>
          <w:bCs/>
          <w:szCs w:val="24"/>
        </w:rPr>
        <w:t xml:space="preserve">40 respondents to 60 respondents. This increase </w:t>
      </w:r>
      <w:r w:rsidR="00C13F4E">
        <w:rPr>
          <w:rFonts w:ascii="Times New Roman" w:hAnsi="Times New Roman"/>
          <w:bCs/>
          <w:szCs w:val="24"/>
        </w:rPr>
        <w:t>by respondents corresponds with an increase</w:t>
      </w:r>
      <w:r w:rsidR="00632FFA">
        <w:rPr>
          <w:rFonts w:ascii="Times New Roman" w:hAnsi="Times New Roman"/>
          <w:bCs/>
          <w:szCs w:val="24"/>
        </w:rPr>
        <w:t xml:space="preserve"> in 500 burden hours. </w:t>
      </w:r>
    </w:p>
    <w:p w:rsidRPr="00534B4A" w:rsidR="00534B4A" w:rsidP="00534B4A" w:rsidRDefault="00534B4A" w14:paraId="6B91F205" w14:textId="77777777">
      <w:pPr>
        <w:tabs>
          <w:tab w:val="left" w:pos="-720"/>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77CA" w:rsidP="00E277CA" w:rsidRDefault="00E277CA" w14:paraId="06646467" w14:textId="77777777">
      <w:pPr>
        <w:tabs>
          <w:tab w:val="left" w:pos="-720"/>
        </w:tabs>
        <w:suppressAutoHyphens/>
        <w:rPr>
          <w:rFonts w:ascii="Times New Roman" w:hAnsi="Times New Roman"/>
          <w:szCs w:val="24"/>
        </w:rPr>
      </w:pPr>
    </w:p>
    <w:p w:rsidR="00534B4A" w:rsidP="00E277CA" w:rsidRDefault="00E277CA" w14:paraId="114E43B9" w14:textId="3D735818">
      <w:pPr>
        <w:tabs>
          <w:tab w:val="left" w:pos="-720"/>
        </w:tabs>
        <w:suppressAutoHyphens/>
        <w:ind w:left="720"/>
        <w:rPr>
          <w:rFonts w:ascii="Times New Roman" w:hAnsi="Times New Roman"/>
          <w:szCs w:val="24"/>
        </w:rPr>
      </w:pPr>
      <w:r w:rsidRPr="00E277CA">
        <w:rPr>
          <w:rFonts w:ascii="Times New Roman" w:hAnsi="Times New Roman"/>
          <w:szCs w:val="24"/>
        </w:rPr>
        <w:t>The Secretary will use the results to report to Congress and in reporting data under the</w:t>
      </w:r>
      <w:r>
        <w:rPr>
          <w:rFonts w:ascii="Times New Roman" w:hAnsi="Times New Roman"/>
          <w:szCs w:val="24"/>
        </w:rPr>
        <w:t xml:space="preserve"> </w:t>
      </w:r>
      <w:r w:rsidRPr="00E277CA">
        <w:rPr>
          <w:rFonts w:ascii="Times New Roman" w:hAnsi="Times New Roman"/>
          <w:szCs w:val="24"/>
        </w:rPr>
        <w:t>Government Performance and Results Act.</w:t>
      </w:r>
      <w:r>
        <w:rPr>
          <w:rFonts w:ascii="Times New Roman" w:hAnsi="Times New Roman"/>
          <w:szCs w:val="24"/>
        </w:rPr>
        <w:t xml:space="preserve"> No </w:t>
      </w:r>
      <w:r w:rsidRPr="00E277CA">
        <w:rPr>
          <w:rFonts w:ascii="Times New Roman" w:hAnsi="Times New Roman"/>
          <w:szCs w:val="24"/>
        </w:rPr>
        <w:t>complex analytical techniques</w:t>
      </w:r>
      <w:r w:rsidR="00972262">
        <w:rPr>
          <w:rFonts w:ascii="Times New Roman" w:hAnsi="Times New Roman"/>
          <w:szCs w:val="24"/>
        </w:rPr>
        <w:t xml:space="preserve"> will</w:t>
      </w:r>
      <w:r w:rsidRPr="00E277CA">
        <w:rPr>
          <w:rFonts w:ascii="Times New Roman" w:hAnsi="Times New Roman"/>
          <w:szCs w:val="24"/>
        </w:rPr>
        <w:t xml:space="preserve"> be used</w:t>
      </w:r>
      <w:r>
        <w:rPr>
          <w:rFonts w:ascii="Times New Roman" w:hAnsi="Times New Roman"/>
          <w:szCs w:val="24"/>
        </w:rPr>
        <w:t>.</w:t>
      </w:r>
    </w:p>
    <w:p w:rsidRPr="00534B4A" w:rsidR="00534B4A" w:rsidP="00534B4A" w:rsidRDefault="00534B4A" w14:paraId="7C8A1CDA" w14:textId="5C8B0B16">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72262" w:rsidP="00E277CA" w:rsidRDefault="00972262" w14:paraId="718CC1B4" w14:textId="77777777">
      <w:pPr>
        <w:pStyle w:val="BodyTextIndent"/>
        <w:ind w:left="900"/>
        <w:rPr>
          <w:rFonts w:ascii="Times New Roman" w:hAnsi="Times New Roman"/>
        </w:rPr>
      </w:pPr>
    </w:p>
    <w:p w:rsidRPr="00C16466" w:rsidR="00E277CA" w:rsidP="00E277CA" w:rsidRDefault="00972262" w14:paraId="7F623F02" w14:textId="74BFE3A8">
      <w:pPr>
        <w:pStyle w:val="BodyTextIndent"/>
        <w:ind w:left="900"/>
        <w:rPr>
          <w:rFonts w:ascii="Times New Roman" w:hAnsi="Times New Roman"/>
        </w:rPr>
      </w:pPr>
      <w:r>
        <w:rPr>
          <w:rFonts w:ascii="Times New Roman" w:hAnsi="Times New Roman"/>
        </w:rPr>
        <w:t>T</w:t>
      </w:r>
      <w:r w:rsidRPr="00C16466" w:rsidR="00E277CA">
        <w:rPr>
          <w:rFonts w:ascii="Times New Roman" w:hAnsi="Times New Roman"/>
        </w:rPr>
        <w:t>he expiration date will be displayed on the information collection.</w:t>
      </w:r>
    </w:p>
    <w:p w:rsidRPr="00534B4A" w:rsidR="00534B4A" w:rsidP="00972262" w:rsidRDefault="00534B4A" w14:paraId="7F202C47" w14:textId="77777777">
      <w:pPr>
        <w:tabs>
          <w:tab w:val="left" w:pos="-720"/>
        </w:tabs>
        <w:suppressAutoHyphens/>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C73C0" w:rsidP="00AD381B" w:rsidRDefault="001C73C0" w14:paraId="03560D94" w14:textId="6A188A48">
      <w:pPr>
        <w:rPr>
          <w:rFonts w:ascii="Times New Roman" w:hAnsi="Times New Roman"/>
          <w:szCs w:val="24"/>
        </w:rPr>
      </w:pPr>
    </w:p>
    <w:p w:rsidRPr="00E277CA" w:rsidR="00E277CA" w:rsidP="00E277CA" w:rsidRDefault="00E277CA" w14:paraId="13A77C90" w14:textId="77777777">
      <w:pPr>
        <w:ind w:left="900"/>
        <w:rPr>
          <w:rFonts w:ascii="Times New Roman" w:hAnsi="Times New Roman"/>
          <w:szCs w:val="24"/>
        </w:rPr>
      </w:pPr>
      <w:r w:rsidRPr="00E277CA">
        <w:rPr>
          <w:rFonts w:ascii="Times New Roman" w:hAnsi="Times New Roman"/>
          <w:szCs w:val="24"/>
        </w:rPr>
        <w:t>There is no exception to the certifications.</w:t>
      </w:r>
    </w:p>
    <w:p w:rsidRPr="00AD381B" w:rsidR="00E277CA" w:rsidP="00AD381B" w:rsidRDefault="00E277CA" w14:paraId="4A7DD2F5" w14:textId="77777777">
      <w:pPr>
        <w:rPr>
          <w:rFonts w:ascii="Times New Roman" w:hAnsi="Times New Roman"/>
          <w:szCs w:val="24"/>
        </w:rPr>
      </w:pPr>
    </w:p>
    <w:sectPr w:rsidRPr="00AD381B" w:rsidR="00E277CA"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B1030" w14:textId="77777777" w:rsidR="00B62E06" w:rsidRDefault="00B62E06" w:rsidP="00043C32">
      <w:r>
        <w:separator/>
      </w:r>
    </w:p>
  </w:endnote>
  <w:endnote w:type="continuationSeparator" w:id="0">
    <w:p w14:paraId="72F1DE03" w14:textId="77777777" w:rsidR="00B62E06" w:rsidRDefault="00B62E0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FE573E">
    <w:pPr>
      <w:spacing w:before="140" w:line="100" w:lineRule="exact"/>
      <w:rPr>
        <w:sz w:val="10"/>
      </w:rPr>
    </w:pPr>
  </w:p>
  <w:p w14:paraId="03560D9D" w14:textId="77777777" w:rsidR="00386054" w:rsidRDefault="00FE573E">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6E6B2" w14:textId="77777777" w:rsidR="00B62E06" w:rsidRDefault="00B62E06" w:rsidP="00043C32">
      <w:r>
        <w:separator/>
      </w:r>
    </w:p>
  </w:footnote>
  <w:footnote w:type="continuationSeparator" w:id="0">
    <w:p w14:paraId="389B90DF" w14:textId="77777777" w:rsidR="00B62E06" w:rsidRDefault="00B62E06"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43C32"/>
    <w:rsid w:val="000605A2"/>
    <w:rsid w:val="00093017"/>
    <w:rsid w:val="000B11B8"/>
    <w:rsid w:val="001824F3"/>
    <w:rsid w:val="001C73C0"/>
    <w:rsid w:val="002225CC"/>
    <w:rsid w:val="00224A3B"/>
    <w:rsid w:val="00240A39"/>
    <w:rsid w:val="00250100"/>
    <w:rsid w:val="00297074"/>
    <w:rsid w:val="002E5B90"/>
    <w:rsid w:val="0032078A"/>
    <w:rsid w:val="003B1545"/>
    <w:rsid w:val="003F3FC2"/>
    <w:rsid w:val="00442E07"/>
    <w:rsid w:val="004F7E05"/>
    <w:rsid w:val="00517F84"/>
    <w:rsid w:val="00534B4A"/>
    <w:rsid w:val="00561914"/>
    <w:rsid w:val="00583D6B"/>
    <w:rsid w:val="005B07C4"/>
    <w:rsid w:val="005F7BD3"/>
    <w:rsid w:val="00632FFA"/>
    <w:rsid w:val="006544F3"/>
    <w:rsid w:val="00752157"/>
    <w:rsid w:val="00755D99"/>
    <w:rsid w:val="00790E3E"/>
    <w:rsid w:val="00792232"/>
    <w:rsid w:val="007B5CD0"/>
    <w:rsid w:val="008475EA"/>
    <w:rsid w:val="00865F8F"/>
    <w:rsid w:val="008E5919"/>
    <w:rsid w:val="00905951"/>
    <w:rsid w:val="00912D2C"/>
    <w:rsid w:val="00920F63"/>
    <w:rsid w:val="00934185"/>
    <w:rsid w:val="00972262"/>
    <w:rsid w:val="00A64D2D"/>
    <w:rsid w:val="00A7636D"/>
    <w:rsid w:val="00A9138E"/>
    <w:rsid w:val="00AD381B"/>
    <w:rsid w:val="00B017F9"/>
    <w:rsid w:val="00B10A05"/>
    <w:rsid w:val="00B54167"/>
    <w:rsid w:val="00B62E06"/>
    <w:rsid w:val="00B9671B"/>
    <w:rsid w:val="00BA1D31"/>
    <w:rsid w:val="00C13F4E"/>
    <w:rsid w:val="00C164D3"/>
    <w:rsid w:val="00CC2A72"/>
    <w:rsid w:val="00D36C35"/>
    <w:rsid w:val="00E16ACD"/>
    <w:rsid w:val="00E17134"/>
    <w:rsid w:val="00E25EBC"/>
    <w:rsid w:val="00E277CA"/>
    <w:rsid w:val="00E66550"/>
    <w:rsid w:val="00EA1767"/>
    <w:rsid w:val="00EB0929"/>
    <w:rsid w:val="00EC35E3"/>
    <w:rsid w:val="00ED7195"/>
    <w:rsid w:val="00F0414F"/>
    <w:rsid w:val="00F73131"/>
    <w:rsid w:val="00FD4F0B"/>
    <w:rsid w:val="00FE57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BalloonText">
    <w:name w:val="Balloon Text"/>
    <w:basedOn w:val="Normal"/>
    <w:link w:val="BalloonTextChar"/>
    <w:uiPriority w:val="99"/>
    <w:semiHidden/>
    <w:unhideWhenUsed/>
    <w:rsid w:val="007B5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D0"/>
    <w:rPr>
      <w:rFonts w:ascii="Segoe UI" w:hAnsi="Segoe UI" w:cs="Segoe UI"/>
      <w:sz w:val="18"/>
      <w:szCs w:val="18"/>
    </w:rPr>
  </w:style>
  <w:style w:type="paragraph" w:styleId="BodyTextIndent3">
    <w:name w:val="Body Text Indent 3"/>
    <w:basedOn w:val="Normal"/>
    <w:link w:val="BodyTextIndent3Char"/>
    <w:semiHidden/>
    <w:rsid w:val="00E277CA"/>
    <w:pPr>
      <w:ind w:hanging="360"/>
    </w:pPr>
    <w:rPr>
      <w:rFonts w:ascii="CG Times" w:hAnsi="CG Times"/>
    </w:rPr>
  </w:style>
  <w:style w:type="character" w:customStyle="1" w:styleId="BodyTextIndent3Char">
    <w:name w:val="Body Text Indent 3 Char"/>
    <w:basedOn w:val="DefaultParagraphFont"/>
    <w:link w:val="BodyTextIndent3"/>
    <w:semiHidden/>
    <w:rsid w:val="00E277CA"/>
    <w:rPr>
      <w:rFonts w:ascii="CG Times" w:hAnsi="CG Times"/>
      <w:sz w:val="24"/>
    </w:rPr>
  </w:style>
  <w:style w:type="paragraph" w:styleId="BodyTextIndent">
    <w:name w:val="Body Text Indent"/>
    <w:basedOn w:val="Normal"/>
    <w:link w:val="BodyTextIndentChar"/>
    <w:uiPriority w:val="99"/>
    <w:semiHidden/>
    <w:unhideWhenUsed/>
    <w:rsid w:val="00E277CA"/>
    <w:pPr>
      <w:spacing w:after="120"/>
      <w:ind w:left="360"/>
    </w:pPr>
  </w:style>
  <w:style w:type="character" w:customStyle="1" w:styleId="BodyTextIndentChar">
    <w:name w:val="Body Text Indent Char"/>
    <w:basedOn w:val="DefaultParagraphFont"/>
    <w:link w:val="BodyTextIndent"/>
    <w:uiPriority w:val="99"/>
    <w:semiHidden/>
    <w:rsid w:val="00E277CA"/>
    <w:rPr>
      <w:rFonts w:ascii="Courier" w:hAnsi="Courier"/>
      <w:sz w:val="24"/>
    </w:rPr>
  </w:style>
  <w:style w:type="character" w:styleId="CommentReference">
    <w:name w:val="annotation reference"/>
    <w:uiPriority w:val="99"/>
    <w:semiHidden/>
    <w:unhideWhenUsed/>
    <w:rsid w:val="00E277CA"/>
    <w:rPr>
      <w:sz w:val="16"/>
      <w:szCs w:val="16"/>
    </w:rPr>
  </w:style>
  <w:style w:type="paragraph" w:styleId="CommentText">
    <w:name w:val="annotation text"/>
    <w:basedOn w:val="Normal"/>
    <w:link w:val="CommentTextChar"/>
    <w:uiPriority w:val="99"/>
    <w:semiHidden/>
    <w:unhideWhenUsed/>
    <w:rsid w:val="00E277CA"/>
    <w:rPr>
      <w:rFonts w:ascii="Times New Roman" w:hAnsi="Times New Roman"/>
      <w:sz w:val="20"/>
    </w:rPr>
  </w:style>
  <w:style w:type="character" w:customStyle="1" w:styleId="CommentTextChar">
    <w:name w:val="Comment Text Char"/>
    <w:basedOn w:val="DefaultParagraphFont"/>
    <w:link w:val="CommentText"/>
    <w:uiPriority w:val="99"/>
    <w:semiHidden/>
    <w:rsid w:val="00E277CA"/>
  </w:style>
  <w:style w:type="paragraph" w:styleId="BodyText0">
    <w:name w:val="Body Text"/>
    <w:basedOn w:val="Normal"/>
    <w:link w:val="BodyTextChar0"/>
    <w:uiPriority w:val="99"/>
    <w:semiHidden/>
    <w:unhideWhenUsed/>
    <w:rsid w:val="00E277CA"/>
    <w:pPr>
      <w:spacing w:after="120"/>
    </w:pPr>
  </w:style>
  <w:style w:type="character" w:customStyle="1" w:styleId="BodyTextChar0">
    <w:name w:val="Body Text Char"/>
    <w:basedOn w:val="DefaultParagraphFont"/>
    <w:link w:val="BodyText0"/>
    <w:uiPriority w:val="99"/>
    <w:semiHidden/>
    <w:rsid w:val="00E277CA"/>
    <w:rPr>
      <w:rFonts w:ascii="Courier" w:hAnsi="Courier"/>
      <w:sz w:val="24"/>
    </w:rPr>
  </w:style>
  <w:style w:type="paragraph" w:styleId="BodyTextIndent2">
    <w:name w:val="Body Text Indent 2"/>
    <w:basedOn w:val="Normal"/>
    <w:link w:val="BodyTextIndent2Char"/>
    <w:uiPriority w:val="99"/>
    <w:semiHidden/>
    <w:unhideWhenUsed/>
    <w:rsid w:val="006544F3"/>
    <w:pPr>
      <w:spacing w:after="120" w:line="480" w:lineRule="auto"/>
      <w:ind w:left="360"/>
    </w:pPr>
  </w:style>
  <w:style w:type="character" w:customStyle="1" w:styleId="BodyTextIndent2Char">
    <w:name w:val="Body Text Indent 2 Char"/>
    <w:basedOn w:val="DefaultParagraphFont"/>
    <w:link w:val="BodyTextIndent2"/>
    <w:uiPriority w:val="99"/>
    <w:semiHidden/>
    <w:rsid w:val="006544F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5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f87c7b8b-c0e7-4b77-a067-2c707fd1239f"/>
    <ds:schemaRef ds:uri="http://schemas.microsoft.com/office/infopath/2007/PartnerControls"/>
    <ds:schemaRef ds:uri="02e41e38-1731-4866-b09a-6257d8bc047f"/>
    <ds:schemaRef ds:uri="http://purl.org/dc/term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BA4E0297-0CAC-4130-AB1A-104301A2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A3DE6-9774-434B-B70B-04C611D5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3375</Words>
  <Characters>19244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2020-04-21T17:17:00Z</dcterms:created>
  <dcterms:modified xsi:type="dcterms:W3CDTF">2020-04-21T17:17:00Z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