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87E" w:rsidRDefault="00985024" w14:paraId="684B0B3F" w14:textId="777777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Supporting Statement for </w:t>
      </w:r>
    </w:p>
    <w:p w:rsidR="00A5287E" w:rsidRDefault="00985024" w14:paraId="21FB659A"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FERC-725M</w:t>
      </w:r>
      <w:r>
        <w:rPr>
          <w:rStyle w:val="FootnoteReference"/>
          <w:rFonts w:ascii="Times New Roman" w:hAnsi="Times New Roman" w:cs="Times New Roman"/>
          <w:b/>
          <w:sz w:val="26"/>
          <w:szCs w:val="26"/>
          <w:vertAlign w:val="superscript"/>
        </w:rPr>
        <w:footnoteReference w:id="1"/>
      </w:r>
      <w:r>
        <w:rPr>
          <w:rFonts w:ascii="Times New Roman" w:hAnsi="Times New Roman" w:cs="Times New Roman"/>
          <w:b/>
          <w:sz w:val="26"/>
          <w:szCs w:val="26"/>
        </w:rPr>
        <w:t xml:space="preserve">, Mandatory Reliability Standard: </w:t>
      </w:r>
      <w:bookmarkStart w:name="_Hlk24026256" w:id="0"/>
      <w:r>
        <w:rPr>
          <w:rFonts w:ascii="Times New Roman" w:hAnsi="Times New Roman" w:cs="Times New Roman"/>
          <w:b/>
          <w:sz w:val="26"/>
          <w:szCs w:val="26"/>
        </w:rPr>
        <w:t>FAC-003-4, Vegetation Management</w:t>
      </w:r>
      <w:bookmarkEnd w:id="0"/>
      <w:r>
        <w:rPr>
          <w:rStyle w:val="FootnoteReference"/>
          <w:rFonts w:ascii="Times New Roman" w:hAnsi="Times New Roman" w:cs="Times New Roman"/>
          <w:b/>
          <w:sz w:val="26"/>
          <w:szCs w:val="26"/>
          <w:vertAlign w:val="superscript"/>
        </w:rPr>
        <w:footnoteReference w:id="2"/>
      </w:r>
      <w:r>
        <w:rPr>
          <w:rFonts w:ascii="Times New Roman" w:hAnsi="Times New Roman" w:cs="Times New Roman"/>
          <w:b/>
          <w:sz w:val="26"/>
          <w:szCs w:val="26"/>
        </w:rPr>
        <w:t xml:space="preserve"> </w:t>
      </w:r>
    </w:p>
    <w:p w:rsidR="00A5287E" w:rsidRDefault="00A5287E" w14:paraId="44758622" w14:textId="77777777">
      <w:pPr>
        <w:spacing w:after="0" w:line="240" w:lineRule="auto"/>
        <w:jc w:val="center"/>
        <w:rPr>
          <w:rFonts w:ascii="Times New Roman" w:hAnsi="Times New Roman" w:cs="Times New Roman"/>
          <w:b/>
          <w:sz w:val="26"/>
          <w:szCs w:val="26"/>
        </w:rPr>
      </w:pPr>
    </w:p>
    <w:p w:rsidR="00A5287E" w:rsidRDefault="00985024" w14:paraId="6BA7A13D" w14:textId="77777777">
      <w:pPr>
        <w:widowControl w:val="0"/>
        <w:autoSpaceDE w:val="0"/>
        <w:autoSpaceDN w:val="0"/>
        <w:adjustRightInd w:val="0"/>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sz w:val="26"/>
          <w:szCs w:val="26"/>
        </w:rPr>
        <w:t xml:space="preserve">The Federal Energy Regulatory Commission (Commission or FERC) requests that the Office of Management and Budget (OMB) review and approve </w:t>
      </w:r>
      <w:r>
        <w:rPr>
          <w:rFonts w:ascii="Times New Roman" w:hAnsi="Times New Roman" w:eastAsia="Times New Roman" w:cs="Times New Roman"/>
          <w:b/>
          <w:sz w:val="26"/>
          <w:szCs w:val="26"/>
        </w:rPr>
        <w:t xml:space="preserve">FERC-725M, Mandatory Reliability Standard: </w:t>
      </w:r>
      <w:bookmarkStart w:name="_Hlk24027254" w:id="1"/>
      <w:r>
        <w:rPr>
          <w:rFonts w:ascii="Times New Roman" w:hAnsi="Times New Roman" w:cs="Times New Roman"/>
          <w:b/>
          <w:sz w:val="26"/>
          <w:szCs w:val="26"/>
        </w:rPr>
        <w:t>FAC-003-4, Vegetation Management</w:t>
      </w:r>
      <w:bookmarkEnd w:id="1"/>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(OMB Control No. 1902-0263) for a three-year period.  FERC-725M is an existing data collection with reporting requirements in 18 Code of Federal Regulations (CFR), Part 40.</w:t>
      </w:r>
    </w:p>
    <w:p w:rsidR="00A5287E" w:rsidRDefault="00A5287E" w14:paraId="18E187AA" w14:textId="77777777">
      <w:pPr>
        <w:spacing w:after="0" w:line="240" w:lineRule="auto"/>
        <w:rPr>
          <w:rFonts w:ascii="Times New Roman" w:hAnsi="Times New Roman" w:cs="Times New Roman"/>
          <w:b/>
          <w:sz w:val="26"/>
          <w:szCs w:val="26"/>
        </w:rPr>
      </w:pPr>
    </w:p>
    <w:p w:rsidR="00A5287E" w:rsidRDefault="00985024" w14:paraId="1F1E4AD1"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CIRCUMSTANCES THAT MAKE THE COLLECTION OF INFORMATION NECESSARY</w:t>
      </w:r>
    </w:p>
    <w:p w:rsidR="00A5287E" w:rsidRDefault="00A5287E" w14:paraId="68290765" w14:textId="77777777">
      <w:pPr>
        <w:spacing w:after="0" w:line="240" w:lineRule="auto"/>
        <w:rPr>
          <w:rFonts w:ascii="Times New Roman" w:hAnsi="Times New Roman" w:cs="Times New Roman"/>
          <w:sz w:val="26"/>
          <w:szCs w:val="26"/>
        </w:rPr>
      </w:pPr>
    </w:p>
    <w:p w:rsidR="00A5287E" w:rsidRDefault="00985024" w14:paraId="090D94DF" w14:textId="77777777">
      <w:pPr>
        <w:spacing w:after="0" w:line="240" w:lineRule="auto"/>
        <w:rPr>
          <w:rFonts w:ascii="Times New Roman" w:hAnsi="Times New Roman" w:cs="Times New Roman"/>
          <w:sz w:val="24"/>
          <w:szCs w:val="24"/>
        </w:rPr>
      </w:pPr>
      <w:r>
        <w:rPr>
          <w:rFonts w:ascii="Times New Roman" w:hAnsi="Times New Roman" w:cs="Times New Roman"/>
          <w:sz w:val="26"/>
          <w:szCs w:val="26"/>
        </w:rPr>
        <w:t>On August 8, 2005, The Electricity Modernization Act of 2005, which is Title XII of the Energy Policy Act of 2005 (EPAct 2005), was enacted into law.</w:t>
      </w:r>
      <w:r>
        <w:rPr>
          <w:rStyle w:val="FootnoteReference"/>
          <w:rFonts w:ascii="Times New Roman" w:hAnsi="Times New Roman" w:cs="Times New Roman"/>
          <w:sz w:val="26"/>
          <w:szCs w:val="26"/>
          <w:vertAlign w:val="superscript"/>
        </w:rPr>
        <w:footnoteReference w:id="3"/>
      </w:r>
      <w:r>
        <w:rPr>
          <w:rFonts w:ascii="Times New Roman" w:hAnsi="Times New Roman" w:cs="Times New Roman"/>
          <w:sz w:val="26"/>
          <w:szCs w:val="26"/>
        </w:rPr>
        <w:t xml:space="preserve">  EPAct 2005 added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established a process to select and certify an ERO and, subsequently, certified the </w:t>
      </w:r>
      <w:r>
        <w:rPr>
          <w:rFonts w:ascii="Times New Roman" w:hAnsi="Times New Roman" w:eastAsia="Calibri" w:cs="Times New Roman"/>
          <w:sz w:val="26"/>
          <w:szCs w:val="26"/>
        </w:rPr>
        <w:t>North American Electric Reliability Corporation</w:t>
      </w:r>
      <w:r>
        <w:rPr>
          <w:rFonts w:ascii="Times New Roman" w:hAnsi="Times New Roman" w:cs="Times New Roman"/>
          <w:sz w:val="26"/>
          <w:szCs w:val="26"/>
        </w:rPr>
        <w:t xml:space="preserve"> (NERC) as the ERO.</w:t>
      </w:r>
      <w:r>
        <w:rPr>
          <w:rFonts w:ascii="Times New Roman" w:hAnsi="Times New Roman" w:cs="Times New Roman"/>
          <w:sz w:val="26"/>
          <w:szCs w:val="26"/>
          <w:vertAlign w:val="superscript"/>
        </w:rPr>
        <w:footnoteReference w:id="4"/>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 </w:t>
      </w:r>
      <w:r>
        <w:rPr>
          <w:rFonts w:ascii="Times New Roman" w:hAnsi="Times New Roman" w:cs="Times New Roman"/>
          <w:sz w:val="24"/>
          <w:szCs w:val="24"/>
        </w:rPr>
        <w:t xml:space="preserve"> </w:t>
      </w:r>
    </w:p>
    <w:p w:rsidR="00A5287E" w:rsidRDefault="00A5287E" w14:paraId="6914E70E" w14:textId="77777777">
      <w:pPr>
        <w:pStyle w:val="FERCparanumber"/>
        <w:widowControl/>
        <w:numPr>
          <w:ilvl w:val="0"/>
          <w:numId w:val="0"/>
        </w:numPr>
        <w:spacing w:line="240" w:lineRule="auto"/>
        <w:rPr>
          <w:szCs w:val="26"/>
        </w:rPr>
      </w:pPr>
    </w:p>
    <w:p w:rsidR="00A5287E" w:rsidRDefault="00985024" w14:paraId="61F0FF31"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North American Electric Reliability Corporation (NERC) submitted a petition</w:t>
      </w:r>
      <w:r>
        <w:rPr>
          <w:rStyle w:val="FootnoteReference"/>
          <w:rFonts w:ascii="Times New Roman" w:hAnsi="Times New Roman" w:cs="Times New Roman"/>
          <w:sz w:val="26"/>
          <w:szCs w:val="26"/>
          <w:vertAlign w:val="superscript"/>
        </w:rPr>
        <w:footnoteReference w:id="5"/>
      </w:r>
      <w:r>
        <w:rPr>
          <w:rFonts w:ascii="Times New Roman" w:hAnsi="Times New Roman" w:cs="Times New Roman"/>
          <w:sz w:val="26"/>
          <w:szCs w:val="26"/>
        </w:rPr>
        <w:t xml:space="preserve"> and explained that Reliability Standard FAC-003-4 included higher and more conservative values and, therefore, maintained that these revisions would “enhance reliability and </w:t>
      </w:r>
      <w:r>
        <w:rPr>
          <w:rFonts w:ascii="Times New Roman" w:hAnsi="Times New Roman" w:cs="Times New Roman"/>
          <w:sz w:val="26"/>
          <w:szCs w:val="26"/>
        </w:rPr>
        <w:lastRenderedPageBreak/>
        <w:t xml:space="preserve">provide additional confidence by applying a more conservative approach to determining the vegetation clearing distances.”   </w:t>
      </w:r>
    </w:p>
    <w:p w:rsidR="00A5287E" w:rsidRDefault="00A5287E" w14:paraId="757AE559" w14:textId="77777777">
      <w:pPr>
        <w:spacing w:after="0" w:line="240" w:lineRule="auto"/>
        <w:rPr>
          <w:rFonts w:ascii="Times New Roman" w:hAnsi="Times New Roman" w:cs="Times New Roman"/>
          <w:sz w:val="26"/>
          <w:szCs w:val="26"/>
        </w:rPr>
      </w:pPr>
    </w:p>
    <w:p w:rsidR="00A5287E" w:rsidRDefault="00985024" w14:paraId="06BD6C6A"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On April 26, 2016, a Delegated Letter Order was issued, in Docket No. RD16-4-000, approving proposed Reliability Standard FAC-003-4 (Transmission Vegetation Management).  Reliability Standard FAC-003-4 reflected revisions to the Minimum Vegetation Clearance Distances (MVCDs) in Reliability Standard FAC-003-3 based on additional testing regarding the appropriate gap factor to be used to calculate clearance distances for vegetation.  </w:t>
      </w:r>
    </w:p>
    <w:p w:rsidR="00A5287E" w:rsidRDefault="00A5287E" w14:paraId="2BF4D355" w14:textId="77777777">
      <w:pPr>
        <w:spacing w:after="0" w:line="240" w:lineRule="auto"/>
        <w:rPr>
          <w:rFonts w:ascii="Times New Roman" w:hAnsi="Times New Roman" w:cs="Times New Roman"/>
          <w:sz w:val="26"/>
          <w:szCs w:val="26"/>
        </w:rPr>
      </w:pPr>
    </w:p>
    <w:p w:rsidR="00A5287E" w:rsidRDefault="00985024" w14:paraId="6A5C3FE3"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 xml:space="preserve">HOW, BY WHOM, AND FOR WHAT </w:t>
      </w:r>
      <w:bookmarkStart w:name="_GoBack" w:id="2"/>
      <w:bookmarkEnd w:id="2"/>
      <w:r>
        <w:rPr>
          <w:rFonts w:ascii="Times New Roman" w:hAnsi="Times New Roman" w:cs="Times New Roman"/>
          <w:b/>
          <w:sz w:val="26"/>
          <w:szCs w:val="26"/>
        </w:rPr>
        <w:t>PURPOSE THE INFORMATION IS TO BE USED AND THE CONSEQUENCES OF NOT COLLECTING THE INFORMATION</w:t>
      </w:r>
    </w:p>
    <w:p w:rsidR="00A5287E" w:rsidRDefault="00A5287E" w14:paraId="700BE9C3" w14:textId="77777777">
      <w:pPr>
        <w:spacing w:after="0" w:line="240" w:lineRule="auto"/>
        <w:rPr>
          <w:rFonts w:ascii="Times New Roman" w:hAnsi="Times New Roman" w:cs="Times New Roman"/>
          <w:sz w:val="26"/>
          <w:szCs w:val="26"/>
        </w:rPr>
      </w:pPr>
    </w:p>
    <w:p w:rsidR="00A5287E" w:rsidRDefault="00985024" w14:paraId="1413D92D"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FAC-003-4 extends NERC’s vegetation management requirements to Generator Owners with qualifying interconnection facilities, including requirements to create and maintain records related to the Generator Owner’s vegetation management work plan and performance of inspections.  NERC stated</w:t>
      </w:r>
      <w:r>
        <w:rPr>
          <w:rStyle w:val="FootnoteReference"/>
          <w:rFonts w:ascii="Times New Roman" w:hAnsi="Times New Roman" w:cs="Times New Roman"/>
          <w:sz w:val="26"/>
          <w:szCs w:val="26"/>
          <w:vertAlign w:val="superscript"/>
        </w:rPr>
        <w:footnoteReference w:id="6"/>
      </w:r>
      <w:r>
        <w:rPr>
          <w:rFonts w:ascii="Times New Roman" w:hAnsi="Times New Roman" w:cs="Times New Roman"/>
          <w:sz w:val="26"/>
          <w:szCs w:val="26"/>
        </w:rPr>
        <w:t xml:space="preserve"> that: </w:t>
      </w:r>
    </w:p>
    <w:p w:rsidR="00A5287E" w:rsidRDefault="00A5287E" w14:paraId="587F4639" w14:textId="77777777">
      <w:pPr>
        <w:spacing w:after="0" w:line="240" w:lineRule="auto"/>
        <w:rPr>
          <w:rFonts w:ascii="Times New Roman" w:hAnsi="Times New Roman" w:cs="Times New Roman"/>
          <w:sz w:val="26"/>
          <w:szCs w:val="26"/>
        </w:rPr>
      </w:pPr>
    </w:p>
    <w:p w:rsidR="00A5287E" w:rsidRDefault="00985024" w14:paraId="25B5DF5C" w14:textId="77777777">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When it comes to vegetation management, [the generator interconnection lines] should be treated as though they are transmission lines; the risk of outages from vegetation located on a right-of-way for a generator-owned line is similar to the risk for Transmission Owners.</w:t>
      </w:r>
    </w:p>
    <w:p w:rsidR="00A5287E" w:rsidRDefault="00A5287E" w14:paraId="4D46A06A" w14:textId="77777777">
      <w:pPr>
        <w:spacing w:after="0" w:line="240" w:lineRule="auto"/>
        <w:rPr>
          <w:rFonts w:ascii="Times New Roman" w:hAnsi="Times New Roman" w:cs="Times New Roman"/>
          <w:sz w:val="26"/>
          <w:szCs w:val="26"/>
        </w:rPr>
      </w:pPr>
    </w:p>
    <w:p w:rsidR="00A5287E" w:rsidRDefault="00985024" w14:paraId="2984F41A" w14:textId="14081AB1">
      <w:pPr>
        <w:spacing w:after="0" w:line="240" w:lineRule="auto"/>
        <w:rPr>
          <w:rFonts w:ascii="Times New Roman" w:hAnsi="Times New Roman" w:cs="Times New Roman"/>
          <w:sz w:val="26"/>
          <w:szCs w:val="26"/>
        </w:rPr>
      </w:pPr>
      <w:r>
        <w:rPr>
          <w:rFonts w:ascii="Times New Roman" w:hAnsi="Times New Roman" w:cs="Times New Roman"/>
          <w:sz w:val="26"/>
          <w:szCs w:val="26"/>
        </w:rPr>
        <w:t>The documentation</w:t>
      </w:r>
      <w:r w:rsidR="00BD4251">
        <w:rPr>
          <w:rFonts w:ascii="Times New Roman" w:hAnsi="Times New Roman" w:cs="Times New Roman"/>
          <w:sz w:val="26"/>
          <w:szCs w:val="26"/>
        </w:rPr>
        <w:t xml:space="preserve">, records created and maintained related to vegetation management work plan and performance of inspections, </w:t>
      </w:r>
      <w:r>
        <w:rPr>
          <w:rFonts w:ascii="Times New Roman" w:hAnsi="Times New Roman" w:cs="Times New Roman"/>
          <w:sz w:val="26"/>
          <w:szCs w:val="26"/>
        </w:rPr>
        <w:t xml:space="preserve"> related to vegetation management requirements assists respondents to manage vegetation located on rights-of-way and minimize vegetation encroachments.  The documentation further provides a way for auditors to evaluate compliance with this standard.     </w:t>
      </w:r>
    </w:p>
    <w:p w:rsidR="00A5287E" w:rsidRDefault="00A5287E" w14:paraId="6C954B01" w14:textId="77777777">
      <w:pPr>
        <w:spacing w:after="0" w:line="240" w:lineRule="auto"/>
        <w:rPr>
          <w:rFonts w:ascii="Times New Roman" w:hAnsi="Times New Roman" w:cs="Times New Roman"/>
          <w:sz w:val="26"/>
          <w:szCs w:val="26"/>
        </w:rPr>
      </w:pPr>
    </w:p>
    <w:p w:rsidR="00A5287E" w:rsidRDefault="00985024" w14:paraId="366B6318"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purpose of FAC-003-4 is to maintain a reliable electric transmission system by minimizing encroachments from adjacent vegetation, thus preventing the risk of vegetation-related outages that could lead to cascading power outages.  (Vegetation contact with transmission lines was a major factor in two significant power blackouts (in the WECC territory in 1996, and the August 2003 Northeast blackout).)  If FERC-725M was not collected, it could lead to massive vegetation-related power outages.</w:t>
      </w:r>
    </w:p>
    <w:p w:rsidR="00A5287E" w:rsidRDefault="00A5287E" w14:paraId="50C561C4" w14:textId="77777777">
      <w:pPr>
        <w:spacing w:after="0" w:line="240" w:lineRule="auto"/>
        <w:rPr>
          <w:rFonts w:ascii="Times New Roman" w:hAnsi="Times New Roman" w:cs="Times New Roman"/>
          <w:sz w:val="26"/>
          <w:szCs w:val="26"/>
        </w:rPr>
      </w:pPr>
    </w:p>
    <w:p w:rsidR="00A5287E" w:rsidRDefault="00985024" w14:paraId="3F447212"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lastRenderedPageBreak/>
        <w:t>DESCRIBE ANY CONSIDERATION OF THE USE OF IMPROVED INFORMATION TECHNOLOGY TO REDUCE THE BURDEN AND TECHNICAL OR LEGAL OBSTACLES TO REDUCING BURDEN</w:t>
      </w:r>
    </w:p>
    <w:p w:rsidR="00A5287E" w:rsidRDefault="00A5287E" w14:paraId="3FD8FC86" w14:textId="77777777">
      <w:pPr>
        <w:spacing w:after="0" w:line="240" w:lineRule="auto"/>
        <w:rPr>
          <w:rFonts w:ascii="Times New Roman" w:hAnsi="Times New Roman" w:cs="Times New Roman"/>
          <w:sz w:val="26"/>
          <w:szCs w:val="26"/>
        </w:rPr>
      </w:pPr>
    </w:p>
    <w:p w:rsidR="00A5287E" w:rsidRDefault="00985024" w14:paraId="025C6E4F"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use of current or improved technology and the medium are not covered in Reliability Standards. </w:t>
      </w:r>
    </w:p>
    <w:p w:rsidR="00A5287E" w:rsidRDefault="00A5287E" w14:paraId="2F008712" w14:textId="77777777">
      <w:pPr>
        <w:spacing w:after="0" w:line="240" w:lineRule="auto"/>
        <w:rPr>
          <w:rFonts w:ascii="Times New Roman" w:hAnsi="Times New Roman" w:cs="Times New Roman"/>
          <w:sz w:val="26"/>
          <w:szCs w:val="26"/>
        </w:rPr>
      </w:pPr>
    </w:p>
    <w:p w:rsidR="00A5287E" w:rsidRDefault="00985024" w14:paraId="424A8420"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We think that nearly all of the respondents are likely to make and keep related records in an electronic format.  Each of the six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rsidR="00A5287E" w:rsidRDefault="00A5287E" w14:paraId="3FBB8E26" w14:textId="77777777">
      <w:pPr>
        <w:spacing w:after="0" w:line="240" w:lineRule="auto"/>
        <w:rPr>
          <w:rFonts w:ascii="Times New Roman" w:hAnsi="Times New Roman" w:cs="Times New Roman"/>
          <w:sz w:val="26"/>
          <w:szCs w:val="26"/>
        </w:rPr>
      </w:pPr>
    </w:p>
    <w:p w:rsidR="00A5287E" w:rsidRDefault="00985024" w14:paraId="19492F6F" w14:textId="77777777">
      <w:pPr>
        <w:spacing w:after="0" w:line="240" w:lineRule="auto"/>
        <w:rPr>
          <w:rFonts w:ascii="Times New Roman" w:hAnsi="Times New Roman" w:cs="Times New Roman"/>
          <w:color w:val="FFFFFF" w:themeColor="background1"/>
          <w:sz w:val="26"/>
          <w:szCs w:val="26"/>
        </w:rPr>
      </w:pPr>
      <w:r>
        <w:rPr>
          <w:rFonts w:ascii="Times New Roman" w:hAnsi="Times New Roman" w:cs="Times New Roman"/>
          <w:sz w:val="26"/>
          <w:szCs w:val="26"/>
        </w:rPr>
        <w:t xml:space="preserve">In general, the Commission supports the use of information technology to reduce burden. </w:t>
      </w:r>
    </w:p>
    <w:p w:rsidR="00A5287E" w:rsidRDefault="00A5287E" w14:paraId="27AD70D2" w14:textId="77777777">
      <w:pPr>
        <w:spacing w:after="0" w:line="240" w:lineRule="auto"/>
        <w:rPr>
          <w:rFonts w:ascii="Times New Roman" w:hAnsi="Times New Roman" w:cs="Times New Roman"/>
          <w:sz w:val="26"/>
          <w:szCs w:val="26"/>
        </w:rPr>
      </w:pPr>
    </w:p>
    <w:p w:rsidR="00A5287E" w:rsidRDefault="00985024" w14:paraId="43CDE44F"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A5287E" w:rsidRDefault="00A5287E" w14:paraId="4CBC7122" w14:textId="77777777">
      <w:pPr>
        <w:spacing w:after="0" w:line="240" w:lineRule="auto"/>
        <w:rPr>
          <w:rFonts w:ascii="Times New Roman" w:hAnsi="Times New Roman" w:cs="Times New Roman"/>
          <w:sz w:val="26"/>
          <w:szCs w:val="26"/>
        </w:rPr>
      </w:pPr>
    </w:p>
    <w:p w:rsidR="00A5287E" w:rsidRDefault="00985024" w14:paraId="744CF54C"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Filing requirements are periodically reviewed as OMB review dates arise or as the Commission may deem necessary in carrying out its regulatory responsibilities</w:t>
      </w:r>
      <w:r>
        <w:rPr>
          <w:rFonts w:ascii="Times New Roman" w:hAnsi="Times New Roman" w:eastAsia="Calibri" w:cs="Times New Roman"/>
          <w:sz w:val="26"/>
          <w:szCs w:val="26"/>
        </w:rPr>
        <w:t xml:space="preserve"> </w:t>
      </w:r>
      <w:r>
        <w:rPr>
          <w:rFonts w:ascii="Times New Roman" w:hAnsi="Times New Roman" w:cs="Times New Roman"/>
          <w:sz w:val="26"/>
          <w:szCs w:val="26"/>
        </w:rPr>
        <w:t xml:space="preserve">under the FPA to eliminate duplication and ensure that filing burden is minimized. There are no similar sources for information available that can be used or modified for these reporting purposes. </w:t>
      </w:r>
    </w:p>
    <w:p w:rsidR="00A5287E" w:rsidRDefault="00A5287E" w14:paraId="476B5D8B" w14:textId="77777777">
      <w:pPr>
        <w:spacing w:after="0" w:line="240" w:lineRule="auto"/>
        <w:rPr>
          <w:rFonts w:ascii="Times New Roman" w:hAnsi="Times New Roman" w:cs="Times New Roman"/>
          <w:sz w:val="26"/>
          <w:szCs w:val="26"/>
        </w:rPr>
      </w:pPr>
    </w:p>
    <w:p w:rsidR="00A5287E" w:rsidRDefault="00985024" w14:paraId="7CF07DED"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METHODS USED TO MINIMIZE THE BURDEN IN COLLECTION OF INFORMATION INVOLVING SMALL ENTITIES</w:t>
      </w:r>
    </w:p>
    <w:p w:rsidR="00A5287E" w:rsidRDefault="00A5287E" w14:paraId="311BE489" w14:textId="77777777">
      <w:pPr>
        <w:spacing w:after="0" w:line="240" w:lineRule="auto"/>
        <w:rPr>
          <w:rFonts w:ascii="Times New Roman" w:hAnsi="Times New Roman" w:cs="Times New Roman"/>
          <w:sz w:val="26"/>
          <w:szCs w:val="26"/>
        </w:rPr>
      </w:pPr>
    </w:p>
    <w:p w:rsidR="00A5287E" w:rsidRDefault="00985024" w14:paraId="161B23EE"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Rules of Procedure at Sections 507 and 508.</w:t>
      </w:r>
      <w:r>
        <w:rPr>
          <w:rStyle w:val="FootnoteReference"/>
          <w:rFonts w:ascii="Times New Roman" w:hAnsi="Times New Roman" w:cs="Times New Roman"/>
          <w:sz w:val="26"/>
          <w:szCs w:val="26"/>
          <w:vertAlign w:val="superscript"/>
        </w:rPr>
        <w:footnoteReference w:id="7"/>
      </w:r>
    </w:p>
    <w:p w:rsidR="00A5287E" w:rsidRDefault="00A5287E" w14:paraId="2A3E11DE" w14:textId="77777777">
      <w:pPr>
        <w:spacing w:after="0" w:line="240" w:lineRule="auto"/>
        <w:rPr>
          <w:rFonts w:ascii="Times New Roman" w:hAnsi="Times New Roman" w:cs="Times New Roman"/>
          <w:sz w:val="26"/>
          <w:szCs w:val="26"/>
        </w:rPr>
      </w:pPr>
    </w:p>
    <w:p w:rsidR="00A5287E" w:rsidRDefault="00985024" w14:paraId="2A40322A"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lastRenderedPageBreak/>
        <w:t>CONSEQUENCE TO FEDERAL PROGRAM IF COLLECTION WERE CONDUCTED LESS FREQUENTLY</w:t>
      </w:r>
    </w:p>
    <w:p w:rsidR="00A5287E" w:rsidRDefault="00A5287E" w14:paraId="7BD137CA" w14:textId="77777777">
      <w:pPr>
        <w:spacing w:after="0" w:line="240" w:lineRule="auto"/>
        <w:rPr>
          <w:rFonts w:ascii="Times New Roman" w:hAnsi="Times New Roman" w:cs="Times New Roman"/>
          <w:sz w:val="26"/>
          <w:szCs w:val="26"/>
        </w:rPr>
      </w:pPr>
    </w:p>
    <w:p w:rsidR="00A5287E" w:rsidRDefault="00985024" w14:paraId="24564BFA" w14:textId="31C4803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Based on information from industry and the Commission, the Reliability Standard and requirements covered by FERC-725M are critical and essential to the Commission’s mission.  </w:t>
      </w:r>
      <w:r w:rsidR="005973E7">
        <w:rPr>
          <w:rFonts w:ascii="Times New Roman" w:hAnsi="Times New Roman" w:cs="Times New Roman"/>
          <w:sz w:val="26"/>
          <w:szCs w:val="26"/>
        </w:rPr>
        <w:t xml:space="preserve">The Reliability Standard requires information to be collected quarterly and annually, see item 12 below. </w:t>
      </w:r>
      <w:r>
        <w:rPr>
          <w:rFonts w:ascii="Times New Roman" w:hAnsi="Times New Roman" w:cs="Times New Roman"/>
          <w:sz w:val="26"/>
          <w:szCs w:val="26"/>
        </w:rPr>
        <w:t xml:space="preserve">If the Reliability Standard and related FERC-725M information were not required or collected less frequently, it could jeopardize the reliability of the nation’s Bulk Power System and lead to additional sustained power outages and to public harm. </w:t>
      </w:r>
    </w:p>
    <w:p w:rsidR="00A5287E" w:rsidRDefault="00A5287E" w14:paraId="1DAD7895" w14:textId="77777777">
      <w:pPr>
        <w:spacing w:after="0" w:line="240" w:lineRule="auto"/>
        <w:rPr>
          <w:rFonts w:ascii="Times New Roman" w:hAnsi="Times New Roman" w:cs="Times New Roman"/>
          <w:sz w:val="26"/>
          <w:szCs w:val="26"/>
        </w:rPr>
      </w:pPr>
    </w:p>
    <w:p w:rsidR="00A5287E" w:rsidRDefault="00985024" w14:paraId="22F7BFE7"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EXPLAIN ANY SPECIAL CIRCUMSTANCES RELATING TO THE INFORMATION COLLECTION</w:t>
      </w:r>
    </w:p>
    <w:p w:rsidR="00A5287E" w:rsidRDefault="00A5287E" w14:paraId="1589B73E" w14:textId="77777777">
      <w:pPr>
        <w:spacing w:after="0" w:line="240" w:lineRule="auto"/>
        <w:rPr>
          <w:rFonts w:ascii="Times New Roman" w:hAnsi="Times New Roman" w:cs="Times New Roman"/>
          <w:sz w:val="26"/>
          <w:szCs w:val="26"/>
        </w:rPr>
      </w:pPr>
    </w:p>
    <w:p w:rsidR="00A5287E" w:rsidRDefault="00985024" w14:paraId="5F479373"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some special circumstances as described in 5 CFR 1320.5(d)(2) related to this information collection.</w:t>
      </w:r>
    </w:p>
    <w:p w:rsidR="00A5287E" w:rsidRDefault="00A5287E" w14:paraId="57F07905" w14:textId="77777777">
      <w:pPr>
        <w:spacing w:after="0" w:line="240" w:lineRule="auto"/>
        <w:rPr>
          <w:rFonts w:ascii="Times New Roman" w:hAnsi="Times New Roman" w:cs="Times New Roman"/>
          <w:sz w:val="26"/>
          <w:szCs w:val="26"/>
        </w:rPr>
      </w:pPr>
    </w:p>
    <w:p w:rsidR="00A5287E" w:rsidP="00052445" w:rsidRDefault="00B04618" w14:paraId="3F5F9147" w14:textId="2C39827C">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Requirements R1 and R2 </w:t>
      </w:r>
      <w:r w:rsidR="00052445">
        <w:rPr>
          <w:rFonts w:ascii="Times New Roman" w:hAnsi="Times New Roman" w:cs="Times New Roman"/>
          <w:sz w:val="26"/>
          <w:szCs w:val="26"/>
        </w:rPr>
        <w:t>r</w:t>
      </w:r>
      <w:r w:rsidRPr="00B04618">
        <w:rPr>
          <w:rFonts w:ascii="Times New Roman" w:hAnsi="Times New Roman" w:cs="Times New Roman"/>
          <w:sz w:val="26"/>
          <w:szCs w:val="26"/>
        </w:rPr>
        <w:t>equir</w:t>
      </w:r>
      <w:r>
        <w:rPr>
          <w:rFonts w:ascii="Times New Roman" w:hAnsi="Times New Roman" w:cs="Times New Roman"/>
          <w:sz w:val="26"/>
          <w:szCs w:val="26"/>
        </w:rPr>
        <w:t>e</w:t>
      </w:r>
      <w:r w:rsidRPr="00B04618">
        <w:rPr>
          <w:rFonts w:ascii="Times New Roman" w:hAnsi="Times New Roman" w:cs="Times New Roman"/>
          <w:sz w:val="26"/>
          <w:szCs w:val="26"/>
        </w:rPr>
        <w:t xml:space="preserve"> that vegetation be managed </w:t>
      </w:r>
      <w:r>
        <w:rPr>
          <w:rFonts w:ascii="Times New Roman" w:hAnsi="Times New Roman" w:cs="Times New Roman"/>
          <w:sz w:val="26"/>
          <w:szCs w:val="26"/>
        </w:rPr>
        <w:t xml:space="preserve">on a real-time basis </w:t>
      </w:r>
      <w:r w:rsidRPr="00B04618">
        <w:rPr>
          <w:rFonts w:ascii="Times New Roman" w:hAnsi="Times New Roman" w:cs="Times New Roman"/>
          <w:sz w:val="26"/>
          <w:szCs w:val="26"/>
        </w:rPr>
        <w:t>to prevent vegetation encroachment inside</w:t>
      </w:r>
      <w:r>
        <w:rPr>
          <w:rFonts w:ascii="Times New Roman" w:hAnsi="Times New Roman" w:cs="Times New Roman"/>
          <w:sz w:val="26"/>
          <w:szCs w:val="26"/>
        </w:rPr>
        <w:t xml:space="preserve"> </w:t>
      </w:r>
      <w:r w:rsidRPr="00B04618">
        <w:rPr>
          <w:rFonts w:ascii="Times New Roman" w:hAnsi="Times New Roman" w:cs="Times New Roman"/>
          <w:sz w:val="26"/>
          <w:szCs w:val="26"/>
        </w:rPr>
        <w:t>the flash-over clearance</w:t>
      </w:r>
      <w:r>
        <w:rPr>
          <w:rFonts w:ascii="Times New Roman" w:hAnsi="Times New Roman" w:cs="Times New Roman"/>
          <w:sz w:val="26"/>
          <w:szCs w:val="26"/>
        </w:rPr>
        <w:t xml:space="preserve"> of applicable transmission lines.  These</w:t>
      </w:r>
      <w:r w:rsidR="00985024">
        <w:rPr>
          <w:rFonts w:ascii="Times New Roman" w:hAnsi="Times New Roman" w:cs="Times New Roman"/>
          <w:sz w:val="26"/>
          <w:szCs w:val="26"/>
        </w:rPr>
        <w:t xml:space="preserve"> requirements may require entities to review or produce documentation more often than quarterly</w:t>
      </w:r>
      <w:r>
        <w:rPr>
          <w:rFonts w:ascii="Times New Roman" w:hAnsi="Times New Roman" w:cs="Times New Roman"/>
          <w:sz w:val="26"/>
          <w:szCs w:val="26"/>
        </w:rPr>
        <w:t>, for example, real-time operator logs and voice recordings may be necessary to review to mitigate the cause of a vegetation outage</w:t>
      </w:r>
      <w:r w:rsidR="00985024">
        <w:rPr>
          <w:rFonts w:ascii="Times New Roman" w:hAnsi="Times New Roman" w:cs="Times New Roman"/>
          <w:sz w:val="26"/>
          <w:szCs w:val="26"/>
        </w:rPr>
        <w:t>.  Some entities may have to retain information for longer than three years</w:t>
      </w:r>
      <w:r w:rsidR="00052445">
        <w:rPr>
          <w:rFonts w:ascii="Times New Roman" w:hAnsi="Times New Roman" w:cs="Times New Roman"/>
          <w:sz w:val="26"/>
          <w:szCs w:val="26"/>
        </w:rPr>
        <w:t xml:space="preserve"> if </w:t>
      </w:r>
      <w:r w:rsidRPr="00052445" w:rsidR="00052445">
        <w:rPr>
          <w:rFonts w:ascii="Times New Roman" w:hAnsi="Times New Roman" w:cs="Times New Roman"/>
          <w:sz w:val="26"/>
          <w:szCs w:val="26"/>
        </w:rPr>
        <w:t>directed by its Compliance Enforcement Authority to</w:t>
      </w:r>
      <w:r w:rsidR="00052445">
        <w:rPr>
          <w:rFonts w:ascii="Times New Roman" w:hAnsi="Times New Roman" w:cs="Times New Roman"/>
          <w:sz w:val="26"/>
          <w:szCs w:val="26"/>
        </w:rPr>
        <w:t xml:space="preserve"> </w:t>
      </w:r>
      <w:r w:rsidRPr="00052445" w:rsidR="00052445">
        <w:rPr>
          <w:rFonts w:ascii="Times New Roman" w:hAnsi="Times New Roman" w:cs="Times New Roman"/>
          <w:sz w:val="26"/>
          <w:szCs w:val="26"/>
        </w:rPr>
        <w:t>retain specific evidence for a longer period of time as part of an investigation.</w:t>
      </w:r>
      <w:r w:rsidR="00985024">
        <w:rPr>
          <w:rFonts w:ascii="Times New Roman" w:hAnsi="Times New Roman" w:cs="Times New Roman"/>
          <w:sz w:val="26"/>
          <w:szCs w:val="26"/>
        </w:rPr>
        <w:t xml:space="preserve">  </w:t>
      </w:r>
    </w:p>
    <w:p w:rsidR="00A5287E" w:rsidRDefault="00A5287E" w14:paraId="5055302D" w14:textId="77777777">
      <w:pPr>
        <w:spacing w:after="0" w:line="240" w:lineRule="auto"/>
        <w:rPr>
          <w:rFonts w:ascii="Times New Roman" w:hAnsi="Times New Roman" w:cs="Times New Roman"/>
          <w:sz w:val="26"/>
          <w:szCs w:val="26"/>
        </w:rPr>
      </w:pPr>
    </w:p>
    <w:p w:rsidR="00A5287E" w:rsidRDefault="00985024" w14:paraId="6F2610F3" w14:textId="77777777">
      <w:pPr>
        <w:spacing w:after="0" w:line="240" w:lineRule="auto"/>
        <w:rPr>
          <w:rFonts w:ascii="Times New Roman" w:hAnsi="Times New Roman" w:cs="Times New Roman"/>
          <w:sz w:val="26"/>
          <w:szCs w:val="26"/>
          <w:highlight w:val="yellow"/>
        </w:rPr>
      </w:pPr>
      <w:r>
        <w:rPr>
          <w:rFonts w:ascii="Times New Roman" w:hAnsi="Times New Roman" w:cs="Times New Roman"/>
          <w:sz w:val="26"/>
          <w:szCs w:val="26"/>
        </w:rPr>
        <w:t>These special circumstances are necessary to ensure reliability on the bulk power system.</w:t>
      </w:r>
    </w:p>
    <w:p w:rsidR="00A5287E" w:rsidRDefault="00A5287E" w14:paraId="22653BFB" w14:textId="77777777">
      <w:pPr>
        <w:spacing w:after="0" w:line="240" w:lineRule="auto"/>
        <w:rPr>
          <w:rFonts w:ascii="Times New Roman" w:hAnsi="Times New Roman" w:cs="Times New Roman"/>
          <w:sz w:val="26"/>
          <w:szCs w:val="26"/>
        </w:rPr>
      </w:pPr>
    </w:p>
    <w:p w:rsidR="00A5287E" w:rsidRDefault="00985024" w14:paraId="20BACFD9"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DESCRIBE EFFORTS TO CONSULT OUTSIDE THE AGENCY: SUMMARIZE PUBLIC COMMENTS AND THE AGENCY’S RESPONSE</w:t>
      </w:r>
    </w:p>
    <w:p w:rsidR="00A5287E" w:rsidRDefault="00A5287E" w14:paraId="39C46C22" w14:textId="77777777">
      <w:pPr>
        <w:spacing w:after="0" w:line="240" w:lineRule="auto"/>
        <w:rPr>
          <w:rFonts w:ascii="Times New Roman" w:hAnsi="Times New Roman" w:cs="Times New Roman"/>
          <w:sz w:val="26"/>
          <w:szCs w:val="26"/>
        </w:rPr>
      </w:pPr>
    </w:p>
    <w:p w:rsidR="00A5287E" w:rsidRDefault="00985024" w14:paraId="3F7525F3" w14:textId="77777777">
      <w:pPr>
        <w:spacing w:after="0" w:line="240" w:lineRule="auto"/>
        <w:rPr>
          <w:rFonts w:ascii="Times New Roman" w:hAnsi="Times New Roman" w:cs="Times New Roman"/>
          <w:bCs/>
          <w:sz w:val="26"/>
          <w:szCs w:val="26"/>
        </w:rPr>
      </w:pPr>
      <w:r>
        <w:rPr>
          <w:rFonts w:ascii="Times New Roman" w:hAnsi="Times New Roman" w:cs="Times New Roman"/>
          <w:bCs/>
          <w:sz w:val="26"/>
          <w:szCs w:val="26"/>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Pr>
          <w:rFonts w:ascii="Times New Roman" w:hAnsi="Times New Roman" w:cs="Times New Roman"/>
          <w:b/>
          <w:bCs/>
          <w:sz w:val="26"/>
          <w:szCs w:val="26"/>
          <w:vertAlign w:val="superscript"/>
        </w:rPr>
        <w:footnoteReference w:id="8"/>
      </w:r>
      <w:r>
        <w:rPr>
          <w:rFonts w:ascii="Times New Roman" w:hAnsi="Times New Roman" w:cs="Times New Roman"/>
          <w:bCs/>
          <w:sz w:val="26"/>
          <w:szCs w:val="26"/>
        </w:rPr>
        <w:t xml:space="preserve">  </w:t>
      </w:r>
    </w:p>
    <w:p w:rsidR="00A5287E" w:rsidRDefault="00A5287E" w14:paraId="0C3DADB4"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00A5287E" w:rsidRDefault="00985024" w14:paraId="353D7E60"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lastRenderedPageBreak/>
        <w:t>In accordance with OMB requirements, the Commission published a 60-day notice</w:t>
      </w:r>
      <w:r>
        <w:rPr>
          <w:rFonts w:ascii="Times New Roman" w:hAnsi="Times New Roman" w:eastAsia="Times New Roman" w:cs="Times New Roman"/>
          <w:b/>
          <w:sz w:val="26"/>
          <w:szCs w:val="26"/>
          <w:vertAlign w:val="superscript"/>
        </w:rPr>
        <w:footnoteReference w:id="9"/>
      </w:r>
      <w:r>
        <w:rPr>
          <w:rFonts w:ascii="Times New Roman" w:hAnsi="Times New Roman" w:eastAsia="Times New Roman" w:cs="Times New Roman"/>
          <w:sz w:val="26"/>
          <w:szCs w:val="26"/>
        </w:rPr>
        <w:t xml:space="preserve">  to the public regarding this information collection on 8/27/2019. Within the public notice, the Commission noted that it would be requesting a three-year extension of the public reporting burden with no change to the existing requirements concerning the collection of data.  The Commission received no comments regarding this information collection.</w:t>
      </w:r>
    </w:p>
    <w:p w:rsidR="00A5287E" w:rsidRDefault="00A5287E" w14:paraId="1325F442"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00A5287E" w:rsidRDefault="00985024" w14:paraId="3218311D"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In addition, the Commission is also publishing a 30-day notice for public comment.</w:t>
      </w:r>
    </w:p>
    <w:p w:rsidR="00A5287E" w:rsidRDefault="00A5287E" w14:paraId="6520F4A8" w14:textId="77777777">
      <w:pPr>
        <w:spacing w:after="0" w:line="240" w:lineRule="auto"/>
        <w:rPr>
          <w:rFonts w:ascii="Times New Roman" w:hAnsi="Times New Roman" w:cs="Times New Roman"/>
          <w:bCs/>
          <w:sz w:val="26"/>
          <w:szCs w:val="26"/>
        </w:rPr>
      </w:pPr>
    </w:p>
    <w:p w:rsidR="00A5287E" w:rsidRDefault="00985024" w14:paraId="3C56CA0A"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EXPLAIN ANY PAYMENT OR GIFTS TO RESPONDENTS</w:t>
      </w:r>
    </w:p>
    <w:p w:rsidR="00A5287E" w:rsidRDefault="00A5287E" w14:paraId="6891C8E2" w14:textId="77777777">
      <w:pPr>
        <w:spacing w:after="0" w:line="240" w:lineRule="auto"/>
        <w:rPr>
          <w:rFonts w:ascii="Times New Roman" w:hAnsi="Times New Roman" w:cs="Times New Roman"/>
          <w:sz w:val="26"/>
          <w:szCs w:val="26"/>
        </w:rPr>
      </w:pPr>
    </w:p>
    <w:p w:rsidR="00A5287E" w:rsidRDefault="00985024" w14:paraId="3BD46B7B"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payments or gifts to FERC-725M respondents.</w:t>
      </w:r>
    </w:p>
    <w:p w:rsidR="00A5287E" w:rsidRDefault="00A5287E" w14:paraId="5F2C1E4E" w14:textId="77777777">
      <w:pPr>
        <w:spacing w:after="0" w:line="240" w:lineRule="auto"/>
        <w:rPr>
          <w:rFonts w:ascii="Times New Roman" w:hAnsi="Times New Roman" w:cs="Times New Roman"/>
          <w:sz w:val="26"/>
          <w:szCs w:val="26"/>
        </w:rPr>
      </w:pPr>
    </w:p>
    <w:p w:rsidR="00A5287E" w:rsidRDefault="00985024" w14:paraId="3A938142"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DESCRIBE ANY ASSURANCE OF CONFIDENTIALITY PROVIDED TO RESPONDENTS</w:t>
      </w:r>
    </w:p>
    <w:p w:rsidR="00A5287E" w:rsidRDefault="00A5287E" w14:paraId="47D2A288" w14:textId="77777777">
      <w:pPr>
        <w:spacing w:after="0" w:line="240" w:lineRule="auto"/>
        <w:rPr>
          <w:rFonts w:ascii="Times New Roman" w:hAnsi="Times New Roman" w:cs="Times New Roman"/>
          <w:sz w:val="26"/>
          <w:szCs w:val="26"/>
        </w:rPr>
      </w:pPr>
    </w:p>
    <w:p w:rsidR="00A5287E" w:rsidRDefault="00985024" w14:paraId="76B22846"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Responding entities do not submit the information to FERC.  Rather, they submit the information to NERC, the regions, or maintain it internally.  Since there are no submittals made to FERC, FERC provides no specific provisions to protect confidentiality.  </w:t>
      </w:r>
    </w:p>
    <w:p w:rsidR="00A5287E" w:rsidRDefault="00A5287E" w14:paraId="2BC002B6" w14:textId="77777777">
      <w:pPr>
        <w:spacing w:after="0" w:line="240" w:lineRule="auto"/>
        <w:rPr>
          <w:rFonts w:ascii="Times New Roman" w:hAnsi="Times New Roman" w:cs="Times New Roman"/>
          <w:sz w:val="26"/>
          <w:szCs w:val="26"/>
        </w:rPr>
      </w:pPr>
    </w:p>
    <w:p w:rsidR="00A5287E" w:rsidRDefault="00985024" w14:paraId="0034CE92"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According to the NERC Rules of Procedure section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or retained for NERC or Regional Entities.</w:t>
      </w:r>
    </w:p>
    <w:p w:rsidR="00A5287E" w:rsidRDefault="00A5287E" w14:paraId="04E57156" w14:textId="77777777">
      <w:pPr>
        <w:spacing w:after="0" w:line="240" w:lineRule="auto"/>
        <w:rPr>
          <w:rFonts w:ascii="Times New Roman" w:hAnsi="Times New Roman" w:cs="Times New Roman"/>
          <w:sz w:val="26"/>
          <w:szCs w:val="26"/>
        </w:rPr>
      </w:pPr>
    </w:p>
    <w:p w:rsidR="00A5287E" w:rsidRDefault="00985024" w14:paraId="7139AFDB"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00A5287E" w:rsidRDefault="00A5287E" w14:paraId="4D1C54F0" w14:textId="77777777">
      <w:pPr>
        <w:spacing w:after="0" w:line="240" w:lineRule="auto"/>
        <w:rPr>
          <w:rFonts w:ascii="Times New Roman" w:hAnsi="Times New Roman" w:cs="Times New Roman"/>
          <w:sz w:val="26"/>
          <w:szCs w:val="26"/>
        </w:rPr>
      </w:pPr>
    </w:p>
    <w:p w:rsidR="00A5287E" w:rsidRDefault="00985024" w14:paraId="52F34FEE"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does not consider any of the questions within the FERC-725M of a sensitive nature that would be considered private.</w:t>
      </w:r>
    </w:p>
    <w:p w:rsidR="00A5287E" w:rsidRDefault="00A5287E" w14:paraId="5B4E4802" w14:textId="77777777">
      <w:pPr>
        <w:spacing w:after="0" w:line="240" w:lineRule="auto"/>
        <w:rPr>
          <w:rFonts w:ascii="Times New Roman" w:hAnsi="Times New Roman" w:cs="Times New Roman"/>
          <w:sz w:val="26"/>
          <w:szCs w:val="26"/>
        </w:rPr>
      </w:pPr>
    </w:p>
    <w:p w:rsidR="00A5287E" w:rsidRDefault="00985024" w14:paraId="652D59CE"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ESTIMATED BURDEN OF COLLECTION OF INFORMATION</w:t>
      </w:r>
    </w:p>
    <w:p w:rsidR="00A5287E" w:rsidRDefault="00A5287E" w14:paraId="17DB0EF4" w14:textId="77777777">
      <w:pPr>
        <w:spacing w:after="0" w:line="240" w:lineRule="auto"/>
        <w:rPr>
          <w:rFonts w:ascii="Times New Roman" w:hAnsi="Times New Roman" w:cs="Times New Roman"/>
          <w:sz w:val="26"/>
          <w:szCs w:val="26"/>
        </w:rPr>
      </w:pPr>
    </w:p>
    <w:p w:rsidR="00A5287E" w:rsidRDefault="00985024" w14:paraId="49D95552"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The Commission estimates the annual public reporting burden</w:t>
      </w:r>
      <w:r>
        <w:rPr>
          <w:rFonts w:ascii="Times New Roman" w:hAnsi="Times New Roman" w:cs="Times New Roman"/>
          <w:sz w:val="26"/>
          <w:szCs w:val="26"/>
          <w:vertAlign w:val="superscript"/>
        </w:rPr>
        <w:footnoteReference w:id="10"/>
      </w:r>
      <w:r>
        <w:rPr>
          <w:rFonts w:ascii="Times New Roman" w:hAnsi="Times New Roman" w:cs="Times New Roman"/>
          <w:sz w:val="26"/>
          <w:szCs w:val="26"/>
        </w:rPr>
        <w:t xml:space="preserve"> and cost</w:t>
      </w:r>
      <w:r>
        <w:rPr>
          <w:rFonts w:ascii="Times New Roman" w:hAnsi="Times New Roman" w:cs="Times New Roman"/>
          <w:b/>
          <w:sz w:val="26"/>
          <w:szCs w:val="26"/>
          <w:vertAlign w:val="superscript"/>
        </w:rPr>
        <w:footnoteReference w:id="11"/>
      </w:r>
      <w:r>
        <w:rPr>
          <w:rFonts w:ascii="Times New Roman" w:hAnsi="Times New Roman" w:cs="Times New Roman"/>
          <w:b/>
          <w:sz w:val="26"/>
          <w:szCs w:val="26"/>
        </w:rPr>
        <w:t xml:space="preserve"> </w:t>
      </w:r>
      <w:r>
        <w:rPr>
          <w:rFonts w:ascii="Times New Roman" w:hAnsi="Times New Roman" w:cs="Times New Roman"/>
          <w:sz w:val="26"/>
          <w:szCs w:val="26"/>
        </w:rPr>
        <w:t xml:space="preserve"> for the information collection as:</w:t>
      </w:r>
    </w:p>
    <w:p w:rsidR="00A5287E" w:rsidRDefault="00A5287E" w14:paraId="31AB0AD9" w14:textId="77777777">
      <w:pPr>
        <w:spacing w:after="0" w:line="240" w:lineRule="auto"/>
        <w:rPr>
          <w:rFonts w:ascii="Times New Roman" w:hAnsi="Times New Roman" w:cs="Times New Roman"/>
          <w:sz w:val="26"/>
          <w:szCs w:val="26"/>
        </w:rPr>
      </w:pPr>
    </w:p>
    <w:tbl>
      <w:tblPr>
        <w:tblW w:w="5728" w:type="pc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1"/>
        <w:gridCol w:w="1532"/>
        <w:gridCol w:w="1448"/>
        <w:gridCol w:w="1410"/>
        <w:gridCol w:w="1309"/>
        <w:gridCol w:w="1596"/>
        <w:gridCol w:w="1435"/>
      </w:tblGrid>
      <w:tr w:rsidR="00A5287E" w:rsidTr="004F497C" w14:paraId="71796135" w14:textId="77777777">
        <w:trPr>
          <w:cantSplit/>
        </w:trPr>
        <w:tc>
          <w:tcPr>
            <w:tcW w:w="5000" w:type="pct"/>
            <w:gridSpan w:val="7"/>
            <w:tcBorders>
              <w:bottom w:val="single" w:color="auto" w:sz="4" w:space="0"/>
            </w:tcBorders>
            <w:shd w:val="clear" w:color="auto" w:fill="D9D9D9"/>
          </w:tcPr>
          <w:p w:rsidR="00A5287E" w:rsidRDefault="00985024" w14:paraId="09CBFB6E" w14:textId="77777777">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FERC-725M, Mandatory Reliability Standard:  FAC-003-4 (Transmission Vegetation Management)</w:t>
            </w:r>
          </w:p>
        </w:tc>
      </w:tr>
      <w:tr w:rsidR="00A5287E" w:rsidTr="004F497C" w14:paraId="15426BE2" w14:textId="77777777">
        <w:trPr>
          <w:cantSplit/>
        </w:trPr>
        <w:tc>
          <w:tcPr>
            <w:tcW w:w="925" w:type="pct"/>
            <w:shd w:val="clear" w:color="auto" w:fill="D9D9D9"/>
            <w:vAlign w:val="center"/>
          </w:tcPr>
          <w:p w:rsidRPr="004F497C" w:rsidR="00A5287E" w:rsidRDefault="00A5287E" w14:paraId="58931B93" w14:textId="77777777">
            <w:pPr>
              <w:spacing w:after="0" w:line="240" w:lineRule="auto"/>
              <w:jc w:val="center"/>
              <w:rPr>
                <w:rFonts w:ascii="Times New Roman" w:hAnsi="Times New Roman" w:cs="Times New Roman"/>
                <w:b/>
                <w:sz w:val="24"/>
                <w:szCs w:val="24"/>
              </w:rPr>
            </w:pPr>
          </w:p>
        </w:tc>
        <w:tc>
          <w:tcPr>
            <w:tcW w:w="715" w:type="pct"/>
            <w:shd w:val="clear" w:color="auto" w:fill="D9D9D9"/>
            <w:vAlign w:val="center"/>
          </w:tcPr>
          <w:p w:rsidRPr="004F497C" w:rsidR="00A5287E" w:rsidRDefault="00985024" w14:paraId="1E95B0D8" w14:textId="77777777">
            <w:pPr>
              <w:spacing w:after="0" w:line="240" w:lineRule="auto"/>
              <w:jc w:val="center"/>
              <w:rPr>
                <w:rFonts w:ascii="Times New Roman" w:hAnsi="Times New Roman" w:cs="Times New Roman"/>
                <w:b/>
                <w:sz w:val="24"/>
                <w:szCs w:val="24"/>
              </w:rPr>
            </w:pPr>
            <w:r w:rsidRPr="004F497C">
              <w:rPr>
                <w:rFonts w:ascii="Times New Roman" w:hAnsi="Times New Roman" w:cs="Times New Roman"/>
                <w:b/>
                <w:sz w:val="24"/>
                <w:szCs w:val="24"/>
              </w:rPr>
              <w:t>Number of Respondents</w:t>
            </w:r>
            <w:r w:rsidRPr="004F497C">
              <w:rPr>
                <w:rFonts w:ascii="Times New Roman" w:hAnsi="Times New Roman" w:cs="Times New Roman"/>
                <w:sz w:val="24"/>
                <w:szCs w:val="24"/>
                <w:vertAlign w:val="superscript"/>
              </w:rPr>
              <w:footnoteReference w:id="12"/>
            </w:r>
            <w:r w:rsidRPr="004F497C">
              <w:rPr>
                <w:rFonts w:ascii="Times New Roman" w:hAnsi="Times New Roman" w:cs="Times New Roman"/>
                <w:b/>
                <w:sz w:val="24"/>
                <w:szCs w:val="24"/>
              </w:rPr>
              <w:br/>
              <w:t>(1)</w:t>
            </w:r>
          </w:p>
        </w:tc>
        <w:tc>
          <w:tcPr>
            <w:tcW w:w="676" w:type="pct"/>
            <w:shd w:val="clear" w:color="auto" w:fill="D9D9D9"/>
            <w:vAlign w:val="center"/>
          </w:tcPr>
          <w:p w:rsidRPr="004F497C" w:rsidR="00A5287E" w:rsidRDefault="00985024" w14:paraId="6FAE0B28" w14:textId="77777777">
            <w:pPr>
              <w:spacing w:after="0" w:line="240" w:lineRule="auto"/>
              <w:jc w:val="center"/>
              <w:rPr>
                <w:rFonts w:ascii="Times New Roman" w:hAnsi="Times New Roman" w:cs="Times New Roman"/>
                <w:b/>
                <w:sz w:val="24"/>
                <w:szCs w:val="24"/>
              </w:rPr>
            </w:pPr>
            <w:r w:rsidRPr="004F497C">
              <w:rPr>
                <w:rFonts w:ascii="Times New Roman" w:hAnsi="Times New Roman" w:cs="Times New Roman"/>
                <w:b/>
                <w:sz w:val="24"/>
                <w:szCs w:val="24"/>
              </w:rPr>
              <w:t>Annual Number of Responses per Respondent</w:t>
            </w:r>
          </w:p>
          <w:p w:rsidRPr="004F497C" w:rsidR="00A5287E" w:rsidRDefault="00985024" w14:paraId="02EF02AF" w14:textId="77777777">
            <w:pPr>
              <w:spacing w:after="0" w:line="240" w:lineRule="auto"/>
              <w:jc w:val="center"/>
              <w:rPr>
                <w:rFonts w:ascii="Times New Roman" w:hAnsi="Times New Roman" w:cs="Times New Roman"/>
                <w:b/>
                <w:sz w:val="24"/>
                <w:szCs w:val="24"/>
              </w:rPr>
            </w:pPr>
            <w:r w:rsidRPr="004F497C">
              <w:rPr>
                <w:rFonts w:ascii="Times New Roman" w:hAnsi="Times New Roman" w:cs="Times New Roman"/>
                <w:b/>
                <w:sz w:val="24"/>
                <w:szCs w:val="24"/>
              </w:rPr>
              <w:t>(2)</w:t>
            </w:r>
          </w:p>
        </w:tc>
        <w:tc>
          <w:tcPr>
            <w:tcW w:w="658" w:type="pct"/>
            <w:shd w:val="clear" w:color="auto" w:fill="D9D9D9"/>
            <w:vAlign w:val="center"/>
          </w:tcPr>
          <w:p w:rsidRPr="004F497C" w:rsidR="00A5287E" w:rsidRDefault="00985024" w14:paraId="26469E83" w14:textId="77777777">
            <w:pPr>
              <w:spacing w:after="0" w:line="240" w:lineRule="auto"/>
              <w:jc w:val="center"/>
              <w:rPr>
                <w:rFonts w:ascii="Times New Roman" w:hAnsi="Times New Roman" w:cs="Times New Roman"/>
                <w:b/>
                <w:sz w:val="24"/>
                <w:szCs w:val="24"/>
              </w:rPr>
            </w:pPr>
            <w:r w:rsidRPr="004F497C">
              <w:rPr>
                <w:rFonts w:ascii="Times New Roman" w:hAnsi="Times New Roman" w:cs="Times New Roman"/>
                <w:b/>
                <w:sz w:val="24"/>
                <w:szCs w:val="24"/>
              </w:rPr>
              <w:t>Total Number of Responses (1)*(2)=(3)</w:t>
            </w:r>
          </w:p>
        </w:tc>
        <w:tc>
          <w:tcPr>
            <w:tcW w:w="611" w:type="pct"/>
            <w:shd w:val="clear" w:color="auto" w:fill="D9D9D9"/>
            <w:vAlign w:val="center"/>
          </w:tcPr>
          <w:p w:rsidRPr="004F497C" w:rsidR="00A5287E" w:rsidRDefault="00985024" w14:paraId="7E3BBE23" w14:textId="77777777">
            <w:pPr>
              <w:spacing w:after="0" w:line="240" w:lineRule="auto"/>
              <w:jc w:val="center"/>
              <w:rPr>
                <w:rFonts w:ascii="Times New Roman" w:hAnsi="Times New Roman" w:cs="Times New Roman"/>
                <w:b/>
                <w:sz w:val="24"/>
                <w:szCs w:val="24"/>
              </w:rPr>
            </w:pPr>
            <w:r w:rsidRPr="004F497C">
              <w:rPr>
                <w:rFonts w:ascii="Times New Roman" w:hAnsi="Times New Roman" w:cs="Times New Roman"/>
                <w:b/>
                <w:sz w:val="24"/>
                <w:szCs w:val="24"/>
              </w:rPr>
              <w:t>Average Burden Hours &amp; Cost ($) Per Response</w:t>
            </w:r>
          </w:p>
          <w:p w:rsidRPr="004F497C" w:rsidR="00A5287E" w:rsidRDefault="00985024" w14:paraId="54FA3E8C" w14:textId="77777777">
            <w:pPr>
              <w:spacing w:after="0" w:line="240" w:lineRule="auto"/>
              <w:jc w:val="center"/>
              <w:rPr>
                <w:rFonts w:ascii="Times New Roman" w:hAnsi="Times New Roman" w:cs="Times New Roman"/>
                <w:b/>
                <w:sz w:val="24"/>
                <w:szCs w:val="24"/>
              </w:rPr>
            </w:pPr>
            <w:r w:rsidRPr="004F497C">
              <w:rPr>
                <w:rFonts w:ascii="Times New Roman" w:hAnsi="Times New Roman" w:cs="Times New Roman"/>
                <w:b/>
                <w:sz w:val="24"/>
                <w:szCs w:val="24"/>
              </w:rPr>
              <w:t>(4)</w:t>
            </w:r>
          </w:p>
        </w:tc>
        <w:tc>
          <w:tcPr>
            <w:tcW w:w="745" w:type="pct"/>
            <w:shd w:val="clear" w:color="auto" w:fill="D9D9D9"/>
            <w:vAlign w:val="center"/>
          </w:tcPr>
          <w:p w:rsidRPr="004F497C" w:rsidR="00A5287E" w:rsidRDefault="00985024" w14:paraId="1F3E6830" w14:textId="77777777">
            <w:pPr>
              <w:spacing w:after="0" w:line="240" w:lineRule="auto"/>
              <w:jc w:val="center"/>
              <w:rPr>
                <w:rFonts w:ascii="Times New Roman" w:hAnsi="Times New Roman" w:cs="Times New Roman"/>
                <w:b/>
                <w:sz w:val="24"/>
                <w:szCs w:val="24"/>
              </w:rPr>
            </w:pPr>
            <w:r w:rsidRPr="004F497C">
              <w:rPr>
                <w:rFonts w:ascii="Times New Roman" w:hAnsi="Times New Roman" w:cs="Times New Roman"/>
                <w:b/>
                <w:sz w:val="24"/>
                <w:szCs w:val="24"/>
              </w:rPr>
              <w:t>Total Annual Burden Hours &amp; Total Annual Cost ($)</w:t>
            </w:r>
          </w:p>
          <w:p w:rsidRPr="004F497C" w:rsidR="00A5287E" w:rsidRDefault="00985024" w14:paraId="382FBF6C" w14:textId="77777777">
            <w:pPr>
              <w:spacing w:after="0" w:line="240" w:lineRule="auto"/>
              <w:jc w:val="center"/>
              <w:rPr>
                <w:rFonts w:ascii="Times New Roman" w:hAnsi="Times New Roman" w:cs="Times New Roman"/>
                <w:b/>
                <w:sz w:val="24"/>
                <w:szCs w:val="24"/>
              </w:rPr>
            </w:pPr>
            <w:r w:rsidRPr="004F497C">
              <w:rPr>
                <w:rFonts w:ascii="Times New Roman" w:hAnsi="Times New Roman" w:cs="Times New Roman"/>
                <w:b/>
                <w:sz w:val="24"/>
                <w:szCs w:val="24"/>
              </w:rPr>
              <w:t>(3)*(4)=(5)</w:t>
            </w:r>
          </w:p>
        </w:tc>
        <w:tc>
          <w:tcPr>
            <w:tcW w:w="670" w:type="pct"/>
            <w:shd w:val="clear" w:color="auto" w:fill="D9D9D9"/>
            <w:vAlign w:val="center"/>
          </w:tcPr>
          <w:p w:rsidRPr="004F497C" w:rsidR="00A5287E" w:rsidRDefault="00985024" w14:paraId="1ACF5EBD" w14:textId="77777777">
            <w:pPr>
              <w:spacing w:after="0" w:line="240" w:lineRule="auto"/>
              <w:jc w:val="center"/>
              <w:rPr>
                <w:rFonts w:ascii="Times New Roman" w:hAnsi="Times New Roman" w:cs="Times New Roman"/>
                <w:b/>
                <w:sz w:val="24"/>
                <w:szCs w:val="24"/>
              </w:rPr>
            </w:pPr>
            <w:r w:rsidRPr="004F497C">
              <w:rPr>
                <w:rFonts w:ascii="Times New Roman" w:hAnsi="Times New Roman" w:cs="Times New Roman"/>
                <w:b/>
                <w:sz w:val="24"/>
                <w:szCs w:val="24"/>
              </w:rPr>
              <w:t>Cost per Respondent</w:t>
            </w:r>
          </w:p>
          <w:p w:rsidRPr="004F497C" w:rsidR="00A5287E" w:rsidRDefault="00985024" w14:paraId="20723D99" w14:textId="77777777">
            <w:pPr>
              <w:spacing w:after="0" w:line="240" w:lineRule="auto"/>
              <w:jc w:val="center"/>
              <w:rPr>
                <w:rFonts w:ascii="Times New Roman" w:hAnsi="Times New Roman" w:cs="Times New Roman"/>
                <w:b/>
                <w:sz w:val="24"/>
                <w:szCs w:val="24"/>
              </w:rPr>
            </w:pPr>
            <w:r w:rsidRPr="004F497C">
              <w:rPr>
                <w:rFonts w:ascii="Times New Roman" w:hAnsi="Times New Roman" w:cs="Times New Roman"/>
                <w:b/>
                <w:sz w:val="24"/>
                <w:szCs w:val="24"/>
              </w:rPr>
              <w:t>($)</w:t>
            </w:r>
          </w:p>
          <w:p w:rsidRPr="004F497C" w:rsidR="00A5287E" w:rsidRDefault="00985024" w14:paraId="59B1CE41" w14:textId="77777777">
            <w:pPr>
              <w:spacing w:after="0" w:line="240" w:lineRule="auto"/>
              <w:jc w:val="center"/>
              <w:rPr>
                <w:rFonts w:ascii="Times New Roman" w:hAnsi="Times New Roman" w:cs="Times New Roman"/>
                <w:b/>
                <w:sz w:val="24"/>
                <w:szCs w:val="24"/>
              </w:rPr>
            </w:pPr>
            <w:r w:rsidRPr="004F497C">
              <w:rPr>
                <w:rFonts w:ascii="Times New Roman" w:hAnsi="Times New Roman" w:cs="Times New Roman"/>
                <w:b/>
                <w:sz w:val="24"/>
                <w:szCs w:val="24"/>
              </w:rPr>
              <w:t>(5)÷(1)</w:t>
            </w:r>
          </w:p>
        </w:tc>
      </w:tr>
      <w:tr w:rsidR="00A5287E" w:rsidTr="004F497C" w14:paraId="5CC76D2D" w14:textId="77777777">
        <w:trPr>
          <w:cantSplit/>
        </w:trPr>
        <w:tc>
          <w:tcPr>
            <w:tcW w:w="925" w:type="pct"/>
          </w:tcPr>
          <w:p w:rsidRPr="004F497C" w:rsidR="00A5287E" w:rsidRDefault="00985024" w14:paraId="30316F88" w14:textId="77777777">
            <w:pPr>
              <w:spacing w:after="0" w:line="240" w:lineRule="auto"/>
              <w:rPr>
                <w:rFonts w:ascii="Times New Roman" w:hAnsi="Times New Roman" w:cs="Times New Roman"/>
                <w:sz w:val="23"/>
                <w:szCs w:val="23"/>
              </w:rPr>
            </w:pPr>
            <w:r w:rsidRPr="004F497C">
              <w:rPr>
                <w:rFonts w:ascii="Times New Roman" w:hAnsi="Times New Roman" w:cs="Times New Roman"/>
                <w:sz w:val="23"/>
                <w:szCs w:val="23"/>
              </w:rPr>
              <w:t>Generator Owners, Regional Entities: Quarterly Reporting (Compliance 1.4)</w:t>
            </w:r>
          </w:p>
        </w:tc>
        <w:tc>
          <w:tcPr>
            <w:tcW w:w="715" w:type="pct"/>
            <w:vAlign w:val="center"/>
          </w:tcPr>
          <w:p w:rsidRPr="004F497C" w:rsidR="00A5287E" w:rsidRDefault="00985024" w14:paraId="7390713F"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101</w:t>
            </w:r>
            <w:r w:rsidRPr="004F497C">
              <w:rPr>
                <w:rFonts w:ascii="Times New Roman" w:hAnsi="Times New Roman" w:cs="Times New Roman"/>
                <w:b/>
                <w:sz w:val="24"/>
                <w:szCs w:val="24"/>
                <w:vertAlign w:val="superscript"/>
              </w:rPr>
              <w:footnoteReference w:id="13"/>
            </w:r>
          </w:p>
        </w:tc>
        <w:tc>
          <w:tcPr>
            <w:tcW w:w="676" w:type="pct"/>
            <w:vAlign w:val="center"/>
          </w:tcPr>
          <w:p w:rsidRPr="004F497C" w:rsidR="00A5287E" w:rsidRDefault="00985024" w14:paraId="07556A9D"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4</w:t>
            </w:r>
          </w:p>
        </w:tc>
        <w:tc>
          <w:tcPr>
            <w:tcW w:w="658" w:type="pct"/>
            <w:vAlign w:val="center"/>
          </w:tcPr>
          <w:p w:rsidRPr="004F497C" w:rsidR="00A5287E" w:rsidRDefault="00985024" w14:paraId="72E7ABB9"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404</w:t>
            </w:r>
          </w:p>
        </w:tc>
        <w:tc>
          <w:tcPr>
            <w:tcW w:w="611" w:type="pct"/>
            <w:vAlign w:val="center"/>
          </w:tcPr>
          <w:p w:rsidRPr="004F497C" w:rsidR="00A5287E" w:rsidRDefault="00985024" w14:paraId="3CB3DC3B"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0.25 hrs.;</w:t>
            </w:r>
          </w:p>
          <w:p w:rsidRPr="004F497C" w:rsidR="00A5287E" w:rsidRDefault="00985024" w14:paraId="5B149F5F"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$17.00</w:t>
            </w:r>
          </w:p>
        </w:tc>
        <w:tc>
          <w:tcPr>
            <w:tcW w:w="745" w:type="pct"/>
            <w:vAlign w:val="center"/>
          </w:tcPr>
          <w:p w:rsidRPr="004F497C" w:rsidR="00A5287E" w:rsidRDefault="00985024" w14:paraId="4132D47B"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101 hrs.;</w:t>
            </w:r>
          </w:p>
          <w:p w:rsidRPr="004F497C" w:rsidR="00A5287E" w:rsidRDefault="00985024" w14:paraId="560E4BC6"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$6,868.00</w:t>
            </w:r>
          </w:p>
        </w:tc>
        <w:tc>
          <w:tcPr>
            <w:tcW w:w="670" w:type="pct"/>
            <w:vAlign w:val="center"/>
          </w:tcPr>
          <w:p w:rsidRPr="004F497C" w:rsidR="00A5287E" w:rsidRDefault="00985024" w14:paraId="7D7DC3A4"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$68.00</w:t>
            </w:r>
          </w:p>
        </w:tc>
      </w:tr>
      <w:tr w:rsidR="00A5287E" w:rsidTr="004F497C" w14:paraId="38E96053" w14:textId="77777777">
        <w:trPr>
          <w:cantSplit/>
        </w:trPr>
        <w:tc>
          <w:tcPr>
            <w:tcW w:w="925" w:type="pct"/>
          </w:tcPr>
          <w:p w:rsidRPr="004F497C" w:rsidR="00A5287E" w:rsidRDefault="00985024" w14:paraId="69B44843" w14:textId="77777777">
            <w:pPr>
              <w:spacing w:after="0" w:line="240" w:lineRule="auto"/>
              <w:rPr>
                <w:rFonts w:ascii="Times New Roman" w:hAnsi="Times New Roman" w:cs="Times New Roman"/>
                <w:sz w:val="23"/>
                <w:szCs w:val="23"/>
              </w:rPr>
            </w:pPr>
            <w:r w:rsidRPr="004F497C">
              <w:rPr>
                <w:rFonts w:ascii="Times New Roman" w:hAnsi="Times New Roman" w:cs="Times New Roman"/>
                <w:sz w:val="23"/>
                <w:szCs w:val="23"/>
              </w:rPr>
              <w:lastRenderedPageBreak/>
              <w:t>Generator Owners: Annual Veg. Inspect. Doc. (M6); Work Plan (M7); Evidence of Mgt. of Veg. (M1 &amp; M2); Confirmed Veg. Condition (M4); &amp; Corrective Action (M5)</w:t>
            </w:r>
          </w:p>
        </w:tc>
        <w:tc>
          <w:tcPr>
            <w:tcW w:w="715" w:type="pct"/>
            <w:vAlign w:val="center"/>
          </w:tcPr>
          <w:p w:rsidRPr="004F497C" w:rsidR="00A5287E" w:rsidRDefault="00985024" w14:paraId="44452847"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95</w:t>
            </w:r>
          </w:p>
        </w:tc>
        <w:tc>
          <w:tcPr>
            <w:tcW w:w="676" w:type="pct"/>
            <w:vAlign w:val="center"/>
          </w:tcPr>
          <w:p w:rsidRPr="004F497C" w:rsidR="00A5287E" w:rsidRDefault="00985024" w14:paraId="2C2701E3"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1</w:t>
            </w:r>
          </w:p>
        </w:tc>
        <w:tc>
          <w:tcPr>
            <w:tcW w:w="658" w:type="pct"/>
            <w:vAlign w:val="center"/>
          </w:tcPr>
          <w:p w:rsidRPr="004F497C" w:rsidR="00A5287E" w:rsidRDefault="00985024" w14:paraId="6F802FFD"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95</w:t>
            </w:r>
          </w:p>
        </w:tc>
        <w:tc>
          <w:tcPr>
            <w:tcW w:w="611" w:type="pct"/>
            <w:vAlign w:val="center"/>
          </w:tcPr>
          <w:p w:rsidRPr="004F497C" w:rsidR="00A5287E" w:rsidRDefault="00985024" w14:paraId="23BDE48A"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2 hrs.;</w:t>
            </w:r>
          </w:p>
          <w:p w:rsidRPr="004F497C" w:rsidR="00A5287E" w:rsidRDefault="00985024" w14:paraId="46F53DB3"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$136.00</w:t>
            </w:r>
          </w:p>
          <w:p w:rsidRPr="004F497C" w:rsidR="00A5287E" w:rsidRDefault="00A5287E" w14:paraId="494CE560" w14:textId="77777777">
            <w:pPr>
              <w:spacing w:after="0" w:line="240" w:lineRule="auto"/>
              <w:jc w:val="right"/>
              <w:rPr>
                <w:rFonts w:ascii="Times New Roman" w:hAnsi="Times New Roman" w:cs="Times New Roman"/>
                <w:sz w:val="24"/>
                <w:szCs w:val="24"/>
              </w:rPr>
            </w:pPr>
          </w:p>
        </w:tc>
        <w:tc>
          <w:tcPr>
            <w:tcW w:w="745" w:type="pct"/>
            <w:vAlign w:val="center"/>
          </w:tcPr>
          <w:p w:rsidRPr="004F497C" w:rsidR="00A5287E" w:rsidRDefault="00985024" w14:paraId="26087C8D"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190 hrs.;</w:t>
            </w:r>
          </w:p>
          <w:p w:rsidRPr="004F497C" w:rsidR="00A5287E" w:rsidRDefault="00985024" w14:paraId="2E9EFD8C"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$12,920.00</w:t>
            </w:r>
          </w:p>
        </w:tc>
        <w:tc>
          <w:tcPr>
            <w:tcW w:w="670" w:type="pct"/>
            <w:vAlign w:val="center"/>
          </w:tcPr>
          <w:p w:rsidRPr="004F497C" w:rsidR="00A5287E" w:rsidRDefault="00985024" w14:paraId="2471B2E9"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$136.00</w:t>
            </w:r>
          </w:p>
        </w:tc>
      </w:tr>
      <w:tr w:rsidR="00A5287E" w:rsidTr="004F497C" w14:paraId="56F7C7E0" w14:textId="77777777">
        <w:trPr>
          <w:cantSplit/>
        </w:trPr>
        <w:tc>
          <w:tcPr>
            <w:tcW w:w="925" w:type="pct"/>
          </w:tcPr>
          <w:p w:rsidRPr="004F497C" w:rsidR="00A5287E" w:rsidRDefault="00985024" w14:paraId="6C211529" w14:textId="77777777">
            <w:pPr>
              <w:spacing w:after="0" w:line="240" w:lineRule="auto"/>
              <w:rPr>
                <w:rFonts w:ascii="Times New Roman" w:hAnsi="Times New Roman" w:cs="Times New Roman"/>
                <w:sz w:val="23"/>
                <w:szCs w:val="23"/>
              </w:rPr>
            </w:pPr>
            <w:r w:rsidRPr="004F497C">
              <w:rPr>
                <w:rFonts w:ascii="Times New Roman" w:hAnsi="Times New Roman" w:cs="Times New Roman"/>
                <w:sz w:val="23"/>
                <w:szCs w:val="23"/>
              </w:rPr>
              <w:t>Generator Owners,</w:t>
            </w:r>
          </w:p>
          <w:p w:rsidRPr="004F497C" w:rsidR="00A5287E" w:rsidRDefault="00985024" w14:paraId="4C35AAE6" w14:textId="77777777">
            <w:pPr>
              <w:spacing w:after="0" w:line="240" w:lineRule="auto"/>
              <w:rPr>
                <w:rFonts w:ascii="Times New Roman" w:hAnsi="Times New Roman" w:cs="Times New Roman"/>
                <w:sz w:val="23"/>
                <w:szCs w:val="23"/>
              </w:rPr>
            </w:pPr>
            <w:r w:rsidRPr="004F497C">
              <w:rPr>
                <w:rFonts w:ascii="Times New Roman" w:hAnsi="Times New Roman" w:cs="Times New Roman"/>
                <w:sz w:val="23"/>
                <w:szCs w:val="23"/>
              </w:rPr>
              <w:t>Transmission Owners:</w:t>
            </w:r>
          </w:p>
          <w:p w:rsidRPr="004F497C" w:rsidR="00A5287E" w:rsidRDefault="00985024" w14:paraId="41EA0DB3" w14:textId="77777777">
            <w:pPr>
              <w:spacing w:after="0" w:line="240" w:lineRule="auto"/>
              <w:rPr>
                <w:rFonts w:ascii="Times New Roman" w:hAnsi="Times New Roman" w:cs="Times New Roman"/>
                <w:sz w:val="23"/>
                <w:szCs w:val="23"/>
              </w:rPr>
            </w:pPr>
            <w:r w:rsidRPr="004F497C">
              <w:rPr>
                <w:rFonts w:ascii="Times New Roman" w:hAnsi="Times New Roman" w:cs="Times New Roman"/>
                <w:sz w:val="23"/>
                <w:szCs w:val="23"/>
              </w:rPr>
              <w:t>Record Retention (Compliance 1.2)</w:t>
            </w:r>
          </w:p>
        </w:tc>
        <w:tc>
          <w:tcPr>
            <w:tcW w:w="715" w:type="pct"/>
            <w:vAlign w:val="center"/>
          </w:tcPr>
          <w:p w:rsidRPr="004F497C" w:rsidR="00A5287E" w:rsidRDefault="00985024" w14:paraId="4B1C6531"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423</w:t>
            </w:r>
          </w:p>
        </w:tc>
        <w:tc>
          <w:tcPr>
            <w:tcW w:w="676" w:type="pct"/>
            <w:vAlign w:val="center"/>
          </w:tcPr>
          <w:p w:rsidRPr="004F497C" w:rsidR="00A5287E" w:rsidRDefault="00985024" w14:paraId="1B62E87D"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1</w:t>
            </w:r>
          </w:p>
        </w:tc>
        <w:tc>
          <w:tcPr>
            <w:tcW w:w="658" w:type="pct"/>
            <w:vAlign w:val="center"/>
          </w:tcPr>
          <w:p w:rsidRPr="004F497C" w:rsidR="00A5287E" w:rsidRDefault="00985024" w14:paraId="3C7DB52A"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423</w:t>
            </w:r>
          </w:p>
        </w:tc>
        <w:tc>
          <w:tcPr>
            <w:tcW w:w="611" w:type="pct"/>
            <w:vAlign w:val="center"/>
          </w:tcPr>
          <w:p w:rsidRPr="004F497C" w:rsidR="00A5287E" w:rsidRDefault="00A5287E" w14:paraId="3D9BD71D" w14:textId="77777777">
            <w:pPr>
              <w:spacing w:after="0" w:line="240" w:lineRule="auto"/>
              <w:jc w:val="right"/>
              <w:rPr>
                <w:rFonts w:ascii="Times New Roman" w:hAnsi="Times New Roman" w:cs="Times New Roman"/>
                <w:sz w:val="24"/>
                <w:szCs w:val="24"/>
              </w:rPr>
            </w:pPr>
          </w:p>
          <w:p w:rsidRPr="004F497C" w:rsidR="00A5287E" w:rsidRDefault="00A5287E" w14:paraId="1E98389F" w14:textId="77777777">
            <w:pPr>
              <w:spacing w:after="0" w:line="240" w:lineRule="auto"/>
              <w:jc w:val="right"/>
              <w:rPr>
                <w:rFonts w:ascii="Times New Roman" w:hAnsi="Times New Roman" w:cs="Times New Roman"/>
                <w:sz w:val="24"/>
                <w:szCs w:val="24"/>
              </w:rPr>
            </w:pPr>
          </w:p>
          <w:p w:rsidRPr="004F497C" w:rsidR="00A5287E" w:rsidRDefault="00985024" w14:paraId="50C0F15F"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1 hr.;</w:t>
            </w:r>
          </w:p>
          <w:p w:rsidRPr="004F497C" w:rsidR="00A5287E" w:rsidRDefault="00985024" w14:paraId="14F8998A"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$68.00</w:t>
            </w:r>
          </w:p>
          <w:p w:rsidRPr="004F497C" w:rsidR="00A5287E" w:rsidRDefault="00A5287E" w14:paraId="2026F650" w14:textId="77777777">
            <w:pPr>
              <w:spacing w:after="0" w:line="240" w:lineRule="auto"/>
              <w:jc w:val="right"/>
              <w:rPr>
                <w:rFonts w:ascii="Times New Roman" w:hAnsi="Times New Roman" w:cs="Times New Roman"/>
                <w:sz w:val="24"/>
                <w:szCs w:val="24"/>
              </w:rPr>
            </w:pPr>
          </w:p>
        </w:tc>
        <w:tc>
          <w:tcPr>
            <w:tcW w:w="745" w:type="pct"/>
            <w:vAlign w:val="center"/>
          </w:tcPr>
          <w:p w:rsidRPr="004F497C" w:rsidR="00A5287E" w:rsidRDefault="00A5287E" w14:paraId="11C410DD" w14:textId="77777777">
            <w:pPr>
              <w:spacing w:after="0" w:line="240" w:lineRule="auto"/>
              <w:jc w:val="right"/>
              <w:rPr>
                <w:rFonts w:ascii="Times New Roman" w:hAnsi="Times New Roman" w:cs="Times New Roman"/>
                <w:sz w:val="24"/>
                <w:szCs w:val="24"/>
              </w:rPr>
            </w:pPr>
          </w:p>
          <w:p w:rsidRPr="004F497C" w:rsidR="00A5287E" w:rsidRDefault="00985024" w14:paraId="29C7B1CC"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423 hrs.;</w:t>
            </w:r>
          </w:p>
          <w:p w:rsidRPr="004F497C" w:rsidR="00A5287E" w:rsidRDefault="00985024" w14:paraId="6CFCABD5"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$28,764.00</w:t>
            </w:r>
          </w:p>
        </w:tc>
        <w:tc>
          <w:tcPr>
            <w:tcW w:w="670" w:type="pct"/>
            <w:vAlign w:val="center"/>
          </w:tcPr>
          <w:p w:rsidRPr="004F497C" w:rsidR="00A5287E" w:rsidRDefault="00985024" w14:paraId="34590A95" w14:textId="77777777">
            <w:pPr>
              <w:spacing w:after="0" w:line="240" w:lineRule="auto"/>
              <w:jc w:val="right"/>
              <w:rPr>
                <w:rFonts w:ascii="Times New Roman" w:hAnsi="Times New Roman" w:cs="Times New Roman"/>
                <w:sz w:val="24"/>
                <w:szCs w:val="24"/>
              </w:rPr>
            </w:pPr>
            <w:r w:rsidRPr="004F497C">
              <w:rPr>
                <w:rFonts w:ascii="Times New Roman" w:hAnsi="Times New Roman" w:cs="Times New Roman"/>
                <w:sz w:val="24"/>
                <w:szCs w:val="24"/>
              </w:rPr>
              <w:t>$68.00</w:t>
            </w:r>
          </w:p>
        </w:tc>
      </w:tr>
      <w:tr w:rsidR="00A5287E" w14:paraId="0DCB2023" w14:textId="77777777">
        <w:trPr>
          <w:cantSplit/>
          <w:trHeight w:val="485"/>
        </w:trPr>
        <w:tc>
          <w:tcPr>
            <w:tcW w:w="925" w:type="pct"/>
            <w:tcBorders>
              <w:bottom w:val="single" w:color="auto" w:sz="4" w:space="0"/>
            </w:tcBorders>
          </w:tcPr>
          <w:p w:rsidRPr="004F497C" w:rsidR="00A5287E" w:rsidRDefault="00985024" w14:paraId="7ABBBCBB" w14:textId="77777777">
            <w:pPr>
              <w:spacing w:after="0" w:line="240" w:lineRule="auto"/>
              <w:rPr>
                <w:rFonts w:ascii="Times New Roman" w:hAnsi="Times New Roman" w:cs="Times New Roman"/>
                <w:b/>
                <w:sz w:val="24"/>
                <w:szCs w:val="24"/>
              </w:rPr>
            </w:pPr>
            <w:r w:rsidRPr="004F497C">
              <w:rPr>
                <w:rFonts w:ascii="Times New Roman" w:hAnsi="Times New Roman" w:cs="Times New Roman"/>
                <w:b/>
                <w:sz w:val="24"/>
                <w:szCs w:val="24"/>
              </w:rPr>
              <w:t>TOTAL</w:t>
            </w:r>
          </w:p>
        </w:tc>
        <w:tc>
          <w:tcPr>
            <w:tcW w:w="1391" w:type="pct"/>
            <w:gridSpan w:val="2"/>
            <w:tcBorders>
              <w:bottom w:val="single" w:color="auto" w:sz="4" w:space="0"/>
            </w:tcBorders>
            <w:shd w:val="clear" w:color="auto" w:fill="D9D9D9"/>
            <w:vAlign w:val="center"/>
          </w:tcPr>
          <w:p w:rsidRPr="004F497C" w:rsidR="00A5287E" w:rsidRDefault="00A5287E" w14:paraId="0F444267" w14:textId="77777777">
            <w:pPr>
              <w:spacing w:after="0" w:line="240" w:lineRule="auto"/>
              <w:jc w:val="right"/>
              <w:rPr>
                <w:rFonts w:ascii="Times New Roman" w:hAnsi="Times New Roman" w:cs="Times New Roman"/>
                <w:sz w:val="24"/>
                <w:szCs w:val="24"/>
              </w:rPr>
            </w:pPr>
          </w:p>
        </w:tc>
        <w:tc>
          <w:tcPr>
            <w:tcW w:w="658" w:type="pct"/>
            <w:tcBorders>
              <w:bottom w:val="single" w:color="auto" w:sz="4" w:space="0"/>
            </w:tcBorders>
            <w:shd w:val="clear" w:color="auto" w:fill="auto"/>
            <w:vAlign w:val="center"/>
          </w:tcPr>
          <w:p w:rsidRPr="004F497C" w:rsidR="00A5287E" w:rsidRDefault="00985024" w14:paraId="48B4359F" w14:textId="77777777">
            <w:pPr>
              <w:spacing w:after="0" w:line="240" w:lineRule="auto"/>
              <w:jc w:val="right"/>
              <w:rPr>
                <w:rFonts w:ascii="Times New Roman" w:hAnsi="Times New Roman" w:cs="Times New Roman"/>
                <w:b/>
                <w:sz w:val="24"/>
                <w:szCs w:val="24"/>
              </w:rPr>
            </w:pPr>
            <w:r w:rsidRPr="004F497C">
              <w:rPr>
                <w:rFonts w:ascii="Times New Roman" w:hAnsi="Times New Roman" w:cs="Times New Roman"/>
                <w:b/>
                <w:sz w:val="24"/>
                <w:szCs w:val="24"/>
              </w:rPr>
              <w:t>922</w:t>
            </w:r>
          </w:p>
        </w:tc>
        <w:tc>
          <w:tcPr>
            <w:tcW w:w="611" w:type="pct"/>
            <w:tcBorders>
              <w:bottom w:val="single" w:color="auto" w:sz="4" w:space="0"/>
            </w:tcBorders>
            <w:shd w:val="clear" w:color="auto" w:fill="D9D9D9"/>
            <w:vAlign w:val="center"/>
          </w:tcPr>
          <w:p w:rsidRPr="004F497C" w:rsidR="00A5287E" w:rsidRDefault="00A5287E" w14:paraId="4479E430" w14:textId="77777777">
            <w:pPr>
              <w:spacing w:after="0" w:line="240" w:lineRule="auto"/>
              <w:jc w:val="right"/>
              <w:rPr>
                <w:rFonts w:ascii="Times New Roman" w:hAnsi="Times New Roman" w:cs="Times New Roman"/>
                <w:sz w:val="24"/>
                <w:szCs w:val="24"/>
              </w:rPr>
            </w:pPr>
          </w:p>
        </w:tc>
        <w:tc>
          <w:tcPr>
            <w:tcW w:w="745" w:type="pct"/>
            <w:tcBorders>
              <w:bottom w:val="single" w:color="auto" w:sz="4" w:space="0"/>
            </w:tcBorders>
            <w:vAlign w:val="center"/>
          </w:tcPr>
          <w:p w:rsidRPr="004F497C" w:rsidR="00A5287E" w:rsidRDefault="00985024" w14:paraId="1333CD99" w14:textId="77777777">
            <w:pPr>
              <w:spacing w:after="0" w:line="240" w:lineRule="auto"/>
              <w:jc w:val="right"/>
              <w:rPr>
                <w:rFonts w:ascii="Times New Roman" w:hAnsi="Times New Roman" w:cs="Times New Roman"/>
                <w:b/>
                <w:sz w:val="24"/>
                <w:szCs w:val="24"/>
              </w:rPr>
            </w:pPr>
            <w:r w:rsidRPr="004F497C">
              <w:rPr>
                <w:rFonts w:ascii="Times New Roman" w:hAnsi="Times New Roman" w:cs="Times New Roman"/>
                <w:b/>
                <w:sz w:val="24"/>
                <w:szCs w:val="24"/>
              </w:rPr>
              <w:t>714 hrs.:</w:t>
            </w:r>
          </w:p>
          <w:p w:rsidRPr="004F497C" w:rsidR="00A5287E" w:rsidRDefault="00985024" w14:paraId="456316FC" w14:textId="77777777">
            <w:pPr>
              <w:spacing w:after="0" w:line="240" w:lineRule="auto"/>
              <w:jc w:val="right"/>
              <w:rPr>
                <w:rFonts w:ascii="Times New Roman" w:hAnsi="Times New Roman" w:cs="Times New Roman"/>
                <w:b/>
                <w:sz w:val="24"/>
                <w:szCs w:val="24"/>
              </w:rPr>
            </w:pPr>
            <w:r w:rsidRPr="004F497C">
              <w:rPr>
                <w:rFonts w:ascii="Times New Roman" w:hAnsi="Times New Roman" w:cs="Times New Roman"/>
                <w:b/>
                <w:sz w:val="24"/>
                <w:szCs w:val="24"/>
              </w:rPr>
              <w:t>$48,552.00</w:t>
            </w:r>
          </w:p>
        </w:tc>
        <w:tc>
          <w:tcPr>
            <w:tcW w:w="670" w:type="pct"/>
            <w:tcBorders>
              <w:bottom w:val="single" w:color="auto" w:sz="4" w:space="0"/>
            </w:tcBorders>
            <w:shd w:val="clear" w:color="auto" w:fill="D9D9D9"/>
            <w:vAlign w:val="center"/>
          </w:tcPr>
          <w:p w:rsidRPr="004F497C" w:rsidR="00A5287E" w:rsidRDefault="00A5287E" w14:paraId="0575A86D" w14:textId="77777777">
            <w:pPr>
              <w:spacing w:after="0" w:line="240" w:lineRule="auto"/>
              <w:jc w:val="right"/>
              <w:rPr>
                <w:rFonts w:ascii="Times New Roman" w:hAnsi="Times New Roman" w:cs="Times New Roman"/>
                <w:b/>
                <w:sz w:val="24"/>
                <w:szCs w:val="24"/>
              </w:rPr>
            </w:pPr>
          </w:p>
        </w:tc>
      </w:tr>
    </w:tbl>
    <w:p w:rsidR="00A5287E" w:rsidRDefault="00A5287E" w14:paraId="449C9D94" w14:textId="77777777">
      <w:pPr>
        <w:spacing w:after="0" w:line="240" w:lineRule="auto"/>
        <w:rPr>
          <w:rFonts w:ascii="Times New Roman" w:hAnsi="Times New Roman" w:cs="Times New Roman"/>
          <w:sz w:val="26"/>
          <w:szCs w:val="26"/>
        </w:rPr>
      </w:pPr>
    </w:p>
    <w:p w:rsidR="00A5287E" w:rsidRDefault="00985024" w14:paraId="47561FD1"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ESTIMATE OF THE TOTAL ANNUAL COST BURDEN TO RESPONDENTS</w:t>
      </w:r>
    </w:p>
    <w:p w:rsidR="00A5287E" w:rsidRDefault="00A5287E" w14:paraId="4E0F61BA" w14:textId="77777777">
      <w:pPr>
        <w:spacing w:after="0" w:line="240" w:lineRule="auto"/>
        <w:rPr>
          <w:rFonts w:ascii="Times New Roman" w:hAnsi="Times New Roman" w:cs="Times New Roman"/>
          <w:sz w:val="26"/>
          <w:szCs w:val="26"/>
        </w:rPr>
      </w:pPr>
    </w:p>
    <w:p w:rsidR="00A5287E" w:rsidRDefault="00985024" w14:paraId="3F24FD61"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non-labor start-up costs. All costs are related to burden hours and are addressed in Questions #12 and #15.</w:t>
      </w:r>
    </w:p>
    <w:p w:rsidR="00A5287E" w:rsidRDefault="00A5287E" w14:paraId="09193FCB" w14:textId="77777777">
      <w:pPr>
        <w:spacing w:after="0" w:line="240" w:lineRule="auto"/>
        <w:rPr>
          <w:rFonts w:ascii="Times New Roman" w:hAnsi="Times New Roman" w:cs="Times New Roman"/>
          <w:sz w:val="26"/>
          <w:szCs w:val="26"/>
        </w:rPr>
      </w:pPr>
    </w:p>
    <w:p w:rsidR="00A5287E" w:rsidRDefault="00985024" w14:paraId="28B10226"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ESTIMATED ANNUALIZED COST TO FEDERAL GOVERNMENT</w:t>
      </w:r>
    </w:p>
    <w:p w:rsidR="00A5287E" w:rsidRDefault="00A5287E" w14:paraId="29AC3683" w14:textId="77777777">
      <w:pPr>
        <w:spacing w:after="0" w:line="240" w:lineRule="auto"/>
        <w:rPr>
          <w:rFonts w:ascii="Times New Roman" w:hAnsi="Times New Roman" w:cs="Times New Roman"/>
          <w:sz w:val="26"/>
          <w:szCs w:val="26"/>
        </w:rPr>
      </w:pPr>
    </w:p>
    <w:p w:rsidR="00A5287E" w:rsidRDefault="00985024" w14:paraId="4EB3F6BD" w14:textId="77777777">
      <w:pPr>
        <w:spacing w:after="0"/>
        <w:rPr>
          <w:rFonts w:ascii="Times New Roman" w:hAnsi="Times New Roman" w:cs="Times New Roman"/>
          <w:sz w:val="26"/>
          <w:szCs w:val="26"/>
        </w:rPr>
      </w:pPr>
      <w:r>
        <w:rPr>
          <w:rFonts w:ascii="Times New Roman" w:hAnsi="Times New Roman"/>
          <w:sz w:val="26"/>
          <w:szCs w:val="26"/>
        </w:rPr>
        <w:t xml:space="preserve">The Regional Entities and NERC do most of the data processing, monitoring, auditing, and compliance work for Reliability Standards.  </w:t>
      </w:r>
      <w:r>
        <w:rPr>
          <w:rFonts w:ascii="Times New Roman" w:hAnsi="Times New Roman" w:cs="Times New Roman"/>
          <w:sz w:val="26"/>
          <w:szCs w:val="26"/>
        </w:rPr>
        <w:t>Any involvement by the Commission is covered under the FERC-725 (OMB Control No. 1902-0255)</w:t>
      </w:r>
      <w:r>
        <w:rPr>
          <w:rFonts w:ascii="Times New Roman" w:hAnsi="Times New Roman"/>
          <w:sz w:val="26"/>
          <w:szCs w:val="26"/>
        </w:rPr>
        <w:t xml:space="preserve"> and is not part of this request or package</w:t>
      </w:r>
      <w:r>
        <w:rPr>
          <w:rFonts w:ascii="Times New Roman" w:hAnsi="Times New Roman" w:cs="Times New Roman"/>
          <w:sz w:val="26"/>
          <w:szCs w:val="26"/>
        </w:rPr>
        <w:t xml:space="preserve">.  The data for FERC-725M are not submitted to FERC.  </w:t>
      </w:r>
    </w:p>
    <w:p w:rsidR="00A5287E" w:rsidRDefault="00A5287E" w14:paraId="690D7E82" w14:textId="77777777">
      <w:pPr>
        <w:spacing w:after="0" w:line="240" w:lineRule="auto"/>
        <w:rPr>
          <w:rFonts w:ascii="Times New Roman" w:hAnsi="Times New Roman" w:cs="Times New Roman"/>
          <w:sz w:val="26"/>
          <w:szCs w:val="26"/>
        </w:rPr>
      </w:pPr>
    </w:p>
    <w:p w:rsidR="00A5287E" w:rsidRDefault="00985024" w14:paraId="45BB36DD"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Commission does incur the costs associated with obtaining OMB clearance for the collection under the Paperwork Reduction Act of 1995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w:t>
      </w:r>
    </w:p>
    <w:p w:rsidR="00A5287E" w:rsidRDefault="00A5287E" w14:paraId="3A349CDE" w14:textId="77777777">
      <w:pPr>
        <w:spacing w:after="0" w:line="240" w:lineRule="auto"/>
        <w:rPr>
          <w:rFonts w:ascii="Times New Roman" w:hAnsi="Times New Roman" w:cs="Times New Roman"/>
          <w:sz w:val="26"/>
          <w:szCs w:val="26"/>
        </w:rPr>
      </w:pPr>
    </w:p>
    <w:p w:rsidR="00A5287E" w:rsidRDefault="00A5287E" w14:paraId="0F72CFA9" w14:textId="77777777">
      <w:pPr>
        <w:spacing w:after="0" w:line="240" w:lineRule="auto"/>
        <w:rPr>
          <w:rFonts w:ascii="Times New Roman" w:hAnsi="Times New Roman" w:cs="Times New Roman"/>
          <w:sz w:val="26"/>
          <w:szCs w:val="26"/>
        </w:rPr>
      </w:pPr>
    </w:p>
    <w:tbl>
      <w:tblPr>
        <w:tblW w:w="9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38"/>
        <w:gridCol w:w="2457"/>
        <w:gridCol w:w="3780"/>
      </w:tblGrid>
      <w:tr w:rsidR="00A5287E" w:rsidTr="004F497C" w14:paraId="7BFDF648" w14:textId="77777777">
        <w:tc>
          <w:tcPr>
            <w:tcW w:w="2938" w:type="dxa"/>
            <w:shd w:val="clear" w:color="auto" w:fill="CCCCCC"/>
          </w:tcPr>
          <w:p w:rsidR="00A5287E" w:rsidRDefault="00A5287E" w14:paraId="42954629"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tc>
        <w:tc>
          <w:tcPr>
            <w:tcW w:w="2457" w:type="dxa"/>
            <w:shd w:val="clear" w:color="auto" w:fill="CCCCCC"/>
          </w:tcPr>
          <w:p w:rsidR="00A5287E" w:rsidRDefault="00985024" w14:paraId="73B15C79" w14:textId="77777777">
            <w:pPr>
              <w:widowControl w:val="0"/>
              <w:autoSpaceDE w:val="0"/>
              <w:autoSpaceDN w:val="0"/>
              <w:adjustRightInd w:val="0"/>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Number of Employees (FTEs)</w:t>
            </w:r>
          </w:p>
        </w:tc>
        <w:tc>
          <w:tcPr>
            <w:tcW w:w="3780" w:type="dxa"/>
            <w:shd w:val="clear" w:color="auto" w:fill="CCCCCC"/>
          </w:tcPr>
          <w:p w:rsidR="00A5287E" w:rsidRDefault="00985024" w14:paraId="76357608" w14:textId="77777777">
            <w:pPr>
              <w:widowControl w:val="0"/>
              <w:autoSpaceDE w:val="0"/>
              <w:autoSpaceDN w:val="0"/>
              <w:adjustRightInd w:val="0"/>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Estimated Annual Federal Cost</w:t>
            </w:r>
          </w:p>
        </w:tc>
      </w:tr>
      <w:tr w:rsidR="00A5287E" w:rsidTr="004F497C" w14:paraId="11C8168E" w14:textId="77777777">
        <w:tc>
          <w:tcPr>
            <w:tcW w:w="2938" w:type="dxa"/>
            <w:shd w:val="clear" w:color="auto" w:fill="auto"/>
          </w:tcPr>
          <w:p w:rsidR="00A5287E" w:rsidRDefault="00985024" w14:paraId="58DE1F37"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lastRenderedPageBreak/>
              <w:t>PRA</w:t>
            </w:r>
            <w:r>
              <w:rPr>
                <w:rFonts w:ascii="Times New Roman" w:hAnsi="Times New Roman" w:eastAsia="Times New Roman" w:cs="Times New Roman"/>
                <w:sz w:val="26"/>
                <w:szCs w:val="26"/>
                <w:vertAlign w:val="superscript"/>
              </w:rPr>
              <w:footnoteReference w:id="14"/>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Administration Cost</w:t>
            </w:r>
            <w:r>
              <w:rPr>
                <w:rFonts w:ascii="Times New Roman" w:hAnsi="Times New Roman" w:eastAsia="Times New Roman" w:cs="Times New Roman"/>
                <w:sz w:val="26"/>
                <w:szCs w:val="26"/>
                <w:vertAlign w:val="superscript"/>
              </w:rPr>
              <w:footnoteReference w:id="15"/>
            </w:r>
            <w:r>
              <w:rPr>
                <w:rFonts w:ascii="Times New Roman" w:hAnsi="Times New Roman" w:eastAsia="Times New Roman" w:cs="Times New Roman"/>
                <w:sz w:val="26"/>
                <w:szCs w:val="26"/>
                <w:vertAlign w:val="superscript"/>
              </w:rPr>
              <w:t xml:space="preserve"> </w:t>
            </w:r>
          </w:p>
        </w:tc>
        <w:tc>
          <w:tcPr>
            <w:tcW w:w="2457" w:type="dxa"/>
            <w:shd w:val="clear" w:color="auto" w:fill="auto"/>
          </w:tcPr>
          <w:p w:rsidR="00A5287E" w:rsidRDefault="00985024" w14:paraId="5C6072F2"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tc>
        <w:tc>
          <w:tcPr>
            <w:tcW w:w="3780" w:type="dxa"/>
            <w:shd w:val="clear" w:color="auto" w:fill="auto"/>
          </w:tcPr>
          <w:p w:rsidR="00A5287E" w:rsidRDefault="00985024" w14:paraId="7B269251"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$4,832</w:t>
            </w:r>
          </w:p>
        </w:tc>
      </w:tr>
      <w:tr w:rsidR="00A5287E" w:rsidTr="004F497C" w14:paraId="558688B1" w14:textId="77777777">
        <w:tc>
          <w:tcPr>
            <w:tcW w:w="2938" w:type="dxa"/>
            <w:shd w:val="clear" w:color="auto" w:fill="auto"/>
          </w:tcPr>
          <w:p w:rsidR="00A5287E" w:rsidRDefault="00985024" w14:paraId="4415F311"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Data Processing and Analysis</w:t>
            </w:r>
            <w:r>
              <w:rPr>
                <w:rFonts w:ascii="Times New Roman" w:hAnsi="Times New Roman" w:eastAsia="Times New Roman" w:cs="Times New Roman"/>
                <w:sz w:val="26"/>
                <w:szCs w:val="26"/>
                <w:vertAlign w:val="superscript"/>
              </w:rPr>
              <w:footnoteReference w:id="16"/>
            </w:r>
          </w:p>
        </w:tc>
        <w:tc>
          <w:tcPr>
            <w:tcW w:w="2457" w:type="dxa"/>
            <w:shd w:val="clear" w:color="auto" w:fill="auto"/>
          </w:tcPr>
          <w:p w:rsidR="00A5287E" w:rsidRDefault="00985024" w14:paraId="191AB6D5"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highlight w:val="yellow"/>
              </w:rPr>
            </w:pPr>
            <w:r>
              <w:rPr>
                <w:rFonts w:ascii="Times New Roman" w:hAnsi="Times New Roman" w:eastAsia="Times New Roman" w:cs="Times New Roman"/>
                <w:sz w:val="26"/>
                <w:szCs w:val="26"/>
              </w:rPr>
              <w:t>0</w:t>
            </w:r>
          </w:p>
        </w:tc>
        <w:tc>
          <w:tcPr>
            <w:tcW w:w="3780" w:type="dxa"/>
            <w:shd w:val="clear" w:color="auto" w:fill="auto"/>
          </w:tcPr>
          <w:p w:rsidR="00A5287E" w:rsidRDefault="00985024" w14:paraId="30E4D32F"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w:t>
            </w:r>
          </w:p>
        </w:tc>
      </w:tr>
      <w:tr w:rsidR="00A5287E" w:rsidTr="004F497C" w14:paraId="5AB381DE" w14:textId="77777777">
        <w:tc>
          <w:tcPr>
            <w:tcW w:w="2938" w:type="dxa"/>
            <w:shd w:val="clear" w:color="auto" w:fill="auto"/>
          </w:tcPr>
          <w:p w:rsidR="00A5287E" w:rsidRDefault="00985024" w14:paraId="2536C73E"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FERC Total</w:t>
            </w:r>
          </w:p>
        </w:tc>
        <w:tc>
          <w:tcPr>
            <w:tcW w:w="2457" w:type="dxa"/>
            <w:tcBorders>
              <w:bottom w:val="single" w:color="auto" w:sz="4" w:space="0"/>
            </w:tcBorders>
            <w:shd w:val="clear" w:color="auto" w:fill="BFBFBF"/>
          </w:tcPr>
          <w:p w:rsidR="00A5287E" w:rsidRDefault="00A5287E" w14:paraId="4186604D"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3780" w:type="dxa"/>
            <w:shd w:val="clear" w:color="auto" w:fill="auto"/>
          </w:tcPr>
          <w:p w:rsidR="00A5287E" w:rsidRDefault="00985024" w14:paraId="5B294E73"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$4,832</w:t>
            </w:r>
          </w:p>
        </w:tc>
      </w:tr>
    </w:tbl>
    <w:p w:rsidR="00A5287E" w:rsidRDefault="00A5287E" w14:paraId="338A17A9" w14:textId="77777777">
      <w:pPr>
        <w:autoSpaceDE w:val="0"/>
        <w:autoSpaceDN w:val="0"/>
        <w:adjustRightInd w:val="0"/>
        <w:spacing w:after="0" w:line="240" w:lineRule="auto"/>
        <w:rPr>
          <w:rFonts w:ascii="Times New Roman" w:hAnsi="Times New Roman" w:eastAsia="Times New Roman" w:cs="Times New Roman"/>
          <w:sz w:val="26"/>
          <w:szCs w:val="26"/>
        </w:rPr>
      </w:pPr>
    </w:p>
    <w:p w:rsidR="00A5287E" w:rsidRDefault="00985024" w14:paraId="53BA8B74"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(OMB Control No. 1902-0255) and is not part of this request or package.  The data for FERC-725M are not submitted to FERC.  </w:t>
      </w:r>
    </w:p>
    <w:p w:rsidR="00A5287E" w:rsidRDefault="00A5287E" w14:paraId="3684D1E9" w14:textId="77777777">
      <w:pPr>
        <w:spacing w:after="0" w:line="240" w:lineRule="auto"/>
        <w:rPr>
          <w:rFonts w:ascii="Times New Roman" w:hAnsi="Times New Roman" w:cs="Times New Roman"/>
          <w:sz w:val="26"/>
          <w:szCs w:val="26"/>
        </w:rPr>
      </w:pPr>
    </w:p>
    <w:p w:rsidR="00A5287E" w:rsidRDefault="00985024" w14:paraId="20759949"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REASONS FOR CHANGES IN BURDEN INCLUDING THE NEED FOR ANY INCREASE</w:t>
      </w:r>
    </w:p>
    <w:p w:rsidR="00A5287E" w:rsidRDefault="00A5287E" w14:paraId="5A863D7D" w14:textId="77777777">
      <w:pPr>
        <w:spacing w:after="0" w:line="240" w:lineRule="auto"/>
        <w:rPr>
          <w:rFonts w:ascii="Times New Roman" w:hAnsi="Times New Roman" w:cs="Times New Roman"/>
          <w:sz w:val="26"/>
          <w:szCs w:val="26"/>
        </w:rPr>
      </w:pPr>
    </w:p>
    <w:p w:rsidR="00A5287E" w:rsidRDefault="00985024" w14:paraId="6AF1D88C" w14:textId="77777777">
      <w:pPr>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The changes in burden are necessary to ensure we are:</w:t>
      </w:r>
    </w:p>
    <w:p w:rsidR="00A5287E" w:rsidRDefault="00985024" w14:paraId="5B0D6187" w14:textId="77777777">
      <w:pPr>
        <w:numPr>
          <w:ilvl w:val="0"/>
          <w:numId w:val="20"/>
        </w:numPr>
        <w:autoSpaceDE w:val="0"/>
        <w:autoSpaceDN w:val="0"/>
        <w:adjustRightInd w:val="0"/>
        <w:spacing w:after="0" w:line="240" w:lineRule="auto"/>
        <w:rPr>
          <w:rFonts w:ascii="Times New Roman" w:hAnsi="Times New Roman" w:eastAsia="Times New Roman" w:cs="Times New Roman"/>
          <w:sz w:val="26"/>
          <w:szCs w:val="26"/>
        </w:rPr>
      </w:pPr>
      <w:bookmarkStart w:name="_Hlk27029691" w:id="4"/>
      <w:r>
        <w:rPr>
          <w:rFonts w:ascii="Times New Roman" w:hAnsi="Times New Roman" w:eastAsia="Times New Roman" w:cs="Times New Roman"/>
          <w:sz w:val="26"/>
          <w:szCs w:val="26"/>
        </w:rPr>
        <w:t xml:space="preserve">Adjusting the burden in FAC-003-4 to reflect the latest number of applicable entities based on the NERC Compliance Registry as of July 26, 2019. </w:t>
      </w:r>
      <w:r>
        <w:rPr>
          <w:sz w:val="26"/>
          <w:szCs w:val="26"/>
        </w:rPr>
        <w:t xml:space="preserve"> </w:t>
      </w:r>
      <w:r>
        <w:rPr>
          <w:rFonts w:ascii="Times New Roman" w:hAnsi="Times New Roman" w:eastAsia="Times New Roman" w:cs="Times New Roman"/>
          <w:sz w:val="26"/>
          <w:szCs w:val="26"/>
        </w:rPr>
        <w:t>According to the NERC Compliance Registry as of July 26, 2019, there are 946 generator owners and 328 transmission owners registered in North America.  We estimate that approximately 10 percent (or 95) of these generator owners have interconnection facilities that are applicable to the standard.</w:t>
      </w:r>
    </w:p>
    <w:p w:rsidR="00A5287E" w:rsidRDefault="00985024" w14:paraId="2B635CD3" w14:textId="77777777">
      <w:pPr>
        <w:numPr>
          <w:ilvl w:val="0"/>
          <w:numId w:val="20"/>
        </w:numPr>
        <w:autoSpaceDE w:val="0"/>
        <w:autoSpaceDN w:val="0"/>
        <w:adjustRightInd w:val="0"/>
        <w:spacing w:after="0" w:line="240" w:lineRule="auto"/>
        <w:rPr>
          <w:rFonts w:ascii="Times New Roman" w:hAnsi="Times New Roman" w:eastAsia="Times New Roman" w:cs="Times New Roman"/>
          <w:sz w:val="26"/>
          <w:szCs w:val="26"/>
        </w:rPr>
      </w:pPr>
      <w:bookmarkStart w:name="_Hlk27029721" w:id="5"/>
      <w:bookmarkEnd w:id="4"/>
      <w:r>
        <w:rPr>
          <w:rFonts w:ascii="Times New Roman" w:hAnsi="Times New Roman" w:eastAsia="Times New Roman" w:cs="Times New Roman"/>
          <w:sz w:val="26"/>
          <w:szCs w:val="26"/>
        </w:rPr>
        <w:t>Making a program change to remove all “one-time” burden which has been completed</w:t>
      </w:r>
      <w:bookmarkEnd w:id="5"/>
      <w:r>
        <w:rPr>
          <w:rFonts w:ascii="Times New Roman" w:hAnsi="Times New Roman" w:eastAsia="Times New Roman" w:cs="Times New Roman"/>
          <w:sz w:val="26"/>
          <w:szCs w:val="26"/>
        </w:rPr>
        <w:t xml:space="preserve">.   </w:t>
      </w:r>
      <w:bookmarkStart w:name="_Hlk27029768" w:id="6"/>
      <w:r>
        <w:rPr>
          <w:rFonts w:ascii="Times New Roman" w:hAnsi="Times New Roman" w:eastAsia="Times New Roman" w:cs="Times New Roman"/>
          <w:sz w:val="26"/>
          <w:szCs w:val="26"/>
        </w:rPr>
        <w:t>The total number of burden hours being reduced in FERC-725M is 1,517 burden hours:</w:t>
      </w:r>
    </w:p>
    <w:p w:rsidR="00A5287E" w:rsidRDefault="00985024" w14:paraId="1DECC9E5" w14:textId="77777777">
      <w:pPr>
        <w:numPr>
          <w:ilvl w:val="1"/>
          <w:numId w:val="20"/>
        </w:numPr>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removing 552 hours of burden due to Docket No. RD16-4. The ongoing burden left in RD16-4 for FERC-725M is 414 hours.</w:t>
      </w:r>
    </w:p>
    <w:p w:rsidR="00A5287E" w:rsidRDefault="00985024" w14:paraId="200A155C" w14:textId="77777777">
      <w:pPr>
        <w:numPr>
          <w:ilvl w:val="1"/>
          <w:numId w:val="20"/>
        </w:numPr>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we are removing 965 hours of burden due to Docket No. RM12-16.  The ongoing burden left in RM12-16 for FERC-725 is 365 hours.</w:t>
      </w:r>
    </w:p>
    <w:p w:rsidR="00A5287E" w:rsidRDefault="00985024" w14:paraId="3DE2229E" w14:textId="77777777">
      <w:pPr>
        <w:autoSpaceDE w:val="0"/>
        <w:autoSpaceDN w:val="0"/>
        <w:adjustRightInd w:val="0"/>
        <w:spacing w:after="0" w:line="240" w:lineRule="auto"/>
        <w:ind w:left="1080"/>
        <w:rPr>
          <w:rFonts w:ascii="Times New Roman" w:hAnsi="Times New Roman" w:eastAsia="Times New Roman" w:cs="Times New Roman"/>
          <w:sz w:val="26"/>
          <w:szCs w:val="26"/>
        </w:rPr>
      </w:pPr>
      <w:bookmarkStart w:name="_Hlk27029811" w:id="7"/>
      <w:bookmarkEnd w:id="6"/>
      <w:r>
        <w:rPr>
          <w:rFonts w:ascii="Times New Roman" w:hAnsi="Times New Roman" w:eastAsia="Times New Roman" w:cs="Times New Roman"/>
          <w:sz w:val="26"/>
          <w:szCs w:val="26"/>
        </w:rPr>
        <w:t>The one-time burden hour removal for FERC-725M is (552 hours + 965 hours) 1,517 hours.  The ongoing burden for FERC-725M before the adjustment based on NERC Compliance Registry is 779 hours.  FERC is making adjustments from the overestimate to show new ongoing burden as 714.</w:t>
      </w:r>
    </w:p>
    <w:bookmarkEnd w:id="7"/>
    <w:p w:rsidR="00A5287E" w:rsidRDefault="00A5287E" w14:paraId="2756EA15" w14:textId="77777777">
      <w:pPr>
        <w:autoSpaceDE w:val="0"/>
        <w:autoSpaceDN w:val="0"/>
        <w:adjustRightInd w:val="0"/>
        <w:spacing w:after="0" w:line="240" w:lineRule="auto"/>
        <w:ind w:left="1800"/>
        <w:rPr>
          <w:rFonts w:ascii="Times New Roman" w:hAnsi="Times New Roman" w:eastAsia="Times New Roman" w:cs="Times New Roman"/>
          <w:sz w:val="26"/>
          <w:szCs w:val="26"/>
        </w:rPr>
      </w:pPr>
    </w:p>
    <w:p w:rsidR="00A5287E" w:rsidRDefault="00985024" w14:paraId="4C5EE392"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The following table shows the total burden for the collection of information.  The format, labels, and definitions of the table follow the ROCIS submission system’s “Information Collection Request Summary of Burden” for the metadata.</w:t>
      </w:r>
    </w:p>
    <w:p w:rsidR="00A5287E" w:rsidRDefault="00A5287E" w14:paraId="6F4D3DDD" w14:textId="77777777">
      <w:pPr>
        <w:spacing w:after="0" w:line="240" w:lineRule="auto"/>
        <w:rPr>
          <w:rFonts w:ascii="Times New Roman" w:hAnsi="Times New Roman" w:cs="Times New Roman"/>
          <w:sz w:val="26"/>
          <w:szCs w:val="26"/>
        </w:rPr>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2700"/>
      </w:tblGrid>
      <w:tr w:rsidR="00A5287E" w14:paraId="5B17C7F1" w14:textId="77777777">
        <w:trPr>
          <w:trHeight w:val="870"/>
        </w:trPr>
        <w:tc>
          <w:tcPr>
            <w:tcW w:w="2679" w:type="dxa"/>
            <w:shd w:val="clear" w:color="auto" w:fill="D9D9D9"/>
            <w:vAlign w:val="bottom"/>
          </w:tcPr>
          <w:p w:rsidR="00A5287E" w:rsidRDefault="00985024" w14:paraId="014B41B9"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FERC-725M</w:t>
            </w:r>
          </w:p>
        </w:tc>
        <w:tc>
          <w:tcPr>
            <w:tcW w:w="1461" w:type="dxa"/>
            <w:shd w:val="clear" w:color="auto" w:fill="D9D9D9"/>
            <w:vAlign w:val="bottom"/>
          </w:tcPr>
          <w:p w:rsidR="00A5287E" w:rsidRDefault="00985024" w14:paraId="3F250231"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Total Request</w:t>
            </w:r>
          </w:p>
        </w:tc>
        <w:tc>
          <w:tcPr>
            <w:tcW w:w="1620" w:type="dxa"/>
            <w:shd w:val="clear" w:color="auto" w:fill="D9D9D9"/>
            <w:vAlign w:val="bottom"/>
          </w:tcPr>
          <w:p w:rsidR="00A5287E" w:rsidRDefault="00985024" w14:paraId="09D1DD2F"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Previously Approved</w:t>
            </w:r>
          </w:p>
        </w:tc>
        <w:tc>
          <w:tcPr>
            <w:tcW w:w="1800" w:type="dxa"/>
            <w:shd w:val="clear" w:color="auto" w:fill="D9D9D9"/>
            <w:vAlign w:val="bottom"/>
          </w:tcPr>
          <w:p w:rsidR="00A5287E" w:rsidRDefault="00985024" w14:paraId="531F08AC"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Change due to Adjustment in Estimate </w:t>
            </w:r>
          </w:p>
        </w:tc>
        <w:tc>
          <w:tcPr>
            <w:tcW w:w="2700" w:type="dxa"/>
            <w:shd w:val="clear" w:color="auto" w:fill="D9D9D9"/>
            <w:vAlign w:val="bottom"/>
          </w:tcPr>
          <w:p w:rsidR="00A5287E" w:rsidRDefault="00985024" w14:paraId="689C9BF4"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Change Due to Agency Discretion</w:t>
            </w:r>
          </w:p>
        </w:tc>
      </w:tr>
      <w:tr w:rsidR="00A5287E" w14:paraId="0363F325" w14:textId="77777777">
        <w:trPr>
          <w:trHeight w:val="591"/>
        </w:trPr>
        <w:tc>
          <w:tcPr>
            <w:tcW w:w="2679" w:type="dxa"/>
          </w:tcPr>
          <w:p w:rsidR="00A5287E" w:rsidRDefault="00985024" w14:paraId="3A5E3C65" w14:textId="777777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Annual Number of Responses</w:t>
            </w:r>
          </w:p>
        </w:tc>
        <w:tc>
          <w:tcPr>
            <w:tcW w:w="1461" w:type="dxa"/>
            <w:vAlign w:val="center"/>
          </w:tcPr>
          <w:p w:rsidR="00A5287E" w:rsidRDefault="00985024" w14:paraId="4C3FD258"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922</w:t>
            </w:r>
          </w:p>
        </w:tc>
        <w:tc>
          <w:tcPr>
            <w:tcW w:w="1620" w:type="dxa"/>
            <w:vAlign w:val="center"/>
          </w:tcPr>
          <w:p w:rsidR="00A5287E" w:rsidRDefault="00985024" w14:paraId="47756A23"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510</w:t>
            </w:r>
          </w:p>
        </w:tc>
        <w:tc>
          <w:tcPr>
            <w:tcW w:w="1800" w:type="dxa"/>
            <w:vAlign w:val="center"/>
          </w:tcPr>
          <w:p w:rsidR="00A5287E" w:rsidRDefault="00985024" w14:paraId="7E759754"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95</w:t>
            </w:r>
          </w:p>
        </w:tc>
        <w:tc>
          <w:tcPr>
            <w:tcW w:w="2700" w:type="dxa"/>
            <w:vAlign w:val="center"/>
          </w:tcPr>
          <w:p w:rsidR="00A5287E" w:rsidRDefault="00985024" w14:paraId="003B70D3"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317</w:t>
            </w:r>
          </w:p>
        </w:tc>
      </w:tr>
      <w:tr w:rsidR="00A5287E" w14:paraId="3792BCFA" w14:textId="77777777">
        <w:trPr>
          <w:trHeight w:val="575"/>
        </w:trPr>
        <w:tc>
          <w:tcPr>
            <w:tcW w:w="2679" w:type="dxa"/>
          </w:tcPr>
          <w:p w:rsidR="00A5287E" w:rsidRDefault="00985024" w14:paraId="2C739787" w14:textId="777777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Annual Time Burden (Hr.)</w:t>
            </w:r>
          </w:p>
        </w:tc>
        <w:tc>
          <w:tcPr>
            <w:tcW w:w="1461" w:type="dxa"/>
            <w:vAlign w:val="center"/>
          </w:tcPr>
          <w:p w:rsidR="00A5287E" w:rsidRDefault="00985024" w14:paraId="6988EA05"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714</w:t>
            </w:r>
          </w:p>
        </w:tc>
        <w:tc>
          <w:tcPr>
            <w:tcW w:w="1620" w:type="dxa"/>
            <w:vAlign w:val="center"/>
          </w:tcPr>
          <w:p w:rsidR="00A5287E" w:rsidRDefault="00985024" w14:paraId="4486C2E1"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2,296</w:t>
            </w:r>
          </w:p>
        </w:tc>
        <w:tc>
          <w:tcPr>
            <w:tcW w:w="1800" w:type="dxa"/>
            <w:vAlign w:val="center"/>
          </w:tcPr>
          <w:p w:rsidR="00A5287E" w:rsidRDefault="00985024" w14:paraId="00EF1A0B" w14:textId="4C70052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-1,481</w:t>
            </w:r>
          </w:p>
        </w:tc>
        <w:tc>
          <w:tcPr>
            <w:tcW w:w="2700" w:type="dxa"/>
            <w:vAlign w:val="center"/>
          </w:tcPr>
          <w:p w:rsidR="00A5287E" w:rsidRDefault="00985024" w14:paraId="6FC6C57A" w14:textId="0082219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-101</w:t>
            </w:r>
          </w:p>
        </w:tc>
      </w:tr>
      <w:tr w:rsidR="00A5287E" w14:paraId="14276B14" w14:textId="77777777">
        <w:trPr>
          <w:trHeight w:val="295"/>
        </w:trPr>
        <w:tc>
          <w:tcPr>
            <w:tcW w:w="2679" w:type="dxa"/>
          </w:tcPr>
          <w:p w:rsidR="00A5287E" w:rsidRDefault="00985024" w14:paraId="1368982B" w14:textId="777777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Annual Cost Burden ($)</w:t>
            </w:r>
          </w:p>
        </w:tc>
        <w:tc>
          <w:tcPr>
            <w:tcW w:w="1461" w:type="dxa"/>
            <w:vAlign w:val="center"/>
          </w:tcPr>
          <w:p w:rsidR="00A5287E" w:rsidRDefault="00985024" w14:paraId="2EA258D4"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p>
        </w:tc>
        <w:tc>
          <w:tcPr>
            <w:tcW w:w="1620" w:type="dxa"/>
            <w:vAlign w:val="center"/>
          </w:tcPr>
          <w:p w:rsidR="00A5287E" w:rsidRDefault="00985024" w14:paraId="25368121"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p>
        </w:tc>
        <w:tc>
          <w:tcPr>
            <w:tcW w:w="1800" w:type="dxa"/>
            <w:vAlign w:val="center"/>
          </w:tcPr>
          <w:p w:rsidR="00A5287E" w:rsidRDefault="00985024" w14:paraId="370486BC"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p>
        </w:tc>
        <w:tc>
          <w:tcPr>
            <w:tcW w:w="2700" w:type="dxa"/>
            <w:vAlign w:val="center"/>
          </w:tcPr>
          <w:p w:rsidR="00A5287E" w:rsidRDefault="00985024" w14:paraId="43B1B988"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p>
        </w:tc>
      </w:tr>
    </w:tbl>
    <w:p w:rsidR="00A5287E" w:rsidRDefault="00A5287E" w14:paraId="47439B7B" w14:textId="77777777">
      <w:pPr>
        <w:spacing w:after="0" w:line="240" w:lineRule="auto"/>
        <w:rPr>
          <w:rFonts w:ascii="Times New Roman" w:hAnsi="Times New Roman" w:cs="Times New Roman"/>
          <w:sz w:val="26"/>
          <w:szCs w:val="26"/>
        </w:rPr>
      </w:pPr>
    </w:p>
    <w:p w:rsidR="00A5287E" w:rsidRDefault="00985024" w14:paraId="07B0A6E3"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TIME SCHEDULE FOR PUBLICATION OF DATA</w:t>
      </w:r>
    </w:p>
    <w:p w:rsidR="00A5287E" w:rsidRDefault="00A5287E" w14:paraId="1EFF06D8" w14:textId="77777777">
      <w:pPr>
        <w:spacing w:after="0" w:line="240" w:lineRule="auto"/>
        <w:rPr>
          <w:rFonts w:ascii="Times New Roman" w:hAnsi="Times New Roman" w:cs="Times New Roman"/>
          <w:sz w:val="26"/>
          <w:szCs w:val="26"/>
        </w:rPr>
      </w:pPr>
    </w:p>
    <w:p w:rsidR="00A5287E" w:rsidRDefault="00985024" w14:paraId="38B63EAC"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data publications.</w:t>
      </w:r>
    </w:p>
    <w:p w:rsidR="00A5287E" w:rsidRDefault="00A5287E" w14:paraId="428F1AC9" w14:textId="77777777">
      <w:pPr>
        <w:spacing w:after="0" w:line="240" w:lineRule="auto"/>
        <w:rPr>
          <w:rFonts w:ascii="Times New Roman" w:hAnsi="Times New Roman" w:cs="Times New Roman"/>
          <w:sz w:val="26"/>
          <w:szCs w:val="26"/>
        </w:rPr>
      </w:pPr>
    </w:p>
    <w:p w:rsidR="00A5287E" w:rsidRDefault="00985024" w14:paraId="070363BF"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DISPLAY OF EXPIRATION DATE</w:t>
      </w:r>
    </w:p>
    <w:p w:rsidR="00A5287E" w:rsidRDefault="00A5287E" w14:paraId="281637E2" w14:textId="77777777">
      <w:pPr>
        <w:spacing w:after="0" w:line="240" w:lineRule="auto"/>
        <w:rPr>
          <w:rFonts w:ascii="Times New Roman" w:hAnsi="Times New Roman" w:cs="Times New Roman"/>
          <w:sz w:val="26"/>
          <w:szCs w:val="26"/>
        </w:rPr>
      </w:pPr>
    </w:p>
    <w:p w:rsidR="00A5287E" w:rsidRDefault="00985024" w14:paraId="776A93FE"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expiration dates are posted on ferc.gov at </w:t>
      </w:r>
      <w:hyperlink w:history="1" r:id="rId13">
        <w:r>
          <w:rPr>
            <w:rStyle w:val="Hyperlink"/>
            <w:rFonts w:ascii="Times New Roman" w:hAnsi="Times New Roman"/>
            <w:sz w:val="26"/>
            <w:szCs w:val="26"/>
          </w:rPr>
          <w:t>http://www.ferc.gov/docs-filing/info-collections.asp</w:t>
        </w:r>
      </w:hyperlink>
      <w:r>
        <w:rPr>
          <w:rFonts w:ascii="Times New Roman" w:hAnsi="Times New Roman" w:cs="Times New Roman"/>
          <w:sz w:val="26"/>
          <w:szCs w:val="26"/>
        </w:rPr>
        <w:t xml:space="preserve">. </w:t>
      </w:r>
    </w:p>
    <w:p w:rsidR="00A5287E" w:rsidRDefault="00985024" w14:paraId="4EBC6EA2"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EXCEPTIONS TO THE CERTIFICATION STATEMENT</w:t>
      </w:r>
    </w:p>
    <w:p w:rsidR="00A5287E" w:rsidRDefault="00A5287E" w14:paraId="2DED2454" w14:textId="77777777">
      <w:pPr>
        <w:spacing w:after="0" w:line="240" w:lineRule="auto"/>
        <w:rPr>
          <w:rFonts w:ascii="Times New Roman" w:hAnsi="Times New Roman" w:cs="Times New Roman"/>
          <w:b/>
          <w:sz w:val="26"/>
          <w:szCs w:val="26"/>
        </w:rPr>
      </w:pPr>
    </w:p>
    <w:p w:rsidR="00A5287E" w:rsidRDefault="00985024" w14:paraId="7D977E6F"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exceptions.</w:t>
      </w:r>
    </w:p>
    <w:sectPr w:rsidR="00A5287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C3264" w14:textId="77777777" w:rsidR="00985024" w:rsidRDefault="00985024">
      <w:pPr>
        <w:spacing w:after="0" w:line="240" w:lineRule="auto"/>
      </w:pPr>
      <w:r>
        <w:separator/>
      </w:r>
    </w:p>
  </w:endnote>
  <w:endnote w:type="continuationSeparator" w:id="0">
    <w:p w14:paraId="406DBFDC" w14:textId="77777777" w:rsidR="00985024" w:rsidRDefault="0098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9101" w14:textId="77777777" w:rsidR="00AF0172" w:rsidRDefault="00AF0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rFonts w:ascii="Times New Roman" w:hAnsi="Times New Roman" w:cs="Times New Roman"/>
        <w:noProof/>
      </w:rPr>
    </w:sdtEndPr>
    <w:sdtContent>
      <w:p w14:paraId="10D6DCF8" w14:textId="77777777" w:rsidR="00A5287E" w:rsidRDefault="00985024">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8</w:t>
        </w:r>
        <w:r>
          <w:rPr>
            <w:rFonts w:ascii="Times New Roman" w:hAnsi="Times New Roman" w:cs="Times New Roman"/>
            <w:noProof/>
          </w:rPr>
          <w:fldChar w:fldCharType="end"/>
        </w:r>
      </w:p>
    </w:sdtContent>
  </w:sdt>
  <w:p w14:paraId="1DE7D962" w14:textId="77777777" w:rsidR="00A5287E" w:rsidRDefault="00A52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77F6" w14:textId="77777777" w:rsidR="00AF0172" w:rsidRDefault="00AF0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6AA7E" w14:textId="77777777" w:rsidR="00985024" w:rsidRDefault="00985024">
      <w:pPr>
        <w:spacing w:after="0" w:line="240" w:lineRule="auto"/>
      </w:pPr>
      <w:r>
        <w:separator/>
      </w:r>
    </w:p>
  </w:footnote>
  <w:footnote w:type="continuationSeparator" w:id="0">
    <w:p w14:paraId="5DB00511" w14:textId="77777777" w:rsidR="00985024" w:rsidRDefault="00985024">
      <w:pPr>
        <w:spacing w:after="0" w:line="240" w:lineRule="auto"/>
      </w:pPr>
      <w:r>
        <w:continuationSeparator/>
      </w:r>
    </w:p>
  </w:footnote>
  <w:footnote w:id="1">
    <w:p w14:paraId="5E162B07" w14:textId="77777777" w:rsidR="00A5287E" w:rsidRDefault="00985024">
      <w:pPr>
        <w:pStyle w:val="FootnoteText"/>
        <w:rPr>
          <w:sz w:val="26"/>
          <w:szCs w:val="26"/>
        </w:rPr>
      </w:pPr>
      <w:r>
        <w:rPr>
          <w:rStyle w:val="FootnoteReference"/>
          <w:sz w:val="26"/>
          <w:szCs w:val="26"/>
          <w:vertAlign w:val="superscript"/>
        </w:rPr>
        <w:footnoteRef/>
      </w:r>
      <w:r>
        <w:rPr>
          <w:sz w:val="26"/>
          <w:szCs w:val="26"/>
        </w:rPr>
        <w:t xml:space="preserve"> On 10/8/2019, FERC submitted a request to OMB for an emergency extension and reinstatement for the FERC-725M.  On 11/4/2019, OMB provided a three-month extension (to 2/29/2020) for the FERC-725M.</w:t>
      </w:r>
    </w:p>
  </w:footnote>
  <w:footnote w:id="2">
    <w:p w14:paraId="137D8A7B" w14:textId="77777777" w:rsidR="00A5287E" w:rsidRDefault="00985024">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Reliability Standard</w:t>
      </w:r>
      <w:r>
        <w:rPr>
          <w:sz w:val="26"/>
          <w:szCs w:val="26"/>
          <w:vertAlign w:val="superscript"/>
        </w:rPr>
        <w:t xml:space="preserve"> </w:t>
      </w:r>
      <w:r>
        <w:rPr>
          <w:sz w:val="26"/>
          <w:szCs w:val="26"/>
        </w:rPr>
        <w:t>FAC-003-4 (Vegetation Management) is the only Reliability Standard in FERC-725M.</w:t>
      </w:r>
    </w:p>
  </w:footnote>
  <w:footnote w:id="3">
    <w:p w14:paraId="5236497A" w14:textId="77777777" w:rsidR="00A5287E" w:rsidRDefault="00985024">
      <w:pPr>
        <w:pStyle w:val="FootnoteText"/>
        <w:rPr>
          <w:sz w:val="26"/>
          <w:szCs w:val="26"/>
        </w:rPr>
      </w:pPr>
      <w:r>
        <w:rPr>
          <w:rStyle w:val="FootnoteReference"/>
          <w:b/>
          <w:sz w:val="26"/>
          <w:szCs w:val="26"/>
          <w:vertAlign w:val="superscript"/>
        </w:rPr>
        <w:footnoteRef/>
      </w:r>
      <w:r>
        <w:rPr>
          <w:sz w:val="26"/>
          <w:szCs w:val="26"/>
          <w:vertAlign w:val="superscript"/>
        </w:rPr>
        <w:t xml:space="preserve"> </w:t>
      </w:r>
      <w:r>
        <w:rPr>
          <w:sz w:val="26"/>
          <w:szCs w:val="26"/>
        </w:rPr>
        <w:t>The Energy Policy Act of 2005, Pub. L. No 109-58, Title XII, Subtitle A, 119 Stat. 594, 941 (2005), codified at 16 U.S.C. 824o (2000).</w:t>
      </w:r>
    </w:p>
  </w:footnote>
  <w:footnote w:id="4">
    <w:p w14:paraId="07ADC163" w14:textId="77777777" w:rsidR="00A5287E" w:rsidRDefault="00985024">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North American Electric Reliability Corp., 116 FERC ¶ 61,062, order on reh’g and compliance, 117 FERC ¶ 61,126 (2006), order on compliance, 118 FERC ¶ 61,190, order on reh’g, 119 FERC ¶ 61,046 (2007), aff’d sub nom. Alcoa Inc. v. FERC, 564 F.3d 1342 (D.C. Cir. 2009).</w:t>
      </w:r>
    </w:p>
  </w:footnote>
  <w:footnote w:id="5">
    <w:p w14:paraId="2FE0B44E" w14:textId="77777777" w:rsidR="00A5287E" w:rsidRDefault="00985024">
      <w:pPr>
        <w:pStyle w:val="FootnoteText"/>
        <w:rPr>
          <w:sz w:val="26"/>
          <w:szCs w:val="26"/>
        </w:rPr>
      </w:pPr>
      <w:r>
        <w:rPr>
          <w:rStyle w:val="FootnoteReference"/>
          <w:sz w:val="26"/>
          <w:szCs w:val="26"/>
          <w:vertAlign w:val="superscript"/>
        </w:rPr>
        <w:footnoteRef/>
      </w:r>
      <w:r>
        <w:rPr>
          <w:sz w:val="26"/>
          <w:szCs w:val="26"/>
        </w:rPr>
        <w:t xml:space="preserve"> NERC Petition at 7 (citing Revisions to Reliability Standard for Transmission Vegetation Management, Order No. 777, 142 FERC ¶ 61,208 (2013))</w:t>
      </w:r>
    </w:p>
  </w:footnote>
  <w:footnote w:id="6">
    <w:p w14:paraId="5A71D6CC" w14:textId="77777777" w:rsidR="00A5287E" w:rsidRDefault="00985024">
      <w:pPr>
        <w:pStyle w:val="Default"/>
      </w:pPr>
      <w:r>
        <w:rPr>
          <w:rStyle w:val="FootnoteReference"/>
          <w:vertAlign w:val="superscript"/>
        </w:rPr>
        <w:footnoteRef/>
      </w:r>
      <w:r>
        <w:t xml:space="preserve"> </w:t>
      </w:r>
      <w:r>
        <w:rPr>
          <w:sz w:val="25"/>
          <w:szCs w:val="25"/>
        </w:rPr>
        <w:t xml:space="preserve">144 FERC ¶ 61,221, </w:t>
      </w:r>
      <w:r>
        <w:t xml:space="preserve"> </w:t>
      </w:r>
      <w:r>
        <w:rPr>
          <w:sz w:val="25"/>
          <w:szCs w:val="25"/>
        </w:rPr>
        <w:t>[Docket No. RM12-16-000; Order No. 785], September 19, 2013</w:t>
      </w:r>
    </w:p>
  </w:footnote>
  <w:footnote w:id="7">
    <w:p w14:paraId="5C4A2E5E" w14:textId="77777777" w:rsidR="00A5287E" w:rsidRDefault="00985024">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 xml:space="preserve">NERC Rules of Procedure Sections 507 and 508 are available at: </w:t>
      </w:r>
      <w:hyperlink r:id="rId1" w:history="1">
        <w:r>
          <w:rPr>
            <w:rStyle w:val="Hyperlink"/>
            <w:sz w:val="26"/>
            <w:szCs w:val="26"/>
          </w:rPr>
          <w:t>https://www.nerc.com/FilingsOrders/us/RuleOfProcedureDL/NERC_ROP_Effective_20190125.pdf</w:t>
        </w:r>
      </w:hyperlink>
      <w:r>
        <w:rPr>
          <w:sz w:val="26"/>
          <w:szCs w:val="26"/>
        </w:rPr>
        <w:t>.</w:t>
      </w:r>
    </w:p>
  </w:footnote>
  <w:footnote w:id="8">
    <w:p w14:paraId="24E1B952" w14:textId="77777777" w:rsidR="00A5287E" w:rsidRDefault="00985024">
      <w:pPr>
        <w:pStyle w:val="FootnoteText"/>
        <w:rPr>
          <w:sz w:val="26"/>
          <w:szCs w:val="26"/>
        </w:rPr>
      </w:pPr>
      <w:r>
        <w:rPr>
          <w:rStyle w:val="FootnoteReference"/>
          <w:b/>
          <w:sz w:val="24"/>
          <w:szCs w:val="24"/>
          <w:vertAlign w:val="superscript"/>
        </w:rPr>
        <w:footnoteRef/>
      </w:r>
      <w:r>
        <w:rPr>
          <w:sz w:val="24"/>
          <w:szCs w:val="24"/>
        </w:rPr>
        <w:t xml:space="preserve"> </w:t>
      </w:r>
      <w:r>
        <w:rPr>
          <w:sz w:val="26"/>
          <w:szCs w:val="26"/>
        </w:rPr>
        <w:t xml:space="preserve">Details of the current ERO standard processes are available on the NERC website at </w:t>
      </w:r>
      <w:hyperlink r:id="rId2" w:history="1">
        <w:r>
          <w:rPr>
            <w:rStyle w:val="Hyperlink"/>
            <w:sz w:val="26"/>
            <w:szCs w:val="26"/>
          </w:rPr>
          <w:t>http://www.nerc.com/pa/Stand/Resources/Documents/Appendix3AStandardsProcessesManual.pdf</w:t>
        </w:r>
      </w:hyperlink>
      <w:r>
        <w:rPr>
          <w:sz w:val="26"/>
          <w:szCs w:val="26"/>
        </w:rPr>
        <w:t xml:space="preserve"> </w:t>
      </w:r>
    </w:p>
  </w:footnote>
  <w:footnote w:id="9">
    <w:p w14:paraId="028F4B38" w14:textId="77777777" w:rsidR="00A5287E" w:rsidRDefault="00985024">
      <w:pPr>
        <w:pStyle w:val="FootnoteText"/>
        <w:rPr>
          <w:sz w:val="26"/>
          <w:szCs w:val="26"/>
        </w:rPr>
      </w:pPr>
      <w:r>
        <w:rPr>
          <w:rStyle w:val="FootnoteReference"/>
          <w:sz w:val="26"/>
          <w:szCs w:val="26"/>
          <w:vertAlign w:val="superscript"/>
        </w:rPr>
        <w:footnoteRef/>
      </w:r>
      <w:r>
        <w:rPr>
          <w:sz w:val="26"/>
          <w:szCs w:val="26"/>
        </w:rPr>
        <w:t xml:space="preserve"> 84 FR 44891</w:t>
      </w:r>
    </w:p>
  </w:footnote>
  <w:footnote w:id="10">
    <w:p w14:paraId="4E45614F" w14:textId="77777777" w:rsidR="00A5287E" w:rsidRDefault="00985024">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11">
    <w:p w14:paraId="56B2F5DB" w14:textId="77777777" w:rsidR="00A5287E" w:rsidRDefault="00985024">
      <w:pPr>
        <w:pStyle w:val="FootnoteText"/>
        <w:rPr>
          <w:sz w:val="26"/>
          <w:szCs w:val="26"/>
        </w:rPr>
      </w:pPr>
      <w:r>
        <w:rPr>
          <w:rStyle w:val="FootnoteReference"/>
          <w:sz w:val="26"/>
          <w:szCs w:val="26"/>
          <w:vertAlign w:val="superscript"/>
        </w:rPr>
        <w:footnoteRef/>
      </w:r>
      <w:r>
        <w:rPr>
          <w:sz w:val="26"/>
          <w:szCs w:val="26"/>
        </w:rPr>
        <w:t>The estimated hourly cost (wages plus benefits) are based on the figures for May 2018 posted by the Bureau of Labor Statistics for the Utilities sector (available at https://www.bls.gov/oes/current/naics2_22.htm) and updated March 2019 for benefits information (at http://www.bls.gov/news.release/ecec.nr0.htm).  The hourly estimates for salary plus benefits are:</w:t>
      </w:r>
    </w:p>
    <w:p w14:paraId="2A8EC174" w14:textId="77777777" w:rsidR="00A5287E" w:rsidRDefault="00985024">
      <w:pPr>
        <w:pStyle w:val="FootnoteText"/>
        <w:rPr>
          <w:sz w:val="26"/>
          <w:szCs w:val="26"/>
        </w:rPr>
      </w:pPr>
      <w:r>
        <w:rPr>
          <w:sz w:val="26"/>
          <w:szCs w:val="26"/>
        </w:rPr>
        <w:t>-Manager (code 11-0000), $95.24</w:t>
      </w:r>
    </w:p>
    <w:p w14:paraId="41A05263" w14:textId="77777777" w:rsidR="00A5287E" w:rsidRDefault="00985024">
      <w:pPr>
        <w:pStyle w:val="FootnoteText"/>
        <w:rPr>
          <w:sz w:val="26"/>
          <w:szCs w:val="26"/>
        </w:rPr>
      </w:pPr>
      <w:r>
        <w:rPr>
          <w:sz w:val="26"/>
          <w:szCs w:val="26"/>
        </w:rPr>
        <w:t>-Information and Records Clerks (code 43-4199), $40.84</w:t>
      </w:r>
    </w:p>
    <w:p w14:paraId="3E85723D" w14:textId="77777777" w:rsidR="00A5287E" w:rsidRDefault="00985024">
      <w:pPr>
        <w:pStyle w:val="FootnoteText"/>
        <w:rPr>
          <w:sz w:val="26"/>
          <w:szCs w:val="26"/>
        </w:rPr>
      </w:pPr>
      <w:r>
        <w:rPr>
          <w:sz w:val="26"/>
          <w:szCs w:val="26"/>
        </w:rPr>
        <w:t>-Electrical Engineer (code 17-2071), $68.17</w:t>
      </w:r>
    </w:p>
    <w:p w14:paraId="207C5292" w14:textId="77777777" w:rsidR="00A5287E" w:rsidRDefault="00985024">
      <w:pPr>
        <w:pStyle w:val="FootnoteText"/>
        <w:rPr>
          <w:sz w:val="26"/>
          <w:szCs w:val="26"/>
        </w:rPr>
      </w:pPr>
      <w:r>
        <w:rPr>
          <w:sz w:val="26"/>
          <w:szCs w:val="26"/>
        </w:rPr>
        <w:t xml:space="preserve">The average hourly cost (wages plus benefits) for this collection is $68.08 [($95.24 + $40.84 + $68.17)/3 = $68.08)].and is rounded to $68.00 an hour. </w:t>
      </w:r>
    </w:p>
  </w:footnote>
  <w:footnote w:id="12">
    <w:p w14:paraId="5C787EA8" w14:textId="77777777" w:rsidR="00A5287E" w:rsidRDefault="00985024">
      <w:pPr>
        <w:pStyle w:val="FootnoteText"/>
        <w:rPr>
          <w:sz w:val="26"/>
          <w:szCs w:val="26"/>
        </w:rPr>
      </w:pPr>
      <w:r>
        <w:rPr>
          <w:rStyle w:val="FootnoteReference"/>
          <w:sz w:val="26"/>
          <w:szCs w:val="26"/>
          <w:vertAlign w:val="superscript"/>
        </w:rPr>
        <w:footnoteRef/>
      </w:r>
      <w:r>
        <w:rPr>
          <w:sz w:val="26"/>
          <w:szCs w:val="26"/>
        </w:rPr>
        <w:t xml:space="preserve"> </w:t>
      </w:r>
      <w:bookmarkStart w:id="3" w:name="_Hlk24031264"/>
      <w:r>
        <w:rPr>
          <w:sz w:val="26"/>
          <w:szCs w:val="26"/>
        </w:rPr>
        <w:t>According to the NERC Compliance Registry as of July 26, 2019, there are 946 generator owners and 328 transmission owners registered in North America.  We estimate that approximately 10 percent (or 95) of these generator owners have interconnection facilities that are applicable to the standard</w:t>
      </w:r>
      <w:bookmarkEnd w:id="3"/>
      <w:r>
        <w:rPr>
          <w:sz w:val="26"/>
          <w:szCs w:val="26"/>
        </w:rPr>
        <w:t>.</w:t>
      </w:r>
    </w:p>
  </w:footnote>
  <w:footnote w:id="13">
    <w:p w14:paraId="159FE826" w14:textId="77777777" w:rsidR="00A5287E" w:rsidRDefault="00985024">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The estimated number of respondents (101) includes 95 generator owners and 6 Regional Entities.</w:t>
      </w:r>
    </w:p>
  </w:footnote>
  <w:footnote w:id="14">
    <w:p w14:paraId="3299A99C" w14:textId="77777777" w:rsidR="00A5287E" w:rsidRDefault="00985024">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Paperwork Reduction Act of 1995 (PRA).</w:t>
      </w:r>
    </w:p>
  </w:footnote>
  <w:footnote w:id="15">
    <w:p w14:paraId="4C0C9B2A" w14:textId="77777777" w:rsidR="00A5287E" w:rsidRDefault="00985024">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The PRA Administration Cost is $4,832, and includes preparing supporting statements, notices, and other activities associated with Paperwork Reduction Act compliance.</w:t>
      </w:r>
    </w:p>
  </w:footnote>
  <w:footnote w:id="16">
    <w:p w14:paraId="1AA97DC4" w14:textId="77777777" w:rsidR="00A5287E" w:rsidRDefault="00985024">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 xml:space="preserve">Commission staff estimates that the industry’s skill set and cost (for wages and benefits) for FERC-725M are approximately the same as the Commission’s average cost.  Based upon FERC’s 2019 average salary plus benefits of one full-time equivalent (FTE): $167,091 per year.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5FCE" w14:textId="77777777" w:rsidR="00AF0172" w:rsidRDefault="00AF0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DF1C7" w14:textId="67DF31E1" w:rsidR="00A5287E" w:rsidRDefault="00985024">
    <w:pPr>
      <w:pStyle w:val="Header"/>
      <w:rPr>
        <w:rFonts w:ascii="Times New Roman" w:hAnsi="Times New Roman"/>
        <w:sz w:val="26"/>
        <w:szCs w:val="26"/>
      </w:rPr>
    </w:pPr>
    <w:r>
      <w:rPr>
        <w:rFonts w:ascii="Times New Roman" w:hAnsi="Times New Roman"/>
        <w:sz w:val="26"/>
        <w:szCs w:val="26"/>
      </w:rPr>
      <w:t>FERC-725M (OMB Control No. 1902- 0263</w:t>
    </w:r>
    <w:r w:rsidR="00BD4251">
      <w:rPr>
        <w:rFonts w:ascii="Times New Roman" w:hAnsi="Times New Roman"/>
        <w:sz w:val="26"/>
        <w:szCs w:val="26"/>
      </w:rPr>
      <w:t>)</w:t>
    </w:r>
  </w:p>
  <w:p w14:paraId="68615E4B" w14:textId="06AA4FBD" w:rsidR="00A5287E" w:rsidRDefault="00985024">
    <w:pPr>
      <w:pStyle w:val="Header"/>
      <w:rPr>
        <w:rFonts w:ascii="Times New Roman" w:hAnsi="Times New Roman"/>
        <w:sz w:val="26"/>
        <w:szCs w:val="26"/>
      </w:rPr>
    </w:pPr>
    <w:r>
      <w:rPr>
        <w:rFonts w:ascii="Times New Roman" w:hAnsi="Times New Roman"/>
        <w:sz w:val="26"/>
        <w:szCs w:val="26"/>
      </w:rPr>
      <w:t>(renewal in Docket No. IC19-32)</w:t>
    </w:r>
  </w:p>
  <w:p w14:paraId="4EC1BA7C" w14:textId="0E7D9CDC" w:rsidR="00390270" w:rsidRDefault="00390270">
    <w:pPr>
      <w:pStyle w:val="Header"/>
      <w:rPr>
        <w:rFonts w:ascii="Times New Roman" w:hAnsi="Times New Roman"/>
        <w:sz w:val="26"/>
        <w:szCs w:val="26"/>
      </w:rPr>
    </w:pPr>
    <w:r>
      <w:rPr>
        <w:rFonts w:ascii="Times New Roman" w:hAnsi="Times New Roman"/>
        <w:sz w:val="26"/>
        <w:szCs w:val="26"/>
      </w:rPr>
      <w:t>(update</w:t>
    </w:r>
    <w:r w:rsidR="00AF0172">
      <w:rPr>
        <w:rFonts w:ascii="Times New Roman" w:hAnsi="Times New Roman"/>
        <w:sz w:val="26"/>
        <w:szCs w:val="26"/>
      </w:rPr>
      <w:t>d</w:t>
    </w:r>
    <w:r>
      <w:rPr>
        <w:rFonts w:ascii="Times New Roman" w:hAnsi="Times New Roman"/>
        <w:sz w:val="26"/>
        <w:szCs w:val="26"/>
      </w:rPr>
      <w:t xml:space="preserve"> 4/17/2020)</w:t>
    </w:r>
  </w:p>
  <w:p w14:paraId="7A6B5EE0" w14:textId="77777777" w:rsidR="00A5287E" w:rsidRDefault="00A52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A2FC" w14:textId="77777777" w:rsidR="00AF0172" w:rsidRDefault="00AF0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1"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3D203AEF"/>
    <w:multiLevelType w:val="hybridMultilevel"/>
    <w:tmpl w:val="DA2699DC"/>
    <w:lvl w:ilvl="0" w:tplc="D9089F3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D5774"/>
    <w:multiLevelType w:val="hybridMultilevel"/>
    <w:tmpl w:val="6F9E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0" w15:restartNumberingAfterBreak="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1"/>
  </w:num>
  <w:num w:numId="3">
    <w:abstractNumId w:val="16"/>
  </w:num>
  <w:num w:numId="4">
    <w:abstractNumId w:val="18"/>
  </w:num>
  <w:num w:numId="5">
    <w:abstractNumId w:val="20"/>
  </w:num>
  <w:num w:numId="6">
    <w:abstractNumId w:val="19"/>
  </w:num>
  <w:num w:numId="7">
    <w:abstractNumId w:val="10"/>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87E"/>
    <w:rsid w:val="00052445"/>
    <w:rsid w:val="001D2700"/>
    <w:rsid w:val="002052A5"/>
    <w:rsid w:val="00390270"/>
    <w:rsid w:val="004F497C"/>
    <w:rsid w:val="005973E7"/>
    <w:rsid w:val="00985024"/>
    <w:rsid w:val="00A5287E"/>
    <w:rsid w:val="00AF0172"/>
    <w:rsid w:val="00B04618"/>
    <w:rsid w:val="00BD4251"/>
    <w:rsid w:val="00D9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3F7265"/>
  <w15:docId w15:val="{6C2BF838-09D1-4DBF-A558-DAF13237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ListContinue">
    <w:name w:val="List Continue"/>
    <w:basedOn w:val="Normal"/>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Footnote Text Char2 Char Char1,Footnote Text Char Char1 Char Char1,ft Char1"/>
    <w:basedOn w:val="DefaultParagraphFont"/>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FERCparanumber">
    <w:name w:val="FERC paranumber"/>
    <w:basedOn w:val="Normal"/>
    <w:link w:val="FERCparanumberChar"/>
    <w:uiPriority w:val="99"/>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Pr>
      <w:rFonts w:ascii="Times New Roman" w:eastAsia="Times New Roman" w:hAnsi="Times New Roman" w:cs="Times New Roman"/>
      <w:sz w:val="26"/>
      <w:szCs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Index1">
    <w:name w:val="index 1"/>
    <w:basedOn w:val="Normal"/>
    <w:next w:val="Normal"/>
    <w:uiPriority w:val="99"/>
    <w:semiHidden/>
    <w:unhideWhenUsed/>
    <w:pPr>
      <w:spacing w:after="0" w:line="240" w:lineRule="auto"/>
      <w:ind w:left="220" w:hanging="220"/>
    </w:pPr>
  </w:style>
  <w:style w:type="paragraph" w:styleId="Index2">
    <w:name w:val="index 2"/>
    <w:basedOn w:val="Normal"/>
    <w:next w:val="Normal"/>
    <w:uiPriority w:val="99"/>
    <w:semiHidden/>
    <w:unhideWhenUsed/>
    <w:pPr>
      <w:spacing w:after="0" w:line="240" w:lineRule="auto"/>
      <w:ind w:left="440" w:hanging="220"/>
    </w:pPr>
  </w:style>
  <w:style w:type="paragraph" w:styleId="Index3">
    <w:name w:val="index 3"/>
    <w:basedOn w:val="Normal"/>
    <w:next w:val="Normal"/>
    <w:uiPriority w:val="99"/>
    <w:semiHidden/>
    <w:unhideWhenUsed/>
    <w:pPr>
      <w:spacing w:after="0" w:line="240" w:lineRule="auto"/>
      <w:ind w:left="660" w:hanging="220"/>
    </w:pPr>
  </w:style>
  <w:style w:type="paragraph" w:styleId="Index4">
    <w:name w:val="index 4"/>
    <w:basedOn w:val="Normal"/>
    <w:next w:val="Normal"/>
    <w:uiPriority w:val="99"/>
    <w:semiHidden/>
    <w:unhideWhenUsed/>
    <w:pPr>
      <w:spacing w:after="0" w:line="240" w:lineRule="auto"/>
      <w:ind w:left="880" w:hanging="220"/>
    </w:pPr>
  </w:style>
  <w:style w:type="paragraph" w:styleId="Index5">
    <w:name w:val="index 5"/>
    <w:basedOn w:val="Normal"/>
    <w:next w:val="Normal"/>
    <w:uiPriority w:val="99"/>
    <w:semiHidden/>
    <w:unhideWhenUsed/>
    <w:pPr>
      <w:spacing w:after="0" w:line="240" w:lineRule="auto"/>
      <w:ind w:left="1100" w:hanging="220"/>
    </w:pPr>
  </w:style>
  <w:style w:type="paragraph" w:styleId="Index6">
    <w:name w:val="index 6"/>
    <w:basedOn w:val="Normal"/>
    <w:next w:val="Normal"/>
    <w:uiPriority w:val="99"/>
    <w:semiHidden/>
    <w:unhideWhenUsed/>
    <w:pPr>
      <w:spacing w:after="0" w:line="240" w:lineRule="auto"/>
      <w:ind w:left="1320" w:hanging="220"/>
    </w:pPr>
  </w:style>
  <w:style w:type="paragraph" w:styleId="Index7">
    <w:name w:val="index 7"/>
    <w:basedOn w:val="Normal"/>
    <w:next w:val="Normal"/>
    <w:uiPriority w:val="99"/>
    <w:semiHidden/>
    <w:unhideWhenUsed/>
    <w:pPr>
      <w:spacing w:after="0" w:line="240" w:lineRule="auto"/>
      <w:ind w:left="1540" w:hanging="220"/>
    </w:pPr>
  </w:style>
  <w:style w:type="paragraph" w:styleId="Index8">
    <w:name w:val="index 8"/>
    <w:basedOn w:val="Normal"/>
    <w:next w:val="Normal"/>
    <w:uiPriority w:val="99"/>
    <w:semiHidden/>
    <w:unhideWhenUsed/>
    <w:pPr>
      <w:spacing w:after="0" w:line="240" w:lineRule="auto"/>
      <w:ind w:left="1760" w:hanging="220"/>
    </w:pPr>
  </w:style>
  <w:style w:type="paragraph" w:styleId="Index9">
    <w:name w:val="index 9"/>
    <w:basedOn w:val="Normal"/>
    <w:next w:val="Normal"/>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9"/>
      </w:numPr>
      <w:contextualSpacing/>
    </w:pPr>
  </w:style>
  <w:style w:type="paragraph" w:styleId="ListBullet2">
    <w:name w:val="List Bullet 2"/>
    <w:basedOn w:val="Normal"/>
    <w:uiPriority w:val="99"/>
    <w:semiHidden/>
    <w:unhideWhenUsed/>
    <w:pPr>
      <w:numPr>
        <w:numId w:val="10"/>
      </w:numPr>
      <w:contextualSpacing/>
    </w:pPr>
  </w:style>
  <w:style w:type="paragraph" w:styleId="ListBullet3">
    <w:name w:val="List Bullet 3"/>
    <w:basedOn w:val="Normal"/>
    <w:uiPriority w:val="99"/>
    <w:semiHidden/>
    <w:unhideWhenUsed/>
    <w:pPr>
      <w:numPr>
        <w:numId w:val="11"/>
      </w:numPr>
      <w:contextualSpacing/>
    </w:pPr>
  </w:style>
  <w:style w:type="paragraph" w:styleId="ListBullet4">
    <w:name w:val="List Bullet 4"/>
    <w:basedOn w:val="Normal"/>
    <w:uiPriority w:val="99"/>
    <w:semiHidden/>
    <w:unhideWhenUsed/>
    <w:pPr>
      <w:numPr>
        <w:numId w:val="12"/>
      </w:numPr>
      <w:contextualSpacing/>
    </w:pPr>
  </w:style>
  <w:style w:type="paragraph" w:styleId="ListBullet5">
    <w:name w:val="List Bullet 5"/>
    <w:basedOn w:val="Normal"/>
    <w:uiPriority w:val="99"/>
    <w:semiHidden/>
    <w:unhideWhenUsed/>
    <w:pPr>
      <w:numPr>
        <w:numId w:val="13"/>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14"/>
      </w:numPr>
      <w:contextualSpacing/>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16"/>
      </w:numPr>
      <w:contextualSpacing/>
    </w:pPr>
  </w:style>
  <w:style w:type="paragraph" w:styleId="ListNumber4">
    <w:name w:val="List Number 4"/>
    <w:basedOn w:val="Normal"/>
    <w:uiPriority w:val="99"/>
    <w:semiHidden/>
    <w:unhideWhenUsed/>
    <w:pPr>
      <w:numPr>
        <w:numId w:val="17"/>
      </w:numPr>
      <w:contextualSpacing/>
    </w:pPr>
  </w:style>
  <w:style w:type="paragraph" w:styleId="ListNumber5">
    <w:name w:val="List Number 5"/>
    <w:basedOn w:val="Normal"/>
    <w:uiPriority w:val="99"/>
    <w:semiHidden/>
    <w:unhideWhenUsed/>
    <w:pPr>
      <w:numPr>
        <w:numId w:val="18"/>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spacing w:after="0" w:line="240" w:lineRule="auto"/>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after="0" w:line="240" w:lineRule="auto"/>
      <w:ind w:left="4320"/>
    </w:pPr>
  </w:style>
  <w:style w:type="character" w:customStyle="1" w:styleId="SignatureChar">
    <w:name w:val="Signature Char"/>
    <w:basedOn w:val="DefaultParagraphFont"/>
    <w:link w:val="Signature"/>
    <w:uiPriority w:val="99"/>
    <w:semiHidden/>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pPr>
      <w:spacing w:after="100"/>
    </w:pPr>
  </w:style>
  <w:style w:type="paragraph" w:styleId="TOC2">
    <w:name w:val="toc 2"/>
    <w:basedOn w:val="Normal"/>
    <w:next w:val="Normal"/>
    <w:uiPriority w:val="39"/>
    <w:semiHidden/>
    <w:unhideWhenUsed/>
    <w:pPr>
      <w:spacing w:after="100"/>
      <w:ind w:left="220"/>
    </w:pPr>
  </w:style>
  <w:style w:type="paragraph" w:styleId="TOC3">
    <w:name w:val="toc 3"/>
    <w:basedOn w:val="Normal"/>
    <w:next w:val="Normal"/>
    <w:uiPriority w:val="39"/>
    <w:semiHidden/>
    <w:unhideWhenUsed/>
    <w:pPr>
      <w:spacing w:after="100"/>
      <w:ind w:left="440"/>
    </w:pPr>
  </w:style>
  <w:style w:type="paragraph" w:styleId="TOC4">
    <w:name w:val="toc 4"/>
    <w:basedOn w:val="Normal"/>
    <w:next w:val="Normal"/>
    <w:uiPriority w:val="39"/>
    <w:semiHidden/>
    <w:unhideWhenUsed/>
    <w:pPr>
      <w:spacing w:after="100"/>
      <w:ind w:left="660"/>
    </w:pPr>
  </w:style>
  <w:style w:type="paragraph" w:styleId="TOC5">
    <w:name w:val="toc 5"/>
    <w:basedOn w:val="Normal"/>
    <w:next w:val="Normal"/>
    <w:uiPriority w:val="39"/>
    <w:semiHidden/>
    <w:unhideWhenUsed/>
    <w:pPr>
      <w:spacing w:after="100"/>
      <w:ind w:left="880"/>
    </w:pPr>
  </w:style>
  <w:style w:type="paragraph" w:styleId="TOC6">
    <w:name w:val="toc 6"/>
    <w:basedOn w:val="Normal"/>
    <w:next w:val="Normal"/>
    <w:uiPriority w:val="39"/>
    <w:semiHidden/>
    <w:unhideWhenUsed/>
    <w:pPr>
      <w:spacing w:after="100"/>
      <w:ind w:left="1100"/>
    </w:pPr>
  </w:style>
  <w:style w:type="paragraph" w:styleId="TOC7">
    <w:name w:val="toc 7"/>
    <w:basedOn w:val="Normal"/>
    <w:next w:val="Normal"/>
    <w:uiPriority w:val="39"/>
    <w:semiHidden/>
    <w:unhideWhenUsed/>
    <w:pPr>
      <w:spacing w:after="100"/>
      <w:ind w:left="1320"/>
    </w:pPr>
  </w:style>
  <w:style w:type="paragraph" w:styleId="TOC8">
    <w:name w:val="toc 8"/>
    <w:basedOn w:val="Normal"/>
    <w:next w:val="Normal"/>
    <w:uiPriority w:val="39"/>
    <w:semiHidden/>
    <w:unhideWhenUsed/>
    <w:pPr>
      <w:spacing w:after="100"/>
      <w:ind w:left="1540"/>
    </w:pPr>
  </w:style>
  <w:style w:type="paragraph" w:styleId="TOC9">
    <w:name w:val="toc 9"/>
    <w:basedOn w:val="Normal"/>
    <w:next w:val="Normal"/>
    <w:uiPriority w:val="39"/>
    <w:semiHidden/>
    <w:unhideWhenUsed/>
    <w:pPr>
      <w:spacing w:after="100"/>
      <w:ind w:left="1760"/>
    </w:pPr>
  </w:style>
  <w:style w:type="paragraph" w:styleId="TOCHeading">
    <w:name w:val="TOC Heading"/>
    <w:basedOn w:val="Heading1"/>
    <w:next w:val="Normal"/>
    <w:uiPriority w:val="39"/>
    <w:semiHidden/>
    <w:unhideWhenUsed/>
    <w:qFormat/>
    <w:pPr>
      <w:outlineLvl w:val="9"/>
    </w:pPr>
  </w:style>
  <w:style w:type="character" w:styleId="EndnoteReference">
    <w:name w:val="endnote reference"/>
    <w:basedOn w:val="DefaultParagraphFont"/>
    <w:uiPriority w:val="99"/>
    <w:semiHidden/>
    <w:unhideWhenUsed/>
    <w:rPr>
      <w:vertAlign w:val="superscript"/>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669291">
      <w:bodyDiv w:val="1"/>
      <w:marLeft w:val="0"/>
      <w:marRight w:val="0"/>
      <w:marTop w:val="0"/>
      <w:marBottom w:val="0"/>
      <w:divBdr>
        <w:top w:val="none" w:sz="0" w:space="0" w:color="auto"/>
        <w:left w:val="none" w:sz="0" w:space="0" w:color="auto"/>
        <w:bottom w:val="none" w:sz="0" w:space="0" w:color="auto"/>
        <w:right w:val="none" w:sz="0" w:space="0" w:color="auto"/>
      </w:divBdr>
    </w:div>
    <w:div w:id="613290990">
      <w:bodyDiv w:val="1"/>
      <w:marLeft w:val="0"/>
      <w:marRight w:val="0"/>
      <w:marTop w:val="0"/>
      <w:marBottom w:val="0"/>
      <w:divBdr>
        <w:top w:val="none" w:sz="0" w:space="0" w:color="auto"/>
        <w:left w:val="none" w:sz="0" w:space="0" w:color="auto"/>
        <w:bottom w:val="none" w:sz="0" w:space="0" w:color="auto"/>
        <w:right w:val="none" w:sz="0" w:space="0" w:color="auto"/>
      </w:divBdr>
    </w:div>
    <w:div w:id="1265964529">
      <w:bodyDiv w:val="1"/>
      <w:marLeft w:val="0"/>
      <w:marRight w:val="0"/>
      <w:marTop w:val="0"/>
      <w:marBottom w:val="0"/>
      <w:divBdr>
        <w:top w:val="none" w:sz="0" w:space="0" w:color="auto"/>
        <w:left w:val="none" w:sz="0" w:space="0" w:color="auto"/>
        <w:bottom w:val="none" w:sz="0" w:space="0" w:color="auto"/>
        <w:right w:val="none" w:sz="0" w:space="0" w:color="auto"/>
      </w:divBdr>
    </w:div>
    <w:div w:id="1546135104">
      <w:bodyDiv w:val="1"/>
      <w:marLeft w:val="0"/>
      <w:marRight w:val="0"/>
      <w:marTop w:val="0"/>
      <w:marBottom w:val="0"/>
      <w:divBdr>
        <w:top w:val="none" w:sz="0" w:space="0" w:color="auto"/>
        <w:left w:val="none" w:sz="0" w:space="0" w:color="auto"/>
        <w:bottom w:val="none" w:sz="0" w:space="0" w:color="auto"/>
        <w:right w:val="none" w:sz="0" w:space="0" w:color="auto"/>
      </w:divBdr>
    </w:div>
    <w:div w:id="1611207891">
      <w:bodyDiv w:val="1"/>
      <w:marLeft w:val="0"/>
      <w:marRight w:val="0"/>
      <w:marTop w:val="0"/>
      <w:marBottom w:val="0"/>
      <w:divBdr>
        <w:top w:val="none" w:sz="0" w:space="0" w:color="auto"/>
        <w:left w:val="none" w:sz="0" w:space="0" w:color="auto"/>
        <w:bottom w:val="none" w:sz="0" w:space="0" w:color="auto"/>
        <w:right w:val="none" w:sz="0" w:space="0" w:color="auto"/>
      </w:divBdr>
    </w:div>
    <w:div w:id="199144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Resources/Documents/Appendix3AStandardsProcessesManual.pdf" TargetMode="External"/><Relationship Id="rId1" Type="http://schemas.openxmlformats.org/officeDocument/2006/relationships/hyperlink" Target="https://www.nerc.com/FilingsOrders/us/RuleOfProcedureDL/NERC_ROP_Effective_201901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Renewal_x0020_Document_x0020_Type xmlns="d6eefc7d-9817-4fa6-84d5-3bc009be21b8">OMB Supporting Statement</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725M</_x0031__x002e__x0020_Collection_x0020_Number>
    <Date xmlns="d6eefc7d-9817-4fa6-84d5-3bc009be21b8">2020-04-17T04:00:00.000Z</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IC19-32</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AF546-B8D5-4C5B-B828-632C47AE68A2}">
  <ds:schemaRefs>
    <ds:schemaRef ds:uri="Microsoft.SharePoint.Taxonomy.ContentTypeSync"/>
  </ds:schemaRefs>
</ds:datastoreItem>
</file>

<file path=customXml/itemProps2.xml><?xml version="1.0" encoding="utf-8"?>
<ds:datastoreItem xmlns:ds="http://schemas.openxmlformats.org/officeDocument/2006/customXml" ds:itemID="{9079C41C-3778-426E-B461-76757D2DC17F}">
  <ds:schemaRefs>
    <ds:schemaRef ds:uri="http://schemas.microsoft.com/sharepoint/v3/contenttype/forms"/>
  </ds:schemaRefs>
</ds:datastoreItem>
</file>

<file path=customXml/itemProps3.xml><?xml version="1.0" encoding="utf-8"?>
<ds:datastoreItem xmlns:ds="http://schemas.openxmlformats.org/officeDocument/2006/customXml" ds:itemID="{12E74BAB-8C85-4E84-A192-93306FBD6F3F}">
  <ds:schemaRefs>
    <ds:schemaRef ds:uri="http://schemas.microsoft.com/office/2006/metadata/customXsn"/>
  </ds:schemaRefs>
</ds:datastoreItem>
</file>

<file path=customXml/itemProps4.xml><?xml version="1.0" encoding="utf-8"?>
<ds:datastoreItem xmlns:ds="http://schemas.openxmlformats.org/officeDocument/2006/customXml" ds:itemID="{8C37F7C0-5523-46B8-9FB0-7AC810C02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F96F1-6D2B-4FA3-8638-0D8865405E1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www.w3.org/XML/1998/namespace"/>
    <ds:schemaRef ds:uri="http://purl.org/dc/dcmitype/"/>
  </ds:schemaRefs>
</ds:datastoreItem>
</file>

<file path=customXml/itemProps6.xml><?xml version="1.0" encoding="utf-8"?>
<ds:datastoreItem xmlns:ds="http://schemas.openxmlformats.org/officeDocument/2006/customXml" ds:itemID="{D0435F1F-0536-4408-BEF9-586404B0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Mandatory Reliability Standards: Generator Requirements at the Transmission Interface</vt:lpstr>
    </vt:vector>
  </TitlesOfParts>
  <Company>FERC</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Reliability Standards: Generator Requirements at the Transmission Interface</dc:title>
  <dc:subject/>
  <dc:creator>ferc</dc:creator>
  <cp:keywords/>
  <dc:description/>
  <cp:lastModifiedBy>Ellen Brown</cp:lastModifiedBy>
  <cp:revision>5</cp:revision>
  <cp:lastPrinted>2020-02-05T14:37:00Z</cp:lastPrinted>
  <dcterms:created xsi:type="dcterms:W3CDTF">2020-04-17T15:42:00Z</dcterms:created>
  <dcterms:modified xsi:type="dcterms:W3CDTF">2020-04-17T15:44:00Z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Order">
    <vt:r8>427700</vt:r8>
  </property>
</Properties>
</file>