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9C" w:rsidRDefault="00CA02F9" w:rsidP="0091219C">
      <w:pPr>
        <w:pStyle w:val="NormalWeb"/>
        <w:contextualSpacing/>
        <w:jc w:val="center"/>
        <w:rPr>
          <w:rFonts w:ascii="Arial" w:hAnsi="Arial" w:cs="Arial"/>
          <w:b/>
          <w:bCs/>
          <w:sz w:val="28"/>
          <w:szCs w:val="28"/>
        </w:rPr>
      </w:pPr>
      <w:bookmarkStart w:id="0" w:name="_GoBack"/>
      <w:bookmarkEnd w:id="0"/>
      <w:r w:rsidRPr="00523F4A">
        <w:rPr>
          <w:rFonts w:ascii="Arial" w:hAnsi="Arial" w:cs="Arial"/>
          <w:b/>
          <w:bCs/>
          <w:sz w:val="28"/>
          <w:szCs w:val="28"/>
        </w:rPr>
        <w:t>Department of Transportation</w:t>
      </w:r>
    </w:p>
    <w:p w:rsidR="0091219C" w:rsidRPr="00523F4A" w:rsidRDefault="006E33F2" w:rsidP="0067631C">
      <w:pPr>
        <w:pStyle w:val="NormalWeb"/>
        <w:tabs>
          <w:tab w:val="left" w:pos="4770"/>
        </w:tabs>
        <w:spacing w:before="0" w:beforeAutospacing="0" w:after="0" w:afterAutospacing="0"/>
        <w:contextualSpacing/>
        <w:jc w:val="center"/>
        <w:rPr>
          <w:rFonts w:ascii="Arial" w:hAnsi="Arial" w:cs="Arial"/>
          <w:b/>
          <w:bCs/>
          <w:sz w:val="28"/>
          <w:szCs w:val="28"/>
        </w:rPr>
      </w:pPr>
      <w:r>
        <w:rPr>
          <w:rFonts w:ascii="Arial" w:hAnsi="Arial" w:cs="Arial"/>
          <w:b/>
          <w:bCs/>
          <w:sz w:val="28"/>
          <w:szCs w:val="28"/>
        </w:rPr>
        <w:t>Federal Motor Carrier Safety Administration</w:t>
      </w:r>
    </w:p>
    <w:p w:rsidR="0091219C" w:rsidRDefault="0091219C" w:rsidP="0067631C">
      <w:pPr>
        <w:pStyle w:val="NormalWeb"/>
        <w:spacing w:before="0" w:beforeAutospacing="0" w:after="0" w:afterAutospacing="0"/>
        <w:contextualSpacing/>
        <w:jc w:val="center"/>
        <w:rPr>
          <w:rFonts w:ascii="Arial" w:hAnsi="Arial" w:cs="Arial"/>
          <w:b/>
          <w:bCs/>
          <w:sz w:val="28"/>
          <w:szCs w:val="28"/>
          <w:u w:val="single"/>
        </w:rPr>
      </w:pPr>
    </w:p>
    <w:p w:rsidR="008123C6" w:rsidRPr="00523F4A" w:rsidRDefault="00CA02F9" w:rsidP="0067631C">
      <w:pPr>
        <w:pStyle w:val="NormalWeb"/>
        <w:spacing w:before="0" w:beforeAutospacing="0" w:after="0" w:afterAutospacing="0"/>
        <w:contextualSpacing/>
        <w:jc w:val="center"/>
        <w:rPr>
          <w:rFonts w:ascii="Arial" w:hAnsi="Arial" w:cs="Arial"/>
          <w:b/>
          <w:bCs/>
          <w:sz w:val="28"/>
          <w:szCs w:val="28"/>
          <w:u w:val="single"/>
        </w:rPr>
      </w:pPr>
      <w:r w:rsidRPr="00523F4A">
        <w:rPr>
          <w:rFonts w:ascii="Arial" w:hAnsi="Arial" w:cs="Arial"/>
          <w:b/>
          <w:bCs/>
          <w:sz w:val="28"/>
          <w:szCs w:val="28"/>
          <w:u w:val="single"/>
        </w:rPr>
        <w:t>SUPPORTING STATEMENT</w:t>
      </w:r>
    </w:p>
    <w:p w:rsidR="00523F4A" w:rsidRPr="00523F4A" w:rsidRDefault="00523F4A" w:rsidP="0067631C">
      <w:pPr>
        <w:contextualSpacing/>
        <w:jc w:val="center"/>
        <w:rPr>
          <w:rFonts w:ascii="Arial" w:hAnsi="Arial" w:cs="Arial"/>
          <w:b/>
          <w:smallCaps/>
          <w:sz w:val="28"/>
          <w:szCs w:val="28"/>
        </w:rPr>
      </w:pPr>
      <w:r w:rsidRPr="00523F4A">
        <w:rPr>
          <w:rFonts w:ascii="Arial" w:hAnsi="Arial" w:cs="Arial"/>
          <w:b/>
          <w:smallCaps/>
          <w:sz w:val="28"/>
          <w:szCs w:val="28"/>
        </w:rPr>
        <w:t>Commercial Driver</w:t>
      </w:r>
      <w:r w:rsidR="004A40A1">
        <w:rPr>
          <w:rFonts w:ascii="Arial" w:hAnsi="Arial" w:cs="Arial"/>
          <w:b/>
          <w:smallCaps/>
          <w:sz w:val="28"/>
          <w:szCs w:val="28"/>
        </w:rPr>
        <w:t>’s</w:t>
      </w:r>
      <w:r w:rsidRPr="00523F4A">
        <w:rPr>
          <w:rFonts w:ascii="Arial" w:hAnsi="Arial" w:cs="Arial"/>
          <w:b/>
          <w:smallCaps/>
          <w:sz w:val="28"/>
          <w:szCs w:val="28"/>
        </w:rPr>
        <w:t xml:space="preserve"> </w:t>
      </w:r>
      <w:r w:rsidR="000969AA">
        <w:rPr>
          <w:rFonts w:ascii="Arial" w:hAnsi="Arial" w:cs="Arial"/>
          <w:b/>
          <w:smallCaps/>
          <w:sz w:val="28"/>
          <w:szCs w:val="28"/>
        </w:rPr>
        <w:t>License</w:t>
      </w:r>
    </w:p>
    <w:p w:rsidR="00523F4A" w:rsidRDefault="00523F4A" w:rsidP="0067631C">
      <w:pPr>
        <w:contextualSpacing/>
        <w:jc w:val="center"/>
        <w:rPr>
          <w:rFonts w:ascii="Arial" w:hAnsi="Arial" w:cs="Arial"/>
          <w:b/>
          <w:smallCaps/>
          <w:sz w:val="28"/>
          <w:szCs w:val="28"/>
        </w:rPr>
      </w:pPr>
      <w:r w:rsidRPr="00523F4A">
        <w:rPr>
          <w:rFonts w:ascii="Arial" w:hAnsi="Arial" w:cs="Arial"/>
          <w:b/>
          <w:smallCaps/>
          <w:sz w:val="28"/>
          <w:szCs w:val="28"/>
        </w:rPr>
        <w:t xml:space="preserve">Drug and Alcohol </w:t>
      </w:r>
      <w:r w:rsidR="000969AA">
        <w:rPr>
          <w:rFonts w:ascii="Arial" w:hAnsi="Arial" w:cs="Arial"/>
          <w:b/>
          <w:smallCaps/>
          <w:sz w:val="28"/>
          <w:szCs w:val="28"/>
        </w:rPr>
        <w:t>Clearinghouse</w:t>
      </w:r>
    </w:p>
    <w:p w:rsidR="00220CFF" w:rsidRDefault="00220CFF" w:rsidP="0067631C">
      <w:pPr>
        <w:contextualSpacing/>
        <w:jc w:val="center"/>
        <w:rPr>
          <w:rFonts w:ascii="Arial" w:hAnsi="Arial" w:cs="Arial"/>
          <w:b/>
          <w:smallCaps/>
          <w:sz w:val="28"/>
          <w:szCs w:val="28"/>
        </w:rPr>
      </w:pPr>
    </w:p>
    <w:p w:rsidR="006577AC" w:rsidRDefault="006577AC" w:rsidP="0067631C">
      <w:pPr>
        <w:pStyle w:val="NormalWeb"/>
        <w:spacing w:before="0" w:beforeAutospacing="0" w:after="0" w:afterAutospacing="0"/>
        <w:contextualSpacing/>
        <w:rPr>
          <w:rFonts w:ascii="Arial" w:hAnsi="Arial" w:cs="Arial"/>
          <w:b/>
          <w:bCs/>
          <w:szCs w:val="20"/>
          <w:u w:val="single"/>
        </w:rPr>
      </w:pPr>
    </w:p>
    <w:p w:rsidR="000D153A" w:rsidRDefault="000D153A" w:rsidP="0067631C">
      <w:pPr>
        <w:pStyle w:val="NormalWeb"/>
        <w:spacing w:before="0" w:beforeAutospacing="0" w:after="0" w:afterAutospacing="0"/>
        <w:contextualSpacing/>
        <w:rPr>
          <w:rFonts w:ascii="Arial" w:hAnsi="Arial" w:cs="Arial"/>
          <w:b/>
          <w:bCs/>
          <w:szCs w:val="20"/>
          <w:u w:val="single"/>
        </w:rPr>
      </w:pPr>
    </w:p>
    <w:p w:rsidR="0091219C" w:rsidRDefault="0091219C" w:rsidP="0067631C">
      <w:pPr>
        <w:pStyle w:val="NormalWeb"/>
        <w:spacing w:before="0" w:beforeAutospacing="0" w:after="0" w:afterAutospacing="0"/>
        <w:contextualSpacing/>
        <w:rPr>
          <w:rFonts w:ascii="Arial" w:hAnsi="Arial" w:cs="Arial"/>
          <w:b/>
          <w:bCs/>
          <w:szCs w:val="20"/>
          <w:u w:val="single"/>
        </w:rPr>
      </w:pPr>
      <w:r w:rsidRPr="0091219C">
        <w:rPr>
          <w:rFonts w:ascii="Arial" w:hAnsi="Arial" w:cs="Arial"/>
          <w:b/>
          <w:bCs/>
          <w:szCs w:val="20"/>
          <w:u w:val="single"/>
        </w:rPr>
        <w:t>INTRODUCTION</w:t>
      </w:r>
    </w:p>
    <w:p w:rsidR="006577AC" w:rsidRPr="005612EB" w:rsidRDefault="0067631C" w:rsidP="008164D7">
      <w:pPr>
        <w:jc w:val="both"/>
      </w:pPr>
      <w:r w:rsidRPr="006D7812">
        <w:rPr>
          <w:bCs/>
          <w:szCs w:val="20"/>
        </w:rPr>
        <w:t>This is to request OMB</w:t>
      </w:r>
      <w:r w:rsidR="00243F22">
        <w:rPr>
          <w:bCs/>
          <w:szCs w:val="20"/>
        </w:rPr>
        <w:t>’s</w:t>
      </w:r>
      <w:r w:rsidRPr="006D7812">
        <w:rPr>
          <w:bCs/>
          <w:szCs w:val="20"/>
        </w:rPr>
        <w:t xml:space="preserve"> </w:t>
      </w:r>
      <w:r w:rsidR="006577AC" w:rsidRPr="006D7812">
        <w:t>renew</w:t>
      </w:r>
      <w:r w:rsidR="00243F22">
        <w:t>al</w:t>
      </w:r>
      <w:r w:rsidR="00B400D0">
        <w:t xml:space="preserve"> for 3 </w:t>
      </w:r>
      <w:r w:rsidR="006577AC" w:rsidRPr="006D7812">
        <w:t>year</w:t>
      </w:r>
      <w:r w:rsidR="00B400D0">
        <w:t>s</w:t>
      </w:r>
      <w:r w:rsidR="006577AC" w:rsidRPr="006D7812">
        <w:t xml:space="preserve"> </w:t>
      </w:r>
      <w:r w:rsidR="00243F22">
        <w:t xml:space="preserve">of </w:t>
      </w:r>
      <w:r w:rsidR="006577AC" w:rsidRPr="006D7812">
        <w:t xml:space="preserve">the information collection titled, </w:t>
      </w:r>
      <w:r w:rsidR="00B400D0">
        <w:t>“</w:t>
      </w:r>
      <w:r w:rsidR="006D7812" w:rsidRPr="006D7812">
        <w:t xml:space="preserve">Commercial Driver’s License Drug and Alcohol Clearinghouse </w:t>
      </w:r>
      <w:r w:rsidR="006577AC" w:rsidRPr="005612EB">
        <w:t xml:space="preserve">(OMB Control No. </w:t>
      </w:r>
      <w:r w:rsidR="004A3584">
        <w:t>2126-0057</w:t>
      </w:r>
      <w:r w:rsidR="006577AC" w:rsidRPr="004C4BD0">
        <w:t>)</w:t>
      </w:r>
      <w:r w:rsidR="00B400D0">
        <w:t>”</w:t>
      </w:r>
      <w:r w:rsidR="006577AC" w:rsidRPr="005612EB">
        <w:t xml:space="preserve">, which is currently due to expire on </w:t>
      </w:r>
      <w:r w:rsidR="004A3584">
        <w:t>January 31, 2020</w:t>
      </w:r>
      <w:r w:rsidR="006577AC" w:rsidRPr="00F528EE">
        <w:t>.</w:t>
      </w:r>
    </w:p>
    <w:p w:rsidR="0067631C" w:rsidRPr="0091219C" w:rsidRDefault="0067631C" w:rsidP="0067631C">
      <w:pPr>
        <w:pStyle w:val="NormalWeb"/>
        <w:spacing w:before="0" w:beforeAutospacing="0" w:after="0" w:afterAutospacing="0"/>
        <w:contextualSpacing/>
        <w:jc w:val="both"/>
        <w:rPr>
          <w:rFonts w:ascii="Arial" w:hAnsi="Arial" w:cs="Arial"/>
          <w:b/>
          <w:bCs/>
          <w:szCs w:val="20"/>
        </w:rPr>
      </w:pPr>
    </w:p>
    <w:p w:rsidR="008123C6" w:rsidRDefault="0091219C" w:rsidP="0067631C">
      <w:pPr>
        <w:pStyle w:val="NormalWeb"/>
        <w:spacing w:before="0" w:beforeAutospacing="0" w:after="0" w:afterAutospacing="0"/>
        <w:contextualSpacing/>
        <w:rPr>
          <w:rFonts w:ascii="Arial" w:hAnsi="Arial" w:cs="Arial"/>
          <w:b/>
          <w:bCs/>
          <w:szCs w:val="20"/>
          <w:u w:val="single"/>
        </w:rPr>
      </w:pPr>
      <w:r w:rsidRPr="0091219C">
        <w:rPr>
          <w:rFonts w:ascii="Arial" w:hAnsi="Arial" w:cs="Arial"/>
          <w:b/>
          <w:bCs/>
          <w:szCs w:val="20"/>
          <w:u w:val="single"/>
        </w:rPr>
        <w:t>Part A.  Justification</w:t>
      </w:r>
    </w:p>
    <w:p w:rsidR="00CA02F9" w:rsidRDefault="00CA02F9" w:rsidP="0067631C">
      <w:pPr>
        <w:pStyle w:val="NormalWeb"/>
        <w:spacing w:before="0" w:beforeAutospacing="0" w:after="0" w:afterAutospacing="0"/>
        <w:contextualSpacing/>
        <w:rPr>
          <w:rFonts w:ascii="Arial" w:hAnsi="Arial" w:cs="Arial"/>
        </w:rPr>
      </w:pPr>
      <w:r>
        <w:rPr>
          <w:rFonts w:ascii="Arial" w:hAnsi="Arial" w:cs="Arial"/>
          <w:b/>
          <w:bCs/>
          <w:szCs w:val="20"/>
        </w:rPr>
        <w:t>1. Circumstances that make the collection of information necessary.</w:t>
      </w:r>
    </w:p>
    <w:p w:rsidR="00501642" w:rsidRDefault="00501642" w:rsidP="00354EFA">
      <w:pPr>
        <w:jc w:val="both"/>
      </w:pPr>
      <w:bookmarkStart w:id="1" w:name="_Hlk5302765"/>
      <w:bookmarkEnd w:id="1"/>
    </w:p>
    <w:p w:rsidR="00501642" w:rsidRDefault="00501642" w:rsidP="00AE7FC2">
      <w:pPr>
        <w:jc w:val="both"/>
      </w:pPr>
      <w:bookmarkStart w:id="2" w:name="_Hlk5302637"/>
      <w:r>
        <w:t>S</w:t>
      </w:r>
      <w:r w:rsidRPr="00A676C7">
        <w:t xml:space="preserve">ection 32402 of </w:t>
      </w:r>
      <w:r>
        <w:t>the Moving Ahead for Progress in the 21</w:t>
      </w:r>
      <w:r w:rsidRPr="00AE7FC2">
        <w:t>st</w:t>
      </w:r>
      <w:r>
        <w:t xml:space="preserve"> Century Act (</w:t>
      </w:r>
      <w:r w:rsidRPr="00A676C7">
        <w:t>MAP–21</w:t>
      </w:r>
      <w:r>
        <w:t>)</w:t>
      </w:r>
      <w:r w:rsidR="00814ACF">
        <w:t>, codified at 49 U.S.C. 31306a,</w:t>
      </w:r>
      <w:r>
        <w:t xml:space="preserve"> </w:t>
      </w:r>
      <w:r w:rsidR="00814ACF">
        <w:t xml:space="preserve">requires </w:t>
      </w:r>
      <w:r>
        <w:t xml:space="preserve">the Secretary of Transportation </w:t>
      </w:r>
      <w:r w:rsidR="00814ACF">
        <w:t xml:space="preserve">to </w:t>
      </w:r>
      <w:r>
        <w:t>establish, operate, and maintain a national clearinghouse for records relating to alcohol and controlled substances testing of commercial motor vehicle (CMV) operators</w:t>
      </w:r>
      <w:r w:rsidR="00814ACF">
        <w:t>. The purpose of the Clearinghouse is</w:t>
      </w:r>
      <w:r>
        <w:t xml:space="preserve"> to improve compliance with the </w:t>
      </w:r>
      <w:r w:rsidR="00243F22">
        <w:t>U.S. Department of Transportation (</w:t>
      </w:r>
      <w:r>
        <w:t>DOT</w:t>
      </w:r>
      <w:r w:rsidR="00243F22">
        <w:t>)</w:t>
      </w:r>
      <w:r>
        <w:t xml:space="preserve"> alcohol and controlled substances testing program</w:t>
      </w:r>
      <w:r w:rsidR="00814ACF">
        <w:t>,</w:t>
      </w:r>
      <w:r>
        <w:t xml:space="preserve"> and to </w:t>
      </w:r>
      <w:r w:rsidRPr="00704F0C">
        <w:t>enhance the safety of our roadways</w:t>
      </w:r>
      <w:r>
        <w:t xml:space="preserve"> </w:t>
      </w:r>
      <w:r w:rsidRPr="00704F0C">
        <w:t xml:space="preserve">by reducing </w:t>
      </w:r>
      <w:r w:rsidR="00B400D0">
        <w:t>crashes</w:t>
      </w:r>
      <w:r w:rsidRPr="00704F0C">
        <w:t xml:space="preserve"> and injuries involving the misuse</w:t>
      </w:r>
      <w:r>
        <w:t xml:space="preserve"> </w:t>
      </w:r>
      <w:r w:rsidRPr="00704F0C">
        <w:t xml:space="preserve">of alcohol or use of controlled substances </w:t>
      </w:r>
      <w:r w:rsidR="00552251">
        <w:t xml:space="preserve">by </w:t>
      </w:r>
      <w:r>
        <w:t>CMV</w:t>
      </w:r>
      <w:r w:rsidR="00814ACF">
        <w:t xml:space="preserve"> drivers</w:t>
      </w:r>
      <w:r w:rsidRPr="00704F0C">
        <w:t>.</w:t>
      </w:r>
      <w:r>
        <w:t xml:space="preserve"> </w:t>
      </w:r>
    </w:p>
    <w:bookmarkEnd w:id="2"/>
    <w:p w:rsidR="00062064" w:rsidRDefault="00062064" w:rsidP="00354EFA">
      <w:pPr>
        <w:jc w:val="both"/>
      </w:pPr>
    </w:p>
    <w:p w:rsidR="009974F7" w:rsidRPr="009974F7" w:rsidRDefault="00E2136B" w:rsidP="009974F7">
      <w:pPr>
        <w:jc w:val="both"/>
      </w:pPr>
      <w:r w:rsidRPr="007114C4">
        <w:t xml:space="preserve">The final rule </w:t>
      </w:r>
      <w:r>
        <w:t>(</w:t>
      </w:r>
      <w:r w:rsidRPr="007114C4">
        <w:t>81 FR 87686</w:t>
      </w:r>
      <w:r>
        <w:t xml:space="preserve">) </w:t>
      </w:r>
      <w:r w:rsidRPr="007114C4">
        <w:t>was published on December 5, 2016</w:t>
      </w:r>
      <w:r w:rsidR="00E737DB">
        <w:t xml:space="preserve"> (Attachment A)</w:t>
      </w:r>
      <w:r w:rsidR="00814ACF">
        <w:t>;</w:t>
      </w:r>
      <w:r w:rsidRPr="007114C4">
        <w:t xml:space="preserve"> the effective date of the final rule is January 4, 2017, and the compliance </w:t>
      </w:r>
      <w:r>
        <w:t>date is January 6, 2020.</w:t>
      </w:r>
      <w:r w:rsidRPr="007114C4">
        <w:t xml:space="preserve"> </w:t>
      </w:r>
      <w:r w:rsidR="009974F7" w:rsidRPr="009974F7">
        <w:t xml:space="preserve">Information stored in the Clearinghouse includes the user name, point of contact information, email address, system role, CDL information (as applicable), credential information (as applicable) and company information (as applicable). </w:t>
      </w:r>
    </w:p>
    <w:p w:rsidR="00E2136B" w:rsidRDefault="00E2136B" w:rsidP="00E2136B">
      <w:pPr>
        <w:jc w:val="both"/>
      </w:pPr>
    </w:p>
    <w:p w:rsidR="00CA02F9" w:rsidRDefault="00CA02F9" w:rsidP="00977BBD">
      <w:pPr>
        <w:pStyle w:val="NormalWeb"/>
        <w:keepNext/>
        <w:rPr>
          <w:rFonts w:ascii="Arial" w:hAnsi="Arial" w:cs="Arial"/>
        </w:rPr>
      </w:pPr>
      <w:r>
        <w:rPr>
          <w:rFonts w:ascii="Arial" w:hAnsi="Arial" w:cs="Arial"/>
          <w:b/>
          <w:bCs/>
          <w:szCs w:val="20"/>
        </w:rPr>
        <w:t xml:space="preserve">2. How, by whom, how frequently, and for what purpose the information will be used. </w:t>
      </w:r>
    </w:p>
    <w:p w:rsidR="00354EFA" w:rsidRPr="00354EFA" w:rsidRDefault="00814ACF" w:rsidP="00B91B1F">
      <w:pPr>
        <w:pStyle w:val="BodyTextIndent2"/>
        <w:spacing w:line="240" w:lineRule="auto"/>
        <w:ind w:firstLine="0"/>
        <w:jc w:val="both"/>
        <w:rPr>
          <w:rFonts w:ascii="Times New Roman" w:hAnsi="Times New Roman" w:cs="Times New Roman"/>
        </w:rPr>
      </w:pPr>
      <w:bookmarkStart w:id="3" w:name="_Hlk5302662"/>
      <w:r w:rsidRPr="00814ACF">
        <w:rPr>
          <w:rFonts w:ascii="Times New Roman" w:hAnsi="Times New Roman" w:cs="Times New Roman"/>
        </w:rPr>
        <w:t xml:space="preserve">Motor carrier employers will use driver-specific information from the Clearinghouse to determine whether any driver they employ, or seek to employ, is prohibited from operating a CMV due to </w:t>
      </w:r>
      <w:r w:rsidR="00151283">
        <w:rPr>
          <w:rFonts w:ascii="Times New Roman" w:hAnsi="Times New Roman" w:cs="Times New Roman"/>
        </w:rPr>
        <w:t xml:space="preserve">a </w:t>
      </w:r>
      <w:r w:rsidRPr="00814ACF">
        <w:rPr>
          <w:rFonts w:ascii="Times New Roman" w:hAnsi="Times New Roman" w:cs="Times New Roman"/>
        </w:rPr>
        <w:t>drug or alcohol testing violation.</w:t>
      </w:r>
      <w:r>
        <w:t xml:space="preserve"> </w:t>
      </w:r>
      <w:r w:rsidR="0030676D">
        <w:rPr>
          <w:rFonts w:ascii="Times New Roman" w:hAnsi="Times New Roman" w:cs="Times New Roman"/>
        </w:rPr>
        <w:t>State Driver’s Licensing Agencies (</w:t>
      </w:r>
      <w:r w:rsidR="00DE487A">
        <w:rPr>
          <w:rFonts w:ascii="Times New Roman" w:hAnsi="Times New Roman" w:cs="Times New Roman"/>
        </w:rPr>
        <w:t>SDLA</w:t>
      </w:r>
      <w:r>
        <w:rPr>
          <w:rFonts w:ascii="Times New Roman" w:hAnsi="Times New Roman" w:cs="Times New Roman"/>
        </w:rPr>
        <w:t>s</w:t>
      </w:r>
      <w:r w:rsidR="0030676D">
        <w:rPr>
          <w:rFonts w:ascii="Times New Roman" w:hAnsi="Times New Roman" w:cs="Times New Roman"/>
        </w:rPr>
        <w:t>)</w:t>
      </w:r>
      <w:r w:rsidR="00DE487A">
        <w:rPr>
          <w:rFonts w:ascii="Times New Roman" w:hAnsi="Times New Roman" w:cs="Times New Roman"/>
        </w:rPr>
        <w:t xml:space="preserve"> </w:t>
      </w:r>
      <w:r w:rsidR="00283701">
        <w:rPr>
          <w:rFonts w:ascii="Times New Roman" w:hAnsi="Times New Roman" w:cs="Times New Roman"/>
        </w:rPr>
        <w:t xml:space="preserve">will </w:t>
      </w:r>
      <w:r>
        <w:rPr>
          <w:rFonts w:ascii="Times New Roman" w:hAnsi="Times New Roman" w:cs="Times New Roman"/>
        </w:rPr>
        <w:t>use Clearinghouse information</w:t>
      </w:r>
      <w:r w:rsidR="00151283">
        <w:rPr>
          <w:rFonts w:ascii="Times New Roman" w:hAnsi="Times New Roman" w:cs="Times New Roman"/>
        </w:rPr>
        <w:t xml:space="preserve"> to</w:t>
      </w:r>
      <w:r>
        <w:rPr>
          <w:rFonts w:ascii="Times New Roman" w:hAnsi="Times New Roman" w:cs="Times New Roman"/>
        </w:rPr>
        <w:t xml:space="preserve"> </w:t>
      </w:r>
      <w:r w:rsidR="00354EFA" w:rsidRPr="00354EFA">
        <w:rPr>
          <w:rFonts w:ascii="Times New Roman" w:hAnsi="Times New Roman" w:cs="Times New Roman"/>
        </w:rPr>
        <w:t xml:space="preserve">identify drivers who have </w:t>
      </w:r>
      <w:r w:rsidR="00426EE9">
        <w:rPr>
          <w:rFonts w:ascii="Times New Roman" w:hAnsi="Times New Roman" w:cs="Times New Roman"/>
        </w:rPr>
        <w:t>violated the Agency’s</w:t>
      </w:r>
      <w:r w:rsidR="00426EE9" w:rsidRPr="00354EFA">
        <w:rPr>
          <w:rFonts w:ascii="Times New Roman" w:hAnsi="Times New Roman" w:cs="Times New Roman"/>
        </w:rPr>
        <w:t xml:space="preserve"> </w:t>
      </w:r>
      <w:r w:rsidR="00354EFA" w:rsidRPr="00354EFA">
        <w:rPr>
          <w:rFonts w:ascii="Times New Roman" w:hAnsi="Times New Roman" w:cs="Times New Roman"/>
        </w:rPr>
        <w:t xml:space="preserve">drug and alcohol </w:t>
      </w:r>
      <w:r w:rsidR="00426EE9">
        <w:rPr>
          <w:rFonts w:ascii="Times New Roman" w:hAnsi="Times New Roman" w:cs="Times New Roman"/>
        </w:rPr>
        <w:t>rules</w:t>
      </w:r>
      <w:r w:rsidR="00D25E01">
        <w:rPr>
          <w:rFonts w:ascii="Times New Roman" w:hAnsi="Times New Roman" w:cs="Times New Roman"/>
        </w:rPr>
        <w:t xml:space="preserve">, and are </w:t>
      </w:r>
      <w:r w:rsidR="00920595">
        <w:rPr>
          <w:rFonts w:ascii="Times New Roman" w:hAnsi="Times New Roman" w:cs="Times New Roman"/>
        </w:rPr>
        <w:t>prohibited</w:t>
      </w:r>
      <w:r w:rsidR="00D25E01">
        <w:rPr>
          <w:rFonts w:ascii="Times New Roman" w:hAnsi="Times New Roman" w:cs="Times New Roman"/>
        </w:rPr>
        <w:t xml:space="preserve"> </w:t>
      </w:r>
      <w:r w:rsidR="00920595">
        <w:rPr>
          <w:rFonts w:ascii="Times New Roman" w:hAnsi="Times New Roman" w:cs="Times New Roman"/>
        </w:rPr>
        <w:t xml:space="preserve">from </w:t>
      </w:r>
      <w:r w:rsidR="00D25E01">
        <w:rPr>
          <w:rFonts w:ascii="Times New Roman" w:hAnsi="Times New Roman" w:cs="Times New Roman"/>
        </w:rPr>
        <w:t>operat</w:t>
      </w:r>
      <w:r w:rsidR="00920595">
        <w:rPr>
          <w:rFonts w:ascii="Times New Roman" w:hAnsi="Times New Roman" w:cs="Times New Roman"/>
        </w:rPr>
        <w:t>ing</w:t>
      </w:r>
      <w:r w:rsidR="00D25E01">
        <w:rPr>
          <w:rFonts w:ascii="Times New Roman" w:hAnsi="Times New Roman" w:cs="Times New Roman"/>
        </w:rPr>
        <w:t xml:space="preserve"> </w:t>
      </w:r>
      <w:r w:rsidR="00920595">
        <w:rPr>
          <w:rFonts w:ascii="Times New Roman" w:hAnsi="Times New Roman" w:cs="Times New Roman"/>
        </w:rPr>
        <w:t>CMV</w:t>
      </w:r>
      <w:r w:rsidR="00200746">
        <w:rPr>
          <w:rFonts w:ascii="Times New Roman" w:hAnsi="Times New Roman" w:cs="Times New Roman"/>
        </w:rPr>
        <w:t>s</w:t>
      </w:r>
      <w:r w:rsidR="00354EFA" w:rsidRPr="00354EFA">
        <w:rPr>
          <w:rFonts w:ascii="Times New Roman" w:hAnsi="Times New Roman" w:cs="Times New Roman"/>
        </w:rPr>
        <w:t xml:space="preserve">. </w:t>
      </w:r>
      <w:r w:rsidR="0001369F">
        <w:rPr>
          <w:rFonts w:ascii="Times New Roman" w:hAnsi="Times New Roman" w:cs="Times New Roman"/>
        </w:rPr>
        <w:t xml:space="preserve">The </w:t>
      </w:r>
      <w:r w:rsidR="00243F22">
        <w:rPr>
          <w:rFonts w:ascii="Times New Roman" w:hAnsi="Times New Roman" w:cs="Times New Roman"/>
        </w:rPr>
        <w:t>Federal Motor Carrier Safety Administration (</w:t>
      </w:r>
      <w:r w:rsidR="0001369F">
        <w:rPr>
          <w:rFonts w:ascii="Times New Roman" w:hAnsi="Times New Roman" w:cs="Times New Roman"/>
        </w:rPr>
        <w:t>FMCSA</w:t>
      </w:r>
      <w:r w:rsidR="00243F22">
        <w:rPr>
          <w:rFonts w:ascii="Times New Roman" w:hAnsi="Times New Roman" w:cs="Times New Roman"/>
        </w:rPr>
        <w:t>)</w:t>
      </w:r>
      <w:r>
        <w:rPr>
          <w:rFonts w:ascii="Times New Roman" w:hAnsi="Times New Roman" w:cs="Times New Roman"/>
        </w:rPr>
        <w:t xml:space="preserve"> will use</w:t>
      </w:r>
      <w:r w:rsidR="00850ACE">
        <w:rPr>
          <w:rFonts w:ascii="Times New Roman" w:hAnsi="Times New Roman" w:cs="Times New Roman"/>
        </w:rPr>
        <w:t xml:space="preserve"> the information</w:t>
      </w:r>
      <w:r>
        <w:rPr>
          <w:rFonts w:ascii="Times New Roman" w:hAnsi="Times New Roman" w:cs="Times New Roman"/>
        </w:rPr>
        <w:t xml:space="preserve"> </w:t>
      </w:r>
      <w:r w:rsidR="0001369F">
        <w:rPr>
          <w:rFonts w:ascii="Times New Roman" w:hAnsi="Times New Roman" w:cs="Times New Roman"/>
        </w:rPr>
        <w:t xml:space="preserve">for research and enforcement purposes.  The </w:t>
      </w:r>
      <w:r w:rsidR="00243F22">
        <w:rPr>
          <w:rFonts w:ascii="Times New Roman" w:hAnsi="Times New Roman" w:cs="Times New Roman"/>
        </w:rPr>
        <w:t>National Transportation Safety Board (</w:t>
      </w:r>
      <w:r w:rsidR="0001369F">
        <w:rPr>
          <w:rFonts w:ascii="Times New Roman" w:hAnsi="Times New Roman" w:cs="Times New Roman"/>
        </w:rPr>
        <w:t>NTSB</w:t>
      </w:r>
      <w:r w:rsidR="0030676D">
        <w:rPr>
          <w:rFonts w:ascii="Times New Roman" w:hAnsi="Times New Roman" w:cs="Times New Roman"/>
        </w:rPr>
        <w:t>)</w:t>
      </w:r>
      <w:r w:rsidR="0001369F">
        <w:rPr>
          <w:rFonts w:ascii="Times New Roman" w:hAnsi="Times New Roman" w:cs="Times New Roman"/>
        </w:rPr>
        <w:t xml:space="preserve"> will use information about drivers involved in crash</w:t>
      </w:r>
      <w:r>
        <w:rPr>
          <w:rFonts w:ascii="Times New Roman" w:hAnsi="Times New Roman" w:cs="Times New Roman"/>
        </w:rPr>
        <w:t>es under NTSB</w:t>
      </w:r>
      <w:r w:rsidR="0001369F">
        <w:rPr>
          <w:rFonts w:ascii="Times New Roman" w:hAnsi="Times New Roman" w:cs="Times New Roman"/>
        </w:rPr>
        <w:t xml:space="preserve"> investigation.</w:t>
      </w:r>
    </w:p>
    <w:p w:rsidR="00354EFA" w:rsidRDefault="00354EFA" w:rsidP="00354EFA">
      <w:pPr>
        <w:jc w:val="both"/>
      </w:pPr>
    </w:p>
    <w:bookmarkEnd w:id="3"/>
    <w:p w:rsidR="00CA02F9" w:rsidRDefault="00CA02F9" w:rsidP="00977BBD">
      <w:pPr>
        <w:pStyle w:val="NormalWeb"/>
        <w:keepNext/>
        <w:rPr>
          <w:rFonts w:ascii="Arial" w:hAnsi="Arial" w:cs="Arial"/>
          <w:szCs w:val="20"/>
        </w:rPr>
      </w:pPr>
      <w:r>
        <w:rPr>
          <w:rFonts w:ascii="Arial" w:hAnsi="Arial"/>
          <w:b/>
        </w:rPr>
        <w:lastRenderedPageBreak/>
        <w:t>3. Extent of automated information collection.</w:t>
      </w:r>
      <w:r>
        <w:rPr>
          <w:rFonts w:ascii="Arial" w:hAnsi="Arial" w:cs="Arial"/>
          <w:szCs w:val="20"/>
        </w:rPr>
        <w:t xml:space="preserve"> </w:t>
      </w:r>
    </w:p>
    <w:p w:rsidR="00354EFA" w:rsidRDefault="00501642" w:rsidP="00354EFA">
      <w:pPr>
        <w:jc w:val="both"/>
      </w:pPr>
      <w:r>
        <w:rPr>
          <w:bCs/>
          <w:szCs w:val="20"/>
        </w:rPr>
        <w:t>A</w:t>
      </w:r>
      <w:r w:rsidR="00354EFA" w:rsidRPr="00354EFA">
        <w:rPr>
          <w:bCs/>
          <w:szCs w:val="20"/>
        </w:rPr>
        <w:t>ll</w:t>
      </w:r>
      <w:r w:rsidR="00CA02F9" w:rsidRPr="00354EFA">
        <w:rPr>
          <w:bCs/>
          <w:szCs w:val="20"/>
        </w:rPr>
        <w:t xml:space="preserve"> information </w:t>
      </w:r>
      <w:r w:rsidR="00C13B7A">
        <w:rPr>
          <w:bCs/>
          <w:szCs w:val="20"/>
        </w:rPr>
        <w:t>will</w:t>
      </w:r>
      <w:r w:rsidR="00C13B7A" w:rsidRPr="00354EFA">
        <w:rPr>
          <w:bCs/>
          <w:szCs w:val="20"/>
        </w:rPr>
        <w:t xml:space="preserve"> </w:t>
      </w:r>
      <w:r w:rsidR="00CA02F9" w:rsidRPr="00354EFA">
        <w:rPr>
          <w:bCs/>
          <w:szCs w:val="20"/>
        </w:rPr>
        <w:t xml:space="preserve">be </w:t>
      </w:r>
      <w:r>
        <w:rPr>
          <w:bCs/>
          <w:szCs w:val="20"/>
        </w:rPr>
        <w:t>entered into the Clearinghouse by logging</w:t>
      </w:r>
      <w:r w:rsidR="00426EE9">
        <w:rPr>
          <w:bCs/>
          <w:szCs w:val="20"/>
        </w:rPr>
        <w:t xml:space="preserve"> into a secure web</w:t>
      </w:r>
      <w:r w:rsidR="00B96289">
        <w:rPr>
          <w:bCs/>
          <w:szCs w:val="20"/>
        </w:rPr>
        <w:t xml:space="preserve"> </w:t>
      </w:r>
      <w:r w:rsidR="00144E66">
        <w:rPr>
          <w:bCs/>
          <w:szCs w:val="20"/>
        </w:rPr>
        <w:t>site</w:t>
      </w:r>
      <w:r w:rsidR="00F93C1E">
        <w:rPr>
          <w:bCs/>
          <w:szCs w:val="20"/>
        </w:rPr>
        <w:t>.</w:t>
      </w:r>
      <w:r w:rsidR="00C6027D">
        <w:t xml:space="preserve"> </w:t>
      </w:r>
      <w:r w:rsidR="00F93C1E">
        <w:t>O</w:t>
      </w:r>
      <w:r w:rsidR="00C6027D">
        <w:t>f the s</w:t>
      </w:r>
      <w:r w:rsidR="009A4E23">
        <w:t>ix</w:t>
      </w:r>
      <w:r w:rsidR="0061220F">
        <w:t xml:space="preserve"> stated requirements of the rule, all </w:t>
      </w:r>
      <w:r w:rsidR="00C13B7A">
        <w:t xml:space="preserve">will </w:t>
      </w:r>
      <w:r w:rsidR="0061220F">
        <w:t xml:space="preserve">be </w:t>
      </w:r>
      <w:r w:rsidR="00CC678C">
        <w:t>electronic except</w:t>
      </w:r>
      <w:r w:rsidR="0061220F">
        <w:t xml:space="preserve"> for </w:t>
      </w:r>
      <w:r w:rsidR="00CC678C">
        <w:t>number six</w:t>
      </w:r>
      <w:r w:rsidR="0061220F">
        <w:t xml:space="preserve"> below:</w:t>
      </w:r>
    </w:p>
    <w:p w:rsidR="0061220F" w:rsidRDefault="0061220F" w:rsidP="00354EFA">
      <w:pPr>
        <w:jc w:val="both"/>
      </w:pPr>
    </w:p>
    <w:p w:rsidR="0061220F" w:rsidRDefault="0061220F" w:rsidP="00DB1A0F">
      <w:pPr>
        <w:numPr>
          <w:ilvl w:val="0"/>
          <w:numId w:val="1"/>
        </w:numPr>
        <w:jc w:val="both"/>
      </w:pPr>
      <w:r>
        <w:t xml:space="preserve">Medical Review Officers (MROs) </w:t>
      </w:r>
      <w:r w:rsidR="00C13B7A">
        <w:t xml:space="preserve">will </w:t>
      </w:r>
      <w:r>
        <w:t>submit verified positive controlled</w:t>
      </w:r>
      <w:r w:rsidR="00D25E01">
        <w:t xml:space="preserve"> </w:t>
      </w:r>
      <w:r>
        <w:t>substances test</w:t>
      </w:r>
      <w:r w:rsidR="00D25E01">
        <w:t xml:space="preserve"> </w:t>
      </w:r>
      <w:r>
        <w:t xml:space="preserve">results </w:t>
      </w:r>
      <w:r w:rsidR="00D25E01">
        <w:t xml:space="preserve">and </w:t>
      </w:r>
      <w:r w:rsidR="00850ACE">
        <w:t xml:space="preserve">test </w:t>
      </w:r>
      <w:r w:rsidR="00D25E01">
        <w:t>refusals</w:t>
      </w:r>
      <w:r>
        <w:t xml:space="preserve"> to the Agency. </w:t>
      </w:r>
    </w:p>
    <w:p w:rsidR="0061220F" w:rsidRDefault="0061220F" w:rsidP="00DB1A0F">
      <w:pPr>
        <w:numPr>
          <w:ilvl w:val="0"/>
          <w:numId w:val="1"/>
        </w:numPr>
        <w:jc w:val="both"/>
      </w:pPr>
      <w:r>
        <w:t xml:space="preserve">Substance Abuse Professionals (SAPs) </w:t>
      </w:r>
      <w:r w:rsidR="00C13B7A">
        <w:t xml:space="preserve">will </w:t>
      </w:r>
      <w:r>
        <w:t>report</w:t>
      </w:r>
      <w:r w:rsidR="00CD5EF9">
        <w:t xml:space="preserve"> </w:t>
      </w:r>
      <w:r w:rsidR="00850ACE">
        <w:t xml:space="preserve">the date of the driver’s </w:t>
      </w:r>
      <w:r w:rsidR="00D33D2B">
        <w:t xml:space="preserve">initial assessment and </w:t>
      </w:r>
      <w:r w:rsidR="00D25E01">
        <w:t>the completion date of the return to duty</w:t>
      </w:r>
      <w:r w:rsidR="00F93C1E">
        <w:t xml:space="preserve"> (RTD)</w:t>
      </w:r>
      <w:r w:rsidR="00D25E01">
        <w:t xml:space="preserve"> process</w:t>
      </w:r>
      <w:r>
        <w:t xml:space="preserve">. </w:t>
      </w:r>
    </w:p>
    <w:p w:rsidR="0061220F" w:rsidRDefault="0061220F" w:rsidP="009D5053">
      <w:pPr>
        <w:numPr>
          <w:ilvl w:val="0"/>
          <w:numId w:val="1"/>
        </w:numPr>
      </w:pPr>
      <w:r>
        <w:t>Employers</w:t>
      </w:r>
      <w:r w:rsidR="00850ACE">
        <w:t xml:space="preserve">, </w:t>
      </w:r>
      <w:r>
        <w:t xml:space="preserve">or </w:t>
      </w:r>
      <w:r w:rsidR="00850ACE">
        <w:t xml:space="preserve">their </w:t>
      </w:r>
      <w:r>
        <w:t>designated service agents</w:t>
      </w:r>
      <w:r w:rsidR="00850ACE">
        <w:t>, Consortia/Third-party Administrators</w:t>
      </w:r>
      <w:r w:rsidR="00A4049F">
        <w:t xml:space="preserve"> </w:t>
      </w:r>
      <w:r w:rsidR="00CD5EF9">
        <w:t>(C/TPAs)</w:t>
      </w:r>
      <w:r w:rsidR="00850ACE">
        <w:t>,</w:t>
      </w:r>
      <w:r w:rsidR="00CD5EF9">
        <w:t xml:space="preserve"> </w:t>
      </w:r>
      <w:r w:rsidR="00C13B7A">
        <w:t xml:space="preserve">will </w:t>
      </w:r>
      <w:r w:rsidR="00A13018">
        <w:t xml:space="preserve">report </w:t>
      </w:r>
      <w:r>
        <w:t>verified alcohol test results at or above 0.04 alcohol-concentration.</w:t>
      </w:r>
    </w:p>
    <w:p w:rsidR="0061220F" w:rsidRDefault="00D25E01" w:rsidP="00DB1A0F">
      <w:pPr>
        <w:numPr>
          <w:ilvl w:val="0"/>
          <w:numId w:val="1"/>
        </w:numPr>
        <w:jc w:val="both"/>
      </w:pPr>
      <w:r>
        <w:t>E</w:t>
      </w:r>
      <w:r w:rsidR="0061220F">
        <w:t>mployers</w:t>
      </w:r>
      <w:r w:rsidR="00850ACE">
        <w:t>,</w:t>
      </w:r>
      <w:r w:rsidR="0061220F">
        <w:t xml:space="preserve"> or C/TPAs acting on the employer’s behalf</w:t>
      </w:r>
      <w:r w:rsidR="00850ACE">
        <w:t>,</w:t>
      </w:r>
      <w:r w:rsidR="0061220F">
        <w:t xml:space="preserve"> </w:t>
      </w:r>
      <w:r w:rsidR="00C13B7A">
        <w:t xml:space="preserve">will </w:t>
      </w:r>
      <w:r w:rsidR="0061220F">
        <w:t>submit information on refusals to test.</w:t>
      </w:r>
    </w:p>
    <w:p w:rsidR="00A13018" w:rsidRDefault="00532ED8" w:rsidP="00DB1A0F">
      <w:pPr>
        <w:numPr>
          <w:ilvl w:val="0"/>
          <w:numId w:val="1"/>
        </w:numPr>
        <w:jc w:val="both"/>
      </w:pPr>
      <w:r>
        <w:t xml:space="preserve">Employers </w:t>
      </w:r>
      <w:r w:rsidR="00850ACE">
        <w:t xml:space="preserve">will </w:t>
      </w:r>
      <w:r w:rsidR="00FF6EA2">
        <w:t xml:space="preserve">report </w:t>
      </w:r>
      <w:r>
        <w:t>violations based on actual knowledge of drug or alcohol use</w:t>
      </w:r>
      <w:r w:rsidR="00A045FA">
        <w:t>, as defined in § 382.107</w:t>
      </w:r>
      <w:r>
        <w:t xml:space="preserve">.  </w:t>
      </w:r>
    </w:p>
    <w:p w:rsidR="00157EEF" w:rsidRDefault="00157EEF" w:rsidP="00DB1A0F">
      <w:pPr>
        <w:numPr>
          <w:ilvl w:val="0"/>
          <w:numId w:val="1"/>
        </w:numPr>
        <w:jc w:val="both"/>
      </w:pPr>
      <w:r>
        <w:t xml:space="preserve">The Clearinghouse will provide notice to </w:t>
      </w:r>
      <w:r w:rsidR="002446BF">
        <w:t xml:space="preserve">the </w:t>
      </w:r>
      <w:r>
        <w:t>driver each time his or her information is released</w:t>
      </w:r>
      <w:r w:rsidR="009231CA">
        <w:t>,</w:t>
      </w:r>
      <w:r w:rsidR="006B5885">
        <w:t xml:space="preserve"> or when new information </w:t>
      </w:r>
      <w:r w:rsidR="009231CA">
        <w:t xml:space="preserve">about the driver </w:t>
      </w:r>
      <w:r w:rsidR="006B5885">
        <w:t>is recorded in the Clearinghouse</w:t>
      </w:r>
      <w:r>
        <w:t xml:space="preserve">. In addition, a driver will be given the option to receive electronic notification each time someone conducts a limited </w:t>
      </w:r>
      <w:r w:rsidR="00D55DBD">
        <w:t xml:space="preserve">or full </w:t>
      </w:r>
      <w:r>
        <w:t xml:space="preserve">query on that driver. The driver will </w:t>
      </w:r>
      <w:r w:rsidR="009231CA">
        <w:t xml:space="preserve">be able </w:t>
      </w:r>
      <w:r>
        <w:t xml:space="preserve">to opt in </w:t>
      </w:r>
      <w:r w:rsidR="009231CA">
        <w:t xml:space="preserve">to </w:t>
      </w:r>
      <w:r>
        <w:t xml:space="preserve">electronic </w:t>
      </w:r>
      <w:r w:rsidR="009231CA">
        <w:t xml:space="preserve">notification and provide an email address </w:t>
      </w:r>
      <w:r>
        <w:t>when he or she registers with the Clearinghouse; otherwise the default method of notification will be U.S. mail.</w:t>
      </w:r>
    </w:p>
    <w:p w:rsidR="00CA02F9" w:rsidRDefault="00CA02F9">
      <w:pPr>
        <w:pStyle w:val="NormalWeb"/>
        <w:keepNext/>
        <w:rPr>
          <w:rFonts w:ascii="Arial" w:hAnsi="Arial" w:cs="Arial"/>
          <w:szCs w:val="20"/>
        </w:rPr>
      </w:pPr>
      <w:r>
        <w:rPr>
          <w:rFonts w:ascii="Arial" w:hAnsi="Arial" w:cs="Arial"/>
          <w:b/>
          <w:bCs/>
          <w:szCs w:val="20"/>
        </w:rPr>
        <w:t>4. Efforts to identify duplication.</w:t>
      </w:r>
      <w:r>
        <w:rPr>
          <w:rFonts w:ascii="Arial" w:hAnsi="Arial" w:cs="Arial"/>
          <w:szCs w:val="20"/>
        </w:rPr>
        <w:t xml:space="preserve"> </w:t>
      </w:r>
    </w:p>
    <w:p w:rsidR="00CD5EF9" w:rsidRDefault="00EE569E" w:rsidP="00354EFA">
      <w:r w:rsidRPr="003C059B">
        <w:t xml:space="preserve">The FMCSA is not aware of any other </w:t>
      </w:r>
      <w:r w:rsidR="00720A31">
        <w:t>efforts</w:t>
      </w:r>
      <w:r w:rsidR="00720A31" w:rsidRPr="003C059B">
        <w:t xml:space="preserve"> </w:t>
      </w:r>
      <w:r w:rsidR="00200746">
        <w:t>that</w:t>
      </w:r>
      <w:r w:rsidR="00200746" w:rsidRPr="003C059B">
        <w:t xml:space="preserve"> </w:t>
      </w:r>
      <w:r w:rsidR="00987B09" w:rsidRPr="00987B09">
        <w:rPr>
          <w:iCs/>
        </w:rPr>
        <w:t>conflict</w:t>
      </w:r>
      <w:r w:rsidRPr="003C059B">
        <w:t xml:space="preserve"> with </w:t>
      </w:r>
      <w:r w:rsidR="00C13B7A">
        <w:t>this</w:t>
      </w:r>
      <w:r w:rsidRPr="003C059B">
        <w:t xml:space="preserve"> action. </w:t>
      </w:r>
    </w:p>
    <w:p w:rsidR="004B4C7C" w:rsidRDefault="004015FC" w:rsidP="004B4C7C">
      <w:pPr>
        <w:spacing w:before="100" w:beforeAutospacing="1" w:after="100" w:afterAutospacing="1"/>
        <w:rPr>
          <w:rFonts w:ascii="Arial" w:hAnsi="Arial" w:cs="Arial"/>
          <w:b/>
          <w:bCs/>
          <w:szCs w:val="20"/>
        </w:rPr>
      </w:pPr>
      <w:r>
        <w:rPr>
          <w:rFonts w:ascii="Arial" w:hAnsi="Arial"/>
          <w:b/>
        </w:rPr>
        <w:t>5. Efforts to minimize the burden on small businesses or other small entities</w:t>
      </w:r>
      <w:r>
        <w:rPr>
          <w:rFonts w:ascii="Arial" w:hAnsi="Arial" w:cs="Arial"/>
          <w:b/>
          <w:bCs/>
          <w:szCs w:val="20"/>
        </w:rPr>
        <w:t>.</w:t>
      </w:r>
    </w:p>
    <w:p w:rsidR="00CB4915" w:rsidRDefault="00A4049F" w:rsidP="00CB4915">
      <w:pPr>
        <w:jc w:val="both"/>
      </w:pPr>
      <w:r w:rsidRPr="00A4049F">
        <w:t>All the counts, quantities, and calculations in the supporting statement, unless otherwise n</w:t>
      </w:r>
      <w:r>
        <w:t>oted, come from the final rule.</w:t>
      </w:r>
      <w:r w:rsidRPr="00A4049F">
        <w:t xml:space="preserve"> </w:t>
      </w:r>
      <w:r w:rsidR="00CB4915">
        <w:t>The FMCSA drug and alcohol testing regulations apply to an estimated 520,000</w:t>
      </w:r>
      <w:r w:rsidR="00CB4915" w:rsidRPr="00B11CA8">
        <w:t xml:space="preserve"> </w:t>
      </w:r>
      <w:r w:rsidR="00CB4915">
        <w:t xml:space="preserve">carriers </w:t>
      </w:r>
      <w:r>
        <w:t>employing</w:t>
      </w:r>
      <w:r w:rsidR="00CB4915">
        <w:t xml:space="preserve"> about 4 million </w:t>
      </w:r>
      <w:r>
        <w:t xml:space="preserve">commercial driver’s license (CDL) </w:t>
      </w:r>
      <w:r w:rsidR="00CB4915">
        <w:t>driver</w:t>
      </w:r>
      <w:r w:rsidR="00CB4915" w:rsidRPr="00B11CA8">
        <w:t>s</w:t>
      </w:r>
      <w:r w:rsidR="00CB4915">
        <w:t>. An estimated 515,</w:t>
      </w:r>
      <w:r w:rsidR="00CB4915" w:rsidRPr="00E6418B">
        <w:t>000</w:t>
      </w:r>
      <w:r w:rsidR="00CB4915">
        <w:t xml:space="preserve"> of these motor carriers are considered small entities. In addition, an estimated 11,000 MROs, 5</w:t>
      </w:r>
      <w:r w:rsidR="006F5B05">
        <w:t>,</w:t>
      </w:r>
      <w:r w:rsidR="00CB4915">
        <w:t xml:space="preserve">000 C/TPAs, and 15,000 SAPs would verify and report positive drug and alcohol test results, test refusals, </w:t>
      </w:r>
      <w:r w:rsidR="006B64FA">
        <w:t xml:space="preserve">or </w:t>
      </w:r>
      <w:r w:rsidR="00CB4915">
        <w:t xml:space="preserve">information about </w:t>
      </w:r>
      <w:r w:rsidR="006B64FA">
        <w:t xml:space="preserve">the </w:t>
      </w:r>
      <w:r w:rsidR="00CB4915">
        <w:t>return to duty processes. MROs, C/TPAs, and SAPs are most likely small entities.</w:t>
      </w:r>
    </w:p>
    <w:p w:rsidR="00CB4915" w:rsidRDefault="00CB4915" w:rsidP="00CB4915"/>
    <w:p w:rsidR="001E433E" w:rsidRDefault="00CB4915" w:rsidP="00B91B1F">
      <w:pPr>
        <w:jc w:val="both"/>
      </w:pPr>
      <w:r>
        <w:t xml:space="preserve">The requirement to submit drug and alcohol test information </w:t>
      </w:r>
      <w:r w:rsidR="006B64FA">
        <w:t>pertaining to</w:t>
      </w:r>
      <w:r>
        <w:t xml:space="preserve"> CDL holders applies to all motor carriers conducting operations</w:t>
      </w:r>
      <w:r w:rsidR="00151283">
        <w:t>,</w:t>
      </w:r>
      <w:r>
        <w:t xml:space="preserve"> regardless of size.</w:t>
      </w:r>
      <w:r w:rsidRPr="00673E3A">
        <w:rPr>
          <w:color w:val="FF0000"/>
        </w:rPr>
        <w:t xml:space="preserve"> </w:t>
      </w:r>
      <w:r>
        <w:t>T</w:t>
      </w:r>
      <w:r w:rsidRPr="00B4583A">
        <w:t>he FMCSA is requesting no more information t</w:t>
      </w:r>
      <w:r>
        <w:t>han is absolutely necessary to e</w:t>
      </w:r>
      <w:r w:rsidRPr="00B4583A">
        <w:t>nsure compliance with</w:t>
      </w:r>
      <w:r w:rsidR="00C262BA">
        <w:t xml:space="preserve"> the MAP-21 requirements and</w:t>
      </w:r>
      <w:r w:rsidRPr="00B4583A">
        <w:t xml:space="preserve"> </w:t>
      </w:r>
      <w:r w:rsidR="009231CA">
        <w:t xml:space="preserve">related </w:t>
      </w:r>
      <w:r w:rsidRPr="00B4583A">
        <w:t>safety regulations</w:t>
      </w:r>
      <w:r>
        <w:t>.</w:t>
      </w:r>
      <w:r w:rsidR="00EE6B6D">
        <w:t xml:space="preserve"> </w:t>
      </w:r>
      <w:r w:rsidR="00282663">
        <w:t xml:space="preserve"> </w:t>
      </w:r>
    </w:p>
    <w:p w:rsidR="00282663" w:rsidRDefault="00282663" w:rsidP="00B91B1F">
      <w:pPr>
        <w:jc w:val="both"/>
      </w:pPr>
    </w:p>
    <w:p w:rsidR="00282663" w:rsidRDefault="00282663" w:rsidP="00B91B1F">
      <w:pPr>
        <w:jc w:val="both"/>
        <w:rPr>
          <w:rFonts w:ascii="Arial" w:hAnsi="Arial" w:cs="Arial"/>
          <w:b/>
          <w:bCs/>
          <w:szCs w:val="20"/>
        </w:rPr>
      </w:pPr>
      <w:r>
        <w:t xml:space="preserve">Under current </w:t>
      </w:r>
      <w:r w:rsidR="00FB79AD">
        <w:t xml:space="preserve">FMCSA </w:t>
      </w:r>
      <w:r>
        <w:t xml:space="preserve">regulations, as part of </w:t>
      </w:r>
      <w:r w:rsidR="00850ACE">
        <w:t xml:space="preserve">required </w:t>
      </w:r>
      <w:r>
        <w:t>pre-employment screening,</w:t>
      </w:r>
      <w:r w:rsidR="00FB79AD">
        <w:t xml:space="preserve"> prospective</w:t>
      </w:r>
      <w:r>
        <w:t xml:space="preserve"> employers are required to contact</w:t>
      </w:r>
      <w:r w:rsidR="00DF50AA">
        <w:t xml:space="preserve"> a</w:t>
      </w:r>
      <w:r w:rsidR="00F6600A">
        <w:t xml:space="preserve"> </w:t>
      </w:r>
      <w:r w:rsidR="00FB79AD">
        <w:t>potential hire’s</w:t>
      </w:r>
      <w:r w:rsidR="00F6600A">
        <w:t xml:space="preserve"> previous employers </w:t>
      </w:r>
      <w:r w:rsidR="00DF50AA">
        <w:t xml:space="preserve">dating back </w:t>
      </w:r>
      <w:r w:rsidR="00F6600A">
        <w:t>three</w:t>
      </w:r>
      <w:r w:rsidR="00DF50AA">
        <w:t xml:space="preserve"> years</w:t>
      </w:r>
      <w:r w:rsidR="005C3313">
        <w:t xml:space="preserve"> to inquire whether the individual committed drug or alcohol testing violations during their previous employment</w:t>
      </w:r>
      <w:r w:rsidR="00DF50AA">
        <w:t xml:space="preserve">.  </w:t>
      </w:r>
      <w:r>
        <w:t>A</w:t>
      </w:r>
      <w:r w:rsidR="00AB216E">
        <w:t xml:space="preserve">fter </w:t>
      </w:r>
      <w:r w:rsidR="00B22D92">
        <w:t>3</w:t>
      </w:r>
      <w:r w:rsidR="00AB216E">
        <w:t xml:space="preserve"> years</w:t>
      </w:r>
      <w:r w:rsidR="00DF50AA">
        <w:t xml:space="preserve"> of entities reporting violations to the Clearinghouse, </w:t>
      </w:r>
      <w:r w:rsidR="00FB79AD">
        <w:t xml:space="preserve">prospective </w:t>
      </w:r>
      <w:r w:rsidR="00DF50AA">
        <w:t xml:space="preserve">employers, </w:t>
      </w:r>
      <w:r w:rsidR="00850ACE">
        <w:t xml:space="preserve">must </w:t>
      </w:r>
      <w:r w:rsidR="005271DE">
        <w:t xml:space="preserve">only </w:t>
      </w:r>
      <w:r w:rsidR="00DF50AA">
        <w:t xml:space="preserve">make pre-employment queries to the Clearinghouse </w:t>
      </w:r>
      <w:r w:rsidR="005271DE">
        <w:t xml:space="preserve">and will no longer be </w:t>
      </w:r>
      <w:r w:rsidR="005271DE">
        <w:lastRenderedPageBreak/>
        <w:t xml:space="preserve">required to </w:t>
      </w:r>
      <w:r w:rsidR="00DF50AA">
        <w:t>contact a driver’s previous employers.  This will reduce the time required by</w:t>
      </w:r>
      <w:r w:rsidR="00FB79AD">
        <w:t xml:space="preserve"> prospective</w:t>
      </w:r>
      <w:r w:rsidR="00DF50AA">
        <w:t xml:space="preserve"> employers to complete the pre-employment screening</w:t>
      </w:r>
      <w:r w:rsidR="009231CA">
        <w:t>, and will also eliminate the burden currently imposed on prior employers, who are required to respond to the pre-employment inquiry</w:t>
      </w:r>
      <w:r w:rsidR="00FB79AD">
        <w:t>.</w:t>
      </w:r>
    </w:p>
    <w:p w:rsidR="00CA02F9" w:rsidRDefault="00CA02F9">
      <w:pPr>
        <w:pStyle w:val="NormalWeb"/>
        <w:keepNext/>
        <w:rPr>
          <w:rFonts w:ascii="Arial" w:hAnsi="Arial" w:cs="Arial"/>
          <w:b/>
          <w:bCs/>
          <w:szCs w:val="20"/>
        </w:rPr>
      </w:pPr>
      <w:r>
        <w:rPr>
          <w:rFonts w:ascii="Arial" w:hAnsi="Arial" w:cs="Arial"/>
          <w:b/>
          <w:bCs/>
          <w:szCs w:val="20"/>
        </w:rPr>
        <w:t>6. Impact of less frequent collection of information.</w:t>
      </w:r>
    </w:p>
    <w:p w:rsidR="00C1670D" w:rsidRPr="00E14C53" w:rsidRDefault="00354EFA" w:rsidP="008164D7">
      <w:pPr>
        <w:pStyle w:val="NormalWeb"/>
        <w:jc w:val="both"/>
        <w:rPr>
          <w:szCs w:val="20"/>
        </w:rPr>
      </w:pPr>
      <w:r w:rsidRPr="00354EFA">
        <w:rPr>
          <w:szCs w:val="20"/>
        </w:rPr>
        <w:t>F</w:t>
      </w:r>
      <w:r w:rsidR="00CA02F9" w:rsidRPr="00354EFA">
        <w:rPr>
          <w:szCs w:val="20"/>
        </w:rPr>
        <w:t xml:space="preserve">requency is based on the number of </w:t>
      </w:r>
      <w:r w:rsidRPr="00354EFA">
        <w:rPr>
          <w:szCs w:val="20"/>
        </w:rPr>
        <w:t>positive drug and alcohol tests</w:t>
      </w:r>
      <w:r w:rsidR="00B22D92">
        <w:rPr>
          <w:szCs w:val="20"/>
        </w:rPr>
        <w:t xml:space="preserve"> and refusals</w:t>
      </w:r>
      <w:r w:rsidR="009231CA">
        <w:rPr>
          <w:szCs w:val="20"/>
        </w:rPr>
        <w:t xml:space="preserve"> and other program violations</w:t>
      </w:r>
      <w:r w:rsidRPr="00354EFA">
        <w:rPr>
          <w:szCs w:val="20"/>
        </w:rPr>
        <w:t xml:space="preserve">. </w:t>
      </w:r>
      <w:r w:rsidR="00E415C3">
        <w:rPr>
          <w:szCs w:val="20"/>
        </w:rPr>
        <w:t>With</w:t>
      </w:r>
      <w:r w:rsidR="009A60C1">
        <w:rPr>
          <w:szCs w:val="20"/>
        </w:rPr>
        <w:t xml:space="preserve"> fewer</w:t>
      </w:r>
      <w:r w:rsidR="002804D0">
        <w:rPr>
          <w:szCs w:val="20"/>
        </w:rPr>
        <w:t xml:space="preserve"> </w:t>
      </w:r>
      <w:r w:rsidR="009231CA">
        <w:rPr>
          <w:szCs w:val="20"/>
        </w:rPr>
        <w:t>violations</w:t>
      </w:r>
      <w:r w:rsidR="009A60C1">
        <w:rPr>
          <w:szCs w:val="20"/>
        </w:rPr>
        <w:t>,</w:t>
      </w:r>
      <w:r w:rsidRPr="00354EFA">
        <w:rPr>
          <w:szCs w:val="20"/>
        </w:rPr>
        <w:t xml:space="preserve"> the</w:t>
      </w:r>
      <w:r w:rsidR="00E415C3">
        <w:rPr>
          <w:szCs w:val="20"/>
        </w:rPr>
        <w:t xml:space="preserve">re </w:t>
      </w:r>
      <w:r w:rsidR="00CC1ADB">
        <w:rPr>
          <w:szCs w:val="20"/>
        </w:rPr>
        <w:t xml:space="preserve">will </w:t>
      </w:r>
      <w:r w:rsidR="00E415C3">
        <w:rPr>
          <w:szCs w:val="20"/>
        </w:rPr>
        <w:t>be</w:t>
      </w:r>
      <w:r w:rsidRPr="00354EFA">
        <w:rPr>
          <w:szCs w:val="20"/>
        </w:rPr>
        <w:t xml:space="preserve"> less frequent collection of information</w:t>
      </w:r>
      <w:r w:rsidR="00CA02F9" w:rsidRPr="00354EFA">
        <w:rPr>
          <w:szCs w:val="20"/>
        </w:rPr>
        <w:t xml:space="preserve">. </w:t>
      </w:r>
      <w:r w:rsidR="00F762CC">
        <w:rPr>
          <w:szCs w:val="20"/>
        </w:rPr>
        <w:t>All information (except driver</w:t>
      </w:r>
      <w:r w:rsidR="00FF6EA2">
        <w:rPr>
          <w:szCs w:val="20"/>
        </w:rPr>
        <w:t xml:space="preserve"> </w:t>
      </w:r>
      <w:r w:rsidR="00F762CC">
        <w:rPr>
          <w:szCs w:val="20"/>
        </w:rPr>
        <w:t>notification</w:t>
      </w:r>
      <w:r w:rsidR="00164054">
        <w:rPr>
          <w:szCs w:val="20"/>
        </w:rPr>
        <w:t>s</w:t>
      </w:r>
      <w:r w:rsidR="00A97342">
        <w:rPr>
          <w:szCs w:val="20"/>
        </w:rPr>
        <w:t xml:space="preserve"> by FMCSA</w:t>
      </w:r>
      <w:r w:rsidR="00F762CC">
        <w:rPr>
          <w:szCs w:val="20"/>
        </w:rPr>
        <w:t xml:space="preserve">) will be transmitted electronically. </w:t>
      </w:r>
    </w:p>
    <w:p w:rsidR="00CA02F9" w:rsidRDefault="00CA02F9" w:rsidP="00977BBD">
      <w:pPr>
        <w:pStyle w:val="NormalWeb"/>
        <w:keepNext/>
        <w:rPr>
          <w:rFonts w:ascii="Arial" w:hAnsi="Arial" w:cs="Arial"/>
        </w:rPr>
      </w:pPr>
      <w:r>
        <w:rPr>
          <w:rFonts w:ascii="Arial" w:hAnsi="Arial" w:cs="Arial"/>
          <w:b/>
          <w:bCs/>
          <w:szCs w:val="20"/>
        </w:rPr>
        <w:t>7. Special circumstances.</w:t>
      </w:r>
      <w:r>
        <w:rPr>
          <w:rFonts w:ascii="Arial" w:hAnsi="Arial" w:cs="Arial"/>
          <w:szCs w:val="20"/>
        </w:rPr>
        <w:t xml:space="preserve"> </w:t>
      </w:r>
    </w:p>
    <w:p w:rsidR="00E14C53" w:rsidRDefault="008F2434" w:rsidP="008164D7">
      <w:pPr>
        <w:pStyle w:val="NormalWeb"/>
        <w:jc w:val="both"/>
      </w:pPr>
      <w:r>
        <w:t xml:space="preserve">Information </w:t>
      </w:r>
      <w:r w:rsidR="002804D0">
        <w:t xml:space="preserve">is </w:t>
      </w:r>
      <w:r>
        <w:t>collected as the database is updated with each additional positive test</w:t>
      </w:r>
      <w:r w:rsidR="006B64FA">
        <w:t xml:space="preserve"> (or other violation)</w:t>
      </w:r>
      <w:r>
        <w:t xml:space="preserve"> that occurs. </w:t>
      </w:r>
      <w:r w:rsidR="00D55DBD">
        <w:t xml:space="preserve"> </w:t>
      </w:r>
      <w:r w:rsidR="00F340D6">
        <w:t xml:space="preserve">Employers will also report the RTD negative test results and the date the driver’s follow-up testing plan has been completed.  SAPs will report the date of initial assessment and the date that the driver is eligible for the RTD test.  </w:t>
      </w:r>
      <w:r w:rsidR="00164054">
        <w:t>This is to provide employers with the most current information possible to keep unqualified drivers from being employed by other motor carriers</w:t>
      </w:r>
      <w:r w:rsidR="00850ACE">
        <w:t xml:space="preserve"> who </w:t>
      </w:r>
      <w:r w:rsidR="001C14D4">
        <w:t>may otherwise be unaware of the driver’s drug or alcohol violation</w:t>
      </w:r>
      <w:r w:rsidR="00164054">
        <w:t>.</w:t>
      </w:r>
    </w:p>
    <w:p w:rsidR="00CA02F9" w:rsidRDefault="00CA02F9">
      <w:pPr>
        <w:pStyle w:val="NormalWeb"/>
        <w:keepNext/>
        <w:rPr>
          <w:rFonts w:ascii="Arial" w:hAnsi="Arial" w:cs="Arial"/>
          <w:b/>
          <w:bCs/>
          <w:szCs w:val="20"/>
        </w:rPr>
      </w:pPr>
      <w:r>
        <w:rPr>
          <w:rFonts w:ascii="Arial" w:hAnsi="Arial" w:cs="Arial"/>
          <w:b/>
          <w:bCs/>
          <w:szCs w:val="20"/>
        </w:rPr>
        <w:t>8. Compliance with 5 CFR § 1320.8.</w:t>
      </w:r>
    </w:p>
    <w:p w:rsidR="002804D0" w:rsidRDefault="002804D0" w:rsidP="002804D0">
      <w:pPr>
        <w:jc w:val="both"/>
      </w:pPr>
      <w:r>
        <w:rPr>
          <w:rFonts w:cs="Century"/>
          <w:color w:val="000000"/>
        </w:rPr>
        <w:t>S</w:t>
      </w:r>
      <w:r>
        <w:t xml:space="preserve">ection 32402 of the MAP-21 (Pub. L. 112-141, 126 Stat. 405), codified at 49 U.S.C. 31306a, directs the Secretary of Transportation (Secretary) to establish a national Clearinghouse containing CMV operators’ violations of FMCSA’s drug and alcohol testing program. </w:t>
      </w:r>
      <w:r w:rsidRPr="007114C4">
        <w:t xml:space="preserve">The final rule </w:t>
      </w:r>
      <w:r>
        <w:t>(</w:t>
      </w:r>
      <w:r w:rsidRPr="007114C4">
        <w:t>81 FR 87686</w:t>
      </w:r>
      <w:r>
        <w:t xml:space="preserve">) </w:t>
      </w:r>
      <w:r w:rsidRPr="007114C4">
        <w:t xml:space="preserve">was published on December 5, 2016, the effective date of the final rule is January 4, 2017, and the compliance </w:t>
      </w:r>
      <w:r>
        <w:t>date is January 6, 2020. This final rule implemented the MAP-21 mandate.</w:t>
      </w:r>
    </w:p>
    <w:p w:rsidR="002804D0" w:rsidRDefault="002804D0" w:rsidP="002804D0">
      <w:pPr>
        <w:jc w:val="both"/>
        <w:rPr>
          <w:rFonts w:cs="Century"/>
          <w:color w:val="000000"/>
        </w:rPr>
      </w:pPr>
    </w:p>
    <w:p w:rsidR="00B22D92" w:rsidRDefault="002804D0" w:rsidP="009A60C1">
      <w:pPr>
        <w:jc w:val="both"/>
        <w:rPr>
          <w:rFonts w:cs="Century"/>
          <w:color w:val="000000"/>
        </w:rPr>
      </w:pPr>
      <w:r>
        <w:rPr>
          <w:color w:val="000000"/>
        </w:rPr>
        <w:t>Also, t</w:t>
      </w:r>
      <w:r w:rsidRPr="002266C0">
        <w:rPr>
          <w:color w:val="000000"/>
        </w:rPr>
        <w:t xml:space="preserve">wo </w:t>
      </w:r>
      <w:r w:rsidR="00B92B29" w:rsidRPr="002266C0">
        <w:rPr>
          <w:color w:val="000000"/>
        </w:rPr>
        <w:t>Government Accountability Office (GAO) reports discuss</w:t>
      </w:r>
      <w:r w:rsidR="00CC1ADB">
        <w:rPr>
          <w:color w:val="000000"/>
        </w:rPr>
        <w:t>ed</w:t>
      </w:r>
      <w:r w:rsidR="00B92B29" w:rsidRPr="002266C0">
        <w:rPr>
          <w:color w:val="000000"/>
        </w:rPr>
        <w:t xml:space="preserve"> “job hopping” by drivers after failing</w:t>
      </w:r>
      <w:r w:rsidR="00B92B29">
        <w:rPr>
          <w:color w:val="000000"/>
        </w:rPr>
        <w:t xml:space="preserve">, or refusing to submit to, drug or alcohol </w:t>
      </w:r>
      <w:r w:rsidR="00A13018">
        <w:rPr>
          <w:color w:val="000000"/>
        </w:rPr>
        <w:t xml:space="preserve">tests </w:t>
      </w:r>
      <w:r w:rsidR="00B92B29">
        <w:rPr>
          <w:color w:val="000000"/>
        </w:rPr>
        <w:t xml:space="preserve">(see: </w:t>
      </w:r>
      <w:r w:rsidR="00B92B29" w:rsidRPr="002266C0">
        <w:rPr>
          <w:color w:val="000000"/>
        </w:rPr>
        <w:t>GAO</w:t>
      </w:r>
      <w:r w:rsidR="00B92B29">
        <w:rPr>
          <w:color w:val="000000"/>
        </w:rPr>
        <w:noBreakHyphen/>
        <w:t>0</w:t>
      </w:r>
      <w:r w:rsidR="00B92B29" w:rsidRPr="002266C0">
        <w:rPr>
          <w:color w:val="000000"/>
        </w:rPr>
        <w:t>8</w:t>
      </w:r>
      <w:r w:rsidR="00B92B29">
        <w:rPr>
          <w:color w:val="000000"/>
        </w:rPr>
        <w:noBreakHyphen/>
      </w:r>
      <w:r w:rsidR="00B92B29" w:rsidRPr="002266C0">
        <w:rPr>
          <w:color w:val="000000"/>
        </w:rPr>
        <w:t>600</w:t>
      </w:r>
      <w:r w:rsidR="00516D3A">
        <w:rPr>
          <w:color w:val="000000"/>
        </w:rPr>
        <w:t xml:space="preserve"> (Attachment </w:t>
      </w:r>
      <w:r w:rsidR="00166F40">
        <w:rPr>
          <w:color w:val="000000"/>
        </w:rPr>
        <w:t>B)</w:t>
      </w:r>
      <w:r w:rsidR="00166F40" w:rsidRPr="002266C0">
        <w:rPr>
          <w:color w:val="000000"/>
        </w:rPr>
        <w:t xml:space="preserve"> </w:t>
      </w:r>
      <w:r w:rsidR="00B92B29" w:rsidRPr="002266C0">
        <w:rPr>
          <w:color w:val="000000"/>
        </w:rPr>
        <w:t>and GAO-08-0829R</w:t>
      </w:r>
      <w:r w:rsidR="00516D3A">
        <w:rPr>
          <w:color w:val="000000"/>
        </w:rPr>
        <w:t xml:space="preserve"> (Attachment </w:t>
      </w:r>
      <w:r w:rsidR="00166F40">
        <w:rPr>
          <w:color w:val="000000"/>
        </w:rPr>
        <w:t>C))</w:t>
      </w:r>
      <w:r w:rsidR="00166F40" w:rsidRPr="002266C0">
        <w:rPr>
          <w:color w:val="000000"/>
        </w:rPr>
        <w:t xml:space="preserve">. </w:t>
      </w:r>
      <w:r w:rsidR="00B92B29" w:rsidRPr="002266C0">
        <w:rPr>
          <w:color w:val="000000"/>
        </w:rPr>
        <w:t xml:space="preserve">The GAO </w:t>
      </w:r>
      <w:r w:rsidR="00B92B29" w:rsidRPr="002266C0">
        <w:rPr>
          <w:rFonts w:cs="Century"/>
          <w:color w:val="000000"/>
        </w:rPr>
        <w:t xml:space="preserve">identified </w:t>
      </w:r>
      <w:r w:rsidR="00B92B29">
        <w:rPr>
          <w:rFonts w:cs="Century"/>
          <w:color w:val="000000"/>
        </w:rPr>
        <w:t xml:space="preserve">and verified </w:t>
      </w:r>
      <w:r w:rsidR="00E02372">
        <w:rPr>
          <w:rFonts w:cs="Century"/>
          <w:color w:val="000000"/>
        </w:rPr>
        <w:t>43</w:t>
      </w:r>
      <w:r w:rsidR="00B92B29" w:rsidRPr="002266C0">
        <w:rPr>
          <w:rFonts w:cs="Century"/>
          <w:color w:val="000000"/>
        </w:rPr>
        <w:t xml:space="preserve"> cases</w:t>
      </w:r>
      <w:r w:rsidR="00B92B29">
        <w:rPr>
          <w:rFonts w:cs="Century"/>
          <w:color w:val="000000"/>
        </w:rPr>
        <w:t xml:space="preserve"> (based on insider information supplied by a third party to a Congressman) </w:t>
      </w:r>
      <w:r w:rsidR="00B92B29" w:rsidRPr="002266C0">
        <w:rPr>
          <w:rFonts w:cs="Century"/>
          <w:color w:val="000000"/>
        </w:rPr>
        <w:t>where drivers had tes</w:t>
      </w:r>
      <w:r w:rsidR="00B92B29">
        <w:rPr>
          <w:rFonts w:cs="Century"/>
          <w:color w:val="000000"/>
        </w:rPr>
        <w:t>ted positive for illegal drugs (</w:t>
      </w:r>
      <w:r w:rsidR="00B92B29" w:rsidRPr="002266C0">
        <w:rPr>
          <w:rFonts w:cs="Century"/>
          <w:color w:val="000000"/>
        </w:rPr>
        <w:t>such as cocai</w:t>
      </w:r>
      <w:r w:rsidR="00B92B29">
        <w:rPr>
          <w:rFonts w:cs="Century"/>
          <w:color w:val="000000"/>
        </w:rPr>
        <w:t>ne, marijuana, and amphetamines) with one employer—a</w:t>
      </w:r>
      <w:r w:rsidR="00B92B29" w:rsidRPr="002266C0">
        <w:rPr>
          <w:rFonts w:cs="Century"/>
          <w:color w:val="000000"/>
        </w:rPr>
        <w:t xml:space="preserve">nd within </w:t>
      </w:r>
      <w:r w:rsidR="00B92B29">
        <w:rPr>
          <w:rFonts w:cs="Century"/>
          <w:color w:val="000000"/>
        </w:rPr>
        <w:t>one</w:t>
      </w:r>
      <w:r w:rsidR="00B92B29" w:rsidRPr="002266C0">
        <w:rPr>
          <w:rFonts w:cs="Century"/>
          <w:color w:val="000000"/>
        </w:rPr>
        <w:t xml:space="preserve"> month tested negative with another employer. </w:t>
      </w:r>
      <w:r w:rsidR="00B92B29">
        <w:rPr>
          <w:rFonts w:cs="Century"/>
          <w:color w:val="000000"/>
        </w:rPr>
        <w:t xml:space="preserve">In its recommendations to Congress, the GAO advocated a national database and this </w:t>
      </w:r>
      <w:r w:rsidR="00CC1ADB">
        <w:rPr>
          <w:rFonts w:cs="Century"/>
          <w:color w:val="000000"/>
        </w:rPr>
        <w:t xml:space="preserve">rule requirement </w:t>
      </w:r>
      <w:r w:rsidR="00B92B29">
        <w:rPr>
          <w:rFonts w:cs="Century"/>
          <w:color w:val="000000"/>
        </w:rPr>
        <w:t>as possible methods to eliminate the job-hopping problems it verified.</w:t>
      </w:r>
      <w:r w:rsidR="00157EEF">
        <w:rPr>
          <w:rFonts w:cs="Century"/>
          <w:color w:val="000000"/>
        </w:rPr>
        <w:t xml:space="preserve"> </w:t>
      </w:r>
    </w:p>
    <w:p w:rsidR="00F71E0D" w:rsidRDefault="00F71E0D" w:rsidP="009A60C1">
      <w:pPr>
        <w:jc w:val="both"/>
        <w:rPr>
          <w:rFonts w:cs="Century"/>
          <w:color w:val="000000"/>
        </w:rPr>
      </w:pPr>
    </w:p>
    <w:p w:rsidR="006D2EB5" w:rsidRPr="006D2EB5" w:rsidRDefault="00F71E0D" w:rsidP="00F71E0D">
      <w:pPr>
        <w:jc w:val="both"/>
        <w:rPr>
          <w:rFonts w:cs="Century"/>
          <w:color w:val="000000"/>
        </w:rPr>
      </w:pPr>
      <w:r w:rsidRPr="006D2EB5">
        <w:rPr>
          <w:rFonts w:cs="Century"/>
          <w:color w:val="000000"/>
        </w:rPr>
        <w:t xml:space="preserve">On June 20, 2019, the 60-day Federal Register notice (84 FR 28882), was published announcing FMCSA’s intent to submit the Commercial Driver’s License Drug and Alcohol Clearinghouse ICR to OMB for review and approval.  </w:t>
      </w:r>
    </w:p>
    <w:p w:rsidR="006D2EB5" w:rsidRPr="006D2EB5" w:rsidRDefault="006D2EB5" w:rsidP="00F71E0D">
      <w:pPr>
        <w:jc w:val="both"/>
        <w:rPr>
          <w:rFonts w:cs="Century"/>
          <w:color w:val="000000"/>
        </w:rPr>
      </w:pPr>
    </w:p>
    <w:p w:rsidR="00A2548D" w:rsidRPr="00A2548D" w:rsidRDefault="006D2EB5" w:rsidP="00A2548D">
      <w:pPr>
        <w:jc w:val="both"/>
        <w:rPr>
          <w:rFonts w:cs="Century"/>
          <w:color w:val="000000"/>
        </w:rPr>
      </w:pPr>
      <w:r w:rsidRPr="006D2EB5">
        <w:rPr>
          <w:rFonts w:cs="Century"/>
          <w:color w:val="000000"/>
        </w:rPr>
        <w:t xml:space="preserve">The Agency received 24 comments on the 60-day Federal Register notice (84 FR 28882), published on June 20, 2019, announcing FMCSA’s intent to submit the Commercial Driver’s License Drug and Alcohol Clearinghouse ICR to OMB for review and approval.  </w:t>
      </w:r>
      <w:r w:rsidR="00A2548D">
        <w:t>Comments included:</w:t>
      </w:r>
    </w:p>
    <w:p w:rsidR="00A2548D" w:rsidRDefault="00A2548D" w:rsidP="00A2548D">
      <w:pPr>
        <w:numPr>
          <w:ilvl w:val="1"/>
          <w:numId w:val="15"/>
        </w:numPr>
      </w:pPr>
      <w:r>
        <w:t>Thirteen commenters recommended an application programming interface (API) to reduce the burden for manual entries by employers or their designated consortium/third-party providers, medical review officers, and substance abuse professionals. In addition, several commenters stated an API will increase efficiency when querying the Clearinghouse on current and prospective employees. It was suggested that the API will reduce errors in reporting of information as well as reduce cost to employers and service providers. One commenter recommended delaying the implementation of the Clearinghouse until the development of an API has been completed. FMCSA anticipates the biggest impact on the burden is to employers or their designated C/TPAs for querying the Clearinghouse and therefore developed a bulk query template. This bulk query template will allow employers or their designated C/TPAs to submit multiple queries at one time instead of individually querying each driver. FMCSA is considering the development of an API as a future enhancement.</w:t>
      </w:r>
    </w:p>
    <w:p w:rsidR="00A2548D" w:rsidRDefault="00A2548D" w:rsidP="00A2548D">
      <w:pPr>
        <w:numPr>
          <w:ilvl w:val="1"/>
          <w:numId w:val="15"/>
        </w:numPr>
      </w:pPr>
      <w:r>
        <w:t xml:space="preserve">One commenter expressed concerns of increased burden during registration due to the establishment of 2-factor authentication methods through login.gov in addition to Clearinghouse registration. Login.gov is a shared service which provides </w:t>
      </w:r>
      <w:r>
        <w:rPr>
          <w:lang w:val="en"/>
        </w:rPr>
        <w:t>the public secure and private online access to participating government programs, such as the Clearinghouse.</w:t>
      </w:r>
      <w:r>
        <w:t xml:space="preserve"> To ensure the security of sensitive driver information, FMCSA incorporated 2-factor authentication for all Clearinghouse users through login.gov. Once the login.gov account has been created, there is no additional burden to the authorized users during registration.</w:t>
      </w:r>
    </w:p>
    <w:p w:rsidR="00A2548D" w:rsidRDefault="00A2548D" w:rsidP="00A2548D">
      <w:pPr>
        <w:numPr>
          <w:ilvl w:val="1"/>
          <w:numId w:val="15"/>
        </w:numPr>
      </w:pPr>
      <w:r>
        <w:t>One commenter recommended the comment period for the ICR to be extended until after implementation of the Clearinghouse. The public is invited to submit comment during the 30-day comment period for this FRN. All comments will be considered before publishing the final FRN for the ICR.</w:t>
      </w:r>
    </w:p>
    <w:p w:rsidR="00F71E0D" w:rsidRDefault="006D2EB5" w:rsidP="009A60C1">
      <w:pPr>
        <w:jc w:val="both"/>
        <w:rPr>
          <w:rFonts w:cs="Century"/>
          <w:color w:val="000000"/>
        </w:rPr>
      </w:pPr>
      <w:r w:rsidRPr="006D2EB5">
        <w:rPr>
          <w:rFonts w:cs="Century"/>
          <w:color w:val="000000"/>
        </w:rPr>
        <w:t>The remaining comments were not relevant to the ICR.</w:t>
      </w:r>
    </w:p>
    <w:p w:rsidR="00B22D92" w:rsidRDefault="00B22D92" w:rsidP="009A60C1">
      <w:pPr>
        <w:jc w:val="both"/>
        <w:rPr>
          <w:rFonts w:cs="Century"/>
          <w:color w:val="000000"/>
        </w:rPr>
      </w:pPr>
    </w:p>
    <w:p w:rsidR="00CA02F9" w:rsidRDefault="00CA02F9" w:rsidP="00977BBD">
      <w:pPr>
        <w:pStyle w:val="NormalWeb"/>
        <w:keepNext/>
        <w:rPr>
          <w:rFonts w:ascii="Arial" w:hAnsi="Arial" w:cs="Arial"/>
          <w:b/>
          <w:bCs/>
          <w:szCs w:val="20"/>
        </w:rPr>
      </w:pPr>
      <w:r>
        <w:rPr>
          <w:rFonts w:ascii="Arial" w:hAnsi="Arial" w:cs="Arial"/>
          <w:b/>
          <w:bCs/>
          <w:szCs w:val="20"/>
        </w:rPr>
        <w:t>9. Payments or gifts to respondents.</w:t>
      </w:r>
    </w:p>
    <w:p w:rsidR="008123C6" w:rsidRPr="00E14C53" w:rsidRDefault="00CA02F9">
      <w:pPr>
        <w:pStyle w:val="NormalWeb"/>
        <w:rPr>
          <w:szCs w:val="20"/>
        </w:rPr>
      </w:pPr>
      <w:r w:rsidRPr="00382CA3">
        <w:rPr>
          <w:szCs w:val="20"/>
        </w:rPr>
        <w:t xml:space="preserve">There are no payments or gifts </w:t>
      </w:r>
      <w:r w:rsidR="00382CA3">
        <w:rPr>
          <w:szCs w:val="20"/>
        </w:rPr>
        <w:t xml:space="preserve">provided </w:t>
      </w:r>
      <w:r w:rsidRPr="00382CA3">
        <w:rPr>
          <w:szCs w:val="20"/>
        </w:rPr>
        <w:t>to respondents for this information collection.</w:t>
      </w:r>
    </w:p>
    <w:p w:rsidR="008C1856" w:rsidRPr="00A32AD5" w:rsidRDefault="00CA02F9" w:rsidP="00977BBD">
      <w:pPr>
        <w:keepNext/>
        <w:rPr>
          <w:rFonts w:ascii="Arial" w:hAnsi="Arial"/>
          <w:b/>
        </w:rPr>
      </w:pPr>
      <w:r w:rsidRPr="00A32AD5">
        <w:rPr>
          <w:rFonts w:ascii="Arial" w:hAnsi="Arial"/>
          <w:b/>
        </w:rPr>
        <w:t>10. Assurances of Confidentiality</w:t>
      </w:r>
      <w:r w:rsidR="008C1856" w:rsidRPr="00A32AD5">
        <w:rPr>
          <w:rFonts w:ascii="Arial" w:hAnsi="Arial"/>
          <w:b/>
        </w:rPr>
        <w:t>.</w:t>
      </w:r>
    </w:p>
    <w:p w:rsidR="008223D8" w:rsidRPr="00A32AD5" w:rsidRDefault="008223D8" w:rsidP="00977BBD">
      <w:pPr>
        <w:keepNext/>
        <w:rPr>
          <w:rFonts w:ascii="Arial" w:hAnsi="Arial"/>
          <w:b/>
        </w:rPr>
      </w:pPr>
    </w:p>
    <w:p w:rsidR="008223D8" w:rsidRPr="00A32AD5" w:rsidRDefault="008223D8" w:rsidP="00B91B1F">
      <w:pPr>
        <w:keepNext/>
        <w:jc w:val="both"/>
        <w:rPr>
          <w:rFonts w:ascii="Arial" w:hAnsi="Arial"/>
          <w:b/>
        </w:rPr>
      </w:pPr>
      <w:r w:rsidRPr="00A32AD5">
        <w:t>There is assurance of confidentiality for items included in this information collection.  They are addressed in detail in the Privacy Impact Analysis (</w:t>
      </w:r>
      <w:r w:rsidR="00C059FD" w:rsidRPr="00F71E0D">
        <w:rPr>
          <w:i/>
        </w:rPr>
        <w:t>see</w:t>
      </w:r>
      <w:r w:rsidR="00C059FD">
        <w:t xml:space="preserve"> </w:t>
      </w:r>
      <w:r w:rsidR="00CC1ADB">
        <w:t>FMCSA-2011-</w:t>
      </w:r>
      <w:r w:rsidR="00B9415B">
        <w:t>0031</w:t>
      </w:r>
      <w:r w:rsidR="00E737DB">
        <w:t>, Attachment B</w:t>
      </w:r>
      <w:r w:rsidRPr="00A32AD5">
        <w:t xml:space="preserve">) prepared for </w:t>
      </w:r>
      <w:r w:rsidR="006B5885">
        <w:t>implementation of the Clearinghouse.</w:t>
      </w:r>
    </w:p>
    <w:p w:rsidR="006577AC" w:rsidRPr="00DD3048" w:rsidRDefault="00CA02F9" w:rsidP="00DD3048">
      <w:pPr>
        <w:pStyle w:val="NormalWeb"/>
        <w:keepNext/>
        <w:rPr>
          <w:rFonts w:ascii="Arial" w:hAnsi="Arial" w:cs="Arial"/>
          <w:b/>
          <w:bCs/>
          <w:szCs w:val="20"/>
        </w:rPr>
      </w:pPr>
      <w:r w:rsidRPr="00A32AD5">
        <w:rPr>
          <w:rFonts w:ascii="Arial" w:hAnsi="Arial" w:cs="Arial"/>
          <w:b/>
          <w:bCs/>
          <w:szCs w:val="20"/>
        </w:rPr>
        <w:t>11. Justification for Sensitive Information.</w:t>
      </w:r>
    </w:p>
    <w:p w:rsidR="008223D8" w:rsidRDefault="008223D8" w:rsidP="008164D7">
      <w:pPr>
        <w:keepNext/>
        <w:jc w:val="both"/>
      </w:pPr>
      <w:r w:rsidRPr="00A32AD5">
        <w:t>This information collection includes Personally Identifiable Information, which is considered sensitive information.  This is addressed in detail in the Privacy Impact Analysis (</w:t>
      </w:r>
      <w:r w:rsidR="00C059FD" w:rsidRPr="00F71E0D">
        <w:rPr>
          <w:i/>
        </w:rPr>
        <w:t>see</w:t>
      </w:r>
      <w:r w:rsidR="00C059FD">
        <w:t xml:space="preserve"> </w:t>
      </w:r>
      <w:r w:rsidR="00CC1ADB">
        <w:t>FMCSA-2011-0031</w:t>
      </w:r>
      <w:r w:rsidR="00E737DB">
        <w:t>, Attachment B</w:t>
      </w:r>
      <w:r w:rsidRPr="00A32AD5">
        <w:t xml:space="preserve">) prepared for </w:t>
      </w:r>
      <w:r w:rsidR="006B5885">
        <w:t>implementation of the Clearinghouse</w:t>
      </w:r>
      <w:r w:rsidRPr="00A32AD5">
        <w:t>.</w:t>
      </w:r>
    </w:p>
    <w:p w:rsidR="004015FC" w:rsidRDefault="004015FC" w:rsidP="004015FC">
      <w:pPr>
        <w:pStyle w:val="NormalWeb"/>
        <w:keepNext/>
        <w:rPr>
          <w:rFonts w:ascii="Arial" w:hAnsi="Arial" w:cs="Arial"/>
          <w:b/>
          <w:bCs/>
          <w:szCs w:val="20"/>
        </w:rPr>
      </w:pPr>
      <w:r>
        <w:rPr>
          <w:rFonts w:ascii="Arial" w:hAnsi="Arial"/>
          <w:b/>
        </w:rPr>
        <w:t xml:space="preserve">12. Estimates of Burden Hours </w:t>
      </w:r>
      <w:r w:rsidR="00A17228">
        <w:rPr>
          <w:rFonts w:ascii="Arial" w:hAnsi="Arial"/>
          <w:b/>
        </w:rPr>
        <w:t xml:space="preserve">and Cost </w:t>
      </w:r>
      <w:r>
        <w:rPr>
          <w:rFonts w:ascii="Arial" w:hAnsi="Arial"/>
          <w:b/>
        </w:rPr>
        <w:t>for Information Requested.</w:t>
      </w:r>
      <w:r>
        <w:rPr>
          <w:rFonts w:ascii="Arial" w:hAnsi="Arial" w:cs="Arial"/>
          <w:b/>
          <w:bCs/>
          <w:szCs w:val="20"/>
        </w:rPr>
        <w:t xml:space="preserve"> </w:t>
      </w:r>
    </w:p>
    <w:p w:rsidR="00FE5D78" w:rsidRDefault="00F9754E" w:rsidP="00FE5D78">
      <w:pPr>
        <w:jc w:val="both"/>
      </w:pPr>
      <w:r>
        <w:t xml:space="preserve">With the compliance date for the final rule of </w:t>
      </w:r>
      <w:r w:rsidR="008628BE">
        <w:t>January 6, 2020</w:t>
      </w:r>
      <w:r>
        <w:t>, t</w:t>
      </w:r>
      <w:r w:rsidR="00E2136B">
        <w:t>he a</w:t>
      </w:r>
      <w:r w:rsidR="004E350E">
        <w:t xml:space="preserve">nnual burden hours </w:t>
      </w:r>
      <w:r>
        <w:t>after</w:t>
      </w:r>
      <w:r w:rsidR="00E2136B">
        <w:t xml:space="preserve"> </w:t>
      </w:r>
      <w:r w:rsidR="00AE7FC2">
        <w:t xml:space="preserve">implementation </w:t>
      </w:r>
      <w:r w:rsidR="00E2136B">
        <w:t xml:space="preserve">is a </w:t>
      </w:r>
      <w:r w:rsidR="00547E02">
        <w:t xml:space="preserve">total </w:t>
      </w:r>
      <w:r w:rsidR="00E2136B">
        <w:t xml:space="preserve">of </w:t>
      </w:r>
      <w:r w:rsidR="00547E02">
        <w:t>1,8</w:t>
      </w:r>
      <w:r w:rsidR="00FB79AD">
        <w:t>6</w:t>
      </w:r>
      <w:r w:rsidR="00045178">
        <w:t>2,790</w:t>
      </w:r>
      <w:r w:rsidR="003D5E4E">
        <w:t xml:space="preserve"> </w:t>
      </w:r>
      <w:r w:rsidR="00547E02">
        <w:t xml:space="preserve">and </w:t>
      </w:r>
      <w:r w:rsidR="004E350E">
        <w:t xml:space="preserve">can be separated into </w:t>
      </w:r>
      <w:r w:rsidR="00F71BA8">
        <w:t>10</w:t>
      </w:r>
      <w:r w:rsidR="004E350E">
        <w:t xml:space="preserve"> parts</w:t>
      </w:r>
      <w:r w:rsidR="00FE5D78">
        <w:t>.  The estimated cost associated with these burden hours is $6</w:t>
      </w:r>
      <w:r w:rsidR="00F226CA">
        <w:t>1.3</w:t>
      </w:r>
      <w:r w:rsidR="00FE5D78">
        <w:t xml:space="preserve"> million.  The burden hours for specific tasks performed by entities that report to, or make queries of</w:t>
      </w:r>
      <w:r w:rsidR="008A09F7">
        <w:t>,</w:t>
      </w:r>
      <w:r w:rsidR="00FE5D78">
        <w:t xml:space="preserve"> the Clearinghouse are described below. </w:t>
      </w:r>
    </w:p>
    <w:p w:rsidR="00580B6E" w:rsidRDefault="00580B6E" w:rsidP="004E350E">
      <w:pPr>
        <w:jc w:val="both"/>
      </w:pPr>
    </w:p>
    <w:p w:rsidR="00AF75DD" w:rsidRDefault="00B34648" w:rsidP="00B34648">
      <w:pPr>
        <w:jc w:val="both"/>
      </w:pPr>
      <w:r>
        <w:t xml:space="preserve">IC1: </w:t>
      </w:r>
      <w:r w:rsidR="00DC46EC">
        <w:t xml:space="preserve">Employers </w:t>
      </w:r>
      <w:r w:rsidR="00B9415B">
        <w:t xml:space="preserve">will </w:t>
      </w:r>
      <w:r w:rsidR="007D6529">
        <w:t xml:space="preserve">make </w:t>
      </w:r>
      <w:r w:rsidR="001A18A5">
        <w:t>5,200,000 limited queries annually (4,000,000 drivers plus an estimated</w:t>
      </w:r>
      <w:r w:rsidR="00635E4A">
        <w:t xml:space="preserve"> </w:t>
      </w:r>
      <w:r w:rsidR="001A18A5">
        <w:t xml:space="preserve">1,200,000 drivers with multiple employers) </w:t>
      </w:r>
      <w:r w:rsidR="007D6529">
        <w:t>to</w:t>
      </w:r>
      <w:r w:rsidR="00DC46EC">
        <w:t xml:space="preserve"> the Clearinghouse for each of their drivers. </w:t>
      </w:r>
      <w:r w:rsidR="001A18A5">
        <w:t xml:space="preserve"> A limited query </w:t>
      </w:r>
      <w:r w:rsidR="005206D3">
        <w:t xml:space="preserve">informs the employer </w:t>
      </w:r>
      <w:r w:rsidR="001C14D4">
        <w:t>whether or not violation</w:t>
      </w:r>
      <w:r w:rsidR="005206D3">
        <w:t xml:space="preserve"> </w:t>
      </w:r>
      <w:r w:rsidR="00635E4A">
        <w:t xml:space="preserve">information exists in a driver’s </w:t>
      </w:r>
      <w:r w:rsidR="001C14D4">
        <w:t xml:space="preserve">Clearinghouse </w:t>
      </w:r>
      <w:r w:rsidR="00635E4A">
        <w:t>record.</w:t>
      </w:r>
      <w:r w:rsidR="005206D3">
        <w:t xml:space="preserve"> Drivers are required to provide </w:t>
      </w:r>
      <w:r w:rsidR="00074B55">
        <w:t xml:space="preserve">general </w:t>
      </w:r>
      <w:r w:rsidR="005206D3">
        <w:t>consent for a limited query</w:t>
      </w:r>
      <w:r w:rsidR="008A09F7">
        <w:t xml:space="preserve"> before the employer submits the query in the Clearinghouse</w:t>
      </w:r>
      <w:r w:rsidR="00630942">
        <w:t>.</w:t>
      </w:r>
      <w:r w:rsidR="00630942" w:rsidRPr="00630942">
        <w:t xml:space="preserve"> </w:t>
      </w:r>
      <w:r w:rsidR="00630942">
        <w:t xml:space="preserve">Therefore, drivers </w:t>
      </w:r>
      <w:r w:rsidR="005206D3">
        <w:t xml:space="preserve">are not required to provide consent </w:t>
      </w:r>
      <w:r w:rsidR="00630942">
        <w:t xml:space="preserve">to a limited query </w:t>
      </w:r>
      <w:r w:rsidR="005206D3">
        <w:t xml:space="preserve">through the Clearinghouse.  </w:t>
      </w:r>
      <w:r w:rsidR="005206D3" w:rsidRPr="005206D3">
        <w:t>The Agency estimates that a “bookkeeping, accounting, or auditing” clerk will spend ten minutes (1/6th of an hour) to conduct a limited query on a single driver. Given 5,200,000 limited queries, the total number of hours spent to complete them is estimated at 867,000 (5,200,000 queries x 1/6 hours per query = 866,667 hours, rounded to the nearest thousand).</w:t>
      </w:r>
      <w:r w:rsidR="00AF75DD">
        <w:t xml:space="preserve">  FMCSA assumes that this task will be performed by a bookkeeping clerk.  The Bureau of Labor Statistics (BLS) estimates the hourly wage (including fringe benefits and overhead) for an individual employed in this capacity is $34.02 per hour.</w:t>
      </w:r>
      <w:r w:rsidR="006A4319">
        <w:rPr>
          <w:rStyle w:val="FootnoteReference"/>
        </w:rPr>
        <w:footnoteReference w:id="1"/>
      </w:r>
      <w:r w:rsidR="00AF75DD">
        <w:t xml:space="preserve">  Therefore the estimated total cost of this task is $29 million ($29 million = 867,000</w:t>
      </w:r>
      <w:r w:rsidR="006A30B4">
        <w:t xml:space="preserve"> hours</w:t>
      </w:r>
      <w:r w:rsidR="00AF75DD">
        <w:t xml:space="preserve"> x $34.02, rounded to the nearest million)</w:t>
      </w:r>
    </w:p>
    <w:p w:rsidR="00DC46EC" w:rsidRDefault="00DC46EC" w:rsidP="00A64EFE">
      <w:pPr>
        <w:pStyle w:val="ListParagraph"/>
        <w:jc w:val="both"/>
      </w:pPr>
    </w:p>
    <w:p w:rsidR="004B4C7C" w:rsidRDefault="00B34648" w:rsidP="00B34648">
      <w:pPr>
        <w:tabs>
          <w:tab w:val="left" w:pos="2340"/>
        </w:tabs>
        <w:jc w:val="both"/>
      </w:pPr>
      <w:r>
        <w:t xml:space="preserve">IC2: </w:t>
      </w:r>
      <w:r w:rsidR="00DC46EC">
        <w:t xml:space="preserve">Employers </w:t>
      </w:r>
      <w:r w:rsidR="00B9415B">
        <w:t xml:space="preserve">will </w:t>
      </w:r>
      <w:r w:rsidR="00997F6E">
        <w:t xml:space="preserve">make full </w:t>
      </w:r>
      <w:r w:rsidR="007866BB">
        <w:t>quer</w:t>
      </w:r>
      <w:r w:rsidR="00997F6E">
        <w:t>ies</w:t>
      </w:r>
      <w:r w:rsidR="00DC46EC">
        <w:t xml:space="preserve"> </w:t>
      </w:r>
      <w:r w:rsidR="007866BB">
        <w:t xml:space="preserve">to </w:t>
      </w:r>
      <w:r w:rsidR="00DC46EC">
        <w:t xml:space="preserve">the Clearinghouse as part of the pre-employment screening process. </w:t>
      </w:r>
      <w:r w:rsidR="00FF6EA2">
        <w:t xml:space="preserve">A full query will </w:t>
      </w:r>
      <w:r w:rsidR="00CC1649">
        <w:t>release</w:t>
      </w:r>
      <w:r w:rsidR="00FF6EA2">
        <w:t xml:space="preserve"> detailed drug and alcohol violation information</w:t>
      </w:r>
      <w:r w:rsidR="005271DE">
        <w:t>, if any,</w:t>
      </w:r>
      <w:r w:rsidR="00FF6EA2">
        <w:t xml:space="preserve"> for the queried driver.  </w:t>
      </w:r>
      <w:r w:rsidR="00DC46EC">
        <w:t xml:space="preserve">FMCSA estimates employers </w:t>
      </w:r>
      <w:r w:rsidR="00B9415B">
        <w:t xml:space="preserve">will </w:t>
      </w:r>
      <w:r w:rsidR="00DC46EC">
        <w:t xml:space="preserve">perform a total of </w:t>
      </w:r>
      <w:r w:rsidR="00F71969">
        <w:t>1,996,328</w:t>
      </w:r>
      <w:r w:rsidR="00DC46EC">
        <w:t xml:space="preserve"> pre-employment </w:t>
      </w:r>
      <w:r w:rsidR="00997F6E">
        <w:t xml:space="preserve">full </w:t>
      </w:r>
      <w:r w:rsidR="00DC46EC">
        <w:t>queries per year.</w:t>
      </w:r>
      <w:r w:rsidR="00630942">
        <w:t xml:space="preserve"> </w:t>
      </w:r>
      <w:r w:rsidR="009D5053">
        <w:t xml:space="preserve">All estimates and calculations, </w:t>
      </w:r>
      <w:r w:rsidR="009D5053" w:rsidRPr="009D5053">
        <w:t>unless otherwise noted, come from the final rule</w:t>
      </w:r>
      <w:r w:rsidR="005347B7">
        <w:t>, see Attachment A</w:t>
      </w:r>
      <w:r w:rsidR="009D5053" w:rsidRPr="009D5053">
        <w:t xml:space="preserve">. </w:t>
      </w:r>
      <w:r w:rsidR="00630942">
        <w:t>T</w:t>
      </w:r>
      <w:r w:rsidR="00DC46EC">
        <w:t xml:space="preserve">he Agency estimates that a bookkeeping clerk </w:t>
      </w:r>
      <w:r w:rsidR="00B9415B">
        <w:t xml:space="preserve">will </w:t>
      </w:r>
      <w:r w:rsidR="00DC46EC">
        <w:t xml:space="preserve">spend ten minutes (1/6th of an hour) to conduct a </w:t>
      </w:r>
      <w:r w:rsidR="00630942">
        <w:t xml:space="preserve">full </w:t>
      </w:r>
      <w:r w:rsidR="00DC46EC">
        <w:t xml:space="preserve">query on a single driver. Given </w:t>
      </w:r>
      <w:r w:rsidR="00F71969">
        <w:t>1,996,328</w:t>
      </w:r>
      <w:r w:rsidR="00DC46EC">
        <w:t xml:space="preserve"> queries, the total number of hours spent to complete them is estimated at </w:t>
      </w:r>
      <w:r w:rsidR="00550B57">
        <w:t>3</w:t>
      </w:r>
      <w:r w:rsidR="00F71969">
        <w:t>33</w:t>
      </w:r>
      <w:r w:rsidR="00550B57">
        <w:t>,000</w:t>
      </w:r>
      <w:r w:rsidR="00DC46EC">
        <w:t xml:space="preserve"> (</w:t>
      </w:r>
      <w:r w:rsidR="006A4319">
        <w:t xml:space="preserve">332,751 = </w:t>
      </w:r>
      <w:r w:rsidR="00550B57">
        <w:t>1,</w:t>
      </w:r>
      <w:r w:rsidR="00F71969">
        <w:t>996,328</w:t>
      </w:r>
      <w:r w:rsidR="00DC46EC">
        <w:t xml:space="preserve"> queries x 1/6 hours per query</w:t>
      </w:r>
      <w:r w:rsidR="006A4319">
        <w:t>,</w:t>
      </w:r>
      <w:r w:rsidR="00550B57">
        <w:t xml:space="preserve"> rounded to the nearest thousand</w:t>
      </w:r>
      <w:r w:rsidR="00DC46EC">
        <w:t>).</w:t>
      </w:r>
      <w:r w:rsidR="00AF75DD">
        <w:t xml:space="preserve">  Based on the BLS $34.02 per hour wage</w:t>
      </w:r>
      <w:r w:rsidR="00661C50">
        <w:t xml:space="preserve"> for a bookkeeping clerk, t</w:t>
      </w:r>
      <w:r w:rsidR="00AF75DD">
        <w:t>he estimated cost of performing this task is $11 million</w:t>
      </w:r>
      <w:r w:rsidR="00DC46EC">
        <w:t xml:space="preserve"> </w:t>
      </w:r>
      <w:r w:rsidR="00661C50">
        <w:t>($11</w:t>
      </w:r>
      <w:r w:rsidR="00D3273F">
        <w:t>,</w:t>
      </w:r>
      <w:r w:rsidR="00661C50">
        <w:t>3</w:t>
      </w:r>
      <w:r w:rsidR="00D3273F">
        <w:t>28,660</w:t>
      </w:r>
      <w:r w:rsidR="00661C50">
        <w:t xml:space="preserve"> million</w:t>
      </w:r>
      <w:r w:rsidR="00D3273F">
        <w:t xml:space="preserve"> </w:t>
      </w:r>
      <w:r w:rsidR="00661C50">
        <w:t>= 333,000</w:t>
      </w:r>
      <w:r w:rsidR="006A30B4">
        <w:t xml:space="preserve"> hours </w:t>
      </w:r>
      <w:r w:rsidR="00661C50">
        <w:t>x $34.02, round to the nearest million).</w:t>
      </w:r>
    </w:p>
    <w:p w:rsidR="00DC46EC" w:rsidRDefault="00DC46EC" w:rsidP="00D67C87">
      <w:pPr>
        <w:tabs>
          <w:tab w:val="left" w:pos="2340"/>
        </w:tabs>
        <w:ind w:left="720"/>
        <w:jc w:val="both"/>
      </w:pPr>
    </w:p>
    <w:p w:rsidR="004B4C7C" w:rsidRDefault="00B34648" w:rsidP="00B34648">
      <w:pPr>
        <w:tabs>
          <w:tab w:val="left" w:pos="2340"/>
        </w:tabs>
        <w:jc w:val="both"/>
      </w:pPr>
      <w:r>
        <w:t xml:space="preserve">IC3: </w:t>
      </w:r>
      <w:r w:rsidR="00DC46EC">
        <w:t xml:space="preserve">Employers </w:t>
      </w:r>
      <w:r w:rsidR="006B64FA">
        <w:t xml:space="preserve">may </w:t>
      </w:r>
      <w:r w:rsidR="00DC46EC">
        <w:t>designate C/TPAs</w:t>
      </w:r>
      <w:r w:rsidR="006B64FA">
        <w:t xml:space="preserve"> to query and/or report to</w:t>
      </w:r>
      <w:r w:rsidR="00DC46EC">
        <w:t xml:space="preserve"> the Clearinghouse</w:t>
      </w:r>
      <w:r w:rsidR="006B64FA">
        <w:t xml:space="preserve"> on their behalf</w:t>
      </w:r>
      <w:r w:rsidR="00DC46EC">
        <w:t xml:space="preserve">. </w:t>
      </w:r>
      <w:r w:rsidR="00630942">
        <w:t xml:space="preserve"> </w:t>
      </w:r>
      <w:r w:rsidR="00DC46EC">
        <w:t xml:space="preserve">FMCSA estimates that a bookkeeping clerk </w:t>
      </w:r>
      <w:r w:rsidR="00B9415B">
        <w:t xml:space="preserve">will </w:t>
      </w:r>
      <w:r w:rsidR="00DC46EC">
        <w:t xml:space="preserve">spend ten minutes (1/6th of an hour) to designate a C/TPA. If each of the 520,000 motor carriers designate a C/TPA, then the total number of hours spent to fulfill this requirement is estimated to be </w:t>
      </w:r>
      <w:r w:rsidR="00F92A3F">
        <w:t>87,000</w:t>
      </w:r>
      <w:r w:rsidR="00DC46EC">
        <w:t xml:space="preserve"> (520,000 designations x 1/6 hours per designation = 86,667 hours</w:t>
      </w:r>
      <w:r w:rsidR="00F92A3F">
        <w:t>, rounded to the nearest thousand)</w:t>
      </w:r>
      <w:r w:rsidR="00DC46EC">
        <w:t xml:space="preserve">. </w:t>
      </w:r>
      <w:r w:rsidR="00661C50">
        <w:t>Based on the BLS $34.02 per hour wage for a bookkeeping clerk, the estimated cost of performing this task is $3 million ($2</w:t>
      </w:r>
      <w:r w:rsidR="00D3273F">
        <w:t>,</w:t>
      </w:r>
      <w:r w:rsidR="00661C50">
        <w:t>9</w:t>
      </w:r>
      <w:r w:rsidR="00D3273F">
        <w:t>48,411</w:t>
      </w:r>
      <w:r w:rsidR="00661C50">
        <w:t xml:space="preserve"> million = </w:t>
      </w:r>
      <w:r w:rsidR="006A30B4">
        <w:t>86,667 hours</w:t>
      </w:r>
      <w:r w:rsidR="00661C50">
        <w:t xml:space="preserve"> x $34.02, round</w:t>
      </w:r>
      <w:r w:rsidR="002A274D">
        <w:t>ed</w:t>
      </w:r>
      <w:r w:rsidR="00661C50">
        <w:t xml:space="preserve"> to the nearest million).</w:t>
      </w:r>
    </w:p>
    <w:p w:rsidR="00DC46EC" w:rsidRDefault="00DC46EC" w:rsidP="00D67C87">
      <w:pPr>
        <w:tabs>
          <w:tab w:val="left" w:pos="2340"/>
        </w:tabs>
        <w:ind w:left="720"/>
        <w:jc w:val="both"/>
      </w:pPr>
    </w:p>
    <w:p w:rsidR="004B4C7C" w:rsidRDefault="00B34648" w:rsidP="00B34648">
      <w:pPr>
        <w:tabs>
          <w:tab w:val="left" w:pos="2340"/>
        </w:tabs>
        <w:jc w:val="both"/>
      </w:pPr>
      <w:r>
        <w:t xml:space="preserve">IC4: </w:t>
      </w:r>
      <w:r w:rsidR="00254CD9" w:rsidRPr="00D059E5">
        <w:t xml:space="preserve">SAPs </w:t>
      </w:r>
      <w:r w:rsidR="00B9415B">
        <w:t xml:space="preserve">will </w:t>
      </w:r>
      <w:r w:rsidR="00254CD9">
        <w:t>be</w:t>
      </w:r>
      <w:r w:rsidR="00254CD9" w:rsidRPr="00D059E5">
        <w:t xml:space="preserve"> require</w:t>
      </w:r>
      <w:r w:rsidR="00254CD9">
        <w:t>d</w:t>
      </w:r>
      <w:r w:rsidR="00254CD9" w:rsidRPr="00D059E5">
        <w:t xml:space="preserve"> to </w:t>
      </w:r>
      <w:r w:rsidR="001D2821">
        <w:t>input</w:t>
      </w:r>
      <w:r w:rsidR="00254CD9" w:rsidRPr="00D059E5">
        <w:t xml:space="preserve"> information to the Clearinghouse about driver</w:t>
      </w:r>
      <w:r w:rsidR="00254CD9">
        <w:t xml:space="preserve">s </w:t>
      </w:r>
      <w:r w:rsidR="00933266">
        <w:t xml:space="preserve">who </w:t>
      </w:r>
      <w:r w:rsidR="00254CD9">
        <w:t>initiat</w:t>
      </w:r>
      <w:r w:rsidR="00933266">
        <w:t>e</w:t>
      </w:r>
      <w:r w:rsidR="00254CD9">
        <w:t xml:space="preserve"> and complet</w:t>
      </w:r>
      <w:r w:rsidR="00933266">
        <w:t>e</w:t>
      </w:r>
      <w:r w:rsidR="00254CD9">
        <w:t xml:space="preserve"> the </w:t>
      </w:r>
      <w:r w:rsidR="00F93C1E">
        <w:t>RTD</w:t>
      </w:r>
      <w:r w:rsidR="00254CD9">
        <w:t xml:space="preserve"> process. FMCSA estimates that </w:t>
      </w:r>
      <w:r w:rsidR="00F71969">
        <w:t>55,580</w:t>
      </w:r>
      <w:r w:rsidR="00254CD9">
        <w:t xml:space="preserve"> drivers </w:t>
      </w:r>
      <w:r w:rsidR="00B9415B">
        <w:t xml:space="preserve">will </w:t>
      </w:r>
      <w:r w:rsidR="00254CD9">
        <w:t xml:space="preserve">be required to have their information </w:t>
      </w:r>
      <w:r w:rsidR="00342E95">
        <w:t>input</w:t>
      </w:r>
      <w:r w:rsidR="00254CD9">
        <w:t xml:space="preserve"> by an SAP. The Agency estimates that SAPs </w:t>
      </w:r>
      <w:r w:rsidR="00B9415B">
        <w:t xml:space="preserve">will </w:t>
      </w:r>
      <w:r w:rsidR="00254CD9">
        <w:t xml:space="preserve">spend a total of ten minutes </w:t>
      </w:r>
      <w:r w:rsidR="00254CD9" w:rsidRPr="007A6D11">
        <w:t>(1/6</w:t>
      </w:r>
      <w:r w:rsidR="00254CD9" w:rsidRPr="00B34648">
        <w:rPr>
          <w:vertAlign w:val="superscript"/>
        </w:rPr>
        <w:t>th</w:t>
      </w:r>
      <w:r w:rsidR="00254CD9" w:rsidRPr="007A6D11">
        <w:t xml:space="preserve"> of an hour) </w:t>
      </w:r>
      <w:r w:rsidR="00254CD9">
        <w:t>entering driver</w:t>
      </w:r>
      <w:r w:rsidR="001541A4">
        <w:t xml:space="preserve"> information</w:t>
      </w:r>
      <w:r w:rsidR="006A4319">
        <w:t>.</w:t>
      </w:r>
      <w:r w:rsidR="00F71969">
        <w:t xml:space="preserve"> </w:t>
      </w:r>
      <w:r w:rsidR="00254CD9">
        <w:t xml:space="preserve"> Therefore, the total number of hours spent to fulfill this requirement is estimated at </w:t>
      </w:r>
      <w:r w:rsidR="00743F13">
        <w:t xml:space="preserve">9,000 </w:t>
      </w:r>
      <w:r w:rsidR="00630942">
        <w:t>(</w:t>
      </w:r>
      <w:r w:rsidR="006A4319">
        <w:t xml:space="preserve">9,263 = </w:t>
      </w:r>
      <w:r w:rsidR="00743F13">
        <w:t>55,580</w:t>
      </w:r>
      <w:r w:rsidR="00254CD9">
        <w:t xml:space="preserve"> designations x 1/6 hours per designation</w:t>
      </w:r>
      <w:r w:rsidR="00BC3BA9">
        <w:t>, rounded to the nearest thousand</w:t>
      </w:r>
      <w:r w:rsidR="00254CD9">
        <w:t>).</w:t>
      </w:r>
      <w:r w:rsidR="006A30B4">
        <w:t xml:space="preserve">  FMCSA assumes that this task will be performed by an Occupational Health and Safety Specialist. The BLS estimated hourly wage with fringe benefits and overhead </w:t>
      </w:r>
      <w:r w:rsidR="006A4319">
        <w:t>for th</w:t>
      </w:r>
      <w:r w:rsidR="006A30B4">
        <w:t>is</w:t>
      </w:r>
      <w:r w:rsidR="006A4319">
        <w:t xml:space="preserve"> occupation is</w:t>
      </w:r>
      <w:r w:rsidR="006A30B4">
        <w:t xml:space="preserve"> $64.65 per hour.  The estimated cost for SAPs to complete this task is $600,000 ($599,000 = 9,000 hours x $64.65, rounded to the near hundred thousand) </w:t>
      </w:r>
    </w:p>
    <w:p w:rsidR="00DC46EC" w:rsidRDefault="00DC46EC" w:rsidP="00D67C87">
      <w:pPr>
        <w:tabs>
          <w:tab w:val="left" w:pos="2340"/>
        </w:tabs>
        <w:ind w:left="720"/>
        <w:jc w:val="both"/>
      </w:pPr>
    </w:p>
    <w:p w:rsidR="000B7BE2" w:rsidRDefault="00B34648" w:rsidP="00B34648">
      <w:pPr>
        <w:tabs>
          <w:tab w:val="left" w:pos="2340"/>
        </w:tabs>
        <w:jc w:val="both"/>
      </w:pPr>
      <w:r>
        <w:t xml:space="preserve">IC5: </w:t>
      </w:r>
      <w:r w:rsidR="00DC46EC">
        <w:t xml:space="preserve">MROs, C/TPAs, and employers </w:t>
      </w:r>
      <w:r w:rsidR="00B9415B">
        <w:t xml:space="preserve">will </w:t>
      </w:r>
      <w:r w:rsidR="00DC46EC">
        <w:t>be required to report</w:t>
      </w:r>
      <w:r w:rsidR="00214F63">
        <w:t xml:space="preserve"> information</w:t>
      </w:r>
      <w:r w:rsidR="00DC46EC">
        <w:t xml:space="preserve"> </w:t>
      </w:r>
      <w:r w:rsidR="00164054">
        <w:t>to the Clearinghouse</w:t>
      </w:r>
      <w:r w:rsidR="00DC46EC">
        <w:t xml:space="preserve">. The number of reports total </w:t>
      </w:r>
      <w:r w:rsidR="00F92A3F">
        <w:t>1</w:t>
      </w:r>
      <w:r w:rsidR="00AD3E7B">
        <w:t>17</w:t>
      </w:r>
      <w:r w:rsidR="00F92A3F">
        <w:t>,000</w:t>
      </w:r>
      <w:r w:rsidR="00DC46EC">
        <w:t xml:space="preserve"> (</w:t>
      </w:r>
      <w:r w:rsidR="00AD3E7B">
        <w:t>52,000</w:t>
      </w:r>
      <w:r w:rsidR="00DC46EC">
        <w:t xml:space="preserve"> positive </w:t>
      </w:r>
      <w:r w:rsidR="00BC3BA9">
        <w:t xml:space="preserve">drug </w:t>
      </w:r>
      <w:r w:rsidR="00DC46EC">
        <w:t>test</w:t>
      </w:r>
      <w:r w:rsidR="00BC3BA9">
        <w:t>s</w:t>
      </w:r>
      <w:r w:rsidR="00DC46EC">
        <w:t xml:space="preserve"> </w:t>
      </w:r>
      <w:r w:rsidR="00C1468A">
        <w:t xml:space="preserve">and </w:t>
      </w:r>
      <w:r w:rsidR="00997F6E">
        <w:t>failures to appear</w:t>
      </w:r>
      <w:r w:rsidR="00DC46EC">
        <w:t xml:space="preserve"> reported by MROs to the Clearinghouse, </w:t>
      </w:r>
      <w:r w:rsidR="00F92A3F">
        <w:t>6,</w:t>
      </w:r>
      <w:r w:rsidR="00AD3E7B">
        <w:t>5</w:t>
      </w:r>
      <w:r w:rsidR="00F92A3F">
        <w:t>00</w:t>
      </w:r>
      <w:r w:rsidR="00DC46EC">
        <w:t xml:space="preserve"> alcohol test results</w:t>
      </w:r>
      <w:r w:rsidR="00C1468A">
        <w:t xml:space="preserve"> and </w:t>
      </w:r>
      <w:r w:rsidR="00997F6E">
        <w:t xml:space="preserve">failures to appear </w:t>
      </w:r>
      <w:r w:rsidR="00DC46EC">
        <w:t xml:space="preserve">reported by employers or C/TPAs to the Clearinghouse, and </w:t>
      </w:r>
      <w:r w:rsidR="00AD3E7B">
        <w:t>5</w:t>
      </w:r>
      <w:r w:rsidR="00BC3BA9">
        <w:t>5</w:t>
      </w:r>
      <w:r w:rsidR="00AD3E7B">
        <w:t>,</w:t>
      </w:r>
      <w:r w:rsidR="00BC3BA9">
        <w:t>8</w:t>
      </w:r>
      <w:r w:rsidR="00AD3E7B">
        <w:t>00</w:t>
      </w:r>
      <w:r w:rsidR="00DC46EC">
        <w:t xml:space="preserve"> </w:t>
      </w:r>
      <w:r w:rsidR="00F93C1E">
        <w:t>RTD</w:t>
      </w:r>
      <w:r w:rsidR="00DC46EC">
        <w:t xml:space="preserve"> reports to the Clearinghouse by SAPs). The Agency estimates that a bookkeeping clerk </w:t>
      </w:r>
      <w:r w:rsidR="00B9415B">
        <w:t xml:space="preserve">will </w:t>
      </w:r>
      <w:r w:rsidR="00DC46EC">
        <w:t xml:space="preserve">spend ten minutes to report positive test results, </w:t>
      </w:r>
      <w:r w:rsidR="0048610B">
        <w:t xml:space="preserve">or </w:t>
      </w:r>
      <w:r w:rsidR="00DC46EC">
        <w:t xml:space="preserve">report information on </w:t>
      </w:r>
      <w:r w:rsidR="00630942">
        <w:t>a driver’s failure to appear for a test</w:t>
      </w:r>
      <w:r w:rsidR="006D2EB5">
        <w:t xml:space="preserve"> </w:t>
      </w:r>
      <w:r w:rsidR="00DC46EC">
        <w:t xml:space="preserve">to the Clearinghouse. In sum, </w:t>
      </w:r>
      <w:r w:rsidR="00F92A3F">
        <w:t>2</w:t>
      </w:r>
      <w:r w:rsidR="00AD3E7B">
        <w:t>0</w:t>
      </w:r>
      <w:r w:rsidR="00F92A3F">
        <w:t>,000</w:t>
      </w:r>
      <w:r w:rsidR="00DC46EC">
        <w:t xml:space="preserve"> hours </w:t>
      </w:r>
      <w:r w:rsidR="00B9415B">
        <w:t xml:space="preserve">will </w:t>
      </w:r>
      <w:r w:rsidR="00DC46EC">
        <w:t>be spent on reporting test results to the Clearinghouse (</w:t>
      </w:r>
      <w:r w:rsidR="006A30B4">
        <w:t xml:space="preserve">19,500 hours = </w:t>
      </w:r>
      <w:r w:rsidR="00F92A3F">
        <w:t>1</w:t>
      </w:r>
      <w:r w:rsidR="00AD3E7B">
        <w:t>17</w:t>
      </w:r>
      <w:r w:rsidR="00F92A3F">
        <w:t>,000</w:t>
      </w:r>
      <w:r w:rsidR="00DC46EC">
        <w:t xml:space="preserve"> reports x 1/6 hours per report</w:t>
      </w:r>
      <w:r w:rsidR="008F718D">
        <w:t>, rounded to the nearest thousand</w:t>
      </w:r>
      <w:r w:rsidR="00DC46EC">
        <w:t>).</w:t>
      </w:r>
      <w:r w:rsidR="00511052">
        <w:t xml:space="preserve">  The estimated cost for this task is $700,000 ($663,390 = 19,500 hours x $34.02, rounded to the nearest hundred thousand).</w:t>
      </w:r>
    </w:p>
    <w:p w:rsidR="000B7BE2" w:rsidRDefault="000B7BE2" w:rsidP="00B91B1F">
      <w:pPr>
        <w:pStyle w:val="ListParagraph"/>
      </w:pPr>
    </w:p>
    <w:p w:rsidR="000B7BE2" w:rsidRDefault="00B34648" w:rsidP="00B34648">
      <w:pPr>
        <w:tabs>
          <w:tab w:val="left" w:pos="2340"/>
        </w:tabs>
        <w:jc w:val="both"/>
      </w:pPr>
      <w:r>
        <w:t xml:space="preserve">IC6: </w:t>
      </w:r>
      <w:r w:rsidR="000B7BE2">
        <w:t>Employers, C/TPAs, MROs, and SAPs will be required to register and become familiar with the new processes and requirements of the Clearinghouse. Given 520,000 carriers, the Agency estimates there will be 5</w:t>
      </w:r>
      <w:r w:rsidR="006F5B05">
        <w:t>,</w:t>
      </w:r>
      <w:r w:rsidR="000B7BE2">
        <w:t>000 C/TPAs, 11,000 MROs, and 15,000 SAPs that will be required to fulfill these requirements. FMCSA estimates that it will take a bookkeeping clerk ten minutes (1/6th of an hour) to register and receive credentials and another ten minutes to become familiar with the new processes. Given 551,000 such instances of registration, reception of credentials, and familiarization, the total number of hours spent to fulfill this requirement is estimated at 183,667 (</w:t>
      </w:r>
      <w:r w:rsidR="00D2577C">
        <w:t xml:space="preserve">183,667 = </w:t>
      </w:r>
      <w:r w:rsidR="000B7BE2">
        <w:t>551,000 registration-familiarizations x 1/3 hours per registration-familiarization</w:t>
      </w:r>
      <w:r w:rsidR="00D2577C">
        <w:t>)</w:t>
      </w:r>
      <w:r w:rsidR="000B7BE2">
        <w:t>. However, the Agency assumes that these entities do not have to register and become familiar with the rules annually, but instead only once every four years. The 183,667 hours dedicated to registration and familiarization every four years amounts to 45,917 hours annually (45,917 = 183,667 / 4).  FMCSA assumes a $34.02 per hour wage for a bookkeeper clerk assigned this task.  The estimated cost of these tasks is $</w:t>
      </w:r>
      <w:r w:rsidR="007E65F8">
        <w:t xml:space="preserve">1 </w:t>
      </w:r>
      <w:r w:rsidR="000B7BE2">
        <w:t xml:space="preserve">million ($1,562,096 = 45,917 hours x $34.02, rounded to the nearest million). </w:t>
      </w:r>
    </w:p>
    <w:p w:rsidR="00511052" w:rsidRDefault="00511052" w:rsidP="00B91B1F">
      <w:pPr>
        <w:pStyle w:val="ListParagraph"/>
        <w:tabs>
          <w:tab w:val="left" w:pos="2340"/>
        </w:tabs>
        <w:jc w:val="both"/>
      </w:pPr>
    </w:p>
    <w:p w:rsidR="004B4C7C" w:rsidRDefault="00B34648" w:rsidP="00B34648">
      <w:pPr>
        <w:tabs>
          <w:tab w:val="left" w:pos="2340"/>
        </w:tabs>
        <w:jc w:val="both"/>
      </w:pPr>
      <w:r>
        <w:t xml:space="preserve">IC7: </w:t>
      </w:r>
      <w:r w:rsidR="000B7BE2">
        <w:t>E</w:t>
      </w:r>
      <w:r w:rsidR="00DC46EC">
        <w:t xml:space="preserve">mployers and C/TPAs must </w:t>
      </w:r>
      <w:r w:rsidR="00933266">
        <w:t xml:space="preserve">annually </w:t>
      </w:r>
      <w:r w:rsidR="00DC46EC">
        <w:t xml:space="preserve">verify the names of persons authorized to </w:t>
      </w:r>
      <w:r w:rsidR="008F41E4">
        <w:t>r</w:t>
      </w:r>
      <w:r w:rsidR="00DC46EC">
        <w:t xml:space="preserve">eport and obtain information from the Clearinghouse. </w:t>
      </w:r>
      <w:r w:rsidR="00343458">
        <w:t xml:space="preserve">If each employer authorizes one person, and one quarter of employers authorize an additional second person, then employers will verify 650,000 people (520,000 + (520,000 x ¼) = 520,000 + 130,000 = 650,000). </w:t>
      </w:r>
      <w:r w:rsidR="00AD7857">
        <w:t xml:space="preserve">If each C/TPA authorizes one person, then the </w:t>
      </w:r>
      <w:r w:rsidR="00343458">
        <w:t xml:space="preserve">total </w:t>
      </w:r>
      <w:r w:rsidR="00AD7857">
        <w:t>number of verifications is estimated to be 655,000</w:t>
      </w:r>
      <w:r w:rsidR="00343458">
        <w:t xml:space="preserve"> (650,000 for employers + 5,000 for C/TPAs)</w:t>
      </w:r>
      <w:r w:rsidR="00AD7857">
        <w:t xml:space="preserve">.  </w:t>
      </w:r>
      <w:r w:rsidR="00D01323">
        <w:t xml:space="preserve">Further, the </w:t>
      </w:r>
      <w:r w:rsidR="00DC46EC">
        <w:t xml:space="preserve">FMCSA estimates that it </w:t>
      </w:r>
      <w:r w:rsidR="00B9415B">
        <w:t xml:space="preserve">will </w:t>
      </w:r>
      <w:r w:rsidR="00DC46EC">
        <w:t>take a bookkeeping clerk ten minutes (1/6th of an hour) to verify each person authorized</w:t>
      </w:r>
      <w:r w:rsidR="00630942">
        <w:t>.  T</w:t>
      </w:r>
      <w:r w:rsidR="00DC46EC">
        <w:t>he total number of hours spent to fulfill this requirement is 109</w:t>
      </w:r>
      <w:r w:rsidR="00A40313">
        <w:t>,167 (109,167 = 6</w:t>
      </w:r>
      <w:r w:rsidR="00DC46EC">
        <w:t>55,000 x 1/6 hours per registration-familiarization).</w:t>
      </w:r>
      <w:r w:rsidR="000B7BE2">
        <w:t xml:space="preserve">  The estimate</w:t>
      </w:r>
      <w:r w:rsidR="00191C29">
        <w:t>d</w:t>
      </w:r>
      <w:r w:rsidR="000B7BE2">
        <w:t xml:space="preserve"> cost for these tasks performed by a bookkeeper clerk at $34.02 per hour is $4 million ($3,713,861, rounded to the nearest million).</w:t>
      </w:r>
    </w:p>
    <w:p w:rsidR="004B4C7C" w:rsidRDefault="004B4C7C" w:rsidP="00926714">
      <w:pPr>
        <w:tabs>
          <w:tab w:val="left" w:pos="2340"/>
        </w:tabs>
        <w:ind w:left="720"/>
        <w:jc w:val="both"/>
      </w:pPr>
    </w:p>
    <w:p w:rsidR="004B4C7C" w:rsidRDefault="00B34648" w:rsidP="00B34648">
      <w:pPr>
        <w:jc w:val="both"/>
      </w:pPr>
      <w:r>
        <w:t xml:space="preserve">IC8: </w:t>
      </w:r>
      <w:r w:rsidR="007866BB">
        <w:t>Item (</w:t>
      </w:r>
      <w:r w:rsidR="008F41E4">
        <w:t>a</w:t>
      </w:r>
      <w:r w:rsidR="007866BB">
        <w:t>)</w:t>
      </w:r>
      <w:r w:rsidR="00FF61B1">
        <w:t xml:space="preserve"> above,</w:t>
      </w:r>
      <w:r w:rsidR="00887653">
        <w:t xml:space="preserve"> </w:t>
      </w:r>
      <w:r w:rsidR="007866BB">
        <w:t>describe</w:t>
      </w:r>
      <w:r w:rsidR="00887653">
        <w:t>s</w:t>
      </w:r>
      <w:r w:rsidR="007866BB">
        <w:t xml:space="preserve"> </w:t>
      </w:r>
      <w:r w:rsidR="00420A3F">
        <w:t xml:space="preserve">how employers’ cost of performing annual queries is </w:t>
      </w:r>
      <w:r w:rsidR="00EF283C">
        <w:t xml:space="preserve">estimated. </w:t>
      </w:r>
      <w:r w:rsidR="008F41E4">
        <w:t xml:space="preserve">Drivers will also incur time-related costs to </w:t>
      </w:r>
      <w:r w:rsidR="001517D0">
        <w:t xml:space="preserve">provide their consent during </w:t>
      </w:r>
      <w:r w:rsidR="008F41E4">
        <w:t>th</w:t>
      </w:r>
      <w:r w:rsidR="00EF283C">
        <w:t>e annual query process.</w:t>
      </w:r>
      <w:r w:rsidR="007866BB">
        <w:t xml:space="preserve"> </w:t>
      </w:r>
      <w:r w:rsidR="00F00321">
        <w:t xml:space="preserve"> FMCSA assumes that </w:t>
      </w:r>
      <w:r w:rsidR="00887653">
        <w:t xml:space="preserve">all </w:t>
      </w:r>
      <w:r w:rsidR="00F00321">
        <w:t xml:space="preserve">employers will </w:t>
      </w:r>
      <w:r w:rsidR="00887653">
        <w:t xml:space="preserve">initially </w:t>
      </w:r>
      <w:r w:rsidR="00F00321">
        <w:t>make limited queries to comply with the annual query requirement</w:t>
      </w:r>
      <w:r w:rsidR="00887653">
        <w:t xml:space="preserve">. </w:t>
      </w:r>
      <w:r w:rsidR="007D05D3" w:rsidRPr="007D05D3">
        <w:t xml:space="preserve">FMCSA </w:t>
      </w:r>
      <w:r w:rsidR="00721566">
        <w:t xml:space="preserve">assumes </w:t>
      </w:r>
      <w:r w:rsidR="007D05D3" w:rsidRPr="007D05D3">
        <w:t>that employers w</w:t>
      </w:r>
      <w:r w:rsidR="006D4611">
        <w:t>ill</w:t>
      </w:r>
      <w:r w:rsidR="007D05D3" w:rsidRPr="007D05D3">
        <w:t xml:space="preserve"> obtain </w:t>
      </w:r>
      <w:r w:rsidR="007D05D3">
        <w:t xml:space="preserve">a </w:t>
      </w:r>
      <w:r w:rsidR="007D05D3" w:rsidRPr="007D05D3">
        <w:t xml:space="preserve">general </w:t>
      </w:r>
      <w:r w:rsidR="007D05D3">
        <w:t>consent</w:t>
      </w:r>
      <w:r w:rsidR="006D4611">
        <w:t xml:space="preserve"> from drivers when they are hired</w:t>
      </w:r>
      <w:r w:rsidR="00EF283C">
        <w:t xml:space="preserve"> that will serve as drivers’ consent for the employer to make </w:t>
      </w:r>
      <w:r w:rsidR="007D05D3" w:rsidRPr="007D05D3">
        <w:t xml:space="preserve">a </w:t>
      </w:r>
      <w:r w:rsidR="00933266">
        <w:t xml:space="preserve">future </w:t>
      </w:r>
      <w:r w:rsidR="007D05D3" w:rsidRPr="007D05D3">
        <w:t xml:space="preserve">limited </w:t>
      </w:r>
      <w:r w:rsidR="00721566">
        <w:t xml:space="preserve">annual </w:t>
      </w:r>
      <w:r w:rsidR="00D93480">
        <w:t>query (or queries)</w:t>
      </w:r>
      <w:r w:rsidR="006D4611">
        <w:t>.</w:t>
      </w:r>
      <w:r w:rsidR="00271586">
        <w:t xml:space="preserve"> </w:t>
      </w:r>
      <w:r w:rsidR="00EF283C">
        <w:t>Normal hiring processes typically require</w:t>
      </w:r>
      <w:r w:rsidR="00721566">
        <w:t xml:space="preserve"> </w:t>
      </w:r>
      <w:r w:rsidR="00EF283C">
        <w:t xml:space="preserve">job applicants to provide their employment history, including supervisors whom the employer may contact for </w:t>
      </w:r>
      <w:r w:rsidR="00721566">
        <w:t>history of job-</w:t>
      </w:r>
      <w:r w:rsidR="00EF283C">
        <w:t xml:space="preserve">performance </w:t>
      </w:r>
      <w:r w:rsidR="00721566">
        <w:t>and drug and alcohol violations.</w:t>
      </w:r>
      <w:r w:rsidR="007D05D3">
        <w:t xml:space="preserve"> </w:t>
      </w:r>
      <w:r w:rsidR="00D93480">
        <w:t xml:space="preserve">If the annual limited query results in a notification that information exists in the Clearinghouse for the queried driver, the employer must conduct a full query to obtain detailed drug and alcohol violation information for that driver.  The driver </w:t>
      </w:r>
      <w:r w:rsidR="00721566">
        <w:t>must</w:t>
      </w:r>
      <w:r w:rsidR="00933266">
        <w:t xml:space="preserve"> provide specific</w:t>
      </w:r>
      <w:r w:rsidR="00721566">
        <w:t xml:space="preserve"> </w:t>
      </w:r>
      <w:r w:rsidR="008F41E4">
        <w:t>consent</w:t>
      </w:r>
      <w:r w:rsidR="00933266">
        <w:t xml:space="preserve"> electronically</w:t>
      </w:r>
      <w:r w:rsidR="00721566">
        <w:t xml:space="preserve">, via the Clearinghouse, to an employer’s request for </w:t>
      </w:r>
      <w:r w:rsidR="00271586">
        <w:t xml:space="preserve">a full query before the driver’s information is made available to the employer.  </w:t>
      </w:r>
      <w:r w:rsidR="00721566">
        <w:t>Therefore, d</w:t>
      </w:r>
      <w:r w:rsidR="00271586">
        <w:t>rivers’</w:t>
      </w:r>
      <w:r w:rsidR="00721566">
        <w:t xml:space="preserve"> time required to </w:t>
      </w:r>
      <w:r w:rsidR="00271586">
        <w:t xml:space="preserve">consent for performing a full query is </w:t>
      </w:r>
      <w:r w:rsidR="00721566">
        <w:t>treated as a</w:t>
      </w:r>
      <w:r w:rsidR="00271586">
        <w:t xml:space="preserve"> cost</w:t>
      </w:r>
      <w:r w:rsidR="00721566">
        <w:t xml:space="preserve"> of the rule.</w:t>
      </w:r>
      <w:r w:rsidR="00271586">
        <w:t xml:space="preserve">  </w:t>
      </w:r>
      <w:r w:rsidR="007D05D3">
        <w:t>T</w:t>
      </w:r>
      <w:r w:rsidR="00DC46EC">
        <w:t xml:space="preserve">he Agency estimates that </w:t>
      </w:r>
      <w:r w:rsidR="008F41E4">
        <w:t>driver consent</w:t>
      </w:r>
      <w:r w:rsidR="00721566">
        <w:t>s</w:t>
      </w:r>
      <w:r w:rsidR="008F41E4">
        <w:t xml:space="preserve"> will be required for </w:t>
      </w:r>
      <w:r w:rsidR="00E423A9">
        <w:t>361</w:t>
      </w:r>
      <w:r w:rsidR="00282550">
        <w:t>,000</w:t>
      </w:r>
      <w:r w:rsidR="00DC46EC">
        <w:t xml:space="preserve"> </w:t>
      </w:r>
      <w:r w:rsidR="008E3694">
        <w:t xml:space="preserve">full </w:t>
      </w:r>
      <w:r w:rsidR="00DC46EC">
        <w:t>queries</w:t>
      </w:r>
      <w:r w:rsidR="008F41E4">
        <w:t>.</w:t>
      </w:r>
      <w:r w:rsidR="00DC46EC">
        <w:t xml:space="preserve"> </w:t>
      </w:r>
      <w:r w:rsidR="00282550">
        <w:t xml:space="preserve">This number is derived from 95 percent of drivers </w:t>
      </w:r>
      <w:r w:rsidR="00721566">
        <w:t>who do not exit the industry</w:t>
      </w:r>
      <w:r w:rsidR="00282550">
        <w:t xml:space="preserve"> after a positive </w:t>
      </w:r>
      <w:r w:rsidR="00721566">
        <w:t xml:space="preserve">drug or alcohol </w:t>
      </w:r>
      <w:r w:rsidR="00282550">
        <w:t xml:space="preserve">test, which is 95 percent of the </w:t>
      </w:r>
      <w:r w:rsidR="00CD7F0E">
        <w:t>58,500</w:t>
      </w:r>
      <w:r w:rsidR="006A1906">
        <w:t xml:space="preserve"> </w:t>
      </w:r>
      <w:r w:rsidR="00282550">
        <w:t>annual positive tests at full participation</w:t>
      </w:r>
      <w:r w:rsidR="00645000">
        <w:t>, or</w:t>
      </w:r>
      <w:r w:rsidR="00282550">
        <w:t xml:space="preserve"> </w:t>
      </w:r>
      <w:r w:rsidR="00E423A9">
        <w:t>55,575</w:t>
      </w:r>
      <w:r w:rsidR="00282550">
        <w:t xml:space="preserve">. </w:t>
      </w:r>
      <w:r w:rsidR="00A855E6">
        <w:t xml:space="preserve">Of these drivers, 30 percent are assumed to have multiple employers, which </w:t>
      </w:r>
      <w:r w:rsidR="00721566">
        <w:t>require</w:t>
      </w:r>
      <w:r w:rsidR="00A855E6">
        <w:t xml:space="preserve"> an additional 16,673 full queries (16,673 = 55,575 x 30 percent)</w:t>
      </w:r>
      <w:r w:rsidR="00721566">
        <w:t>.</w:t>
      </w:r>
      <w:r w:rsidR="00A855E6">
        <w:t xml:space="preserve">  Thus,</w:t>
      </w:r>
      <w:r w:rsidR="00645000">
        <w:t xml:space="preserve"> </w:t>
      </w:r>
      <w:r w:rsidR="00721566">
        <w:t xml:space="preserve">the </w:t>
      </w:r>
      <w:r w:rsidR="00645000">
        <w:t xml:space="preserve">total </w:t>
      </w:r>
      <w:r w:rsidR="00721566">
        <w:t>number</w:t>
      </w:r>
      <w:r w:rsidR="00645000">
        <w:t xml:space="preserve"> of </w:t>
      </w:r>
      <w:r w:rsidR="00144E66">
        <w:t>full</w:t>
      </w:r>
      <w:r w:rsidR="00645000">
        <w:t xml:space="preserve"> queries</w:t>
      </w:r>
      <w:r w:rsidR="002D4D99">
        <w:t xml:space="preserve"> required by the rule is </w:t>
      </w:r>
      <w:r w:rsidR="00A855E6">
        <w:t>estimated at</w:t>
      </w:r>
      <w:r w:rsidR="00645000">
        <w:t xml:space="preserve"> </w:t>
      </w:r>
      <w:r w:rsidR="00E423A9">
        <w:t>72,248</w:t>
      </w:r>
      <w:r w:rsidR="00645000">
        <w:t xml:space="preserve"> (</w:t>
      </w:r>
      <w:r w:rsidR="00A855E6">
        <w:t xml:space="preserve">72,248 = </w:t>
      </w:r>
      <w:r w:rsidR="00E423A9">
        <w:t>55,575</w:t>
      </w:r>
      <w:r w:rsidR="00A855E6">
        <w:t xml:space="preserve"> + 16,673).</w:t>
      </w:r>
      <w:r w:rsidR="00645000">
        <w:t xml:space="preserve"> </w:t>
      </w:r>
      <w:r w:rsidR="00A855E6">
        <w:t>D</w:t>
      </w:r>
      <w:r w:rsidR="00645000">
        <w:t xml:space="preserve">river information stored in the Clearinghouse will remain active and available for query for </w:t>
      </w:r>
      <w:r w:rsidR="00EA7139">
        <w:t xml:space="preserve">up to </w:t>
      </w:r>
      <w:r w:rsidR="00645000">
        <w:t xml:space="preserve">five years from the date that </w:t>
      </w:r>
      <w:r w:rsidR="00721566">
        <w:t xml:space="preserve">a drug or </w:t>
      </w:r>
      <w:r w:rsidR="002D4D99">
        <w:t>alcohol violation</w:t>
      </w:r>
      <w:r w:rsidR="00645000">
        <w:t xml:space="preserve"> </w:t>
      </w:r>
      <w:r w:rsidR="00721566">
        <w:t xml:space="preserve">is </w:t>
      </w:r>
      <w:r w:rsidR="00EA7139">
        <w:t>reported to the Clearinghouse</w:t>
      </w:r>
      <w:r w:rsidR="00645000">
        <w:t xml:space="preserve">. </w:t>
      </w:r>
      <w:r w:rsidR="00A855E6">
        <w:t xml:space="preserve"> </w:t>
      </w:r>
      <w:r w:rsidR="009B498F">
        <w:t xml:space="preserve">Therefore, a limited query for a driver with a violation </w:t>
      </w:r>
      <w:r w:rsidR="00A855E6">
        <w:t>would continue to show up in</w:t>
      </w:r>
      <w:r w:rsidR="00721566">
        <w:t xml:space="preserve"> response to</w:t>
      </w:r>
      <w:r w:rsidR="00A855E6">
        <w:t xml:space="preserve"> a limited query for 5 years</w:t>
      </w:r>
      <w:r w:rsidR="00721566">
        <w:t xml:space="preserve">.  This will then require </w:t>
      </w:r>
      <w:r w:rsidR="002D4D99">
        <w:t>an employer</w:t>
      </w:r>
      <w:r w:rsidR="009B498F">
        <w:t xml:space="preserve"> to make a full query.</w:t>
      </w:r>
      <w:r w:rsidR="00A855E6">
        <w:t xml:space="preserve"> </w:t>
      </w:r>
      <w:r w:rsidR="00645000">
        <w:t>This result</w:t>
      </w:r>
      <w:r w:rsidR="00D93480">
        <w:t>s</w:t>
      </w:r>
      <w:r w:rsidR="00645000">
        <w:t xml:space="preserve"> </w:t>
      </w:r>
      <w:r w:rsidR="001B01E3">
        <w:t xml:space="preserve">in 361,000 </w:t>
      </w:r>
      <w:r w:rsidR="009B498F">
        <w:t xml:space="preserve">additional </w:t>
      </w:r>
      <w:r w:rsidR="00645000">
        <w:t>full queries (</w:t>
      </w:r>
      <w:r w:rsidR="001B01E3">
        <w:t xml:space="preserve">361,240 = </w:t>
      </w:r>
      <w:r w:rsidR="00E423A9">
        <w:t>72,248</w:t>
      </w:r>
      <w:r w:rsidR="00645000">
        <w:t xml:space="preserve"> x 5 years, rounded to the nearest thousand). </w:t>
      </w:r>
      <w:r w:rsidR="00DC46EC">
        <w:t xml:space="preserve">Given ten minutes (1/6th of an hour) for a driver to consent to release of information, the number of hours spent on driver consent is estimated to be </w:t>
      </w:r>
      <w:r w:rsidR="00E423A9">
        <w:t>60,167</w:t>
      </w:r>
      <w:r w:rsidR="00DC46EC">
        <w:t xml:space="preserve"> (</w:t>
      </w:r>
      <w:r w:rsidR="009B498F">
        <w:t xml:space="preserve">60,167 = </w:t>
      </w:r>
      <w:r w:rsidR="00E423A9">
        <w:t>361</w:t>
      </w:r>
      <w:r w:rsidR="00547E02">
        <w:t>,000</w:t>
      </w:r>
      <w:r w:rsidR="00DC46EC">
        <w:t xml:space="preserve"> queries x 1/6 hours per query</w:t>
      </w:r>
      <w:r w:rsidR="009B498F">
        <w:t>)</w:t>
      </w:r>
      <w:r w:rsidR="00DC46EC">
        <w:t>.</w:t>
      </w:r>
      <w:r w:rsidR="009B498F">
        <w:t xml:space="preserve">  The estimated cost to drivers required to consent to full queries is $2 million based on BLS estimated hourly wage for a truck driver of $29.07</w:t>
      </w:r>
      <w:r w:rsidR="00196906">
        <w:t xml:space="preserve"> per hour</w:t>
      </w:r>
      <w:r w:rsidR="009B498F">
        <w:t xml:space="preserve"> including fringe benefits and overhead ($</w:t>
      </w:r>
      <w:r w:rsidR="00A64EFE">
        <w:t>1,749,054</w:t>
      </w:r>
      <w:r w:rsidR="009B498F">
        <w:t xml:space="preserve"> million = 60,167 hours x $29.07</w:t>
      </w:r>
      <w:r w:rsidR="00196906">
        <w:t xml:space="preserve"> per hour</w:t>
      </w:r>
      <w:r w:rsidR="009B498F">
        <w:t xml:space="preserve">, rounded to the nearest million). </w:t>
      </w:r>
    </w:p>
    <w:p w:rsidR="00FF61B1" w:rsidRDefault="00FF61B1" w:rsidP="00B91B1F">
      <w:pPr>
        <w:pStyle w:val="ListParagraph"/>
        <w:tabs>
          <w:tab w:val="left" w:pos="2340"/>
        </w:tabs>
        <w:jc w:val="both"/>
      </w:pPr>
    </w:p>
    <w:p w:rsidR="00FF61B1" w:rsidRDefault="00B34648" w:rsidP="00B34648">
      <w:pPr>
        <w:tabs>
          <w:tab w:val="left" w:pos="2340"/>
        </w:tabs>
        <w:jc w:val="both"/>
      </w:pPr>
      <w:r>
        <w:t xml:space="preserve">IC9: </w:t>
      </w:r>
      <w:r w:rsidR="00FF61B1">
        <w:t>As described in Item 2</w:t>
      </w:r>
      <w:r w:rsidR="00FF61B1" w:rsidRPr="007D05D3">
        <w:t xml:space="preserve">, pre-employment queries are full queries that require </w:t>
      </w:r>
      <w:r w:rsidR="00540889">
        <w:t xml:space="preserve">the </w:t>
      </w:r>
      <w:r w:rsidR="00FF61B1" w:rsidRPr="007D05D3">
        <w:t>driver</w:t>
      </w:r>
      <w:r w:rsidR="00540889">
        <w:t>’s specific</w:t>
      </w:r>
      <w:r w:rsidR="00FF61B1" w:rsidRPr="007D05D3">
        <w:t xml:space="preserve"> consent</w:t>
      </w:r>
      <w:r w:rsidR="00540889">
        <w:t>,</w:t>
      </w:r>
      <w:r w:rsidR="00FF61B1" w:rsidRPr="007D05D3">
        <w:t xml:space="preserve"> </w:t>
      </w:r>
      <w:r w:rsidR="00540889">
        <w:t xml:space="preserve">transmitted electronically </w:t>
      </w:r>
      <w:r w:rsidR="00FF61B1" w:rsidRPr="007D05D3">
        <w:t>through the Clearinghouse</w:t>
      </w:r>
      <w:r w:rsidR="00540889">
        <w:t>,</w:t>
      </w:r>
      <w:r w:rsidR="00FF61B1" w:rsidRPr="007D05D3">
        <w:t xml:space="preserve"> before </w:t>
      </w:r>
      <w:r w:rsidR="006D4611">
        <w:t xml:space="preserve">the </w:t>
      </w:r>
      <w:r w:rsidR="00FF61B1" w:rsidRPr="007D05D3">
        <w:t xml:space="preserve">driver-specific </w:t>
      </w:r>
      <w:r w:rsidR="006D4611">
        <w:t>information</w:t>
      </w:r>
      <w:r w:rsidR="00FF61B1" w:rsidRPr="007D05D3">
        <w:t xml:space="preserve"> is made available to the employer</w:t>
      </w:r>
      <w:r w:rsidR="00FF61B1">
        <w:t xml:space="preserve">.  </w:t>
      </w:r>
      <w:r w:rsidR="00FF61B1" w:rsidRPr="007D05D3">
        <w:t xml:space="preserve"> FMCSA estimates that</w:t>
      </w:r>
      <w:r w:rsidR="00FF61B1">
        <w:t xml:space="preserve"> it will take </w:t>
      </w:r>
      <w:r w:rsidR="00FF61B1" w:rsidRPr="007D05D3">
        <w:t>a driver ten minutes (1/6th of an hour) to provide driver consent to release information. Given 1,996,328 pre-employment queries that require driver consent, the number of hours spent on consent verification is estimated at 33</w:t>
      </w:r>
      <w:r w:rsidR="00A64EFE">
        <w:t>0</w:t>
      </w:r>
      <w:r w:rsidR="00FF61B1" w:rsidRPr="007D05D3">
        <w:t>,</w:t>
      </w:r>
      <w:r w:rsidR="00A64EFE">
        <w:t>000</w:t>
      </w:r>
      <w:r w:rsidR="00FF61B1" w:rsidRPr="007D05D3">
        <w:t xml:space="preserve"> (</w:t>
      </w:r>
      <w:r w:rsidR="00196906" w:rsidRPr="007D05D3">
        <w:t xml:space="preserve">332,721 </w:t>
      </w:r>
      <w:r w:rsidR="00196906">
        <w:t xml:space="preserve">= </w:t>
      </w:r>
      <w:r w:rsidR="00FF61B1" w:rsidRPr="007D05D3">
        <w:t>1,996,328 queries x 1/6 hours per query</w:t>
      </w:r>
      <w:r w:rsidR="00A64EFE">
        <w:t>, rounded to the nearest thousand</w:t>
      </w:r>
      <w:r w:rsidR="00FF61B1" w:rsidRPr="007D05D3">
        <w:t>).</w:t>
      </w:r>
      <w:r w:rsidR="00196906">
        <w:t xml:space="preserve">  At a driver</w:t>
      </w:r>
      <w:r w:rsidR="006F5B05">
        <w:t>’</w:t>
      </w:r>
      <w:r w:rsidR="00196906">
        <w:t>s hourly wage of $29.07, the estimated cost of this task is $10 million ($9,67</w:t>
      </w:r>
      <w:r w:rsidR="00A64EFE">
        <w:t>2</w:t>
      </w:r>
      <w:r w:rsidR="00196906">
        <w:t>,</w:t>
      </w:r>
      <w:r w:rsidR="00A64EFE">
        <w:t xml:space="preserve">199 </w:t>
      </w:r>
      <w:r w:rsidR="00196906">
        <w:t>= 332,721 hours x $29.07 per hour, rounded to the nearest million).</w:t>
      </w:r>
    </w:p>
    <w:p w:rsidR="00A36283" w:rsidRDefault="00A36283" w:rsidP="00A36283">
      <w:pPr>
        <w:pStyle w:val="ListParagraph"/>
      </w:pPr>
    </w:p>
    <w:p w:rsidR="000D153A" w:rsidRDefault="00A36283" w:rsidP="00B34648">
      <w:pPr>
        <w:jc w:val="both"/>
      </w:pPr>
      <w:r>
        <w:t xml:space="preserve">The final rule requires SDLAs to request a driver’s information from the Clearinghouse prior to issuing, renewing, upgrading, or transferring a CDL to determine whether the driver is qualified to operate a CMV.  </w:t>
      </w:r>
      <w:r w:rsidR="0011097F">
        <w:t>However, the Agency has proposed a delay in the compliance date for the SDLAs’ query requirement, from January 6, 2020, to January 6, 2023</w:t>
      </w:r>
      <w:r w:rsidR="00CC4506">
        <w:t xml:space="preserve"> (84 FR 46923 (Sept. 6, 2019))</w:t>
      </w:r>
      <w:r w:rsidR="0011097F">
        <w:t xml:space="preserve">.  </w:t>
      </w:r>
    </w:p>
    <w:p w:rsidR="00DD3048" w:rsidRDefault="00DD3048" w:rsidP="00D67C87">
      <w:pPr>
        <w:ind w:left="720"/>
        <w:jc w:val="both"/>
      </w:pPr>
    </w:p>
    <w:p w:rsidR="000903F9" w:rsidRDefault="008849D0" w:rsidP="004015FC">
      <w:pPr>
        <w:jc w:val="both"/>
      </w:pPr>
      <w:r>
        <w:t>T</w:t>
      </w:r>
      <w:r w:rsidR="004015FC">
        <w:t xml:space="preserve">he table below </w:t>
      </w:r>
      <w:r w:rsidR="00547E02">
        <w:t xml:space="preserve">summarizes the </w:t>
      </w:r>
      <w:r w:rsidR="004015FC">
        <w:t xml:space="preserve">calculations </w:t>
      </w:r>
      <w:r w:rsidR="00D3273F">
        <w:t>described above.</w:t>
      </w:r>
    </w:p>
    <w:tbl>
      <w:tblPr>
        <w:tblW w:w="10615" w:type="dxa"/>
        <w:jc w:val="center"/>
        <w:tblLook w:val="04A0" w:firstRow="1" w:lastRow="0" w:firstColumn="1" w:lastColumn="0" w:noHBand="0" w:noVBand="1"/>
      </w:tblPr>
      <w:tblGrid>
        <w:gridCol w:w="680"/>
        <w:gridCol w:w="2195"/>
        <w:gridCol w:w="1094"/>
        <w:gridCol w:w="1216"/>
        <w:gridCol w:w="1407"/>
        <w:gridCol w:w="774"/>
        <w:gridCol w:w="1402"/>
        <w:gridCol w:w="718"/>
        <w:gridCol w:w="1129"/>
      </w:tblGrid>
      <w:tr w:rsidR="00A6745E" w:rsidRPr="005917B7" w:rsidTr="000903F9">
        <w:trPr>
          <w:trHeight w:val="585"/>
          <w:jc w:val="center"/>
        </w:trPr>
        <w:tc>
          <w:tcPr>
            <w:tcW w:w="10615" w:type="dxa"/>
            <w:gridSpan w:val="9"/>
            <w:tcBorders>
              <w:top w:val="single" w:sz="4" w:space="0" w:color="auto"/>
              <w:left w:val="single" w:sz="4" w:space="0" w:color="auto"/>
              <w:bottom w:val="single" w:sz="4" w:space="0" w:color="auto"/>
              <w:right w:val="single" w:sz="4" w:space="0" w:color="auto"/>
            </w:tcBorders>
            <w:shd w:val="clear" w:color="000000" w:fill="BFBFBF"/>
          </w:tcPr>
          <w:p w:rsidR="00A6745E" w:rsidRPr="005917B7" w:rsidRDefault="00A6745E" w:rsidP="005917B7">
            <w:pPr>
              <w:jc w:val="center"/>
              <w:rPr>
                <w:rFonts w:ascii="Arial Narrow" w:hAnsi="Arial Narrow"/>
                <w:b/>
                <w:bCs/>
                <w:color w:val="000000"/>
                <w:sz w:val="20"/>
                <w:szCs w:val="20"/>
              </w:rPr>
            </w:pPr>
            <w:r w:rsidRPr="005917B7">
              <w:rPr>
                <w:rFonts w:ascii="Arial Narrow" w:hAnsi="Arial Narrow"/>
                <w:b/>
                <w:bCs/>
                <w:color w:val="000000"/>
                <w:sz w:val="20"/>
                <w:szCs w:val="20"/>
              </w:rPr>
              <w:t>Total Annual Number of Burden Hours</w:t>
            </w:r>
            <w:r>
              <w:rPr>
                <w:rFonts w:ascii="Arial Narrow" w:hAnsi="Arial Narrow"/>
                <w:b/>
                <w:bCs/>
                <w:color w:val="000000"/>
                <w:sz w:val="20"/>
                <w:szCs w:val="20"/>
              </w:rPr>
              <w:t xml:space="preserve"> and Associated Cost by Task</w:t>
            </w:r>
            <w:r>
              <w:rPr>
                <w:rStyle w:val="FootnoteReference"/>
              </w:rPr>
              <w:footnoteReference w:id="2"/>
            </w:r>
          </w:p>
        </w:tc>
      </w:tr>
      <w:tr w:rsidR="00A6745E" w:rsidRPr="005917B7" w:rsidTr="000903F9">
        <w:trPr>
          <w:trHeight w:val="405"/>
          <w:jc w:val="center"/>
        </w:trPr>
        <w:tc>
          <w:tcPr>
            <w:tcW w:w="680" w:type="dxa"/>
            <w:tcBorders>
              <w:top w:val="nil"/>
              <w:left w:val="single" w:sz="4" w:space="0" w:color="auto"/>
              <w:bottom w:val="single" w:sz="4" w:space="0" w:color="auto"/>
              <w:right w:val="single" w:sz="4" w:space="0" w:color="auto"/>
            </w:tcBorders>
            <w:shd w:val="clear" w:color="000000" w:fill="BFBFBF"/>
          </w:tcPr>
          <w:p w:rsidR="00A6745E" w:rsidRPr="005917B7" w:rsidRDefault="00A6745E" w:rsidP="005917B7">
            <w:pPr>
              <w:jc w:val="center"/>
              <w:rPr>
                <w:rFonts w:ascii="Arial Narrow" w:hAnsi="Arial Narrow"/>
                <w:b/>
                <w:bCs/>
                <w:color w:val="000000"/>
                <w:sz w:val="18"/>
                <w:szCs w:val="18"/>
              </w:rPr>
            </w:pPr>
            <w:r>
              <w:rPr>
                <w:rFonts w:ascii="Arial Narrow" w:hAnsi="Arial Narrow"/>
                <w:b/>
                <w:bCs/>
                <w:color w:val="000000"/>
                <w:sz w:val="18"/>
                <w:szCs w:val="18"/>
              </w:rPr>
              <w:t>IC No.</w:t>
            </w:r>
          </w:p>
        </w:tc>
        <w:tc>
          <w:tcPr>
            <w:tcW w:w="2195" w:type="dxa"/>
            <w:tcBorders>
              <w:top w:val="nil"/>
              <w:left w:val="single" w:sz="4" w:space="0" w:color="auto"/>
              <w:bottom w:val="single" w:sz="4" w:space="0" w:color="auto"/>
              <w:right w:val="single" w:sz="4" w:space="0" w:color="auto"/>
            </w:tcBorders>
            <w:shd w:val="clear" w:color="000000" w:fill="BFBFBF"/>
            <w:noWrap/>
            <w:vAlign w:val="center"/>
            <w:hideMark/>
          </w:tcPr>
          <w:p w:rsidR="00A6745E" w:rsidRPr="005917B7" w:rsidRDefault="00A6745E" w:rsidP="005917B7">
            <w:pPr>
              <w:jc w:val="center"/>
              <w:rPr>
                <w:rFonts w:ascii="Arial Narrow" w:hAnsi="Arial Narrow"/>
                <w:b/>
                <w:bCs/>
                <w:color w:val="000000"/>
                <w:sz w:val="18"/>
                <w:szCs w:val="18"/>
              </w:rPr>
            </w:pPr>
            <w:r w:rsidRPr="005917B7">
              <w:rPr>
                <w:rFonts w:ascii="Arial Narrow" w:hAnsi="Arial Narrow"/>
                <w:b/>
                <w:bCs/>
                <w:color w:val="000000"/>
                <w:sz w:val="18"/>
                <w:szCs w:val="18"/>
              </w:rPr>
              <w:t>Submissions</w:t>
            </w:r>
          </w:p>
        </w:tc>
        <w:tc>
          <w:tcPr>
            <w:tcW w:w="1094" w:type="dxa"/>
            <w:tcBorders>
              <w:top w:val="nil"/>
              <w:left w:val="nil"/>
              <w:bottom w:val="single" w:sz="4" w:space="0" w:color="auto"/>
              <w:right w:val="single" w:sz="4" w:space="0" w:color="auto"/>
            </w:tcBorders>
            <w:shd w:val="clear" w:color="000000" w:fill="BFBFBF"/>
            <w:noWrap/>
            <w:vAlign w:val="center"/>
            <w:hideMark/>
          </w:tcPr>
          <w:p w:rsidR="00A6745E" w:rsidRPr="005917B7" w:rsidRDefault="00A6745E" w:rsidP="005917B7">
            <w:pPr>
              <w:jc w:val="center"/>
              <w:rPr>
                <w:rFonts w:ascii="Arial Narrow" w:hAnsi="Arial Narrow"/>
                <w:b/>
                <w:bCs/>
                <w:color w:val="000000"/>
                <w:sz w:val="18"/>
                <w:szCs w:val="18"/>
              </w:rPr>
            </w:pPr>
            <w:r w:rsidRPr="005917B7">
              <w:rPr>
                <w:rFonts w:ascii="Arial Narrow" w:hAnsi="Arial Narrow"/>
                <w:b/>
                <w:bCs/>
                <w:color w:val="000000"/>
                <w:sz w:val="18"/>
                <w:szCs w:val="18"/>
              </w:rPr>
              <w:t>Responsible</w:t>
            </w:r>
          </w:p>
        </w:tc>
        <w:tc>
          <w:tcPr>
            <w:tcW w:w="1216" w:type="dxa"/>
            <w:tcBorders>
              <w:top w:val="nil"/>
              <w:left w:val="nil"/>
              <w:bottom w:val="single" w:sz="4" w:space="0" w:color="auto"/>
              <w:right w:val="single" w:sz="4" w:space="0" w:color="auto"/>
            </w:tcBorders>
            <w:shd w:val="clear" w:color="000000" w:fill="BFBFBF"/>
            <w:noWrap/>
            <w:vAlign w:val="center"/>
            <w:hideMark/>
          </w:tcPr>
          <w:p w:rsidR="00A6745E" w:rsidRPr="005917B7" w:rsidRDefault="00A6745E" w:rsidP="005917B7">
            <w:pPr>
              <w:jc w:val="center"/>
              <w:rPr>
                <w:rFonts w:ascii="Arial Narrow" w:hAnsi="Arial Narrow"/>
                <w:b/>
                <w:bCs/>
                <w:color w:val="000000"/>
                <w:sz w:val="18"/>
                <w:szCs w:val="18"/>
              </w:rPr>
            </w:pPr>
            <w:r w:rsidRPr="005917B7">
              <w:rPr>
                <w:rFonts w:ascii="Arial Narrow" w:hAnsi="Arial Narrow"/>
                <w:b/>
                <w:bCs/>
                <w:color w:val="000000"/>
                <w:sz w:val="18"/>
                <w:szCs w:val="18"/>
              </w:rPr>
              <w:t>Performed by</w:t>
            </w:r>
          </w:p>
        </w:tc>
        <w:tc>
          <w:tcPr>
            <w:tcW w:w="1407" w:type="dxa"/>
            <w:tcBorders>
              <w:top w:val="nil"/>
              <w:left w:val="nil"/>
              <w:bottom w:val="single" w:sz="4" w:space="0" w:color="auto"/>
              <w:right w:val="single" w:sz="4" w:space="0" w:color="auto"/>
            </w:tcBorders>
            <w:shd w:val="clear" w:color="000000" w:fill="BFBFBF"/>
            <w:noWrap/>
            <w:vAlign w:val="center"/>
            <w:hideMark/>
          </w:tcPr>
          <w:p w:rsidR="00A6745E" w:rsidRPr="005917B7" w:rsidRDefault="00A6745E" w:rsidP="005917B7">
            <w:pPr>
              <w:jc w:val="center"/>
              <w:rPr>
                <w:rFonts w:ascii="Arial Narrow" w:hAnsi="Arial Narrow"/>
                <w:b/>
                <w:bCs/>
                <w:color w:val="000000"/>
                <w:sz w:val="18"/>
                <w:szCs w:val="18"/>
              </w:rPr>
            </w:pPr>
            <w:r w:rsidRPr="005917B7">
              <w:rPr>
                <w:rFonts w:ascii="Arial Narrow" w:hAnsi="Arial Narrow"/>
                <w:b/>
                <w:bCs/>
                <w:color w:val="000000"/>
                <w:sz w:val="18"/>
                <w:szCs w:val="18"/>
              </w:rPr>
              <w:t>Instances</w:t>
            </w:r>
          </w:p>
        </w:tc>
        <w:tc>
          <w:tcPr>
            <w:tcW w:w="774" w:type="dxa"/>
            <w:tcBorders>
              <w:top w:val="nil"/>
              <w:left w:val="nil"/>
              <w:bottom w:val="single" w:sz="4" w:space="0" w:color="auto"/>
              <w:right w:val="single" w:sz="4" w:space="0" w:color="auto"/>
            </w:tcBorders>
            <w:shd w:val="clear" w:color="000000" w:fill="BFBFBF"/>
            <w:noWrap/>
            <w:vAlign w:val="center"/>
            <w:hideMark/>
          </w:tcPr>
          <w:p w:rsidR="00A6745E" w:rsidRPr="005917B7" w:rsidRDefault="00A6745E" w:rsidP="005917B7">
            <w:pPr>
              <w:jc w:val="center"/>
              <w:rPr>
                <w:rFonts w:ascii="Arial Narrow" w:hAnsi="Arial Narrow"/>
                <w:b/>
                <w:bCs/>
                <w:color w:val="000000"/>
                <w:sz w:val="18"/>
                <w:szCs w:val="18"/>
              </w:rPr>
            </w:pPr>
            <w:r w:rsidRPr="005917B7">
              <w:rPr>
                <w:rFonts w:ascii="Arial Narrow" w:hAnsi="Arial Narrow"/>
                <w:b/>
                <w:bCs/>
                <w:color w:val="000000"/>
                <w:sz w:val="18"/>
                <w:szCs w:val="18"/>
              </w:rPr>
              <w:t>Minutes</w:t>
            </w:r>
          </w:p>
        </w:tc>
        <w:tc>
          <w:tcPr>
            <w:tcW w:w="1402" w:type="dxa"/>
            <w:tcBorders>
              <w:top w:val="nil"/>
              <w:left w:val="nil"/>
              <w:bottom w:val="single" w:sz="4" w:space="0" w:color="auto"/>
              <w:right w:val="single" w:sz="4" w:space="0" w:color="auto"/>
            </w:tcBorders>
            <w:shd w:val="clear" w:color="000000" w:fill="BFBFBF"/>
            <w:noWrap/>
            <w:vAlign w:val="center"/>
            <w:hideMark/>
          </w:tcPr>
          <w:p w:rsidR="00A6745E" w:rsidRPr="005917B7" w:rsidRDefault="00A6745E" w:rsidP="005917B7">
            <w:pPr>
              <w:jc w:val="center"/>
              <w:rPr>
                <w:rFonts w:ascii="Arial Narrow" w:hAnsi="Arial Narrow"/>
                <w:b/>
                <w:bCs/>
                <w:color w:val="000000"/>
                <w:sz w:val="18"/>
                <w:szCs w:val="18"/>
              </w:rPr>
            </w:pPr>
            <w:r w:rsidRPr="005917B7">
              <w:rPr>
                <w:rFonts w:ascii="Arial Narrow" w:hAnsi="Arial Narrow"/>
                <w:b/>
                <w:bCs/>
                <w:color w:val="000000"/>
                <w:sz w:val="18"/>
                <w:szCs w:val="18"/>
              </w:rPr>
              <w:t>Total Hours</w:t>
            </w:r>
          </w:p>
        </w:tc>
        <w:tc>
          <w:tcPr>
            <w:tcW w:w="718" w:type="dxa"/>
            <w:tcBorders>
              <w:top w:val="nil"/>
              <w:left w:val="nil"/>
              <w:bottom w:val="single" w:sz="4" w:space="0" w:color="auto"/>
              <w:right w:val="single" w:sz="4" w:space="0" w:color="auto"/>
            </w:tcBorders>
            <w:shd w:val="clear" w:color="000000" w:fill="BFBFBF"/>
          </w:tcPr>
          <w:p w:rsidR="00A6745E" w:rsidRPr="005917B7" w:rsidRDefault="00A6745E" w:rsidP="005917B7">
            <w:pPr>
              <w:jc w:val="center"/>
              <w:rPr>
                <w:rFonts w:ascii="Arial Narrow" w:hAnsi="Arial Narrow"/>
                <w:b/>
                <w:bCs/>
                <w:color w:val="000000"/>
                <w:sz w:val="18"/>
                <w:szCs w:val="18"/>
              </w:rPr>
            </w:pPr>
            <w:r>
              <w:rPr>
                <w:rFonts w:ascii="Arial Narrow" w:hAnsi="Arial Narrow"/>
                <w:b/>
                <w:bCs/>
                <w:color w:val="000000"/>
                <w:sz w:val="18"/>
                <w:szCs w:val="18"/>
              </w:rPr>
              <w:t>Hourly Wage</w:t>
            </w:r>
          </w:p>
        </w:tc>
        <w:tc>
          <w:tcPr>
            <w:tcW w:w="1129" w:type="dxa"/>
            <w:tcBorders>
              <w:top w:val="nil"/>
              <w:left w:val="nil"/>
              <w:bottom w:val="single" w:sz="4" w:space="0" w:color="auto"/>
              <w:right w:val="single" w:sz="4" w:space="0" w:color="auto"/>
            </w:tcBorders>
            <w:shd w:val="clear" w:color="000000" w:fill="BFBFBF"/>
          </w:tcPr>
          <w:p w:rsidR="00A6745E" w:rsidRPr="005917B7" w:rsidRDefault="00A6745E" w:rsidP="00A64EFE">
            <w:pPr>
              <w:jc w:val="center"/>
              <w:rPr>
                <w:rFonts w:ascii="Arial Narrow" w:hAnsi="Arial Narrow"/>
                <w:b/>
                <w:bCs/>
                <w:color w:val="000000"/>
                <w:sz w:val="18"/>
                <w:szCs w:val="18"/>
              </w:rPr>
            </w:pPr>
            <w:r>
              <w:rPr>
                <w:rFonts w:ascii="Arial Narrow" w:hAnsi="Arial Narrow"/>
                <w:b/>
                <w:bCs/>
                <w:color w:val="000000"/>
                <w:sz w:val="18"/>
                <w:szCs w:val="18"/>
              </w:rPr>
              <w:t>Total Cost</w:t>
            </w:r>
          </w:p>
        </w:tc>
      </w:tr>
      <w:tr w:rsidR="00A6745E" w:rsidRPr="005917B7"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Pr="005917B7" w:rsidRDefault="00A6745E" w:rsidP="005917B7">
            <w:pPr>
              <w:jc w:val="center"/>
              <w:rPr>
                <w:rFonts w:ascii="Arial Narrow" w:hAnsi="Arial Narrow"/>
                <w:b/>
                <w:bCs/>
                <w:color w:val="000000"/>
                <w:sz w:val="18"/>
                <w:szCs w:val="18"/>
              </w:rPr>
            </w:pPr>
            <w:r>
              <w:rPr>
                <w:rFonts w:ascii="Arial Narrow" w:hAnsi="Arial Narrow"/>
                <w:b/>
                <w:bCs/>
                <w:color w:val="000000"/>
                <w:sz w:val="18"/>
                <w:szCs w:val="18"/>
              </w:rPr>
              <w:t>IC1</w:t>
            </w:r>
          </w:p>
        </w:tc>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A6745E" w:rsidRPr="005917B7" w:rsidRDefault="00A6745E" w:rsidP="005917B7">
            <w:pPr>
              <w:jc w:val="center"/>
              <w:rPr>
                <w:rFonts w:ascii="Arial Narrow" w:hAnsi="Arial Narrow"/>
                <w:b/>
                <w:bCs/>
                <w:color w:val="000000"/>
                <w:sz w:val="18"/>
                <w:szCs w:val="18"/>
              </w:rPr>
            </w:pPr>
            <w:r w:rsidRPr="005917B7">
              <w:rPr>
                <w:rFonts w:ascii="Arial Narrow" w:hAnsi="Arial Narrow"/>
                <w:b/>
                <w:bCs/>
                <w:color w:val="000000"/>
                <w:sz w:val="18"/>
                <w:szCs w:val="18"/>
              </w:rPr>
              <w:t>Annual Queries</w:t>
            </w:r>
          </w:p>
        </w:tc>
        <w:tc>
          <w:tcPr>
            <w:tcW w:w="1094" w:type="dxa"/>
            <w:tcBorders>
              <w:top w:val="nil"/>
              <w:left w:val="nil"/>
              <w:bottom w:val="single" w:sz="4" w:space="0" w:color="auto"/>
              <w:right w:val="single" w:sz="4" w:space="0" w:color="auto"/>
            </w:tcBorders>
            <w:shd w:val="clear" w:color="auto" w:fill="auto"/>
            <w:noWrap/>
            <w:vAlign w:val="center"/>
          </w:tcPr>
          <w:p w:rsidR="00A6745E" w:rsidRPr="005917B7" w:rsidRDefault="00A6745E" w:rsidP="005917B7">
            <w:pPr>
              <w:jc w:val="center"/>
              <w:rPr>
                <w:rFonts w:ascii="Arial Narrow" w:hAnsi="Arial Narrow"/>
                <w:color w:val="000000"/>
                <w:sz w:val="18"/>
                <w:szCs w:val="18"/>
              </w:rPr>
            </w:pPr>
            <w:r w:rsidRPr="005917B7">
              <w:rPr>
                <w:rFonts w:ascii="Arial Narrow" w:hAnsi="Arial Narrow"/>
                <w:color w:val="000000"/>
                <w:sz w:val="18"/>
                <w:szCs w:val="18"/>
              </w:rPr>
              <w:t>Employer</w:t>
            </w:r>
          </w:p>
        </w:tc>
        <w:tc>
          <w:tcPr>
            <w:tcW w:w="1216"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5917B7">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5917B7">
            <w:pPr>
              <w:jc w:val="center"/>
              <w:rPr>
                <w:rFonts w:ascii="Arial Narrow" w:hAnsi="Arial Narrow"/>
                <w:color w:val="000000"/>
                <w:sz w:val="18"/>
                <w:szCs w:val="18"/>
              </w:rPr>
            </w:pPr>
            <w:r w:rsidRPr="005917B7">
              <w:rPr>
                <w:rFonts w:ascii="Arial Narrow" w:hAnsi="Arial Narrow"/>
                <w:color w:val="000000"/>
                <w:sz w:val="18"/>
                <w:szCs w:val="18"/>
              </w:rPr>
              <w:t>5,200,000</w:t>
            </w:r>
          </w:p>
        </w:tc>
        <w:tc>
          <w:tcPr>
            <w:tcW w:w="77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5917B7">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1648C1">
            <w:pPr>
              <w:jc w:val="center"/>
              <w:rPr>
                <w:rFonts w:ascii="Arial Narrow" w:hAnsi="Arial Narrow"/>
                <w:color w:val="000000"/>
                <w:sz w:val="18"/>
                <w:szCs w:val="18"/>
              </w:rPr>
            </w:pPr>
            <w:r w:rsidRPr="005917B7">
              <w:rPr>
                <w:rFonts w:ascii="Arial Narrow" w:hAnsi="Arial Narrow"/>
                <w:color w:val="000000"/>
                <w:sz w:val="18"/>
                <w:szCs w:val="18"/>
              </w:rPr>
              <w:t>86</w:t>
            </w:r>
            <w:r w:rsidR="00055B9B">
              <w:rPr>
                <w:rFonts w:ascii="Arial Narrow" w:hAnsi="Arial Narrow"/>
                <w:color w:val="000000"/>
                <w:sz w:val="18"/>
                <w:szCs w:val="18"/>
              </w:rPr>
              <w:t>6,667</w:t>
            </w:r>
          </w:p>
        </w:tc>
        <w:tc>
          <w:tcPr>
            <w:tcW w:w="718" w:type="dxa"/>
            <w:tcBorders>
              <w:top w:val="nil"/>
              <w:left w:val="nil"/>
              <w:bottom w:val="single" w:sz="4" w:space="0" w:color="auto"/>
              <w:right w:val="single" w:sz="4" w:space="0" w:color="auto"/>
            </w:tcBorders>
            <w:vAlign w:val="center"/>
          </w:tcPr>
          <w:p w:rsidR="00A6745E" w:rsidRPr="005917B7" w:rsidRDefault="00A6745E" w:rsidP="00B91B1F">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A6745E" w:rsidRPr="005917B7" w:rsidRDefault="00A6745E" w:rsidP="00B91B1F">
            <w:pPr>
              <w:jc w:val="center"/>
              <w:rPr>
                <w:rFonts w:ascii="Arial Narrow" w:hAnsi="Arial Narrow"/>
                <w:color w:val="000000"/>
                <w:sz w:val="18"/>
                <w:szCs w:val="18"/>
              </w:rPr>
            </w:pPr>
            <w:r>
              <w:rPr>
                <w:rFonts w:ascii="Arial Narrow" w:hAnsi="Arial Narrow"/>
                <w:color w:val="000000"/>
                <w:sz w:val="18"/>
                <w:szCs w:val="18"/>
              </w:rPr>
              <w:t>$29,000,000</w:t>
            </w:r>
          </w:p>
        </w:tc>
      </w:tr>
      <w:tr w:rsidR="00A6745E" w:rsidRPr="005917B7"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Pr="005917B7" w:rsidRDefault="00A6745E" w:rsidP="00A6745E">
            <w:pPr>
              <w:jc w:val="center"/>
              <w:rPr>
                <w:rFonts w:ascii="Arial Narrow" w:hAnsi="Arial Narrow"/>
                <w:b/>
                <w:bCs/>
                <w:color w:val="000000"/>
                <w:sz w:val="18"/>
                <w:szCs w:val="18"/>
              </w:rPr>
            </w:pPr>
            <w:r w:rsidRPr="00F70D38">
              <w:rPr>
                <w:rFonts w:ascii="Arial Narrow" w:hAnsi="Arial Narrow"/>
                <w:b/>
                <w:bCs/>
                <w:color w:val="000000"/>
                <w:sz w:val="18"/>
                <w:szCs w:val="18"/>
              </w:rPr>
              <w:t>IC</w:t>
            </w:r>
            <w:r>
              <w:rPr>
                <w:rFonts w:ascii="Arial Narrow" w:hAnsi="Arial Narrow"/>
                <w:b/>
                <w:bCs/>
                <w:color w:val="000000"/>
                <w:sz w:val="18"/>
                <w:szCs w:val="18"/>
              </w:rPr>
              <w:t>2</w:t>
            </w:r>
          </w:p>
        </w:tc>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b/>
                <w:bCs/>
                <w:color w:val="000000"/>
                <w:sz w:val="18"/>
                <w:szCs w:val="18"/>
              </w:rPr>
            </w:pPr>
            <w:r w:rsidRPr="005917B7">
              <w:rPr>
                <w:rFonts w:ascii="Arial Narrow" w:hAnsi="Arial Narrow"/>
                <w:b/>
                <w:bCs/>
                <w:color w:val="000000"/>
                <w:sz w:val="18"/>
                <w:szCs w:val="18"/>
              </w:rPr>
              <w:t>Pre-Employment Queries</w:t>
            </w:r>
          </w:p>
        </w:tc>
        <w:tc>
          <w:tcPr>
            <w:tcW w:w="1094" w:type="dxa"/>
            <w:tcBorders>
              <w:top w:val="nil"/>
              <w:left w:val="nil"/>
              <w:bottom w:val="single" w:sz="4" w:space="0" w:color="auto"/>
              <w:right w:val="single" w:sz="4" w:space="0" w:color="auto"/>
            </w:tcBorders>
            <w:shd w:val="clear" w:color="auto" w:fill="auto"/>
            <w:noWrap/>
            <w:vAlign w:val="center"/>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Employer</w:t>
            </w:r>
          </w:p>
        </w:tc>
        <w:tc>
          <w:tcPr>
            <w:tcW w:w="1216"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1,996,328</w:t>
            </w:r>
          </w:p>
        </w:tc>
        <w:tc>
          <w:tcPr>
            <w:tcW w:w="77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33</w:t>
            </w:r>
            <w:r w:rsidR="00055B9B">
              <w:rPr>
                <w:rFonts w:ascii="Arial Narrow" w:hAnsi="Arial Narrow"/>
                <w:color w:val="000000"/>
                <w:sz w:val="18"/>
                <w:szCs w:val="18"/>
              </w:rPr>
              <w:t>2,721</w:t>
            </w:r>
          </w:p>
        </w:tc>
        <w:tc>
          <w:tcPr>
            <w:tcW w:w="718"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$11,000,000</w:t>
            </w:r>
          </w:p>
        </w:tc>
      </w:tr>
      <w:tr w:rsidR="00A6745E" w:rsidRPr="005917B7"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Pr="005917B7" w:rsidRDefault="00A6745E" w:rsidP="00A6745E">
            <w:pPr>
              <w:jc w:val="center"/>
              <w:rPr>
                <w:rFonts w:ascii="Arial Narrow" w:hAnsi="Arial Narrow"/>
                <w:b/>
                <w:bCs/>
                <w:color w:val="000000"/>
                <w:sz w:val="18"/>
                <w:szCs w:val="18"/>
              </w:rPr>
            </w:pPr>
            <w:r w:rsidRPr="00F70D38">
              <w:rPr>
                <w:rFonts w:ascii="Arial Narrow" w:hAnsi="Arial Narrow"/>
                <w:b/>
                <w:bCs/>
                <w:color w:val="000000"/>
                <w:sz w:val="18"/>
                <w:szCs w:val="18"/>
              </w:rPr>
              <w:t>IC</w:t>
            </w:r>
            <w:r>
              <w:rPr>
                <w:rFonts w:ascii="Arial Narrow" w:hAnsi="Arial Narrow"/>
                <w:b/>
                <w:bCs/>
                <w:color w:val="000000"/>
                <w:sz w:val="18"/>
                <w:szCs w:val="18"/>
              </w:rPr>
              <w:t>3</w:t>
            </w:r>
          </w:p>
        </w:tc>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b/>
                <w:bCs/>
                <w:color w:val="000000"/>
                <w:sz w:val="18"/>
                <w:szCs w:val="18"/>
              </w:rPr>
            </w:pPr>
            <w:r w:rsidRPr="005917B7">
              <w:rPr>
                <w:rFonts w:ascii="Arial Narrow" w:hAnsi="Arial Narrow"/>
                <w:b/>
                <w:bCs/>
                <w:color w:val="000000"/>
                <w:sz w:val="18"/>
                <w:szCs w:val="18"/>
              </w:rPr>
              <w:t>Designate C/TPAs</w:t>
            </w:r>
          </w:p>
        </w:tc>
        <w:tc>
          <w:tcPr>
            <w:tcW w:w="1094" w:type="dxa"/>
            <w:tcBorders>
              <w:top w:val="nil"/>
              <w:left w:val="nil"/>
              <w:bottom w:val="single" w:sz="4" w:space="0" w:color="auto"/>
              <w:right w:val="single" w:sz="4" w:space="0" w:color="auto"/>
            </w:tcBorders>
            <w:shd w:val="clear" w:color="auto" w:fill="auto"/>
            <w:noWrap/>
            <w:vAlign w:val="center"/>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Employer</w:t>
            </w:r>
          </w:p>
        </w:tc>
        <w:tc>
          <w:tcPr>
            <w:tcW w:w="1216"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520,000</w:t>
            </w:r>
          </w:p>
        </w:tc>
        <w:tc>
          <w:tcPr>
            <w:tcW w:w="77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8</w:t>
            </w:r>
            <w:r w:rsidR="00055B9B">
              <w:rPr>
                <w:rFonts w:ascii="Arial Narrow" w:hAnsi="Arial Narrow"/>
                <w:color w:val="000000"/>
                <w:sz w:val="18"/>
                <w:szCs w:val="18"/>
              </w:rPr>
              <w:t>6,667</w:t>
            </w:r>
          </w:p>
        </w:tc>
        <w:tc>
          <w:tcPr>
            <w:tcW w:w="718"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$3,000,000</w:t>
            </w:r>
          </w:p>
        </w:tc>
      </w:tr>
      <w:tr w:rsidR="00A6745E" w:rsidRPr="005917B7" w:rsidTr="000903F9">
        <w:trPr>
          <w:trHeight w:val="555"/>
          <w:jc w:val="center"/>
        </w:trPr>
        <w:tc>
          <w:tcPr>
            <w:tcW w:w="680" w:type="dxa"/>
            <w:tcBorders>
              <w:top w:val="nil"/>
              <w:left w:val="single" w:sz="4" w:space="0" w:color="auto"/>
              <w:bottom w:val="single" w:sz="4" w:space="0" w:color="auto"/>
              <w:right w:val="single" w:sz="4" w:space="0" w:color="auto"/>
            </w:tcBorders>
          </w:tcPr>
          <w:p w:rsidR="00A6745E" w:rsidRPr="005917B7" w:rsidRDefault="00A6745E" w:rsidP="00A6745E">
            <w:pPr>
              <w:jc w:val="center"/>
              <w:rPr>
                <w:rFonts w:ascii="Arial Narrow" w:hAnsi="Arial Narrow"/>
                <w:b/>
                <w:bCs/>
                <w:color w:val="000000"/>
                <w:sz w:val="18"/>
                <w:szCs w:val="18"/>
              </w:rPr>
            </w:pPr>
            <w:r w:rsidRPr="00F70D38">
              <w:rPr>
                <w:rFonts w:ascii="Arial Narrow" w:hAnsi="Arial Narrow"/>
                <w:b/>
                <w:bCs/>
                <w:color w:val="000000"/>
                <w:sz w:val="18"/>
                <w:szCs w:val="18"/>
              </w:rPr>
              <w:t>IC</w:t>
            </w:r>
            <w:r>
              <w:rPr>
                <w:rFonts w:ascii="Arial Narrow" w:hAnsi="Arial Narrow"/>
                <w:b/>
                <w:bCs/>
                <w:color w:val="000000"/>
                <w:sz w:val="18"/>
                <w:szCs w:val="18"/>
              </w:rPr>
              <w:t>4</w:t>
            </w:r>
          </w:p>
        </w:tc>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b/>
                <w:bCs/>
                <w:color w:val="000000"/>
                <w:sz w:val="18"/>
                <w:szCs w:val="18"/>
              </w:rPr>
            </w:pPr>
            <w:r w:rsidRPr="005917B7">
              <w:rPr>
                <w:rFonts w:ascii="Arial Narrow" w:hAnsi="Arial Narrow"/>
                <w:b/>
                <w:bCs/>
                <w:color w:val="000000"/>
                <w:sz w:val="18"/>
                <w:szCs w:val="18"/>
              </w:rPr>
              <w:t>SAPs Report Driver Information Following Initial Assessment</w:t>
            </w:r>
          </w:p>
        </w:tc>
        <w:tc>
          <w:tcPr>
            <w:tcW w:w="109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SAPs</w:t>
            </w:r>
          </w:p>
        </w:tc>
        <w:tc>
          <w:tcPr>
            <w:tcW w:w="1216" w:type="dxa"/>
            <w:tcBorders>
              <w:top w:val="nil"/>
              <w:left w:val="nil"/>
              <w:bottom w:val="single" w:sz="4" w:space="0" w:color="auto"/>
              <w:right w:val="single" w:sz="4" w:space="0" w:color="auto"/>
            </w:tcBorders>
            <w:shd w:val="clear" w:color="auto" w:fill="auto"/>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Occupational Health Specialist</w:t>
            </w:r>
          </w:p>
        </w:tc>
        <w:tc>
          <w:tcPr>
            <w:tcW w:w="1407"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55,580</w:t>
            </w:r>
          </w:p>
        </w:tc>
        <w:tc>
          <w:tcPr>
            <w:tcW w:w="77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A6745E" w:rsidRPr="005917B7" w:rsidRDefault="00F21274" w:rsidP="00A6745E">
            <w:pPr>
              <w:jc w:val="center"/>
              <w:rPr>
                <w:rFonts w:ascii="Arial Narrow" w:hAnsi="Arial Narrow"/>
                <w:color w:val="000000"/>
                <w:sz w:val="18"/>
                <w:szCs w:val="18"/>
              </w:rPr>
            </w:pPr>
            <w:r>
              <w:rPr>
                <w:rFonts w:ascii="Arial Narrow" w:hAnsi="Arial Narrow"/>
                <w:color w:val="000000"/>
                <w:sz w:val="18"/>
                <w:szCs w:val="18"/>
              </w:rPr>
              <w:t>9,263</w:t>
            </w:r>
          </w:p>
        </w:tc>
        <w:tc>
          <w:tcPr>
            <w:tcW w:w="718"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$64.65</w:t>
            </w:r>
          </w:p>
        </w:tc>
        <w:tc>
          <w:tcPr>
            <w:tcW w:w="1129"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$600,000</w:t>
            </w:r>
          </w:p>
        </w:tc>
      </w:tr>
      <w:tr w:rsidR="00A6745E" w:rsidRPr="005917B7"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Pr="005917B7" w:rsidRDefault="00A6745E" w:rsidP="00A6745E">
            <w:pPr>
              <w:jc w:val="center"/>
              <w:rPr>
                <w:rFonts w:ascii="Arial Narrow" w:hAnsi="Arial Narrow"/>
                <w:b/>
                <w:bCs/>
                <w:color w:val="000000"/>
                <w:sz w:val="18"/>
                <w:szCs w:val="18"/>
              </w:rPr>
            </w:pPr>
            <w:r w:rsidRPr="00F70D38">
              <w:rPr>
                <w:rFonts w:ascii="Arial Narrow" w:hAnsi="Arial Narrow"/>
                <w:b/>
                <w:bCs/>
                <w:color w:val="000000"/>
                <w:sz w:val="18"/>
                <w:szCs w:val="18"/>
              </w:rPr>
              <w:t>IC</w:t>
            </w:r>
            <w:r>
              <w:rPr>
                <w:rFonts w:ascii="Arial Narrow" w:hAnsi="Arial Narrow"/>
                <w:b/>
                <w:bCs/>
                <w:color w:val="000000"/>
                <w:sz w:val="18"/>
                <w:szCs w:val="18"/>
              </w:rPr>
              <w:t>5</w:t>
            </w:r>
          </w:p>
        </w:tc>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b/>
                <w:bCs/>
                <w:color w:val="000000"/>
                <w:sz w:val="18"/>
                <w:szCs w:val="18"/>
              </w:rPr>
            </w:pPr>
            <w:r w:rsidRPr="005917B7">
              <w:rPr>
                <w:rFonts w:ascii="Arial Narrow" w:hAnsi="Arial Narrow"/>
                <w:b/>
                <w:bCs/>
                <w:color w:val="000000"/>
                <w:sz w:val="18"/>
                <w:szCs w:val="18"/>
              </w:rPr>
              <w:t>Report/Notify Positive Tests</w:t>
            </w:r>
            <w:r>
              <w:rPr>
                <w:rFonts w:ascii="Arial Narrow" w:hAnsi="Arial Narrow"/>
                <w:b/>
                <w:bCs/>
                <w:color w:val="000000"/>
                <w:sz w:val="18"/>
                <w:szCs w:val="18"/>
              </w:rPr>
              <w:t>/Other Violations</w:t>
            </w:r>
          </w:p>
        </w:tc>
        <w:tc>
          <w:tcPr>
            <w:tcW w:w="109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Various</w:t>
            </w:r>
          </w:p>
        </w:tc>
        <w:tc>
          <w:tcPr>
            <w:tcW w:w="1216"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117,000</w:t>
            </w:r>
          </w:p>
        </w:tc>
        <w:tc>
          <w:tcPr>
            <w:tcW w:w="77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hideMark/>
          </w:tcPr>
          <w:p w:rsidR="00A6745E" w:rsidRPr="005917B7" w:rsidRDefault="00F21274" w:rsidP="00A6745E">
            <w:pPr>
              <w:jc w:val="center"/>
              <w:rPr>
                <w:rFonts w:ascii="Arial Narrow" w:hAnsi="Arial Narrow"/>
                <w:color w:val="000000"/>
                <w:sz w:val="18"/>
                <w:szCs w:val="18"/>
              </w:rPr>
            </w:pPr>
            <w:r>
              <w:rPr>
                <w:rFonts w:ascii="Arial Narrow" w:hAnsi="Arial Narrow"/>
                <w:color w:val="000000"/>
                <w:sz w:val="18"/>
                <w:szCs w:val="18"/>
              </w:rPr>
              <w:t>19,500</w:t>
            </w:r>
          </w:p>
        </w:tc>
        <w:tc>
          <w:tcPr>
            <w:tcW w:w="718"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$700,000</w:t>
            </w:r>
          </w:p>
        </w:tc>
      </w:tr>
      <w:tr w:rsidR="00A6745E" w:rsidRPr="005917B7"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Pr="005917B7" w:rsidRDefault="00A6745E" w:rsidP="00A6745E">
            <w:pPr>
              <w:jc w:val="center"/>
              <w:rPr>
                <w:rFonts w:ascii="Arial Narrow" w:hAnsi="Arial Narrow"/>
                <w:b/>
                <w:bCs/>
                <w:color w:val="000000"/>
                <w:sz w:val="18"/>
                <w:szCs w:val="18"/>
              </w:rPr>
            </w:pPr>
            <w:r w:rsidRPr="00F70D38">
              <w:rPr>
                <w:rFonts w:ascii="Arial Narrow" w:hAnsi="Arial Narrow"/>
                <w:b/>
                <w:bCs/>
                <w:color w:val="000000"/>
                <w:sz w:val="18"/>
                <w:szCs w:val="18"/>
              </w:rPr>
              <w:t>IC</w:t>
            </w:r>
            <w:r>
              <w:rPr>
                <w:rFonts w:ascii="Arial Narrow" w:hAnsi="Arial Narrow"/>
                <w:b/>
                <w:bCs/>
                <w:color w:val="000000"/>
                <w:sz w:val="18"/>
                <w:szCs w:val="18"/>
              </w:rPr>
              <w:t>6</w:t>
            </w:r>
          </w:p>
        </w:tc>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b/>
                <w:bCs/>
                <w:color w:val="000000"/>
                <w:sz w:val="18"/>
                <w:szCs w:val="18"/>
              </w:rPr>
            </w:pPr>
            <w:r w:rsidRPr="005917B7">
              <w:rPr>
                <w:rFonts w:ascii="Arial Narrow" w:hAnsi="Arial Narrow"/>
                <w:b/>
                <w:bCs/>
                <w:color w:val="000000"/>
                <w:sz w:val="18"/>
                <w:szCs w:val="18"/>
              </w:rPr>
              <w:t xml:space="preserve">Register / Familiarize </w:t>
            </w:r>
          </w:p>
        </w:tc>
        <w:tc>
          <w:tcPr>
            <w:tcW w:w="109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Various</w:t>
            </w:r>
          </w:p>
        </w:tc>
        <w:tc>
          <w:tcPr>
            <w:tcW w:w="1216"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sidRPr="005917B7">
              <w:rPr>
                <w:rFonts w:ascii="Arial Narrow" w:hAnsi="Arial Narrow"/>
                <w:color w:val="000000"/>
                <w:sz w:val="18"/>
                <w:szCs w:val="18"/>
              </w:rPr>
              <w:t>Bookkeeping Clerk</w:t>
            </w:r>
          </w:p>
        </w:tc>
        <w:tc>
          <w:tcPr>
            <w:tcW w:w="1407"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137,750</w:t>
            </w:r>
          </w:p>
        </w:tc>
        <w:tc>
          <w:tcPr>
            <w:tcW w:w="77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20</w:t>
            </w:r>
          </w:p>
        </w:tc>
        <w:tc>
          <w:tcPr>
            <w:tcW w:w="1402"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45,917</w:t>
            </w:r>
          </w:p>
        </w:tc>
        <w:tc>
          <w:tcPr>
            <w:tcW w:w="718"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$34.02</w:t>
            </w:r>
          </w:p>
        </w:tc>
        <w:tc>
          <w:tcPr>
            <w:tcW w:w="1129"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$1,000,000</w:t>
            </w:r>
          </w:p>
        </w:tc>
      </w:tr>
      <w:tr w:rsidR="00A6745E" w:rsidRPr="00B91B1F"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Default="00A6745E" w:rsidP="00A6745E">
            <w:pPr>
              <w:jc w:val="center"/>
              <w:rPr>
                <w:rFonts w:ascii="Arial Narrow" w:hAnsi="Arial Narrow"/>
                <w:b/>
                <w:bCs/>
                <w:color w:val="000000"/>
                <w:sz w:val="18"/>
                <w:szCs w:val="18"/>
              </w:rPr>
            </w:pPr>
            <w:r w:rsidRPr="00F70D38">
              <w:rPr>
                <w:rFonts w:ascii="Arial Narrow" w:hAnsi="Arial Narrow"/>
                <w:b/>
                <w:bCs/>
                <w:color w:val="000000"/>
                <w:sz w:val="18"/>
                <w:szCs w:val="18"/>
              </w:rPr>
              <w:t>IC</w:t>
            </w:r>
            <w:r>
              <w:rPr>
                <w:rFonts w:ascii="Arial Narrow" w:hAnsi="Arial Narrow"/>
                <w:b/>
                <w:bCs/>
                <w:color w:val="000000"/>
                <w:sz w:val="18"/>
                <w:szCs w:val="18"/>
              </w:rPr>
              <w:t>7</w:t>
            </w:r>
          </w:p>
        </w:tc>
        <w:tc>
          <w:tcPr>
            <w:tcW w:w="2195" w:type="dxa"/>
            <w:tcBorders>
              <w:top w:val="nil"/>
              <w:left w:val="single" w:sz="4" w:space="0" w:color="auto"/>
              <w:bottom w:val="single" w:sz="4" w:space="0" w:color="auto"/>
              <w:right w:val="single" w:sz="4" w:space="0" w:color="auto"/>
            </w:tcBorders>
            <w:shd w:val="clear" w:color="auto" w:fill="auto"/>
            <w:noWrap/>
            <w:vAlign w:val="bottom"/>
          </w:tcPr>
          <w:p w:rsidR="00A6745E" w:rsidRPr="005917B7" w:rsidRDefault="00A6745E" w:rsidP="00A6745E">
            <w:pPr>
              <w:jc w:val="center"/>
              <w:rPr>
                <w:rFonts w:ascii="Arial Narrow" w:hAnsi="Arial Narrow"/>
                <w:b/>
                <w:bCs/>
                <w:color w:val="000000"/>
                <w:sz w:val="18"/>
                <w:szCs w:val="18"/>
              </w:rPr>
            </w:pPr>
            <w:r>
              <w:rPr>
                <w:rFonts w:ascii="Arial Narrow" w:hAnsi="Arial Narrow"/>
                <w:b/>
                <w:bCs/>
                <w:color w:val="000000"/>
                <w:sz w:val="18"/>
                <w:szCs w:val="18"/>
              </w:rPr>
              <w:t>Authorization Verification</w:t>
            </w:r>
          </w:p>
        </w:tc>
        <w:tc>
          <w:tcPr>
            <w:tcW w:w="1094" w:type="dxa"/>
            <w:tcBorders>
              <w:top w:val="nil"/>
              <w:left w:val="nil"/>
              <w:bottom w:val="single" w:sz="4" w:space="0" w:color="auto"/>
              <w:right w:val="single" w:sz="4" w:space="0" w:color="auto"/>
            </w:tcBorders>
            <w:shd w:val="clear" w:color="auto" w:fill="auto"/>
            <w:noWrap/>
            <w:vAlign w:val="center"/>
          </w:tcPr>
          <w:p w:rsidR="00A6745E" w:rsidRDefault="00A6745E" w:rsidP="00A6745E">
            <w:pPr>
              <w:jc w:val="center"/>
              <w:rPr>
                <w:rFonts w:ascii="Arial Narrow" w:hAnsi="Arial Narrow"/>
                <w:color w:val="000000"/>
                <w:sz w:val="18"/>
                <w:szCs w:val="18"/>
              </w:rPr>
            </w:pPr>
            <w:r>
              <w:rPr>
                <w:rFonts w:ascii="Arial Narrow" w:hAnsi="Arial Narrow"/>
                <w:color w:val="000000"/>
                <w:sz w:val="18"/>
                <w:szCs w:val="18"/>
              </w:rPr>
              <w:t>Various</w:t>
            </w:r>
          </w:p>
        </w:tc>
        <w:tc>
          <w:tcPr>
            <w:tcW w:w="1216" w:type="dxa"/>
            <w:tcBorders>
              <w:top w:val="nil"/>
              <w:left w:val="nil"/>
              <w:bottom w:val="single" w:sz="4" w:space="0" w:color="auto"/>
              <w:right w:val="single" w:sz="4" w:space="0" w:color="auto"/>
            </w:tcBorders>
            <w:shd w:val="clear" w:color="auto" w:fill="auto"/>
            <w:noWrap/>
            <w:vAlign w:val="center"/>
          </w:tcPr>
          <w:p w:rsidR="00A6745E" w:rsidRDefault="00A6745E" w:rsidP="00A6745E">
            <w:pPr>
              <w:jc w:val="center"/>
              <w:rPr>
                <w:rFonts w:ascii="Arial Narrow" w:hAnsi="Arial Narrow"/>
                <w:color w:val="000000"/>
                <w:sz w:val="18"/>
                <w:szCs w:val="18"/>
              </w:rPr>
            </w:pPr>
          </w:p>
        </w:tc>
        <w:tc>
          <w:tcPr>
            <w:tcW w:w="1407" w:type="dxa"/>
            <w:tcBorders>
              <w:top w:val="nil"/>
              <w:left w:val="nil"/>
              <w:bottom w:val="single" w:sz="4" w:space="0" w:color="auto"/>
              <w:right w:val="single" w:sz="4" w:space="0" w:color="auto"/>
            </w:tcBorders>
            <w:shd w:val="clear" w:color="auto" w:fill="auto"/>
            <w:noWrap/>
            <w:vAlign w:val="center"/>
          </w:tcPr>
          <w:p w:rsidR="00A6745E" w:rsidRDefault="00A6745E" w:rsidP="00A6745E">
            <w:pPr>
              <w:jc w:val="center"/>
              <w:rPr>
                <w:rFonts w:ascii="Arial Narrow" w:hAnsi="Arial Narrow"/>
                <w:color w:val="000000"/>
                <w:sz w:val="18"/>
                <w:szCs w:val="18"/>
              </w:rPr>
            </w:pPr>
            <w:r>
              <w:rPr>
                <w:rFonts w:ascii="Arial Narrow" w:hAnsi="Arial Narrow"/>
                <w:color w:val="000000"/>
                <w:sz w:val="18"/>
                <w:szCs w:val="18"/>
              </w:rPr>
              <w:t>655,000</w:t>
            </w:r>
          </w:p>
        </w:tc>
        <w:tc>
          <w:tcPr>
            <w:tcW w:w="774" w:type="dxa"/>
            <w:tcBorders>
              <w:top w:val="nil"/>
              <w:left w:val="nil"/>
              <w:bottom w:val="single" w:sz="4" w:space="0" w:color="auto"/>
              <w:right w:val="single" w:sz="4" w:space="0" w:color="auto"/>
            </w:tcBorders>
            <w:shd w:val="clear" w:color="auto" w:fill="auto"/>
            <w:noWrap/>
            <w:vAlign w:val="center"/>
          </w:tcPr>
          <w:p w:rsidR="00A6745E" w:rsidRDefault="00A6745E" w:rsidP="00A6745E">
            <w:pPr>
              <w:jc w:val="center"/>
              <w:rPr>
                <w:rFonts w:ascii="Arial Narrow" w:hAnsi="Arial Narrow"/>
                <w:color w:val="000000"/>
                <w:sz w:val="18"/>
                <w:szCs w:val="18"/>
              </w:rPr>
            </w:pPr>
            <w:r>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tcPr>
          <w:p w:rsidR="00A6745E" w:rsidRDefault="00A6745E" w:rsidP="00A6745E">
            <w:pPr>
              <w:jc w:val="center"/>
              <w:rPr>
                <w:rFonts w:ascii="Arial Narrow" w:hAnsi="Arial Narrow"/>
                <w:color w:val="000000"/>
                <w:sz w:val="18"/>
                <w:szCs w:val="18"/>
              </w:rPr>
            </w:pPr>
            <w:r>
              <w:rPr>
                <w:rFonts w:ascii="Arial Narrow" w:hAnsi="Arial Narrow"/>
                <w:color w:val="000000"/>
                <w:sz w:val="18"/>
                <w:szCs w:val="18"/>
              </w:rPr>
              <w:t>109,167</w:t>
            </w:r>
          </w:p>
        </w:tc>
        <w:tc>
          <w:tcPr>
            <w:tcW w:w="718" w:type="dxa"/>
            <w:tcBorders>
              <w:top w:val="nil"/>
              <w:left w:val="nil"/>
              <w:bottom w:val="single" w:sz="4" w:space="0" w:color="auto"/>
              <w:right w:val="single" w:sz="4" w:space="0" w:color="auto"/>
            </w:tcBorders>
            <w:vAlign w:val="center"/>
          </w:tcPr>
          <w:p w:rsidR="00A6745E" w:rsidRPr="001648C1" w:rsidRDefault="00A6745E" w:rsidP="00A6745E">
            <w:pPr>
              <w:jc w:val="center"/>
              <w:rPr>
                <w:rFonts w:ascii="Arial Narrow" w:hAnsi="Arial Narrow" w:cs="Arial"/>
                <w:color w:val="000000"/>
                <w:sz w:val="18"/>
                <w:szCs w:val="18"/>
              </w:rPr>
            </w:pPr>
            <w:r w:rsidRPr="00B91B1F">
              <w:rPr>
                <w:rFonts w:ascii="Arial Narrow" w:hAnsi="Arial Narrow" w:cs="Arial"/>
                <w:sz w:val="18"/>
                <w:szCs w:val="18"/>
              </w:rPr>
              <w:t>$34.02</w:t>
            </w:r>
          </w:p>
        </w:tc>
        <w:tc>
          <w:tcPr>
            <w:tcW w:w="1129" w:type="dxa"/>
            <w:tcBorders>
              <w:top w:val="nil"/>
              <w:left w:val="nil"/>
              <w:bottom w:val="single" w:sz="4" w:space="0" w:color="auto"/>
              <w:right w:val="single" w:sz="4" w:space="0" w:color="auto"/>
            </w:tcBorders>
            <w:vAlign w:val="center"/>
          </w:tcPr>
          <w:p w:rsidR="00A6745E" w:rsidRPr="001648C1" w:rsidRDefault="00A6745E" w:rsidP="00A6745E">
            <w:pPr>
              <w:jc w:val="center"/>
              <w:rPr>
                <w:rFonts w:ascii="Arial Narrow" w:hAnsi="Arial Narrow" w:cs="Arial"/>
                <w:color w:val="000000"/>
                <w:sz w:val="18"/>
                <w:szCs w:val="18"/>
              </w:rPr>
            </w:pPr>
            <w:r w:rsidRPr="00B91B1F">
              <w:rPr>
                <w:rFonts w:ascii="Arial Narrow" w:hAnsi="Arial Narrow" w:cs="Arial"/>
                <w:sz w:val="18"/>
                <w:szCs w:val="18"/>
              </w:rPr>
              <w:t>$</w:t>
            </w:r>
            <w:r>
              <w:rPr>
                <w:rFonts w:ascii="Arial Narrow" w:hAnsi="Arial Narrow" w:cs="Arial"/>
                <w:sz w:val="18"/>
                <w:szCs w:val="18"/>
              </w:rPr>
              <w:t>4</w:t>
            </w:r>
            <w:r w:rsidRPr="00B91B1F">
              <w:rPr>
                <w:rFonts w:ascii="Arial Narrow" w:hAnsi="Arial Narrow" w:cs="Arial"/>
                <w:sz w:val="18"/>
                <w:szCs w:val="18"/>
              </w:rPr>
              <w:t>,000,000</w:t>
            </w:r>
          </w:p>
        </w:tc>
      </w:tr>
      <w:tr w:rsidR="00A6745E" w:rsidRPr="005917B7"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Pr="005917B7" w:rsidRDefault="00A6745E" w:rsidP="00A6745E">
            <w:pPr>
              <w:jc w:val="center"/>
              <w:rPr>
                <w:rFonts w:ascii="Arial Narrow" w:hAnsi="Arial Narrow"/>
                <w:b/>
                <w:bCs/>
                <w:color w:val="000000"/>
                <w:sz w:val="18"/>
                <w:szCs w:val="18"/>
              </w:rPr>
            </w:pPr>
            <w:r w:rsidRPr="00F70D38">
              <w:rPr>
                <w:rFonts w:ascii="Arial Narrow" w:hAnsi="Arial Narrow"/>
                <w:b/>
                <w:bCs/>
                <w:color w:val="000000"/>
                <w:sz w:val="18"/>
                <w:szCs w:val="18"/>
              </w:rPr>
              <w:t>IC</w:t>
            </w:r>
            <w:r>
              <w:rPr>
                <w:rFonts w:ascii="Arial Narrow" w:hAnsi="Arial Narrow"/>
                <w:b/>
                <w:bCs/>
                <w:color w:val="000000"/>
                <w:sz w:val="18"/>
                <w:szCs w:val="18"/>
              </w:rPr>
              <w:t>8</w:t>
            </w:r>
          </w:p>
        </w:tc>
        <w:tc>
          <w:tcPr>
            <w:tcW w:w="2195" w:type="dxa"/>
            <w:tcBorders>
              <w:top w:val="nil"/>
              <w:left w:val="single" w:sz="4" w:space="0" w:color="auto"/>
              <w:bottom w:val="single" w:sz="4" w:space="0" w:color="auto"/>
              <w:right w:val="single" w:sz="4" w:space="0" w:color="auto"/>
            </w:tcBorders>
            <w:shd w:val="clear" w:color="auto" w:fill="auto"/>
            <w:noWrap/>
            <w:vAlign w:val="bottom"/>
          </w:tcPr>
          <w:p w:rsidR="00A6745E" w:rsidRPr="005917B7" w:rsidRDefault="00A6745E" w:rsidP="00A6745E">
            <w:pPr>
              <w:jc w:val="center"/>
              <w:rPr>
                <w:rFonts w:ascii="Arial Narrow" w:hAnsi="Arial Narrow"/>
                <w:b/>
                <w:bCs/>
                <w:color w:val="000000"/>
                <w:sz w:val="18"/>
                <w:szCs w:val="18"/>
              </w:rPr>
            </w:pPr>
            <w:r w:rsidRPr="005917B7">
              <w:rPr>
                <w:rFonts w:ascii="Arial Narrow" w:hAnsi="Arial Narrow"/>
                <w:b/>
                <w:bCs/>
                <w:color w:val="000000"/>
                <w:sz w:val="18"/>
                <w:szCs w:val="18"/>
              </w:rPr>
              <w:t>Driver Consent Verification</w:t>
            </w:r>
            <w:r>
              <w:rPr>
                <w:rFonts w:ascii="Arial Narrow" w:hAnsi="Arial Narrow"/>
                <w:b/>
                <w:bCs/>
                <w:color w:val="000000"/>
                <w:sz w:val="18"/>
                <w:szCs w:val="18"/>
              </w:rPr>
              <w:t xml:space="preserve"> Full Annual Queries</w:t>
            </w:r>
          </w:p>
        </w:tc>
        <w:tc>
          <w:tcPr>
            <w:tcW w:w="1094" w:type="dxa"/>
            <w:tcBorders>
              <w:top w:val="nil"/>
              <w:left w:val="nil"/>
              <w:bottom w:val="single" w:sz="4" w:space="0" w:color="auto"/>
              <w:right w:val="single" w:sz="4" w:space="0" w:color="auto"/>
            </w:tcBorders>
            <w:shd w:val="clear" w:color="auto" w:fill="auto"/>
            <w:noWrap/>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Drivers</w:t>
            </w:r>
          </w:p>
        </w:tc>
        <w:tc>
          <w:tcPr>
            <w:tcW w:w="1216" w:type="dxa"/>
            <w:tcBorders>
              <w:top w:val="nil"/>
              <w:left w:val="nil"/>
              <w:bottom w:val="single" w:sz="4" w:space="0" w:color="auto"/>
              <w:right w:val="single" w:sz="4" w:space="0" w:color="auto"/>
            </w:tcBorders>
            <w:shd w:val="clear" w:color="auto" w:fill="auto"/>
            <w:noWrap/>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Drivers</w:t>
            </w:r>
          </w:p>
        </w:tc>
        <w:tc>
          <w:tcPr>
            <w:tcW w:w="1407" w:type="dxa"/>
            <w:tcBorders>
              <w:top w:val="nil"/>
              <w:left w:val="nil"/>
              <w:bottom w:val="single" w:sz="4" w:space="0" w:color="auto"/>
              <w:right w:val="single" w:sz="4" w:space="0" w:color="auto"/>
            </w:tcBorders>
            <w:shd w:val="clear" w:color="auto" w:fill="auto"/>
            <w:noWrap/>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361,000</w:t>
            </w:r>
          </w:p>
        </w:tc>
        <w:tc>
          <w:tcPr>
            <w:tcW w:w="774" w:type="dxa"/>
            <w:tcBorders>
              <w:top w:val="nil"/>
              <w:left w:val="nil"/>
              <w:bottom w:val="single" w:sz="4" w:space="0" w:color="auto"/>
              <w:right w:val="single" w:sz="4" w:space="0" w:color="auto"/>
            </w:tcBorders>
            <w:shd w:val="clear" w:color="auto" w:fill="auto"/>
            <w:noWrap/>
            <w:vAlign w:val="center"/>
          </w:tcPr>
          <w:p w:rsidR="00A6745E" w:rsidRPr="005917B7" w:rsidDel="005E7536" w:rsidRDefault="00A6745E" w:rsidP="00A6745E">
            <w:pPr>
              <w:jc w:val="center"/>
              <w:rPr>
                <w:rFonts w:ascii="Arial Narrow" w:hAnsi="Arial Narrow"/>
                <w:color w:val="000000"/>
                <w:sz w:val="18"/>
                <w:szCs w:val="18"/>
              </w:rPr>
            </w:pPr>
            <w:r>
              <w:rPr>
                <w:rFonts w:ascii="Arial Narrow" w:hAnsi="Arial Narrow"/>
                <w:color w:val="000000"/>
                <w:sz w:val="18"/>
                <w:szCs w:val="18"/>
              </w:rPr>
              <w:t>10</w:t>
            </w:r>
          </w:p>
        </w:tc>
        <w:tc>
          <w:tcPr>
            <w:tcW w:w="1402" w:type="dxa"/>
            <w:tcBorders>
              <w:top w:val="nil"/>
              <w:left w:val="nil"/>
              <w:bottom w:val="single" w:sz="4" w:space="0" w:color="auto"/>
              <w:right w:val="single" w:sz="4" w:space="0" w:color="auto"/>
            </w:tcBorders>
            <w:shd w:val="clear" w:color="auto" w:fill="auto"/>
            <w:noWrap/>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60,167</w:t>
            </w:r>
          </w:p>
        </w:tc>
        <w:tc>
          <w:tcPr>
            <w:tcW w:w="718" w:type="dxa"/>
            <w:tcBorders>
              <w:top w:val="nil"/>
              <w:left w:val="nil"/>
              <w:bottom w:val="single" w:sz="4" w:space="0" w:color="auto"/>
              <w:right w:val="single" w:sz="4" w:space="0" w:color="auto"/>
            </w:tcBorders>
            <w:vAlign w:val="center"/>
          </w:tcPr>
          <w:p w:rsidR="00A6745E" w:rsidRDefault="00A6745E" w:rsidP="00A6745E">
            <w:pPr>
              <w:jc w:val="center"/>
              <w:rPr>
                <w:rFonts w:ascii="Arial Narrow" w:hAnsi="Arial Narrow"/>
                <w:color w:val="000000"/>
                <w:sz w:val="18"/>
                <w:szCs w:val="18"/>
              </w:rPr>
            </w:pPr>
            <w:r>
              <w:rPr>
                <w:rFonts w:ascii="Arial Narrow" w:hAnsi="Arial Narrow"/>
                <w:color w:val="000000"/>
                <w:sz w:val="18"/>
                <w:szCs w:val="18"/>
              </w:rPr>
              <w:t>$29.07</w:t>
            </w:r>
          </w:p>
        </w:tc>
        <w:tc>
          <w:tcPr>
            <w:tcW w:w="1129" w:type="dxa"/>
            <w:tcBorders>
              <w:top w:val="nil"/>
              <w:left w:val="nil"/>
              <w:bottom w:val="single" w:sz="4" w:space="0" w:color="auto"/>
              <w:right w:val="single" w:sz="4" w:space="0" w:color="auto"/>
            </w:tcBorders>
            <w:vAlign w:val="center"/>
          </w:tcPr>
          <w:p w:rsidR="00A6745E" w:rsidRPr="005917B7" w:rsidRDefault="00A6745E" w:rsidP="00A6745E">
            <w:pPr>
              <w:jc w:val="center"/>
              <w:rPr>
                <w:rFonts w:ascii="Arial Narrow" w:hAnsi="Arial Narrow"/>
                <w:color w:val="000000"/>
                <w:sz w:val="18"/>
                <w:szCs w:val="18"/>
              </w:rPr>
            </w:pPr>
            <w:r>
              <w:rPr>
                <w:rFonts w:ascii="Arial Narrow" w:hAnsi="Arial Narrow"/>
                <w:color w:val="000000"/>
                <w:sz w:val="18"/>
                <w:szCs w:val="18"/>
              </w:rPr>
              <w:t>$2,000,000</w:t>
            </w:r>
          </w:p>
        </w:tc>
      </w:tr>
      <w:tr w:rsidR="00A6745E" w:rsidRPr="005917B7"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Pr="00B91B1F" w:rsidRDefault="00A6745E" w:rsidP="00A6745E">
            <w:pPr>
              <w:jc w:val="center"/>
              <w:rPr>
                <w:rFonts w:ascii="Arial Narrow" w:hAnsi="Arial Narrow"/>
                <w:b/>
                <w:sz w:val="20"/>
                <w:szCs w:val="20"/>
              </w:rPr>
            </w:pPr>
            <w:r w:rsidRPr="00F70D38">
              <w:rPr>
                <w:rFonts w:ascii="Arial Narrow" w:hAnsi="Arial Narrow"/>
                <w:b/>
                <w:bCs/>
                <w:color w:val="000000"/>
                <w:sz w:val="18"/>
                <w:szCs w:val="18"/>
              </w:rPr>
              <w:t>IC</w:t>
            </w:r>
            <w:r>
              <w:rPr>
                <w:rFonts w:ascii="Arial Narrow" w:hAnsi="Arial Narrow"/>
                <w:b/>
                <w:bCs/>
                <w:color w:val="000000"/>
                <w:sz w:val="18"/>
                <w:szCs w:val="18"/>
              </w:rPr>
              <w:t>9</w:t>
            </w:r>
          </w:p>
        </w:tc>
        <w:tc>
          <w:tcPr>
            <w:tcW w:w="2195" w:type="dxa"/>
            <w:tcBorders>
              <w:top w:val="nil"/>
              <w:left w:val="single" w:sz="4" w:space="0" w:color="auto"/>
              <w:bottom w:val="single" w:sz="4" w:space="0" w:color="auto"/>
              <w:right w:val="single" w:sz="4" w:space="0" w:color="auto"/>
            </w:tcBorders>
            <w:shd w:val="clear" w:color="auto" w:fill="auto"/>
            <w:noWrap/>
          </w:tcPr>
          <w:p w:rsidR="00A6745E" w:rsidRPr="00B91B1F" w:rsidRDefault="00A6745E" w:rsidP="00A6745E">
            <w:pPr>
              <w:jc w:val="center"/>
              <w:rPr>
                <w:rFonts w:ascii="Arial Narrow" w:hAnsi="Arial Narrow"/>
                <w:b/>
                <w:sz w:val="20"/>
                <w:szCs w:val="20"/>
              </w:rPr>
            </w:pPr>
            <w:r w:rsidRPr="00B91B1F">
              <w:rPr>
                <w:rFonts w:ascii="Arial Narrow" w:hAnsi="Arial Narrow"/>
                <w:b/>
                <w:sz w:val="20"/>
                <w:szCs w:val="20"/>
              </w:rPr>
              <w:t>Driver Consent Verifications for Pre-employment Queries</w:t>
            </w:r>
          </w:p>
        </w:tc>
        <w:tc>
          <w:tcPr>
            <w:tcW w:w="1094" w:type="dxa"/>
            <w:tcBorders>
              <w:top w:val="nil"/>
              <w:left w:val="nil"/>
              <w:bottom w:val="single" w:sz="4" w:space="0" w:color="auto"/>
              <w:right w:val="single" w:sz="4" w:space="0" w:color="auto"/>
            </w:tcBorders>
            <w:shd w:val="clear" w:color="auto" w:fill="auto"/>
            <w:noWrap/>
            <w:vAlign w:val="center"/>
          </w:tcPr>
          <w:p w:rsidR="00A6745E" w:rsidRPr="00A64EFE" w:rsidRDefault="00A6745E" w:rsidP="00A6745E">
            <w:pPr>
              <w:jc w:val="center"/>
              <w:rPr>
                <w:rFonts w:ascii="Arial Narrow" w:hAnsi="Arial Narrow"/>
                <w:sz w:val="20"/>
                <w:szCs w:val="20"/>
              </w:rPr>
            </w:pPr>
            <w:r w:rsidRPr="00A64EFE">
              <w:rPr>
                <w:rFonts w:ascii="Arial Narrow" w:hAnsi="Arial Narrow"/>
                <w:sz w:val="20"/>
                <w:szCs w:val="20"/>
              </w:rPr>
              <w:t>Drivers</w:t>
            </w:r>
          </w:p>
        </w:tc>
        <w:tc>
          <w:tcPr>
            <w:tcW w:w="1216" w:type="dxa"/>
            <w:tcBorders>
              <w:top w:val="nil"/>
              <w:left w:val="nil"/>
              <w:bottom w:val="single" w:sz="4" w:space="0" w:color="auto"/>
              <w:right w:val="single" w:sz="4" w:space="0" w:color="auto"/>
            </w:tcBorders>
            <w:shd w:val="clear" w:color="auto" w:fill="auto"/>
            <w:noWrap/>
            <w:vAlign w:val="center"/>
          </w:tcPr>
          <w:p w:rsidR="00A6745E" w:rsidRPr="00A64EFE" w:rsidRDefault="00A6745E" w:rsidP="00A6745E">
            <w:pPr>
              <w:jc w:val="center"/>
              <w:rPr>
                <w:rFonts w:ascii="Arial Narrow" w:hAnsi="Arial Narrow"/>
                <w:sz w:val="20"/>
                <w:szCs w:val="20"/>
              </w:rPr>
            </w:pPr>
            <w:r w:rsidRPr="00A64EFE">
              <w:rPr>
                <w:rFonts w:ascii="Arial Narrow" w:hAnsi="Arial Narrow"/>
                <w:sz w:val="20"/>
                <w:szCs w:val="20"/>
              </w:rPr>
              <w:t>Drivers</w:t>
            </w:r>
          </w:p>
        </w:tc>
        <w:tc>
          <w:tcPr>
            <w:tcW w:w="1407" w:type="dxa"/>
            <w:tcBorders>
              <w:top w:val="nil"/>
              <w:left w:val="nil"/>
              <w:bottom w:val="single" w:sz="4" w:space="0" w:color="auto"/>
              <w:right w:val="single" w:sz="4" w:space="0" w:color="auto"/>
            </w:tcBorders>
            <w:shd w:val="clear" w:color="auto" w:fill="auto"/>
            <w:noWrap/>
            <w:vAlign w:val="center"/>
          </w:tcPr>
          <w:p w:rsidR="00A6745E" w:rsidRPr="00A64EFE" w:rsidRDefault="00A6745E" w:rsidP="00A6745E">
            <w:pPr>
              <w:jc w:val="center"/>
              <w:rPr>
                <w:rFonts w:ascii="Arial Narrow" w:hAnsi="Arial Narrow"/>
                <w:sz w:val="20"/>
                <w:szCs w:val="20"/>
              </w:rPr>
            </w:pPr>
            <w:r w:rsidRPr="00A64EFE">
              <w:rPr>
                <w:rFonts w:ascii="Arial Narrow" w:hAnsi="Arial Narrow"/>
                <w:sz w:val="20"/>
                <w:szCs w:val="20"/>
              </w:rPr>
              <w:t>1,996,328</w:t>
            </w:r>
          </w:p>
        </w:tc>
        <w:tc>
          <w:tcPr>
            <w:tcW w:w="774" w:type="dxa"/>
            <w:tcBorders>
              <w:top w:val="nil"/>
              <w:left w:val="nil"/>
              <w:bottom w:val="single" w:sz="4" w:space="0" w:color="auto"/>
              <w:right w:val="single" w:sz="4" w:space="0" w:color="auto"/>
            </w:tcBorders>
            <w:shd w:val="clear" w:color="auto" w:fill="auto"/>
            <w:noWrap/>
            <w:vAlign w:val="center"/>
          </w:tcPr>
          <w:p w:rsidR="00A6745E" w:rsidRPr="00A64EFE" w:rsidRDefault="00A6745E" w:rsidP="00A6745E">
            <w:pPr>
              <w:jc w:val="center"/>
              <w:rPr>
                <w:rFonts w:ascii="Arial Narrow" w:hAnsi="Arial Narrow"/>
                <w:sz w:val="20"/>
                <w:szCs w:val="20"/>
              </w:rPr>
            </w:pPr>
            <w:r w:rsidRPr="00A64EFE">
              <w:rPr>
                <w:rFonts w:ascii="Arial Narrow" w:hAnsi="Arial Narrow"/>
                <w:sz w:val="20"/>
                <w:szCs w:val="20"/>
              </w:rPr>
              <w:t>10</w:t>
            </w:r>
          </w:p>
        </w:tc>
        <w:tc>
          <w:tcPr>
            <w:tcW w:w="1402" w:type="dxa"/>
            <w:tcBorders>
              <w:top w:val="nil"/>
              <w:left w:val="nil"/>
              <w:bottom w:val="single" w:sz="4" w:space="0" w:color="auto"/>
              <w:right w:val="single" w:sz="4" w:space="0" w:color="auto"/>
            </w:tcBorders>
            <w:shd w:val="clear" w:color="auto" w:fill="auto"/>
            <w:noWrap/>
            <w:vAlign w:val="center"/>
          </w:tcPr>
          <w:p w:rsidR="00A6745E" w:rsidRPr="00A64EFE" w:rsidRDefault="00A6745E" w:rsidP="00A6745E">
            <w:pPr>
              <w:jc w:val="center"/>
              <w:rPr>
                <w:rFonts w:ascii="Arial Narrow" w:hAnsi="Arial Narrow"/>
                <w:sz w:val="20"/>
                <w:szCs w:val="20"/>
              </w:rPr>
            </w:pPr>
            <w:r w:rsidRPr="00A64EFE">
              <w:rPr>
                <w:rFonts w:ascii="Arial Narrow" w:hAnsi="Arial Narrow"/>
                <w:sz w:val="20"/>
                <w:szCs w:val="20"/>
              </w:rPr>
              <w:t>3</w:t>
            </w:r>
            <w:r w:rsidR="00F21274">
              <w:rPr>
                <w:rFonts w:ascii="Arial Narrow" w:hAnsi="Arial Narrow"/>
                <w:sz w:val="20"/>
                <w:szCs w:val="20"/>
              </w:rPr>
              <w:t>32,721</w:t>
            </w:r>
          </w:p>
        </w:tc>
        <w:tc>
          <w:tcPr>
            <w:tcW w:w="718" w:type="dxa"/>
            <w:tcBorders>
              <w:top w:val="nil"/>
              <w:left w:val="nil"/>
              <w:bottom w:val="single" w:sz="4" w:space="0" w:color="auto"/>
              <w:right w:val="single" w:sz="4" w:space="0" w:color="auto"/>
            </w:tcBorders>
            <w:vAlign w:val="center"/>
          </w:tcPr>
          <w:p w:rsidR="00A6745E" w:rsidRPr="00A64EFE" w:rsidRDefault="00A6745E" w:rsidP="00A6745E">
            <w:pPr>
              <w:jc w:val="center"/>
              <w:rPr>
                <w:rFonts w:ascii="Arial Narrow" w:hAnsi="Arial Narrow"/>
                <w:sz w:val="20"/>
                <w:szCs w:val="20"/>
              </w:rPr>
            </w:pPr>
            <w:r w:rsidRPr="00A64EFE">
              <w:rPr>
                <w:rFonts w:ascii="Arial Narrow" w:hAnsi="Arial Narrow"/>
                <w:sz w:val="20"/>
                <w:szCs w:val="20"/>
              </w:rPr>
              <w:t>$29.07</w:t>
            </w:r>
          </w:p>
        </w:tc>
        <w:tc>
          <w:tcPr>
            <w:tcW w:w="1129" w:type="dxa"/>
            <w:tcBorders>
              <w:top w:val="nil"/>
              <w:left w:val="nil"/>
              <w:bottom w:val="single" w:sz="4" w:space="0" w:color="auto"/>
              <w:right w:val="single" w:sz="4" w:space="0" w:color="auto"/>
            </w:tcBorders>
            <w:vAlign w:val="center"/>
          </w:tcPr>
          <w:p w:rsidR="00A6745E" w:rsidRPr="00A64EFE" w:rsidRDefault="00A6745E" w:rsidP="00A6745E">
            <w:pPr>
              <w:jc w:val="center"/>
              <w:rPr>
                <w:rFonts w:ascii="Arial Narrow" w:hAnsi="Arial Narrow"/>
                <w:sz w:val="20"/>
                <w:szCs w:val="20"/>
              </w:rPr>
            </w:pPr>
            <w:r w:rsidRPr="00A64EFE">
              <w:rPr>
                <w:rFonts w:ascii="Arial Narrow" w:hAnsi="Arial Narrow"/>
                <w:sz w:val="20"/>
                <w:szCs w:val="20"/>
              </w:rPr>
              <w:t>$10,000,000</w:t>
            </w:r>
          </w:p>
        </w:tc>
      </w:tr>
      <w:tr w:rsidR="00A6745E" w:rsidRPr="005917B7" w:rsidTr="000903F9">
        <w:trPr>
          <w:trHeight w:val="300"/>
          <w:jc w:val="center"/>
        </w:trPr>
        <w:tc>
          <w:tcPr>
            <w:tcW w:w="680" w:type="dxa"/>
            <w:tcBorders>
              <w:top w:val="nil"/>
              <w:left w:val="single" w:sz="4" w:space="0" w:color="auto"/>
              <w:bottom w:val="single" w:sz="4" w:space="0" w:color="auto"/>
              <w:right w:val="single" w:sz="4" w:space="0" w:color="auto"/>
            </w:tcBorders>
          </w:tcPr>
          <w:p w:rsidR="00A6745E" w:rsidRPr="005917B7" w:rsidRDefault="00A6745E" w:rsidP="001648C1">
            <w:pPr>
              <w:jc w:val="center"/>
              <w:rPr>
                <w:rFonts w:ascii="Arial Narrow" w:hAnsi="Arial Narrow"/>
                <w:b/>
                <w:bCs/>
                <w:color w:val="000000"/>
                <w:sz w:val="18"/>
                <w:szCs w:val="18"/>
              </w:rPr>
            </w:pPr>
          </w:p>
        </w:tc>
        <w:tc>
          <w:tcPr>
            <w:tcW w:w="2195" w:type="dxa"/>
            <w:tcBorders>
              <w:top w:val="nil"/>
              <w:left w:val="single" w:sz="4" w:space="0" w:color="auto"/>
              <w:bottom w:val="single" w:sz="4" w:space="0" w:color="auto"/>
              <w:right w:val="single" w:sz="4" w:space="0" w:color="auto"/>
            </w:tcBorders>
            <w:shd w:val="clear" w:color="auto" w:fill="auto"/>
            <w:noWrap/>
            <w:vAlign w:val="center"/>
            <w:hideMark/>
          </w:tcPr>
          <w:p w:rsidR="00A6745E" w:rsidRPr="005917B7" w:rsidRDefault="00A6745E" w:rsidP="001648C1">
            <w:pPr>
              <w:jc w:val="center"/>
              <w:rPr>
                <w:rFonts w:ascii="Arial Narrow" w:hAnsi="Arial Narrow"/>
                <w:b/>
                <w:bCs/>
                <w:color w:val="000000"/>
                <w:sz w:val="18"/>
                <w:szCs w:val="18"/>
              </w:rPr>
            </w:pPr>
            <w:r w:rsidRPr="005917B7">
              <w:rPr>
                <w:rFonts w:ascii="Arial Narrow" w:hAnsi="Arial Narrow"/>
                <w:b/>
                <w:bCs/>
                <w:color w:val="000000"/>
                <w:sz w:val="18"/>
                <w:szCs w:val="18"/>
              </w:rPr>
              <w:t xml:space="preserve">Total </w:t>
            </w:r>
          </w:p>
        </w:tc>
        <w:tc>
          <w:tcPr>
            <w:tcW w:w="109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B91B1F">
            <w:pPr>
              <w:jc w:val="center"/>
              <w:rPr>
                <w:rFonts w:ascii="Arial Narrow" w:hAnsi="Arial Narrow"/>
                <w:color w:val="000000"/>
                <w:sz w:val="18"/>
                <w:szCs w:val="18"/>
              </w:rPr>
            </w:pPr>
          </w:p>
        </w:tc>
        <w:tc>
          <w:tcPr>
            <w:tcW w:w="1216"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B91B1F">
            <w:pPr>
              <w:jc w:val="center"/>
              <w:rPr>
                <w:rFonts w:ascii="Arial Narrow" w:hAnsi="Arial Narrow"/>
                <w:color w:val="000000"/>
                <w:sz w:val="18"/>
                <w:szCs w:val="18"/>
              </w:rPr>
            </w:pPr>
          </w:p>
        </w:tc>
        <w:tc>
          <w:tcPr>
            <w:tcW w:w="1407"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1648C1">
            <w:pPr>
              <w:jc w:val="center"/>
              <w:rPr>
                <w:rFonts w:ascii="Arial Narrow" w:hAnsi="Arial Narrow"/>
                <w:b/>
                <w:bCs/>
                <w:color w:val="000000"/>
                <w:sz w:val="18"/>
                <w:szCs w:val="18"/>
              </w:rPr>
            </w:pPr>
            <w:r w:rsidRPr="005917B7">
              <w:rPr>
                <w:rFonts w:ascii="Arial Narrow" w:hAnsi="Arial Narrow"/>
                <w:b/>
                <w:bCs/>
                <w:color w:val="000000"/>
                <w:sz w:val="18"/>
                <w:szCs w:val="18"/>
              </w:rPr>
              <w:t>11,03</w:t>
            </w:r>
            <w:r>
              <w:rPr>
                <w:rFonts w:ascii="Arial Narrow" w:hAnsi="Arial Narrow"/>
                <w:b/>
                <w:bCs/>
                <w:color w:val="000000"/>
                <w:sz w:val="18"/>
                <w:szCs w:val="18"/>
              </w:rPr>
              <w:t>8</w:t>
            </w:r>
            <w:r w:rsidRPr="005917B7">
              <w:rPr>
                <w:rFonts w:ascii="Arial Narrow" w:hAnsi="Arial Narrow"/>
                <w:b/>
                <w:bCs/>
                <w:color w:val="000000"/>
                <w:sz w:val="18"/>
                <w:szCs w:val="18"/>
              </w:rPr>
              <w:t>,</w:t>
            </w:r>
            <w:r>
              <w:rPr>
                <w:rFonts w:ascii="Arial Narrow" w:hAnsi="Arial Narrow"/>
                <w:b/>
                <w:bCs/>
                <w:color w:val="000000"/>
                <w:sz w:val="18"/>
                <w:szCs w:val="18"/>
              </w:rPr>
              <w:t>986</w:t>
            </w:r>
          </w:p>
        </w:tc>
        <w:tc>
          <w:tcPr>
            <w:tcW w:w="774"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B91B1F">
            <w:pPr>
              <w:jc w:val="center"/>
              <w:rPr>
                <w:rFonts w:ascii="Arial Narrow" w:hAnsi="Arial Narrow"/>
                <w:color w:val="000000"/>
                <w:sz w:val="18"/>
                <w:szCs w:val="18"/>
              </w:rPr>
            </w:pPr>
          </w:p>
        </w:tc>
        <w:tc>
          <w:tcPr>
            <w:tcW w:w="1402" w:type="dxa"/>
            <w:tcBorders>
              <w:top w:val="nil"/>
              <w:left w:val="nil"/>
              <w:bottom w:val="single" w:sz="4" w:space="0" w:color="auto"/>
              <w:right w:val="single" w:sz="4" w:space="0" w:color="auto"/>
            </w:tcBorders>
            <w:shd w:val="clear" w:color="auto" w:fill="auto"/>
            <w:noWrap/>
            <w:vAlign w:val="center"/>
            <w:hideMark/>
          </w:tcPr>
          <w:p w:rsidR="00A6745E" w:rsidRPr="005917B7" w:rsidRDefault="00A6745E" w:rsidP="00B91B1F">
            <w:pPr>
              <w:jc w:val="center"/>
              <w:rPr>
                <w:rFonts w:ascii="Arial Narrow" w:hAnsi="Arial Narrow"/>
                <w:b/>
                <w:bCs/>
                <w:color w:val="000000"/>
                <w:sz w:val="18"/>
                <w:szCs w:val="18"/>
              </w:rPr>
            </w:pPr>
            <w:r w:rsidRPr="005917B7">
              <w:rPr>
                <w:rFonts w:ascii="Arial Narrow" w:hAnsi="Arial Narrow"/>
                <w:b/>
                <w:bCs/>
                <w:color w:val="000000"/>
                <w:sz w:val="18"/>
                <w:szCs w:val="18"/>
              </w:rPr>
              <w:t>1,86</w:t>
            </w:r>
            <w:r w:rsidR="00045178">
              <w:rPr>
                <w:rFonts w:ascii="Arial Narrow" w:hAnsi="Arial Narrow"/>
                <w:b/>
                <w:bCs/>
                <w:color w:val="000000"/>
                <w:sz w:val="18"/>
                <w:szCs w:val="18"/>
              </w:rPr>
              <w:t>2,790</w:t>
            </w:r>
          </w:p>
        </w:tc>
        <w:tc>
          <w:tcPr>
            <w:tcW w:w="718" w:type="dxa"/>
            <w:tcBorders>
              <w:top w:val="nil"/>
              <w:left w:val="nil"/>
              <w:bottom w:val="single" w:sz="4" w:space="0" w:color="auto"/>
              <w:right w:val="single" w:sz="4" w:space="0" w:color="auto"/>
            </w:tcBorders>
            <w:vAlign w:val="center"/>
          </w:tcPr>
          <w:p w:rsidR="00A6745E" w:rsidRPr="005917B7" w:rsidRDefault="00A6745E" w:rsidP="00B91B1F">
            <w:pPr>
              <w:jc w:val="center"/>
              <w:rPr>
                <w:rFonts w:ascii="Arial Narrow" w:hAnsi="Arial Narrow"/>
                <w:b/>
                <w:bCs/>
                <w:color w:val="000000"/>
                <w:sz w:val="18"/>
                <w:szCs w:val="18"/>
              </w:rPr>
            </w:pPr>
          </w:p>
        </w:tc>
        <w:tc>
          <w:tcPr>
            <w:tcW w:w="1129" w:type="dxa"/>
            <w:tcBorders>
              <w:top w:val="nil"/>
              <w:left w:val="nil"/>
              <w:bottom w:val="single" w:sz="4" w:space="0" w:color="auto"/>
              <w:right w:val="single" w:sz="4" w:space="0" w:color="auto"/>
            </w:tcBorders>
            <w:vAlign w:val="center"/>
          </w:tcPr>
          <w:p w:rsidR="00A6745E" w:rsidRPr="005917B7" w:rsidRDefault="00A6745E" w:rsidP="00B91B1F">
            <w:pPr>
              <w:jc w:val="center"/>
              <w:rPr>
                <w:rFonts w:ascii="Arial Narrow" w:hAnsi="Arial Narrow"/>
                <w:b/>
                <w:bCs/>
                <w:color w:val="000000"/>
                <w:sz w:val="18"/>
                <w:szCs w:val="18"/>
              </w:rPr>
            </w:pPr>
            <w:r>
              <w:rPr>
                <w:rFonts w:ascii="Arial Narrow" w:hAnsi="Arial Narrow"/>
                <w:b/>
                <w:bCs/>
                <w:color w:val="000000"/>
                <w:sz w:val="18"/>
                <w:szCs w:val="18"/>
              </w:rPr>
              <w:t>$61,300,000</w:t>
            </w:r>
          </w:p>
        </w:tc>
      </w:tr>
    </w:tbl>
    <w:p w:rsidR="0050652C" w:rsidRDefault="0050652C" w:rsidP="004015FC">
      <w:pPr>
        <w:jc w:val="both"/>
      </w:pPr>
    </w:p>
    <w:p w:rsidR="004015FC" w:rsidRDefault="004015FC" w:rsidP="004015FC">
      <w:pPr>
        <w:rPr>
          <w:b/>
        </w:rPr>
      </w:pPr>
      <w:r>
        <w:rPr>
          <w:b/>
        </w:rPr>
        <w:t xml:space="preserve">Estimated Annual Burden Hours:  </w:t>
      </w:r>
      <w:r w:rsidR="005917B7">
        <w:rPr>
          <w:b/>
        </w:rPr>
        <w:t>1,86</w:t>
      </w:r>
      <w:r w:rsidR="00045178">
        <w:rPr>
          <w:b/>
        </w:rPr>
        <w:t>2,790</w:t>
      </w:r>
      <w:r w:rsidR="008849D0">
        <w:rPr>
          <w:b/>
        </w:rPr>
        <w:t xml:space="preserve"> (</w:t>
      </w:r>
      <w:r w:rsidR="003D5E4E">
        <w:rPr>
          <w:b/>
        </w:rPr>
        <w:t xml:space="preserve">rounded up to 1,864,251 </w:t>
      </w:r>
      <w:r w:rsidR="008849D0">
        <w:rPr>
          <w:b/>
        </w:rPr>
        <w:t>due to rounding up</w:t>
      </w:r>
      <w:r w:rsidR="008849D0" w:rsidRPr="008849D0">
        <w:rPr>
          <w:b/>
        </w:rPr>
        <w:t xml:space="preserve"> to the nearest thousand</w:t>
      </w:r>
      <w:r w:rsidR="008849D0">
        <w:rPr>
          <w:b/>
        </w:rPr>
        <w:t>s as shown above in section 12)</w:t>
      </w:r>
      <w:r w:rsidR="003D5E4E">
        <w:rPr>
          <w:b/>
        </w:rPr>
        <w:t>.</w:t>
      </w:r>
    </w:p>
    <w:p w:rsidR="007E65F8" w:rsidRDefault="004015FC" w:rsidP="003948D6">
      <w:pPr>
        <w:rPr>
          <w:b/>
        </w:rPr>
      </w:pPr>
      <w:r>
        <w:rPr>
          <w:b/>
        </w:rPr>
        <w:t xml:space="preserve">Estimated Annual Number Respondents: </w:t>
      </w:r>
      <w:r w:rsidR="005917B7">
        <w:rPr>
          <w:b/>
        </w:rPr>
        <w:t>11</w:t>
      </w:r>
      <w:r w:rsidR="007E65F8">
        <w:rPr>
          <w:b/>
        </w:rPr>
        <w:t>,038</w:t>
      </w:r>
      <w:r w:rsidR="005917B7">
        <w:rPr>
          <w:b/>
        </w:rPr>
        <w:t>,</w:t>
      </w:r>
      <w:r w:rsidR="007E65F8">
        <w:rPr>
          <w:b/>
        </w:rPr>
        <w:t>986</w:t>
      </w:r>
    </w:p>
    <w:p w:rsidR="000903F9" w:rsidRDefault="000903F9" w:rsidP="003948D6">
      <w:pPr>
        <w:rPr>
          <w:b/>
        </w:rPr>
      </w:pPr>
    </w:p>
    <w:p w:rsidR="004015FC" w:rsidRDefault="004015FC" w:rsidP="00A36283">
      <w:pPr>
        <w:rPr>
          <w:rFonts w:ascii="Arial" w:hAnsi="Arial"/>
          <w:b/>
        </w:rPr>
      </w:pPr>
      <w:r>
        <w:rPr>
          <w:rFonts w:ascii="Arial" w:hAnsi="Arial"/>
          <w:b/>
        </w:rPr>
        <w:t>13. Estimates of Costs to Respondents</w:t>
      </w:r>
      <w:r w:rsidR="00A17228">
        <w:rPr>
          <w:rFonts w:ascii="Arial" w:hAnsi="Arial"/>
          <w:b/>
        </w:rPr>
        <w:t xml:space="preserve"> other </w:t>
      </w:r>
      <w:r w:rsidR="00A24B31">
        <w:rPr>
          <w:rFonts w:ascii="Arial" w:hAnsi="Arial"/>
          <w:b/>
        </w:rPr>
        <w:t>t</w:t>
      </w:r>
      <w:r w:rsidR="00A17228">
        <w:rPr>
          <w:rFonts w:ascii="Arial" w:hAnsi="Arial"/>
          <w:b/>
        </w:rPr>
        <w:t>han Reporting Burden Costs</w:t>
      </w:r>
    </w:p>
    <w:p w:rsidR="001648C1" w:rsidRDefault="00E93E61" w:rsidP="00B91B1F">
      <w:pPr>
        <w:jc w:val="both"/>
      </w:pPr>
      <w:r>
        <w:t>Item 12 contains the monetized cost</w:t>
      </w:r>
      <w:r w:rsidR="00FF4AC7">
        <w:t xml:space="preserve"> of time </w:t>
      </w:r>
      <w:r w:rsidR="000E13D5">
        <w:t>of respondents</w:t>
      </w:r>
      <w:r w:rsidR="00FF4AC7">
        <w:t xml:space="preserve"> </w:t>
      </w:r>
      <w:r w:rsidR="000E13D5">
        <w:t xml:space="preserve">to </w:t>
      </w:r>
      <w:r>
        <w:t>mak</w:t>
      </w:r>
      <w:r w:rsidR="000E13D5">
        <w:t>e</w:t>
      </w:r>
      <w:r>
        <w:t xml:space="preserve"> queries of, </w:t>
      </w:r>
      <w:r w:rsidR="00FF4AC7">
        <w:t xml:space="preserve">and </w:t>
      </w:r>
      <w:r>
        <w:t>report</w:t>
      </w:r>
      <w:r w:rsidR="000E13D5">
        <w:t xml:space="preserve"> information to,</w:t>
      </w:r>
      <w:r>
        <w:t xml:space="preserve"> the Clearinghouse</w:t>
      </w:r>
      <w:r w:rsidR="00FF4AC7">
        <w:t xml:space="preserve">. </w:t>
      </w:r>
      <w:r w:rsidR="001648C1">
        <w:t xml:space="preserve"> As shown in the table below, i</w:t>
      </w:r>
      <w:r w:rsidR="009F7806">
        <w:t>n addition to the costs in Item 12, employers will be</w:t>
      </w:r>
      <w:r w:rsidR="000E13D5">
        <w:t xml:space="preserve"> charged</w:t>
      </w:r>
      <w:r w:rsidR="009F7806">
        <w:t xml:space="preserve"> Clearinghouse access fees estimated at </w:t>
      </w:r>
      <w:r w:rsidR="000E13D5">
        <w:t>$</w:t>
      </w:r>
      <w:r w:rsidR="001517D0">
        <w:t>9</w:t>
      </w:r>
      <w:r w:rsidR="000E13D5">
        <w:t xml:space="preserve"> million. </w:t>
      </w:r>
      <w:r w:rsidR="00FF4AC7">
        <w:t xml:space="preserve"> </w:t>
      </w:r>
      <w:r>
        <w:t xml:space="preserve">FMCSA </w:t>
      </w:r>
      <w:r w:rsidR="00CC4506">
        <w:t xml:space="preserve">will operate and maintain </w:t>
      </w:r>
      <w:r w:rsidR="00EB6588">
        <w:t xml:space="preserve">the Clearinghouse.  </w:t>
      </w:r>
      <w:r w:rsidR="001517D0">
        <w:t xml:space="preserve">FMCSA is charging $1.25 per query, paid by the employers.  In addition, FMCSA is offering an unlimited plan for high-volume Clearinghouse users at a cost of $24,500 annually. </w:t>
      </w:r>
      <w:r w:rsidR="001B01E3" w:rsidRPr="001B01E3">
        <w:t xml:space="preserve"> </w:t>
      </w:r>
    </w:p>
    <w:tbl>
      <w:tblPr>
        <w:tblStyle w:val="TableGrid"/>
        <w:tblpPr w:leftFromText="4752" w:rightFromText="2592" w:topFromText="288" w:bottomFromText="288" w:vertAnchor="text" w:tblpXSpec="center" w:tblpY="1"/>
        <w:tblOverlap w:val="never"/>
        <w:tblW w:w="0" w:type="auto"/>
        <w:tblLook w:val="04A0" w:firstRow="1" w:lastRow="0" w:firstColumn="1" w:lastColumn="0" w:noHBand="0" w:noVBand="1"/>
      </w:tblPr>
      <w:tblGrid>
        <w:gridCol w:w="2571"/>
        <w:gridCol w:w="2488"/>
        <w:gridCol w:w="2362"/>
        <w:gridCol w:w="2155"/>
      </w:tblGrid>
      <w:tr w:rsidR="00050E06" w:rsidTr="00B91B1F">
        <w:tc>
          <w:tcPr>
            <w:tcW w:w="9576" w:type="dxa"/>
            <w:gridSpan w:val="4"/>
            <w:tcBorders>
              <w:top w:val="single" w:sz="4" w:space="0" w:color="auto"/>
              <w:left w:val="single" w:sz="4" w:space="0" w:color="auto"/>
              <w:right w:val="single" w:sz="4" w:space="0" w:color="auto"/>
            </w:tcBorders>
            <w:shd w:val="clear" w:color="auto" w:fill="BFBFBF" w:themeFill="background1" w:themeFillShade="BF"/>
          </w:tcPr>
          <w:p w:rsidR="00050E06" w:rsidRPr="00050E06" w:rsidRDefault="00050E06" w:rsidP="001648C1">
            <w:pPr>
              <w:jc w:val="center"/>
              <w:rPr>
                <w:rFonts w:ascii="Arial Narrow" w:hAnsi="Arial Narrow"/>
                <w:b/>
                <w:sz w:val="20"/>
                <w:szCs w:val="20"/>
              </w:rPr>
            </w:pPr>
            <w:r w:rsidRPr="00050E06">
              <w:rPr>
                <w:rFonts w:ascii="Arial Narrow" w:hAnsi="Arial Narrow"/>
                <w:b/>
                <w:sz w:val="20"/>
                <w:szCs w:val="20"/>
              </w:rPr>
              <w:t>Employer Clearinghouse Access Fees</w:t>
            </w:r>
          </w:p>
        </w:tc>
      </w:tr>
      <w:tr w:rsidR="00CA03BC" w:rsidTr="00B91B1F">
        <w:tc>
          <w:tcPr>
            <w:tcW w:w="2571" w:type="dxa"/>
            <w:shd w:val="clear" w:color="auto" w:fill="BFBFBF" w:themeFill="background1" w:themeFillShade="BF"/>
            <w:vAlign w:val="center"/>
          </w:tcPr>
          <w:p w:rsidR="00FC50BF" w:rsidRPr="00050E06" w:rsidRDefault="00FC50BF" w:rsidP="001648C1">
            <w:pPr>
              <w:jc w:val="center"/>
              <w:rPr>
                <w:rFonts w:ascii="Arial Narrow" w:hAnsi="Arial Narrow" w:cs="Arial"/>
                <w:b/>
                <w:sz w:val="20"/>
                <w:szCs w:val="20"/>
              </w:rPr>
            </w:pPr>
            <w:r w:rsidRPr="00050E06">
              <w:rPr>
                <w:rFonts w:ascii="Arial Narrow" w:hAnsi="Arial Narrow" w:cs="Arial"/>
                <w:b/>
                <w:sz w:val="20"/>
                <w:szCs w:val="20"/>
              </w:rPr>
              <w:t>Query Type</w:t>
            </w:r>
          </w:p>
        </w:tc>
        <w:tc>
          <w:tcPr>
            <w:tcW w:w="2488" w:type="dxa"/>
            <w:shd w:val="clear" w:color="auto" w:fill="BFBFBF" w:themeFill="background1" w:themeFillShade="BF"/>
            <w:vAlign w:val="center"/>
          </w:tcPr>
          <w:p w:rsidR="00FC50BF" w:rsidRPr="00050E06" w:rsidRDefault="00FC50BF" w:rsidP="001648C1">
            <w:pPr>
              <w:jc w:val="center"/>
              <w:rPr>
                <w:rFonts w:ascii="Arial Narrow" w:hAnsi="Arial Narrow" w:cs="Arial"/>
                <w:b/>
                <w:sz w:val="20"/>
                <w:szCs w:val="20"/>
              </w:rPr>
            </w:pPr>
            <w:r w:rsidRPr="00050E06">
              <w:rPr>
                <w:rFonts w:ascii="Arial Narrow" w:hAnsi="Arial Narrow" w:cs="Arial"/>
                <w:b/>
                <w:sz w:val="20"/>
                <w:szCs w:val="20"/>
              </w:rPr>
              <w:t>Estimated Number of Queries</w:t>
            </w:r>
          </w:p>
        </w:tc>
        <w:tc>
          <w:tcPr>
            <w:tcW w:w="2362" w:type="dxa"/>
            <w:shd w:val="clear" w:color="auto" w:fill="BFBFBF" w:themeFill="background1" w:themeFillShade="BF"/>
            <w:vAlign w:val="center"/>
          </w:tcPr>
          <w:p w:rsidR="00FC50BF" w:rsidRPr="00050E06" w:rsidRDefault="00FC50BF" w:rsidP="001648C1">
            <w:pPr>
              <w:jc w:val="center"/>
              <w:rPr>
                <w:rFonts w:ascii="Arial Narrow" w:hAnsi="Arial Narrow" w:cs="Arial"/>
                <w:b/>
                <w:sz w:val="20"/>
                <w:szCs w:val="20"/>
              </w:rPr>
            </w:pPr>
            <w:r w:rsidRPr="00050E06">
              <w:rPr>
                <w:rFonts w:ascii="Arial Narrow" w:hAnsi="Arial Narrow" w:cs="Arial"/>
                <w:b/>
                <w:sz w:val="20"/>
                <w:szCs w:val="20"/>
              </w:rPr>
              <w:t>Cost per Query</w:t>
            </w:r>
          </w:p>
        </w:tc>
        <w:tc>
          <w:tcPr>
            <w:tcW w:w="2155" w:type="dxa"/>
            <w:shd w:val="clear" w:color="auto" w:fill="BFBFBF" w:themeFill="background1" w:themeFillShade="BF"/>
            <w:vAlign w:val="center"/>
          </w:tcPr>
          <w:p w:rsidR="00FC50BF" w:rsidRPr="00050E06" w:rsidRDefault="00FC50BF" w:rsidP="001648C1">
            <w:pPr>
              <w:jc w:val="center"/>
              <w:rPr>
                <w:rFonts w:ascii="Arial Narrow" w:hAnsi="Arial Narrow" w:cs="Arial"/>
                <w:b/>
                <w:sz w:val="20"/>
                <w:szCs w:val="20"/>
              </w:rPr>
            </w:pPr>
            <w:r w:rsidRPr="00050E06">
              <w:rPr>
                <w:rFonts w:ascii="Arial Narrow" w:hAnsi="Arial Narrow" w:cs="Arial"/>
                <w:b/>
                <w:sz w:val="20"/>
                <w:szCs w:val="20"/>
              </w:rPr>
              <w:t>Cost</w:t>
            </w:r>
          </w:p>
        </w:tc>
      </w:tr>
      <w:tr w:rsidR="00CA03BC" w:rsidTr="00B91B1F">
        <w:tc>
          <w:tcPr>
            <w:tcW w:w="2571"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Pre-employment Query</w:t>
            </w:r>
          </w:p>
        </w:tc>
        <w:tc>
          <w:tcPr>
            <w:tcW w:w="2488"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1,996,328</w:t>
            </w:r>
          </w:p>
        </w:tc>
        <w:tc>
          <w:tcPr>
            <w:tcW w:w="2362" w:type="dxa"/>
          </w:tcPr>
          <w:p w:rsidR="00E21181" w:rsidRPr="001648C1" w:rsidRDefault="00E21181" w:rsidP="001648C1">
            <w:pPr>
              <w:jc w:val="center"/>
              <w:rPr>
                <w:rFonts w:ascii="Arial Narrow" w:hAnsi="Arial Narrow" w:cs="Arial"/>
                <w:sz w:val="20"/>
                <w:szCs w:val="20"/>
              </w:rPr>
            </w:pPr>
            <w:r w:rsidRPr="00B91B1F">
              <w:rPr>
                <w:rFonts w:ascii="Arial Narrow" w:hAnsi="Arial Narrow" w:cs="Arial"/>
                <w:sz w:val="20"/>
                <w:szCs w:val="20"/>
              </w:rPr>
              <w:t>$</w:t>
            </w:r>
            <w:r w:rsidR="001517D0">
              <w:rPr>
                <w:rFonts w:ascii="Arial Narrow" w:hAnsi="Arial Narrow" w:cs="Arial"/>
                <w:sz w:val="20"/>
                <w:szCs w:val="20"/>
              </w:rPr>
              <w:t>1.25</w:t>
            </w:r>
          </w:p>
        </w:tc>
        <w:tc>
          <w:tcPr>
            <w:tcW w:w="2155" w:type="dxa"/>
          </w:tcPr>
          <w:p w:rsidR="00E21181" w:rsidRPr="001648C1" w:rsidRDefault="001517D0" w:rsidP="001648C1">
            <w:pPr>
              <w:jc w:val="center"/>
              <w:rPr>
                <w:rFonts w:ascii="Arial Narrow" w:hAnsi="Arial Narrow"/>
                <w:sz w:val="20"/>
                <w:szCs w:val="20"/>
              </w:rPr>
            </w:pPr>
            <w:r>
              <w:rPr>
                <w:rFonts w:ascii="Arial Narrow" w:hAnsi="Arial Narrow"/>
                <w:sz w:val="20"/>
                <w:szCs w:val="20"/>
              </w:rPr>
              <w:t>$2,495,410</w:t>
            </w:r>
          </w:p>
        </w:tc>
      </w:tr>
      <w:tr w:rsidR="00CA03BC" w:rsidTr="00B91B1F">
        <w:tc>
          <w:tcPr>
            <w:tcW w:w="2571"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Annual Query-Limited</w:t>
            </w:r>
          </w:p>
        </w:tc>
        <w:tc>
          <w:tcPr>
            <w:tcW w:w="2488"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4,839,000</w:t>
            </w:r>
          </w:p>
        </w:tc>
        <w:tc>
          <w:tcPr>
            <w:tcW w:w="2362" w:type="dxa"/>
          </w:tcPr>
          <w:p w:rsidR="00E21181" w:rsidRPr="001648C1" w:rsidRDefault="00E21181" w:rsidP="001648C1">
            <w:pPr>
              <w:jc w:val="center"/>
              <w:rPr>
                <w:rFonts w:ascii="Arial Narrow" w:hAnsi="Arial Narrow" w:cs="Arial"/>
                <w:sz w:val="20"/>
                <w:szCs w:val="20"/>
              </w:rPr>
            </w:pPr>
            <w:r w:rsidRPr="00B91B1F">
              <w:rPr>
                <w:rFonts w:ascii="Arial Narrow" w:hAnsi="Arial Narrow" w:cs="Arial"/>
                <w:sz w:val="20"/>
                <w:szCs w:val="20"/>
              </w:rPr>
              <w:t>$</w:t>
            </w:r>
            <w:r w:rsidR="001517D0">
              <w:rPr>
                <w:rFonts w:ascii="Arial Narrow" w:hAnsi="Arial Narrow" w:cs="Arial"/>
                <w:sz w:val="20"/>
                <w:szCs w:val="20"/>
              </w:rPr>
              <w:t>1.25</w:t>
            </w:r>
          </w:p>
        </w:tc>
        <w:tc>
          <w:tcPr>
            <w:tcW w:w="2155" w:type="dxa"/>
          </w:tcPr>
          <w:p w:rsidR="00E21181" w:rsidRPr="001648C1" w:rsidRDefault="001517D0" w:rsidP="001648C1">
            <w:pPr>
              <w:jc w:val="center"/>
              <w:rPr>
                <w:rFonts w:ascii="Arial Narrow" w:hAnsi="Arial Narrow"/>
                <w:sz w:val="20"/>
                <w:szCs w:val="20"/>
              </w:rPr>
            </w:pPr>
            <w:r>
              <w:rPr>
                <w:rFonts w:ascii="Arial Narrow" w:hAnsi="Arial Narrow"/>
                <w:sz w:val="20"/>
                <w:szCs w:val="20"/>
              </w:rPr>
              <w:t>$6,048</w:t>
            </w:r>
            <w:r w:rsidR="005B3258">
              <w:rPr>
                <w:rFonts w:ascii="Arial Narrow" w:hAnsi="Arial Narrow"/>
                <w:sz w:val="20"/>
                <w:szCs w:val="20"/>
              </w:rPr>
              <w:t>,</w:t>
            </w:r>
            <w:r>
              <w:rPr>
                <w:rFonts w:ascii="Arial Narrow" w:hAnsi="Arial Narrow"/>
                <w:sz w:val="20"/>
                <w:szCs w:val="20"/>
              </w:rPr>
              <w:t>750</w:t>
            </w:r>
          </w:p>
        </w:tc>
      </w:tr>
      <w:tr w:rsidR="00CA03BC" w:rsidTr="00B91B1F">
        <w:tc>
          <w:tcPr>
            <w:tcW w:w="2571"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Annual Query-Full</w:t>
            </w:r>
          </w:p>
        </w:tc>
        <w:tc>
          <w:tcPr>
            <w:tcW w:w="2488" w:type="dxa"/>
          </w:tcPr>
          <w:p w:rsidR="00E21181" w:rsidRPr="00050E06" w:rsidRDefault="00E21181" w:rsidP="001648C1">
            <w:pPr>
              <w:jc w:val="center"/>
              <w:rPr>
                <w:rFonts w:ascii="Arial Narrow" w:hAnsi="Arial Narrow"/>
                <w:sz w:val="20"/>
                <w:szCs w:val="20"/>
              </w:rPr>
            </w:pPr>
            <w:r w:rsidRPr="00050E06">
              <w:rPr>
                <w:rFonts w:ascii="Arial Narrow" w:hAnsi="Arial Narrow"/>
                <w:sz w:val="20"/>
                <w:szCs w:val="20"/>
              </w:rPr>
              <w:t>361,000</w:t>
            </w:r>
          </w:p>
        </w:tc>
        <w:tc>
          <w:tcPr>
            <w:tcW w:w="2362" w:type="dxa"/>
          </w:tcPr>
          <w:p w:rsidR="00E21181" w:rsidRPr="001648C1" w:rsidRDefault="00E21181" w:rsidP="001648C1">
            <w:pPr>
              <w:jc w:val="center"/>
              <w:rPr>
                <w:rFonts w:ascii="Arial Narrow" w:hAnsi="Arial Narrow" w:cs="Arial"/>
                <w:sz w:val="20"/>
                <w:szCs w:val="20"/>
              </w:rPr>
            </w:pPr>
            <w:r w:rsidRPr="00B91B1F">
              <w:rPr>
                <w:rFonts w:ascii="Arial Narrow" w:hAnsi="Arial Narrow" w:cs="Arial"/>
                <w:sz w:val="20"/>
                <w:szCs w:val="20"/>
              </w:rPr>
              <w:t>$</w:t>
            </w:r>
            <w:r w:rsidR="001517D0">
              <w:rPr>
                <w:rFonts w:ascii="Arial Narrow" w:hAnsi="Arial Narrow" w:cs="Arial"/>
                <w:sz w:val="20"/>
                <w:szCs w:val="20"/>
              </w:rPr>
              <w:t>1.25</w:t>
            </w:r>
          </w:p>
        </w:tc>
        <w:tc>
          <w:tcPr>
            <w:tcW w:w="2155" w:type="dxa"/>
          </w:tcPr>
          <w:p w:rsidR="00E21181" w:rsidRPr="001648C1" w:rsidRDefault="001517D0" w:rsidP="001648C1">
            <w:pPr>
              <w:jc w:val="center"/>
              <w:rPr>
                <w:rFonts w:ascii="Arial Narrow" w:hAnsi="Arial Narrow"/>
                <w:sz w:val="20"/>
                <w:szCs w:val="20"/>
              </w:rPr>
            </w:pPr>
            <w:r>
              <w:rPr>
                <w:rFonts w:ascii="Arial Narrow" w:hAnsi="Arial Narrow"/>
                <w:sz w:val="20"/>
                <w:szCs w:val="20"/>
              </w:rPr>
              <w:t>$451,250</w:t>
            </w:r>
            <w:r w:rsidR="00E21181" w:rsidRPr="00B91B1F">
              <w:rPr>
                <w:rFonts w:ascii="Arial Narrow" w:hAnsi="Arial Narrow"/>
                <w:sz w:val="20"/>
                <w:szCs w:val="20"/>
              </w:rPr>
              <w:t xml:space="preserve"> </w:t>
            </w:r>
          </w:p>
        </w:tc>
      </w:tr>
      <w:tr w:rsidR="00CA03BC" w:rsidTr="00B91B1F">
        <w:tc>
          <w:tcPr>
            <w:tcW w:w="2571" w:type="dxa"/>
          </w:tcPr>
          <w:p w:rsidR="001517D0" w:rsidRPr="00050E06" w:rsidRDefault="001517D0" w:rsidP="001648C1">
            <w:pPr>
              <w:jc w:val="center"/>
              <w:rPr>
                <w:rFonts w:ascii="Arial Narrow" w:hAnsi="Arial Narrow"/>
                <w:sz w:val="20"/>
                <w:szCs w:val="20"/>
              </w:rPr>
            </w:pPr>
            <w:r>
              <w:rPr>
                <w:rFonts w:ascii="Arial Narrow" w:hAnsi="Arial Narrow"/>
                <w:sz w:val="20"/>
                <w:szCs w:val="20"/>
              </w:rPr>
              <w:t>Estimated Unlimited Queries</w:t>
            </w:r>
            <w:r>
              <w:rPr>
                <w:rStyle w:val="FootnoteReference"/>
                <w:rFonts w:ascii="Arial Narrow" w:hAnsi="Arial Narrow"/>
                <w:sz w:val="20"/>
                <w:szCs w:val="20"/>
              </w:rPr>
              <w:footnoteReference w:id="3"/>
            </w:r>
          </w:p>
        </w:tc>
        <w:tc>
          <w:tcPr>
            <w:tcW w:w="2488" w:type="dxa"/>
          </w:tcPr>
          <w:p w:rsidR="001517D0" w:rsidRPr="00050E06" w:rsidRDefault="001517D0" w:rsidP="001648C1">
            <w:pPr>
              <w:jc w:val="center"/>
              <w:rPr>
                <w:rFonts w:ascii="Arial Narrow" w:hAnsi="Arial Narrow"/>
                <w:sz w:val="20"/>
                <w:szCs w:val="20"/>
              </w:rPr>
            </w:pPr>
            <w:r>
              <w:rPr>
                <w:rFonts w:ascii="Arial Narrow" w:hAnsi="Arial Narrow"/>
                <w:sz w:val="20"/>
                <w:szCs w:val="20"/>
              </w:rPr>
              <w:t>N/A</w:t>
            </w:r>
          </w:p>
        </w:tc>
        <w:tc>
          <w:tcPr>
            <w:tcW w:w="2362" w:type="dxa"/>
          </w:tcPr>
          <w:p w:rsidR="001517D0" w:rsidRDefault="001517D0" w:rsidP="001648C1">
            <w:pPr>
              <w:jc w:val="center"/>
              <w:rPr>
                <w:rFonts w:ascii="Arial Narrow" w:hAnsi="Arial Narrow" w:cs="Arial"/>
                <w:sz w:val="20"/>
                <w:szCs w:val="20"/>
              </w:rPr>
            </w:pPr>
            <w:r>
              <w:rPr>
                <w:rFonts w:ascii="Arial Narrow" w:hAnsi="Arial Narrow" w:cs="Arial"/>
                <w:sz w:val="20"/>
                <w:szCs w:val="20"/>
              </w:rPr>
              <w:t>N/A</w:t>
            </w:r>
          </w:p>
        </w:tc>
        <w:tc>
          <w:tcPr>
            <w:tcW w:w="2155" w:type="dxa"/>
          </w:tcPr>
          <w:p w:rsidR="001517D0" w:rsidRDefault="001517D0" w:rsidP="001648C1">
            <w:pPr>
              <w:jc w:val="center"/>
              <w:rPr>
                <w:rFonts w:ascii="Arial Narrow" w:hAnsi="Arial Narrow"/>
                <w:sz w:val="20"/>
                <w:szCs w:val="20"/>
              </w:rPr>
            </w:pPr>
            <w:r>
              <w:rPr>
                <w:rFonts w:ascii="Arial Narrow" w:hAnsi="Arial Narrow"/>
                <w:sz w:val="20"/>
                <w:szCs w:val="20"/>
              </w:rPr>
              <w:t>$367,500</w:t>
            </w:r>
          </w:p>
        </w:tc>
      </w:tr>
      <w:tr w:rsidR="00CA03BC" w:rsidTr="00B91B1F">
        <w:tc>
          <w:tcPr>
            <w:tcW w:w="2571" w:type="dxa"/>
            <w:vAlign w:val="center"/>
          </w:tcPr>
          <w:p w:rsidR="00FC50BF" w:rsidRPr="00B91B1F" w:rsidRDefault="00FC50BF" w:rsidP="001648C1">
            <w:pPr>
              <w:jc w:val="center"/>
              <w:rPr>
                <w:rFonts w:ascii="Arial Narrow" w:hAnsi="Arial Narrow"/>
                <w:b/>
                <w:sz w:val="20"/>
                <w:szCs w:val="20"/>
              </w:rPr>
            </w:pPr>
            <w:r w:rsidRPr="00B91B1F">
              <w:rPr>
                <w:rFonts w:ascii="Arial Narrow" w:hAnsi="Arial Narrow"/>
                <w:b/>
                <w:sz w:val="20"/>
                <w:szCs w:val="20"/>
              </w:rPr>
              <w:t>Total</w:t>
            </w:r>
          </w:p>
        </w:tc>
        <w:tc>
          <w:tcPr>
            <w:tcW w:w="2488" w:type="dxa"/>
          </w:tcPr>
          <w:p w:rsidR="00FC50BF" w:rsidRPr="00B91B1F" w:rsidRDefault="00CA03BC" w:rsidP="001648C1">
            <w:pPr>
              <w:jc w:val="center"/>
              <w:rPr>
                <w:rFonts w:ascii="Arial Narrow" w:hAnsi="Arial Narrow"/>
                <w:sz w:val="20"/>
                <w:szCs w:val="20"/>
              </w:rPr>
            </w:pPr>
            <w:r>
              <w:rPr>
                <w:rFonts w:ascii="Arial Narrow" w:hAnsi="Arial Narrow"/>
                <w:sz w:val="20"/>
                <w:szCs w:val="20"/>
              </w:rPr>
              <w:t>7,196,328</w:t>
            </w:r>
          </w:p>
        </w:tc>
        <w:tc>
          <w:tcPr>
            <w:tcW w:w="2362" w:type="dxa"/>
          </w:tcPr>
          <w:p w:rsidR="00FC50BF" w:rsidRPr="00050E06" w:rsidRDefault="00FC50BF" w:rsidP="001648C1">
            <w:pPr>
              <w:jc w:val="center"/>
              <w:rPr>
                <w:rFonts w:ascii="Arial Narrow" w:hAnsi="Arial Narrow"/>
              </w:rPr>
            </w:pPr>
          </w:p>
        </w:tc>
        <w:tc>
          <w:tcPr>
            <w:tcW w:w="2155" w:type="dxa"/>
          </w:tcPr>
          <w:p w:rsidR="00FC50BF" w:rsidRPr="00B91B1F" w:rsidRDefault="005B3258" w:rsidP="001648C1">
            <w:pPr>
              <w:jc w:val="center"/>
              <w:rPr>
                <w:rFonts w:ascii="Arial Narrow" w:hAnsi="Arial Narrow"/>
                <w:sz w:val="20"/>
                <w:szCs w:val="20"/>
              </w:rPr>
            </w:pPr>
            <w:r>
              <w:rPr>
                <w:rFonts w:ascii="Arial Narrow" w:hAnsi="Arial Narrow"/>
                <w:sz w:val="20"/>
                <w:szCs w:val="20"/>
              </w:rPr>
              <w:t>$9,362,910</w:t>
            </w:r>
          </w:p>
        </w:tc>
      </w:tr>
    </w:tbl>
    <w:p w:rsidR="00A36283" w:rsidRDefault="00A36283" w:rsidP="001658FD">
      <w:pPr>
        <w:tabs>
          <w:tab w:val="left" w:pos="720"/>
        </w:tabs>
        <w:jc w:val="both"/>
      </w:pPr>
    </w:p>
    <w:p w:rsidR="004015FC" w:rsidRDefault="00F2237B" w:rsidP="001658FD">
      <w:pPr>
        <w:tabs>
          <w:tab w:val="left" w:pos="720"/>
        </w:tabs>
        <w:jc w:val="both"/>
        <w:rPr>
          <w:rFonts w:ascii="Arial" w:hAnsi="Arial" w:cs="Arial"/>
          <w:b/>
          <w:bCs/>
          <w:szCs w:val="20"/>
        </w:rPr>
      </w:pPr>
      <w:r>
        <w:rPr>
          <w:rFonts w:ascii="Arial" w:hAnsi="Arial"/>
          <w:b/>
        </w:rPr>
        <w:t xml:space="preserve">14.  </w:t>
      </w:r>
      <w:r w:rsidR="004015FC">
        <w:rPr>
          <w:rFonts w:ascii="Arial" w:hAnsi="Arial"/>
          <w:b/>
        </w:rPr>
        <w:t>Estimate of Total Annual Costs to the Federal Government.</w:t>
      </w:r>
    </w:p>
    <w:p w:rsidR="006577AC" w:rsidRDefault="006577AC" w:rsidP="00655035">
      <w:pPr>
        <w:jc w:val="both"/>
      </w:pPr>
    </w:p>
    <w:p w:rsidR="008A09F7" w:rsidRDefault="0064048F" w:rsidP="00655035">
      <w:pPr>
        <w:jc w:val="both"/>
      </w:pPr>
      <w:r>
        <w:t>FMCSA will incur cost</w:t>
      </w:r>
      <w:r w:rsidR="00926714">
        <w:t>s</w:t>
      </w:r>
      <w:r>
        <w:t xml:space="preserve"> to </w:t>
      </w:r>
      <w:r w:rsidR="003F5388">
        <w:t xml:space="preserve">develop </w:t>
      </w:r>
      <w:r w:rsidR="00AB20BF">
        <w:t xml:space="preserve">the </w:t>
      </w:r>
      <w:r w:rsidR="006F139E">
        <w:t>C</w:t>
      </w:r>
      <w:r w:rsidR="003F5388">
        <w:t>learinghouse</w:t>
      </w:r>
      <w:r w:rsidR="00630942">
        <w:t xml:space="preserve">, </w:t>
      </w:r>
      <w:r>
        <w:t xml:space="preserve">continuously </w:t>
      </w:r>
      <w:r w:rsidR="003F5388">
        <w:t>manage</w:t>
      </w:r>
      <w:r>
        <w:t xml:space="preserve"> </w:t>
      </w:r>
      <w:r w:rsidR="003F5388">
        <w:t>driver records</w:t>
      </w:r>
      <w:r w:rsidR="00630942">
        <w:t xml:space="preserve"> and provide notification to drivers </w:t>
      </w:r>
      <w:r w:rsidR="006B5885">
        <w:t>as required</w:t>
      </w:r>
      <w:r w:rsidR="006A33C9">
        <w:t xml:space="preserve">. </w:t>
      </w:r>
      <w:r w:rsidR="006A33C9" w:rsidRPr="006A33C9">
        <w:t xml:space="preserve"> FMCSA estimates that </w:t>
      </w:r>
      <w:r w:rsidR="006A33C9">
        <w:t xml:space="preserve">the Agency’s </w:t>
      </w:r>
      <w:r w:rsidR="006A33C9" w:rsidRPr="006A33C9">
        <w:t xml:space="preserve">IT costs will be </w:t>
      </w:r>
    </w:p>
    <w:p w:rsidR="00DE1AC7" w:rsidRDefault="006A33C9" w:rsidP="00655035">
      <w:pPr>
        <w:jc w:val="both"/>
        <w:rPr>
          <w:rFonts w:ascii="Arial Narrow" w:hAnsi="Arial Narrow"/>
          <w:b/>
          <w:bCs/>
          <w:color w:val="000000"/>
          <w:sz w:val="20"/>
          <w:szCs w:val="20"/>
        </w:rPr>
      </w:pPr>
      <w:r w:rsidRPr="006A33C9">
        <w:t>$</w:t>
      </w:r>
      <w:r w:rsidR="00A73E84">
        <w:t>4.4</w:t>
      </w:r>
      <w:r w:rsidRPr="006A33C9">
        <w:t xml:space="preserve"> mi</w:t>
      </w:r>
      <w:r>
        <w:t>llion annually</w:t>
      </w:r>
      <w:r w:rsidR="00630942">
        <w:t>.</w:t>
      </w:r>
      <w:r w:rsidR="003F5388">
        <w:rPr>
          <w:rStyle w:val="FootnoteReference"/>
        </w:rPr>
        <w:footnoteReference w:id="4"/>
      </w:r>
      <w:r w:rsidR="003F5388">
        <w:t xml:space="preserve"> </w:t>
      </w:r>
      <w:r w:rsidR="00FC3E43" w:rsidRPr="00FC3E43">
        <w:t xml:space="preserve">  </w:t>
      </w:r>
    </w:p>
    <w:p w:rsidR="004015FC" w:rsidRDefault="004015FC" w:rsidP="004015FC">
      <w:pPr>
        <w:pStyle w:val="NormalWeb"/>
        <w:keepNext/>
        <w:rPr>
          <w:rFonts w:ascii="Arial" w:hAnsi="Arial"/>
          <w:b/>
        </w:rPr>
      </w:pPr>
      <w:r>
        <w:rPr>
          <w:rFonts w:ascii="Arial" w:hAnsi="Arial"/>
          <w:b/>
        </w:rPr>
        <w:t>15. Explanation of Program Changes or Adjustments.</w:t>
      </w:r>
    </w:p>
    <w:p w:rsidR="00C22DAC" w:rsidRPr="00C22DAC" w:rsidRDefault="00C22DAC" w:rsidP="00C22DAC">
      <w:pPr>
        <w:pStyle w:val="NormalWeb"/>
        <w:jc w:val="both"/>
        <w:rPr>
          <w:rFonts w:ascii="Arial" w:hAnsi="Arial" w:cs="Arial"/>
          <w:szCs w:val="20"/>
        </w:rPr>
      </w:pPr>
      <w:r>
        <w:t>This program increase is due to the ICR requirement in the rule. From item</w:t>
      </w:r>
      <w:r w:rsidRPr="00F70D33">
        <w:t xml:space="preserve"> 12 above, the additional </w:t>
      </w:r>
      <w:r>
        <w:t>burden-hours of this rule are</w:t>
      </w:r>
      <w:r w:rsidRPr="00F70D33">
        <w:t xml:space="preserve"> </w:t>
      </w:r>
      <w:r>
        <w:t>1,8</w:t>
      </w:r>
      <w:r w:rsidR="003D5E4E">
        <w:t>62,790</w:t>
      </w:r>
      <w:r w:rsidRPr="00F70D33">
        <w:t xml:space="preserve"> annually.</w:t>
      </w:r>
      <w:r>
        <w:t xml:space="preserve">  </w:t>
      </w:r>
      <w:r w:rsidRPr="00C22DAC">
        <w:t>No burden hours or annual costs were being requested for the first three years, between 2017 and 2020, for this ICR.  An ICR renewal for the estimated burden hours and costs is now being submitted by the Agency to OMB for approval on time for the compliance date on January 6, 2020.</w:t>
      </w:r>
    </w:p>
    <w:p w:rsidR="00CA02F9" w:rsidRDefault="00CA02F9">
      <w:pPr>
        <w:pStyle w:val="NormalWeb"/>
        <w:keepNext/>
        <w:rPr>
          <w:rFonts w:ascii="Arial" w:hAnsi="Arial" w:cs="Arial"/>
          <w:b/>
          <w:bCs/>
          <w:szCs w:val="20"/>
        </w:rPr>
      </w:pPr>
      <w:r>
        <w:rPr>
          <w:rFonts w:ascii="Arial" w:hAnsi="Arial" w:cs="Arial"/>
          <w:b/>
          <w:bCs/>
          <w:szCs w:val="20"/>
        </w:rPr>
        <w:t>16. Publication of Results of Data Collection.</w:t>
      </w:r>
    </w:p>
    <w:p w:rsidR="00CA02F9" w:rsidRPr="00382CA3" w:rsidRDefault="00CA02F9">
      <w:pPr>
        <w:pStyle w:val="NormalWeb"/>
        <w:rPr>
          <w:szCs w:val="20"/>
        </w:rPr>
      </w:pPr>
      <w:r w:rsidRPr="00382CA3">
        <w:rPr>
          <w:szCs w:val="20"/>
        </w:rPr>
        <w:t xml:space="preserve">FMCSA </w:t>
      </w:r>
      <w:r w:rsidR="00E102F8">
        <w:rPr>
          <w:szCs w:val="20"/>
        </w:rPr>
        <w:t xml:space="preserve">will not </w:t>
      </w:r>
      <w:r w:rsidRPr="00382CA3">
        <w:rPr>
          <w:szCs w:val="20"/>
        </w:rPr>
        <w:t>publish any</w:t>
      </w:r>
      <w:r w:rsidR="00FD63B0">
        <w:rPr>
          <w:szCs w:val="20"/>
        </w:rPr>
        <w:t xml:space="preserve"> individual drive</w:t>
      </w:r>
      <w:r w:rsidR="00E102F8">
        <w:rPr>
          <w:szCs w:val="20"/>
        </w:rPr>
        <w:t>r</w:t>
      </w:r>
      <w:r w:rsidR="00FD63B0">
        <w:rPr>
          <w:szCs w:val="20"/>
        </w:rPr>
        <w:t>’s test</w:t>
      </w:r>
      <w:r w:rsidRPr="00382CA3">
        <w:rPr>
          <w:szCs w:val="20"/>
        </w:rPr>
        <w:t xml:space="preserve"> results</w:t>
      </w:r>
      <w:r w:rsidR="00FD63B0">
        <w:rPr>
          <w:szCs w:val="20"/>
        </w:rPr>
        <w:t xml:space="preserve"> </w:t>
      </w:r>
      <w:r w:rsidR="00E102F8">
        <w:rPr>
          <w:szCs w:val="20"/>
        </w:rPr>
        <w:t xml:space="preserve">or any other information containing </w:t>
      </w:r>
      <w:r w:rsidR="00FD63B0">
        <w:rPr>
          <w:szCs w:val="20"/>
        </w:rPr>
        <w:t>personally identifiable information</w:t>
      </w:r>
      <w:r w:rsidRPr="00382CA3">
        <w:rPr>
          <w:szCs w:val="20"/>
        </w:rPr>
        <w:t>.</w:t>
      </w:r>
    </w:p>
    <w:p w:rsidR="00CA02F9" w:rsidRDefault="009A60C1" w:rsidP="00977BBD">
      <w:pPr>
        <w:pStyle w:val="NormalWeb"/>
        <w:keepNext/>
        <w:rPr>
          <w:rFonts w:ascii="Arial" w:hAnsi="Arial" w:cs="Arial"/>
          <w:b/>
          <w:bCs/>
          <w:szCs w:val="20"/>
        </w:rPr>
      </w:pPr>
      <w:r>
        <w:rPr>
          <w:rFonts w:ascii="Arial" w:hAnsi="Arial" w:cs="Arial"/>
          <w:b/>
          <w:bCs/>
          <w:szCs w:val="20"/>
        </w:rPr>
        <w:t>17. Approval for Exemption of Display of</w:t>
      </w:r>
      <w:r w:rsidR="00CA02F9">
        <w:rPr>
          <w:rFonts w:ascii="Arial" w:hAnsi="Arial" w:cs="Arial"/>
          <w:b/>
          <w:bCs/>
          <w:szCs w:val="20"/>
        </w:rPr>
        <w:t xml:space="preserve"> the Expiration Date of OMB Approval.</w:t>
      </w:r>
    </w:p>
    <w:p w:rsidR="00CA02F9" w:rsidRPr="00382CA3" w:rsidRDefault="00CA02F9">
      <w:pPr>
        <w:pStyle w:val="NormalWeb"/>
        <w:rPr>
          <w:szCs w:val="20"/>
        </w:rPr>
      </w:pPr>
      <w:r w:rsidRPr="00382CA3">
        <w:rPr>
          <w:szCs w:val="20"/>
        </w:rPr>
        <w:t>The FMCS</w:t>
      </w:r>
      <w:r w:rsidR="00382CA3" w:rsidRPr="00382CA3">
        <w:rPr>
          <w:szCs w:val="20"/>
        </w:rPr>
        <w:t>A is not seeking approval to exempt</w:t>
      </w:r>
      <w:r w:rsidRPr="00382CA3">
        <w:rPr>
          <w:szCs w:val="20"/>
        </w:rPr>
        <w:t xml:space="preserve"> display </w:t>
      </w:r>
      <w:r w:rsidR="00382CA3" w:rsidRPr="00382CA3">
        <w:rPr>
          <w:szCs w:val="20"/>
        </w:rPr>
        <w:t xml:space="preserve">of </w:t>
      </w:r>
      <w:r w:rsidRPr="00382CA3">
        <w:rPr>
          <w:szCs w:val="20"/>
        </w:rPr>
        <w:t>the expiration date of OMB approval of the information collection.</w:t>
      </w:r>
    </w:p>
    <w:p w:rsidR="00CA02F9" w:rsidRDefault="00CA02F9">
      <w:pPr>
        <w:pStyle w:val="NormalWeb"/>
        <w:keepNext/>
        <w:rPr>
          <w:rFonts w:ascii="Arial" w:hAnsi="Arial" w:cs="Arial"/>
          <w:b/>
          <w:bCs/>
          <w:szCs w:val="20"/>
        </w:rPr>
      </w:pPr>
      <w:r>
        <w:rPr>
          <w:rFonts w:ascii="Arial" w:hAnsi="Arial" w:cs="Arial"/>
          <w:b/>
          <w:bCs/>
          <w:szCs w:val="20"/>
        </w:rPr>
        <w:t>18. Exceptions to Certification Statement.</w:t>
      </w:r>
    </w:p>
    <w:p w:rsidR="00CA02F9" w:rsidRDefault="00CA02F9" w:rsidP="002042D9">
      <w:pPr>
        <w:pStyle w:val="NormalWeb"/>
        <w:rPr>
          <w:rFonts w:ascii="Arial" w:hAnsi="Arial" w:cs="Arial"/>
          <w:szCs w:val="20"/>
        </w:rPr>
      </w:pPr>
      <w:r w:rsidRPr="00382CA3">
        <w:rPr>
          <w:szCs w:val="20"/>
        </w:rPr>
        <w:t>There are no exceptions to the certification statement</w:t>
      </w:r>
      <w:r>
        <w:rPr>
          <w:rFonts w:ascii="Arial" w:hAnsi="Arial" w:cs="Arial"/>
          <w:szCs w:val="20"/>
        </w:rPr>
        <w:t>.</w:t>
      </w:r>
    </w:p>
    <w:p w:rsidR="00516D3A" w:rsidRDefault="00516D3A" w:rsidP="00977BBD">
      <w:pPr>
        <w:pStyle w:val="NormalWeb"/>
        <w:keepNext/>
        <w:rPr>
          <w:rFonts w:ascii="Arial" w:hAnsi="Arial" w:cs="Arial"/>
          <w:bCs/>
          <w:szCs w:val="20"/>
        </w:rPr>
      </w:pPr>
      <w:r w:rsidRPr="00516D3A">
        <w:rPr>
          <w:rFonts w:ascii="Arial" w:hAnsi="Arial" w:cs="Arial"/>
          <w:b/>
          <w:bCs/>
          <w:szCs w:val="20"/>
          <w:u w:val="single"/>
        </w:rPr>
        <w:t>Part B.  Collections of Information Employing Statistical Methods</w:t>
      </w:r>
      <w:r>
        <w:rPr>
          <w:rFonts w:ascii="Arial" w:hAnsi="Arial" w:cs="Arial"/>
          <w:b/>
          <w:bCs/>
          <w:szCs w:val="20"/>
        </w:rPr>
        <w:t>.</w:t>
      </w:r>
    </w:p>
    <w:p w:rsidR="006674EA" w:rsidRDefault="004B4C7C" w:rsidP="002042D9">
      <w:pPr>
        <w:pStyle w:val="NormalWeb"/>
        <w:rPr>
          <w:bCs/>
          <w:szCs w:val="20"/>
        </w:rPr>
      </w:pPr>
      <w:r w:rsidRPr="004B4C7C">
        <w:rPr>
          <w:bCs/>
          <w:szCs w:val="20"/>
        </w:rPr>
        <w:t>This ICR does not employ statistical methodologies.</w:t>
      </w:r>
    </w:p>
    <w:p w:rsidR="006674EA" w:rsidRDefault="006674EA" w:rsidP="002042D9">
      <w:pPr>
        <w:pStyle w:val="NormalWeb"/>
        <w:rPr>
          <w:b/>
          <w:bCs/>
          <w:szCs w:val="20"/>
        </w:rPr>
      </w:pPr>
      <w:r w:rsidRPr="006674EA">
        <w:rPr>
          <w:b/>
          <w:bCs/>
          <w:szCs w:val="20"/>
        </w:rPr>
        <w:t>Attachments</w:t>
      </w:r>
    </w:p>
    <w:p w:rsidR="00E737DB" w:rsidRDefault="006674EA" w:rsidP="000903F9">
      <w:pPr>
        <w:pStyle w:val="NormalWeb"/>
        <w:spacing w:before="0" w:beforeAutospacing="0" w:after="0" w:afterAutospacing="0"/>
        <w:rPr>
          <w:bCs/>
          <w:szCs w:val="20"/>
        </w:rPr>
      </w:pPr>
      <w:r w:rsidRPr="003F6906">
        <w:rPr>
          <w:bCs/>
          <w:szCs w:val="20"/>
        </w:rPr>
        <w:t>A.</w:t>
      </w:r>
      <w:r w:rsidR="003F6906" w:rsidRPr="003F6906">
        <w:rPr>
          <w:bCs/>
          <w:szCs w:val="20"/>
        </w:rPr>
        <w:t xml:space="preserve"> </w:t>
      </w:r>
      <w:r w:rsidR="00E737DB">
        <w:t>F</w:t>
      </w:r>
      <w:r w:rsidR="00E737DB" w:rsidRPr="007114C4">
        <w:t xml:space="preserve">inal rule </w:t>
      </w:r>
      <w:r w:rsidR="00E737DB">
        <w:t>(</w:t>
      </w:r>
      <w:r w:rsidR="00E737DB" w:rsidRPr="007114C4">
        <w:t>81 FR 87686</w:t>
      </w:r>
      <w:r w:rsidR="00E737DB">
        <w:t xml:space="preserve">), </w:t>
      </w:r>
      <w:r w:rsidR="00E737DB" w:rsidRPr="007114C4">
        <w:t>December 5, 2016</w:t>
      </w:r>
      <w:r w:rsidR="00E737DB">
        <w:t>.</w:t>
      </w:r>
    </w:p>
    <w:p w:rsidR="006674EA" w:rsidRPr="003F6906" w:rsidRDefault="00E737DB" w:rsidP="000903F9">
      <w:pPr>
        <w:pStyle w:val="NormalWeb"/>
        <w:spacing w:before="0" w:beforeAutospacing="0" w:after="0" w:afterAutospacing="0"/>
        <w:rPr>
          <w:bCs/>
          <w:szCs w:val="20"/>
        </w:rPr>
      </w:pPr>
      <w:r>
        <w:rPr>
          <w:bCs/>
          <w:szCs w:val="20"/>
        </w:rPr>
        <w:t xml:space="preserve">B. </w:t>
      </w:r>
      <w:r w:rsidR="003F6906" w:rsidRPr="003F6906">
        <w:rPr>
          <w:bCs/>
          <w:szCs w:val="20"/>
        </w:rPr>
        <w:t xml:space="preserve">Privacy Impact Assessment </w:t>
      </w:r>
      <w:r w:rsidR="003F6906">
        <w:rPr>
          <w:bCs/>
          <w:szCs w:val="20"/>
        </w:rPr>
        <w:t>for the Clearinghouse Final Rule</w:t>
      </w:r>
    </w:p>
    <w:p w:rsidR="006674EA" w:rsidRPr="006674EA" w:rsidRDefault="006674EA" w:rsidP="002042D9">
      <w:pPr>
        <w:pStyle w:val="NormalWeb"/>
        <w:rPr>
          <w:b/>
          <w:szCs w:val="20"/>
        </w:rPr>
      </w:pPr>
    </w:p>
    <w:sectPr w:rsidR="006674EA" w:rsidRPr="006674EA" w:rsidSect="002F76AA">
      <w:footerReference w:type="even" r:id="rId12"/>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F4A" w:rsidRDefault="000D4F4A">
      <w:r>
        <w:separator/>
      </w:r>
    </w:p>
  </w:endnote>
  <w:endnote w:type="continuationSeparator" w:id="0">
    <w:p w:rsidR="000D4F4A" w:rsidRDefault="000D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5D" w:rsidRDefault="00092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295D" w:rsidRDefault="000929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07049"/>
      <w:docPartObj>
        <w:docPartGallery w:val="Page Numbers (Bottom of Page)"/>
        <w:docPartUnique/>
      </w:docPartObj>
    </w:sdtPr>
    <w:sdtEndPr/>
    <w:sdtContent>
      <w:p w:rsidR="0009295D" w:rsidRDefault="0009295D">
        <w:pPr>
          <w:pStyle w:val="Footer"/>
          <w:jc w:val="center"/>
        </w:pPr>
        <w:r>
          <w:fldChar w:fldCharType="begin"/>
        </w:r>
        <w:r>
          <w:instrText xml:space="preserve"> PAGE   \* MERGEFORMAT </w:instrText>
        </w:r>
        <w:r>
          <w:fldChar w:fldCharType="separate"/>
        </w:r>
        <w:r w:rsidR="00505236">
          <w:rPr>
            <w:noProof/>
          </w:rPr>
          <w:t>2</w:t>
        </w:r>
        <w:r>
          <w:rPr>
            <w:noProof/>
          </w:rPr>
          <w:fldChar w:fldCharType="end"/>
        </w:r>
      </w:p>
    </w:sdtContent>
  </w:sdt>
  <w:p w:rsidR="0009295D" w:rsidRDefault="0009295D" w:rsidP="00DF6135">
    <w:pPr>
      <w:pStyle w:val="Footer"/>
      <w:tabs>
        <w:tab w:val="clear" w:pos="4320"/>
        <w:tab w:val="clear" w:pos="8640"/>
        <w:tab w:val="right" w:pos="936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07048"/>
      <w:docPartObj>
        <w:docPartGallery w:val="Page Numbers (Bottom of Page)"/>
        <w:docPartUnique/>
      </w:docPartObj>
    </w:sdtPr>
    <w:sdtEndPr/>
    <w:sdtContent>
      <w:p w:rsidR="0009295D" w:rsidRDefault="0009295D">
        <w:pPr>
          <w:pStyle w:val="Footer"/>
          <w:jc w:val="center"/>
        </w:pPr>
        <w:r>
          <w:fldChar w:fldCharType="begin"/>
        </w:r>
        <w:r>
          <w:instrText xml:space="preserve"> PAGE   \* MERGEFORMAT </w:instrText>
        </w:r>
        <w:r>
          <w:fldChar w:fldCharType="separate"/>
        </w:r>
        <w:r w:rsidR="00505236">
          <w:rPr>
            <w:noProof/>
          </w:rPr>
          <w:t>1</w:t>
        </w:r>
        <w:r>
          <w:rPr>
            <w:noProof/>
          </w:rPr>
          <w:fldChar w:fldCharType="end"/>
        </w:r>
      </w:p>
    </w:sdtContent>
  </w:sdt>
  <w:p w:rsidR="0009295D" w:rsidRDefault="0009295D" w:rsidP="005F0224">
    <w:pPr>
      <w:pStyle w:val="Footer"/>
      <w:tabs>
        <w:tab w:val="clear" w:pos="4320"/>
        <w:tab w:val="clear" w:pos="864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F4A" w:rsidRDefault="000D4F4A">
      <w:r>
        <w:separator/>
      </w:r>
    </w:p>
  </w:footnote>
  <w:footnote w:type="continuationSeparator" w:id="0">
    <w:p w:rsidR="000D4F4A" w:rsidRDefault="000D4F4A">
      <w:r>
        <w:continuationSeparator/>
      </w:r>
    </w:p>
  </w:footnote>
  <w:footnote w:id="1">
    <w:p w:rsidR="0009295D" w:rsidRDefault="0009295D">
      <w:pPr>
        <w:pStyle w:val="FootnoteText"/>
      </w:pPr>
      <w:r>
        <w:rPr>
          <w:rStyle w:val="FootnoteReference"/>
        </w:rPr>
        <w:footnoteRef/>
      </w:r>
      <w:r>
        <w:t xml:space="preserve"> All Bureau of Labor Statistics (BLS) hourly wage rates excluding fringe benefits and employer overhead are from the May 2014 Occupational Employment Statistics </w:t>
      </w:r>
      <w:r w:rsidRPr="00B91B1F">
        <w:t>at http://www.bls.gov/oes/2014/may/oes_stru.htm#53-0000. The fringe benefit rate (53 percent) is from the BLS Employer Costs for Employee Compensation—December 2014.” at http://www.bls.gov/news.release/pdf/ecec.pdf.</w:t>
      </w:r>
      <w:r w:rsidRPr="00B91B1F">
        <w:rPr>
          <w:u w:val="single"/>
        </w:rPr>
        <w:t xml:space="preserve">  The</w:t>
      </w:r>
      <w:r>
        <w:t xml:space="preserve"> overhead rate (27 percent of labor costs) is from </w:t>
      </w:r>
      <w:r w:rsidRPr="00C958D1">
        <w:t>“Truck Costing Model for Transportation Managers</w:t>
      </w:r>
      <w:r>
        <w:t>,</w:t>
      </w:r>
      <w:r w:rsidRPr="00C958D1">
        <w:t>” Upper Great Plains Transportation Institute,</w:t>
      </w:r>
      <w:r>
        <w:t xml:space="preserve">” </w:t>
      </w:r>
      <w:r w:rsidRPr="00C958D1">
        <w:t>North</w:t>
      </w:r>
      <w:r w:rsidRPr="008B5C52">
        <w:t xml:space="preserve"> Dakota State University (2003)</w:t>
      </w:r>
      <w:r>
        <w:t xml:space="preserve"> at </w:t>
      </w:r>
      <w:r w:rsidRPr="008B5C52">
        <w:t xml:space="preserve"> </w:t>
      </w:r>
      <w:r>
        <w:t xml:space="preserve"> </w:t>
      </w:r>
      <w:r w:rsidRPr="00A64AF3">
        <w:rPr>
          <w:bCs/>
        </w:rPr>
        <w:t>http://ntl.bts.gov/lib/24000/24200/24223/24223.pdf</w:t>
      </w:r>
      <w:r>
        <w:rPr>
          <w:bCs/>
        </w:rPr>
        <w:t>.</w:t>
      </w:r>
      <w:r w:rsidRPr="00A64AF3" w:rsidDel="00A64AF3">
        <w:rPr>
          <w:bCs/>
        </w:rPr>
        <w:t xml:space="preserve"> </w:t>
      </w:r>
      <w:r>
        <w:rPr>
          <w:bCs/>
        </w:rPr>
        <w:t xml:space="preserve"> Accessed December 21, 2015.</w:t>
      </w:r>
    </w:p>
  </w:footnote>
  <w:footnote w:id="2">
    <w:p w:rsidR="00A6745E" w:rsidRDefault="00A6745E" w:rsidP="00E21181">
      <w:pPr>
        <w:pStyle w:val="FootnoteText"/>
      </w:pPr>
      <w:r>
        <w:rPr>
          <w:rStyle w:val="FootnoteReference"/>
        </w:rPr>
        <w:footnoteRef/>
      </w:r>
      <w:r>
        <w:t xml:space="preserve"> There is no reporting burden hours associated with the return to duty process.  Therefore, the $56 million of estimated annual return-to duty- costs are excluded from the estimated annual burden costs.  The annual cost of the Clearinghouse incurred by the government is identified in Item 14. </w:t>
      </w:r>
    </w:p>
  </w:footnote>
  <w:footnote w:id="3">
    <w:p w:rsidR="001517D0" w:rsidRDefault="001517D0">
      <w:pPr>
        <w:pStyle w:val="FootnoteText"/>
      </w:pPr>
      <w:r>
        <w:rPr>
          <w:rStyle w:val="FootnoteReference"/>
        </w:rPr>
        <w:footnoteRef/>
      </w:r>
      <w:r>
        <w:t xml:space="preserve"> FMCSA is estimating that 15 carriers will purchase the unlimited query plan at $24,500 annually. </w:t>
      </w:r>
    </w:p>
  </w:footnote>
  <w:footnote w:id="4">
    <w:p w:rsidR="0009295D" w:rsidRPr="00CC2DC2" w:rsidRDefault="0009295D" w:rsidP="003F5388">
      <w:pPr>
        <w:pStyle w:val="SuperRIAFootnote"/>
      </w:pPr>
      <w:r>
        <w:rPr>
          <w:rStyle w:val="FootnoteReference"/>
        </w:rPr>
        <w:footnoteRef/>
      </w:r>
      <w:r>
        <w:t xml:space="preserve"> This is the value of the contract to </w:t>
      </w:r>
      <w:r w:rsidR="00A73E84">
        <w:t xml:space="preserve">perform operations and maintenance on the Drug and Alcohol Clearinghouse. This estimate is based on the original development of the database and ongoing operations and maintenance to similar IT systems.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36E31"/>
    <w:multiLevelType w:val="hybridMultilevel"/>
    <w:tmpl w:val="A004289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D6518A"/>
    <w:multiLevelType w:val="hybridMultilevel"/>
    <w:tmpl w:val="82044F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CC6C6B"/>
    <w:multiLevelType w:val="multilevel"/>
    <w:tmpl w:val="2180AF02"/>
    <w:lvl w:ilvl="0">
      <w:start w:val="1"/>
      <w:numFmt w:val="decimal"/>
      <w:pStyle w:val="doubl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CE24F02"/>
    <w:multiLevelType w:val="hybridMultilevel"/>
    <w:tmpl w:val="85A0BEA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EF5295"/>
    <w:multiLevelType w:val="hybridMultilevel"/>
    <w:tmpl w:val="85A0BEA6"/>
    <w:lvl w:ilvl="0" w:tplc="04090019">
      <w:start w:val="1"/>
      <w:numFmt w:val="low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88149D"/>
    <w:multiLevelType w:val="hybridMultilevel"/>
    <w:tmpl w:val="0BDAE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6C44F3"/>
    <w:multiLevelType w:val="hybridMultilevel"/>
    <w:tmpl w:val="C67C0C14"/>
    <w:lvl w:ilvl="0" w:tplc="A9BAB42C">
      <w:start w:val="1"/>
      <w:numFmt w:val="bullet"/>
      <w:lvlText w:val=""/>
      <w:lvlJc w:val="left"/>
      <w:pPr>
        <w:tabs>
          <w:tab w:val="num" w:pos="720"/>
        </w:tabs>
        <w:ind w:left="720" w:hanging="360"/>
      </w:pPr>
      <w:rPr>
        <w:rFonts w:ascii="Wingdings 3" w:hAnsi="Wingdings 3" w:hint="default"/>
      </w:rPr>
    </w:lvl>
    <w:lvl w:ilvl="1" w:tplc="785A776A">
      <w:start w:val="1"/>
      <w:numFmt w:val="bullet"/>
      <w:lvlText w:val=""/>
      <w:lvlJc w:val="left"/>
      <w:pPr>
        <w:tabs>
          <w:tab w:val="num" w:pos="1440"/>
        </w:tabs>
        <w:ind w:left="1440" w:hanging="360"/>
      </w:pPr>
      <w:rPr>
        <w:rFonts w:ascii="Wingdings 3" w:hAnsi="Wingdings 3" w:hint="default"/>
      </w:rPr>
    </w:lvl>
    <w:lvl w:ilvl="2" w:tplc="A0E04E4E" w:tentative="1">
      <w:start w:val="1"/>
      <w:numFmt w:val="bullet"/>
      <w:lvlText w:val=""/>
      <w:lvlJc w:val="left"/>
      <w:pPr>
        <w:tabs>
          <w:tab w:val="num" w:pos="2160"/>
        </w:tabs>
        <w:ind w:left="2160" w:hanging="360"/>
      </w:pPr>
      <w:rPr>
        <w:rFonts w:ascii="Wingdings 3" w:hAnsi="Wingdings 3" w:hint="default"/>
      </w:rPr>
    </w:lvl>
    <w:lvl w:ilvl="3" w:tplc="85C66F76" w:tentative="1">
      <w:start w:val="1"/>
      <w:numFmt w:val="bullet"/>
      <w:lvlText w:val=""/>
      <w:lvlJc w:val="left"/>
      <w:pPr>
        <w:tabs>
          <w:tab w:val="num" w:pos="2880"/>
        </w:tabs>
        <w:ind w:left="2880" w:hanging="360"/>
      </w:pPr>
      <w:rPr>
        <w:rFonts w:ascii="Wingdings 3" w:hAnsi="Wingdings 3" w:hint="default"/>
      </w:rPr>
    </w:lvl>
    <w:lvl w:ilvl="4" w:tplc="780E1E9C" w:tentative="1">
      <w:start w:val="1"/>
      <w:numFmt w:val="bullet"/>
      <w:lvlText w:val=""/>
      <w:lvlJc w:val="left"/>
      <w:pPr>
        <w:tabs>
          <w:tab w:val="num" w:pos="3600"/>
        </w:tabs>
        <w:ind w:left="3600" w:hanging="360"/>
      </w:pPr>
      <w:rPr>
        <w:rFonts w:ascii="Wingdings 3" w:hAnsi="Wingdings 3" w:hint="default"/>
      </w:rPr>
    </w:lvl>
    <w:lvl w:ilvl="5" w:tplc="91FCE402" w:tentative="1">
      <w:start w:val="1"/>
      <w:numFmt w:val="bullet"/>
      <w:lvlText w:val=""/>
      <w:lvlJc w:val="left"/>
      <w:pPr>
        <w:tabs>
          <w:tab w:val="num" w:pos="4320"/>
        </w:tabs>
        <w:ind w:left="4320" w:hanging="360"/>
      </w:pPr>
      <w:rPr>
        <w:rFonts w:ascii="Wingdings 3" w:hAnsi="Wingdings 3" w:hint="default"/>
      </w:rPr>
    </w:lvl>
    <w:lvl w:ilvl="6" w:tplc="AF72407C" w:tentative="1">
      <w:start w:val="1"/>
      <w:numFmt w:val="bullet"/>
      <w:lvlText w:val=""/>
      <w:lvlJc w:val="left"/>
      <w:pPr>
        <w:tabs>
          <w:tab w:val="num" w:pos="5040"/>
        </w:tabs>
        <w:ind w:left="5040" w:hanging="360"/>
      </w:pPr>
      <w:rPr>
        <w:rFonts w:ascii="Wingdings 3" w:hAnsi="Wingdings 3" w:hint="default"/>
      </w:rPr>
    </w:lvl>
    <w:lvl w:ilvl="7" w:tplc="66C62EF8" w:tentative="1">
      <w:start w:val="1"/>
      <w:numFmt w:val="bullet"/>
      <w:lvlText w:val=""/>
      <w:lvlJc w:val="left"/>
      <w:pPr>
        <w:tabs>
          <w:tab w:val="num" w:pos="5760"/>
        </w:tabs>
        <w:ind w:left="5760" w:hanging="360"/>
      </w:pPr>
      <w:rPr>
        <w:rFonts w:ascii="Wingdings 3" w:hAnsi="Wingdings 3" w:hint="default"/>
      </w:rPr>
    </w:lvl>
    <w:lvl w:ilvl="8" w:tplc="442498E6" w:tentative="1">
      <w:start w:val="1"/>
      <w:numFmt w:val="bullet"/>
      <w:lvlText w:val=""/>
      <w:lvlJc w:val="left"/>
      <w:pPr>
        <w:tabs>
          <w:tab w:val="num" w:pos="6480"/>
        </w:tabs>
        <w:ind w:left="6480" w:hanging="360"/>
      </w:pPr>
      <w:rPr>
        <w:rFonts w:ascii="Wingdings 3" w:hAnsi="Wingdings 3" w:hint="default"/>
      </w:rPr>
    </w:lvl>
  </w:abstractNum>
  <w:abstractNum w:abstractNumId="14">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10"/>
  </w:num>
  <w:num w:numId="4">
    <w:abstractNumId w:val="5"/>
  </w:num>
  <w:num w:numId="5">
    <w:abstractNumId w:val="9"/>
  </w:num>
  <w:num w:numId="6">
    <w:abstractNumId w:val="3"/>
  </w:num>
  <w:num w:numId="7">
    <w:abstractNumId w:val="6"/>
  </w:num>
  <w:num w:numId="8">
    <w:abstractNumId w:val="7"/>
  </w:num>
  <w:num w:numId="9">
    <w:abstractNumId w:val="14"/>
  </w:num>
  <w:num w:numId="10">
    <w:abstractNumId w:val="0"/>
  </w:num>
  <w:num w:numId="11">
    <w:abstractNumId w:val="12"/>
  </w:num>
  <w:num w:numId="12">
    <w:abstractNumId w:val="11"/>
  </w:num>
  <w:num w:numId="13">
    <w:abstractNumId w:val="13"/>
  </w:num>
  <w:num w:numId="14">
    <w:abstractNumId w:val="8"/>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4A"/>
    <w:rsid w:val="00001231"/>
    <w:rsid w:val="00002726"/>
    <w:rsid w:val="000030E5"/>
    <w:rsid w:val="0000466C"/>
    <w:rsid w:val="0001153C"/>
    <w:rsid w:val="00012EFD"/>
    <w:rsid w:val="0001369F"/>
    <w:rsid w:val="00020D66"/>
    <w:rsid w:val="0002394F"/>
    <w:rsid w:val="0002448E"/>
    <w:rsid w:val="0002783B"/>
    <w:rsid w:val="00034CA0"/>
    <w:rsid w:val="00035FC0"/>
    <w:rsid w:val="000374A0"/>
    <w:rsid w:val="000404AE"/>
    <w:rsid w:val="00041790"/>
    <w:rsid w:val="000446DB"/>
    <w:rsid w:val="00045178"/>
    <w:rsid w:val="00050E06"/>
    <w:rsid w:val="00052D4B"/>
    <w:rsid w:val="0005511D"/>
    <w:rsid w:val="00055B9B"/>
    <w:rsid w:val="00056552"/>
    <w:rsid w:val="000565EB"/>
    <w:rsid w:val="00056E2C"/>
    <w:rsid w:val="00057B40"/>
    <w:rsid w:val="00057D8E"/>
    <w:rsid w:val="00062064"/>
    <w:rsid w:val="00065129"/>
    <w:rsid w:val="000670BD"/>
    <w:rsid w:val="000708D2"/>
    <w:rsid w:val="00074B55"/>
    <w:rsid w:val="00080DF7"/>
    <w:rsid w:val="0008167C"/>
    <w:rsid w:val="000903F9"/>
    <w:rsid w:val="0009295D"/>
    <w:rsid w:val="000929F3"/>
    <w:rsid w:val="00095090"/>
    <w:rsid w:val="000969AA"/>
    <w:rsid w:val="00097876"/>
    <w:rsid w:val="000A53F6"/>
    <w:rsid w:val="000A667E"/>
    <w:rsid w:val="000A733C"/>
    <w:rsid w:val="000B0BCA"/>
    <w:rsid w:val="000B0FF7"/>
    <w:rsid w:val="000B38FF"/>
    <w:rsid w:val="000B442D"/>
    <w:rsid w:val="000B7BE2"/>
    <w:rsid w:val="000C0FD5"/>
    <w:rsid w:val="000C21A3"/>
    <w:rsid w:val="000C41A2"/>
    <w:rsid w:val="000C5AB8"/>
    <w:rsid w:val="000C7E7A"/>
    <w:rsid w:val="000D153A"/>
    <w:rsid w:val="000D4F4A"/>
    <w:rsid w:val="000E13D5"/>
    <w:rsid w:val="000E2884"/>
    <w:rsid w:val="000F3862"/>
    <w:rsid w:val="000F3ACC"/>
    <w:rsid w:val="000F4840"/>
    <w:rsid w:val="000F69C1"/>
    <w:rsid w:val="000F6B26"/>
    <w:rsid w:val="000F6D36"/>
    <w:rsid w:val="000F6EB2"/>
    <w:rsid w:val="001028CE"/>
    <w:rsid w:val="00104031"/>
    <w:rsid w:val="001078A7"/>
    <w:rsid w:val="0011097F"/>
    <w:rsid w:val="00125FC6"/>
    <w:rsid w:val="00132D20"/>
    <w:rsid w:val="00133BF5"/>
    <w:rsid w:val="001347AA"/>
    <w:rsid w:val="0013656F"/>
    <w:rsid w:val="00137476"/>
    <w:rsid w:val="00144015"/>
    <w:rsid w:val="00144E66"/>
    <w:rsid w:val="001466B3"/>
    <w:rsid w:val="00146EE2"/>
    <w:rsid w:val="00151283"/>
    <w:rsid w:val="001517D0"/>
    <w:rsid w:val="00153AD6"/>
    <w:rsid w:val="001541A4"/>
    <w:rsid w:val="00157EEF"/>
    <w:rsid w:val="001604A2"/>
    <w:rsid w:val="00161B02"/>
    <w:rsid w:val="00164054"/>
    <w:rsid w:val="001648C1"/>
    <w:rsid w:val="001658FD"/>
    <w:rsid w:val="00166F40"/>
    <w:rsid w:val="00166FCC"/>
    <w:rsid w:val="00171640"/>
    <w:rsid w:val="00176E88"/>
    <w:rsid w:val="001808A5"/>
    <w:rsid w:val="00191C29"/>
    <w:rsid w:val="00193405"/>
    <w:rsid w:val="00196906"/>
    <w:rsid w:val="001A122F"/>
    <w:rsid w:val="001A1429"/>
    <w:rsid w:val="001A18A5"/>
    <w:rsid w:val="001A5A79"/>
    <w:rsid w:val="001B01E3"/>
    <w:rsid w:val="001B080D"/>
    <w:rsid w:val="001B0B47"/>
    <w:rsid w:val="001B5099"/>
    <w:rsid w:val="001C14D4"/>
    <w:rsid w:val="001D07C0"/>
    <w:rsid w:val="001D0847"/>
    <w:rsid w:val="001D19CF"/>
    <w:rsid w:val="001D2821"/>
    <w:rsid w:val="001D30DC"/>
    <w:rsid w:val="001E433E"/>
    <w:rsid w:val="001E4B8B"/>
    <w:rsid w:val="001F2D52"/>
    <w:rsid w:val="00200746"/>
    <w:rsid w:val="0020403C"/>
    <w:rsid w:val="002042D9"/>
    <w:rsid w:val="0020494B"/>
    <w:rsid w:val="00204C0A"/>
    <w:rsid w:val="00207B57"/>
    <w:rsid w:val="00214F63"/>
    <w:rsid w:val="00216452"/>
    <w:rsid w:val="00220985"/>
    <w:rsid w:val="00220CFF"/>
    <w:rsid w:val="00222CF1"/>
    <w:rsid w:val="00222F15"/>
    <w:rsid w:val="00227EAE"/>
    <w:rsid w:val="002409E2"/>
    <w:rsid w:val="002418AC"/>
    <w:rsid w:val="002437DB"/>
    <w:rsid w:val="00243F22"/>
    <w:rsid w:val="002446BF"/>
    <w:rsid w:val="00245663"/>
    <w:rsid w:val="0025473E"/>
    <w:rsid w:val="00254CD9"/>
    <w:rsid w:val="00255059"/>
    <w:rsid w:val="00255E37"/>
    <w:rsid w:val="002658DE"/>
    <w:rsid w:val="002661BB"/>
    <w:rsid w:val="00271586"/>
    <w:rsid w:val="002731EE"/>
    <w:rsid w:val="002735E9"/>
    <w:rsid w:val="00274EA8"/>
    <w:rsid w:val="002804D0"/>
    <w:rsid w:val="00282550"/>
    <w:rsid w:val="00282609"/>
    <w:rsid w:val="00282663"/>
    <w:rsid w:val="00283701"/>
    <w:rsid w:val="00290D76"/>
    <w:rsid w:val="00295D8A"/>
    <w:rsid w:val="00296C8B"/>
    <w:rsid w:val="002A0F7F"/>
    <w:rsid w:val="002A10F4"/>
    <w:rsid w:val="002A274D"/>
    <w:rsid w:val="002A28C9"/>
    <w:rsid w:val="002A428B"/>
    <w:rsid w:val="002A4A22"/>
    <w:rsid w:val="002B5B36"/>
    <w:rsid w:val="002B6E26"/>
    <w:rsid w:val="002B6F56"/>
    <w:rsid w:val="002C27AF"/>
    <w:rsid w:val="002C4766"/>
    <w:rsid w:val="002C49F6"/>
    <w:rsid w:val="002C57C3"/>
    <w:rsid w:val="002C58C6"/>
    <w:rsid w:val="002C7626"/>
    <w:rsid w:val="002C7866"/>
    <w:rsid w:val="002D25F6"/>
    <w:rsid w:val="002D29BB"/>
    <w:rsid w:val="002D4D99"/>
    <w:rsid w:val="002D578A"/>
    <w:rsid w:val="002D7985"/>
    <w:rsid w:val="002E100A"/>
    <w:rsid w:val="002E71AE"/>
    <w:rsid w:val="002F3F7A"/>
    <w:rsid w:val="002F5BCF"/>
    <w:rsid w:val="002F76AA"/>
    <w:rsid w:val="003020AC"/>
    <w:rsid w:val="0030676D"/>
    <w:rsid w:val="003073E9"/>
    <w:rsid w:val="00310DA7"/>
    <w:rsid w:val="003146A7"/>
    <w:rsid w:val="003212D0"/>
    <w:rsid w:val="00325044"/>
    <w:rsid w:val="0032588D"/>
    <w:rsid w:val="003323B4"/>
    <w:rsid w:val="003334C3"/>
    <w:rsid w:val="00334EBE"/>
    <w:rsid w:val="0033532E"/>
    <w:rsid w:val="00340010"/>
    <w:rsid w:val="003412C5"/>
    <w:rsid w:val="00342E95"/>
    <w:rsid w:val="00343458"/>
    <w:rsid w:val="0034529E"/>
    <w:rsid w:val="003518A8"/>
    <w:rsid w:val="00354EFA"/>
    <w:rsid w:val="0035673F"/>
    <w:rsid w:val="00362EED"/>
    <w:rsid w:val="0036408C"/>
    <w:rsid w:val="003673D8"/>
    <w:rsid w:val="00373932"/>
    <w:rsid w:val="00373A70"/>
    <w:rsid w:val="00376EA1"/>
    <w:rsid w:val="003816FB"/>
    <w:rsid w:val="00382C35"/>
    <w:rsid w:val="00382CA3"/>
    <w:rsid w:val="00385199"/>
    <w:rsid w:val="003875A2"/>
    <w:rsid w:val="0039047C"/>
    <w:rsid w:val="0039205B"/>
    <w:rsid w:val="003948D6"/>
    <w:rsid w:val="00395FCC"/>
    <w:rsid w:val="003A5BA5"/>
    <w:rsid w:val="003C059B"/>
    <w:rsid w:val="003C1616"/>
    <w:rsid w:val="003D3EF9"/>
    <w:rsid w:val="003D4C1D"/>
    <w:rsid w:val="003D5942"/>
    <w:rsid w:val="003D5E4E"/>
    <w:rsid w:val="003D7E41"/>
    <w:rsid w:val="003E1873"/>
    <w:rsid w:val="003E628E"/>
    <w:rsid w:val="003E7107"/>
    <w:rsid w:val="003F0880"/>
    <w:rsid w:val="003F090E"/>
    <w:rsid w:val="003F5388"/>
    <w:rsid w:val="003F56CB"/>
    <w:rsid w:val="003F6906"/>
    <w:rsid w:val="003F7E51"/>
    <w:rsid w:val="004015FC"/>
    <w:rsid w:val="0040447B"/>
    <w:rsid w:val="00406FE9"/>
    <w:rsid w:val="004133CD"/>
    <w:rsid w:val="00414A97"/>
    <w:rsid w:val="004154B1"/>
    <w:rsid w:val="00415CD7"/>
    <w:rsid w:val="00420990"/>
    <w:rsid w:val="00420A3F"/>
    <w:rsid w:val="00420F14"/>
    <w:rsid w:val="004218F6"/>
    <w:rsid w:val="004234E6"/>
    <w:rsid w:val="00424689"/>
    <w:rsid w:val="00426EE9"/>
    <w:rsid w:val="00427834"/>
    <w:rsid w:val="00427C5A"/>
    <w:rsid w:val="00427DCA"/>
    <w:rsid w:val="004305C7"/>
    <w:rsid w:val="00430F53"/>
    <w:rsid w:val="004324A6"/>
    <w:rsid w:val="004406B5"/>
    <w:rsid w:val="00440A59"/>
    <w:rsid w:val="004411B2"/>
    <w:rsid w:val="0044153B"/>
    <w:rsid w:val="0044564F"/>
    <w:rsid w:val="00452470"/>
    <w:rsid w:val="004565AA"/>
    <w:rsid w:val="004617F4"/>
    <w:rsid w:val="00464CF0"/>
    <w:rsid w:val="00466F83"/>
    <w:rsid w:val="00470EAD"/>
    <w:rsid w:val="00470FB2"/>
    <w:rsid w:val="00475B2D"/>
    <w:rsid w:val="0048610B"/>
    <w:rsid w:val="004973D4"/>
    <w:rsid w:val="004A046B"/>
    <w:rsid w:val="004A3584"/>
    <w:rsid w:val="004A40A1"/>
    <w:rsid w:val="004A4274"/>
    <w:rsid w:val="004B18AB"/>
    <w:rsid w:val="004B1B47"/>
    <w:rsid w:val="004B3B3F"/>
    <w:rsid w:val="004B4C7C"/>
    <w:rsid w:val="004C0867"/>
    <w:rsid w:val="004C6800"/>
    <w:rsid w:val="004C6846"/>
    <w:rsid w:val="004D1B42"/>
    <w:rsid w:val="004D24C5"/>
    <w:rsid w:val="004D3157"/>
    <w:rsid w:val="004D55E7"/>
    <w:rsid w:val="004E1213"/>
    <w:rsid w:val="004E1716"/>
    <w:rsid w:val="004E2708"/>
    <w:rsid w:val="004E350E"/>
    <w:rsid w:val="004E3965"/>
    <w:rsid w:val="004F0F5B"/>
    <w:rsid w:val="004F2F47"/>
    <w:rsid w:val="004F3127"/>
    <w:rsid w:val="004F7DDA"/>
    <w:rsid w:val="00501642"/>
    <w:rsid w:val="00502291"/>
    <w:rsid w:val="0050291D"/>
    <w:rsid w:val="00504E1F"/>
    <w:rsid w:val="00505236"/>
    <w:rsid w:val="0050652C"/>
    <w:rsid w:val="00511052"/>
    <w:rsid w:val="00516D3A"/>
    <w:rsid w:val="005206D3"/>
    <w:rsid w:val="00523F4A"/>
    <w:rsid w:val="00525C5E"/>
    <w:rsid w:val="0052673A"/>
    <w:rsid w:val="005271DE"/>
    <w:rsid w:val="00527DE9"/>
    <w:rsid w:val="00531889"/>
    <w:rsid w:val="005321C8"/>
    <w:rsid w:val="00532ED8"/>
    <w:rsid w:val="00533FAC"/>
    <w:rsid w:val="005347B7"/>
    <w:rsid w:val="00536B4B"/>
    <w:rsid w:val="00537709"/>
    <w:rsid w:val="00537F50"/>
    <w:rsid w:val="00540889"/>
    <w:rsid w:val="00544666"/>
    <w:rsid w:val="005476D2"/>
    <w:rsid w:val="00547B72"/>
    <w:rsid w:val="00547E02"/>
    <w:rsid w:val="00550B57"/>
    <w:rsid w:val="00552251"/>
    <w:rsid w:val="00553A17"/>
    <w:rsid w:val="00553F74"/>
    <w:rsid w:val="00557DFE"/>
    <w:rsid w:val="00560F71"/>
    <w:rsid w:val="00562E2A"/>
    <w:rsid w:val="00564173"/>
    <w:rsid w:val="00566961"/>
    <w:rsid w:val="00574672"/>
    <w:rsid w:val="005757C6"/>
    <w:rsid w:val="00580B6E"/>
    <w:rsid w:val="0058582E"/>
    <w:rsid w:val="00585CC1"/>
    <w:rsid w:val="00585D33"/>
    <w:rsid w:val="005917B7"/>
    <w:rsid w:val="005923C4"/>
    <w:rsid w:val="005951DF"/>
    <w:rsid w:val="00597C20"/>
    <w:rsid w:val="005A0383"/>
    <w:rsid w:val="005A282F"/>
    <w:rsid w:val="005B1585"/>
    <w:rsid w:val="005B277C"/>
    <w:rsid w:val="005B2811"/>
    <w:rsid w:val="005B3258"/>
    <w:rsid w:val="005B43D2"/>
    <w:rsid w:val="005B608E"/>
    <w:rsid w:val="005C1F28"/>
    <w:rsid w:val="005C3313"/>
    <w:rsid w:val="005C3338"/>
    <w:rsid w:val="005C46C5"/>
    <w:rsid w:val="005C4D7D"/>
    <w:rsid w:val="005D0444"/>
    <w:rsid w:val="005D146A"/>
    <w:rsid w:val="005D46FB"/>
    <w:rsid w:val="005D60B6"/>
    <w:rsid w:val="005D6606"/>
    <w:rsid w:val="005D6A98"/>
    <w:rsid w:val="005E4405"/>
    <w:rsid w:val="005E51B9"/>
    <w:rsid w:val="005E55FA"/>
    <w:rsid w:val="005E7536"/>
    <w:rsid w:val="005F0224"/>
    <w:rsid w:val="005F19A9"/>
    <w:rsid w:val="005F21B8"/>
    <w:rsid w:val="005F2AA4"/>
    <w:rsid w:val="005F5E78"/>
    <w:rsid w:val="005F5F07"/>
    <w:rsid w:val="005F68D0"/>
    <w:rsid w:val="005F692F"/>
    <w:rsid w:val="00602149"/>
    <w:rsid w:val="0061220F"/>
    <w:rsid w:val="006168E6"/>
    <w:rsid w:val="006170FB"/>
    <w:rsid w:val="006216D5"/>
    <w:rsid w:val="00621AB3"/>
    <w:rsid w:val="00627984"/>
    <w:rsid w:val="0063086B"/>
    <w:rsid w:val="00630942"/>
    <w:rsid w:val="00635E4A"/>
    <w:rsid w:val="0064048F"/>
    <w:rsid w:val="00641873"/>
    <w:rsid w:val="00645000"/>
    <w:rsid w:val="00646B3A"/>
    <w:rsid w:val="006472E0"/>
    <w:rsid w:val="00651100"/>
    <w:rsid w:val="00651126"/>
    <w:rsid w:val="00652872"/>
    <w:rsid w:val="00652F56"/>
    <w:rsid w:val="00654A87"/>
    <w:rsid w:val="00655035"/>
    <w:rsid w:val="006577AC"/>
    <w:rsid w:val="00660ED8"/>
    <w:rsid w:val="00661C50"/>
    <w:rsid w:val="0066632E"/>
    <w:rsid w:val="006674EA"/>
    <w:rsid w:val="006714B2"/>
    <w:rsid w:val="0067631C"/>
    <w:rsid w:val="00682EF4"/>
    <w:rsid w:val="00690D38"/>
    <w:rsid w:val="00691662"/>
    <w:rsid w:val="006A0FF8"/>
    <w:rsid w:val="006A1906"/>
    <w:rsid w:val="006A30B4"/>
    <w:rsid w:val="006A33C9"/>
    <w:rsid w:val="006A4319"/>
    <w:rsid w:val="006A5094"/>
    <w:rsid w:val="006A707A"/>
    <w:rsid w:val="006A7D4A"/>
    <w:rsid w:val="006B5885"/>
    <w:rsid w:val="006B64FA"/>
    <w:rsid w:val="006C2092"/>
    <w:rsid w:val="006C4696"/>
    <w:rsid w:val="006D2084"/>
    <w:rsid w:val="006D2D63"/>
    <w:rsid w:val="006D2EB5"/>
    <w:rsid w:val="006D4611"/>
    <w:rsid w:val="006D7812"/>
    <w:rsid w:val="006E0E87"/>
    <w:rsid w:val="006E2D32"/>
    <w:rsid w:val="006E33F2"/>
    <w:rsid w:val="006F139E"/>
    <w:rsid w:val="006F274B"/>
    <w:rsid w:val="006F4AC2"/>
    <w:rsid w:val="006F5B05"/>
    <w:rsid w:val="006F656C"/>
    <w:rsid w:val="00720A31"/>
    <w:rsid w:val="00721566"/>
    <w:rsid w:val="0072320B"/>
    <w:rsid w:val="00723467"/>
    <w:rsid w:val="007258E9"/>
    <w:rsid w:val="007267D2"/>
    <w:rsid w:val="007269D0"/>
    <w:rsid w:val="007279CE"/>
    <w:rsid w:val="00733D00"/>
    <w:rsid w:val="00735F4A"/>
    <w:rsid w:val="00737255"/>
    <w:rsid w:val="0074206C"/>
    <w:rsid w:val="00742679"/>
    <w:rsid w:val="00743F13"/>
    <w:rsid w:val="00746A20"/>
    <w:rsid w:val="00751EA7"/>
    <w:rsid w:val="00761245"/>
    <w:rsid w:val="00762630"/>
    <w:rsid w:val="0076316B"/>
    <w:rsid w:val="00771CF0"/>
    <w:rsid w:val="00773E74"/>
    <w:rsid w:val="0077565C"/>
    <w:rsid w:val="00784B5B"/>
    <w:rsid w:val="007866BB"/>
    <w:rsid w:val="00787C8F"/>
    <w:rsid w:val="00791D30"/>
    <w:rsid w:val="007956D1"/>
    <w:rsid w:val="00796DA4"/>
    <w:rsid w:val="007A3563"/>
    <w:rsid w:val="007A3E08"/>
    <w:rsid w:val="007C10DF"/>
    <w:rsid w:val="007C34D6"/>
    <w:rsid w:val="007C5609"/>
    <w:rsid w:val="007C65C6"/>
    <w:rsid w:val="007D05D3"/>
    <w:rsid w:val="007D12E3"/>
    <w:rsid w:val="007D57F0"/>
    <w:rsid w:val="007D6529"/>
    <w:rsid w:val="007D7EDE"/>
    <w:rsid w:val="007E03D5"/>
    <w:rsid w:val="007E1466"/>
    <w:rsid w:val="007E5B1B"/>
    <w:rsid w:val="007E65F8"/>
    <w:rsid w:val="007F038C"/>
    <w:rsid w:val="00800133"/>
    <w:rsid w:val="00801C59"/>
    <w:rsid w:val="00802768"/>
    <w:rsid w:val="008123C6"/>
    <w:rsid w:val="00812E6B"/>
    <w:rsid w:val="00814ACF"/>
    <w:rsid w:val="00815698"/>
    <w:rsid w:val="008164D7"/>
    <w:rsid w:val="00817932"/>
    <w:rsid w:val="008223D8"/>
    <w:rsid w:val="00822518"/>
    <w:rsid w:val="00822E77"/>
    <w:rsid w:val="00824A14"/>
    <w:rsid w:val="00825B41"/>
    <w:rsid w:val="0083009D"/>
    <w:rsid w:val="008317F3"/>
    <w:rsid w:val="00831BC9"/>
    <w:rsid w:val="00842ACA"/>
    <w:rsid w:val="00843BDB"/>
    <w:rsid w:val="00845A51"/>
    <w:rsid w:val="00850ACE"/>
    <w:rsid w:val="008628BE"/>
    <w:rsid w:val="00862CB5"/>
    <w:rsid w:val="00863D11"/>
    <w:rsid w:val="00870B80"/>
    <w:rsid w:val="008711B3"/>
    <w:rsid w:val="0087779E"/>
    <w:rsid w:val="008807BE"/>
    <w:rsid w:val="008849D0"/>
    <w:rsid w:val="008868C4"/>
    <w:rsid w:val="00886C3E"/>
    <w:rsid w:val="00887653"/>
    <w:rsid w:val="00890157"/>
    <w:rsid w:val="00892C1B"/>
    <w:rsid w:val="00895CF3"/>
    <w:rsid w:val="00896160"/>
    <w:rsid w:val="008A09F7"/>
    <w:rsid w:val="008A2258"/>
    <w:rsid w:val="008A62A1"/>
    <w:rsid w:val="008A79CF"/>
    <w:rsid w:val="008A7CA1"/>
    <w:rsid w:val="008B03F2"/>
    <w:rsid w:val="008C1856"/>
    <w:rsid w:val="008C1A04"/>
    <w:rsid w:val="008C3607"/>
    <w:rsid w:val="008C3BEA"/>
    <w:rsid w:val="008C5F15"/>
    <w:rsid w:val="008D2500"/>
    <w:rsid w:val="008D686A"/>
    <w:rsid w:val="008E1B2F"/>
    <w:rsid w:val="008E3694"/>
    <w:rsid w:val="008E43FA"/>
    <w:rsid w:val="008F2434"/>
    <w:rsid w:val="008F41E4"/>
    <w:rsid w:val="008F5F31"/>
    <w:rsid w:val="008F6FE3"/>
    <w:rsid w:val="008F718D"/>
    <w:rsid w:val="0091219C"/>
    <w:rsid w:val="00920383"/>
    <w:rsid w:val="00920595"/>
    <w:rsid w:val="009221F5"/>
    <w:rsid w:val="009231CA"/>
    <w:rsid w:val="009234C8"/>
    <w:rsid w:val="00923D31"/>
    <w:rsid w:val="00924D0B"/>
    <w:rsid w:val="00926714"/>
    <w:rsid w:val="009271EA"/>
    <w:rsid w:val="00933266"/>
    <w:rsid w:val="0093337F"/>
    <w:rsid w:val="009340E7"/>
    <w:rsid w:val="00934B6A"/>
    <w:rsid w:val="00934EAC"/>
    <w:rsid w:val="009358ED"/>
    <w:rsid w:val="00936010"/>
    <w:rsid w:val="00942450"/>
    <w:rsid w:val="00942FB1"/>
    <w:rsid w:val="00943E32"/>
    <w:rsid w:val="00944640"/>
    <w:rsid w:val="00950181"/>
    <w:rsid w:val="009506E6"/>
    <w:rsid w:val="00954F14"/>
    <w:rsid w:val="009578BD"/>
    <w:rsid w:val="00966433"/>
    <w:rsid w:val="00967DA4"/>
    <w:rsid w:val="009723B7"/>
    <w:rsid w:val="00976BBB"/>
    <w:rsid w:val="00977BBD"/>
    <w:rsid w:val="00980CDA"/>
    <w:rsid w:val="00983E2C"/>
    <w:rsid w:val="00984FCD"/>
    <w:rsid w:val="00985062"/>
    <w:rsid w:val="00986520"/>
    <w:rsid w:val="0098701A"/>
    <w:rsid w:val="00987B09"/>
    <w:rsid w:val="00991C08"/>
    <w:rsid w:val="00991D3F"/>
    <w:rsid w:val="00997194"/>
    <w:rsid w:val="009974F7"/>
    <w:rsid w:val="00997C9C"/>
    <w:rsid w:val="00997F6E"/>
    <w:rsid w:val="009A4E23"/>
    <w:rsid w:val="009A60C1"/>
    <w:rsid w:val="009B103F"/>
    <w:rsid w:val="009B333A"/>
    <w:rsid w:val="009B498F"/>
    <w:rsid w:val="009B5B6F"/>
    <w:rsid w:val="009B7BB3"/>
    <w:rsid w:val="009C15D5"/>
    <w:rsid w:val="009C2039"/>
    <w:rsid w:val="009C6424"/>
    <w:rsid w:val="009C7136"/>
    <w:rsid w:val="009D0A14"/>
    <w:rsid w:val="009D304D"/>
    <w:rsid w:val="009D3F19"/>
    <w:rsid w:val="009D5053"/>
    <w:rsid w:val="009E0C14"/>
    <w:rsid w:val="009F4A3A"/>
    <w:rsid w:val="009F7806"/>
    <w:rsid w:val="00A00E6B"/>
    <w:rsid w:val="00A045FA"/>
    <w:rsid w:val="00A0483B"/>
    <w:rsid w:val="00A05765"/>
    <w:rsid w:val="00A05D51"/>
    <w:rsid w:val="00A115DC"/>
    <w:rsid w:val="00A13018"/>
    <w:rsid w:val="00A157D6"/>
    <w:rsid w:val="00A17228"/>
    <w:rsid w:val="00A24B31"/>
    <w:rsid w:val="00A2548D"/>
    <w:rsid w:val="00A25F84"/>
    <w:rsid w:val="00A26035"/>
    <w:rsid w:val="00A313AD"/>
    <w:rsid w:val="00A32988"/>
    <w:rsid w:val="00A32AD5"/>
    <w:rsid w:val="00A36283"/>
    <w:rsid w:val="00A37455"/>
    <w:rsid w:val="00A40313"/>
    <w:rsid w:val="00A4049F"/>
    <w:rsid w:val="00A41374"/>
    <w:rsid w:val="00A45EB3"/>
    <w:rsid w:val="00A47E3B"/>
    <w:rsid w:val="00A505D4"/>
    <w:rsid w:val="00A50B1A"/>
    <w:rsid w:val="00A53F21"/>
    <w:rsid w:val="00A55841"/>
    <w:rsid w:val="00A558B6"/>
    <w:rsid w:val="00A578B9"/>
    <w:rsid w:val="00A60467"/>
    <w:rsid w:val="00A6498E"/>
    <w:rsid w:val="00A64EFE"/>
    <w:rsid w:val="00A66805"/>
    <w:rsid w:val="00A6745E"/>
    <w:rsid w:val="00A73116"/>
    <w:rsid w:val="00A73E84"/>
    <w:rsid w:val="00A766C6"/>
    <w:rsid w:val="00A8244F"/>
    <w:rsid w:val="00A853AA"/>
    <w:rsid w:val="00A855E6"/>
    <w:rsid w:val="00A90623"/>
    <w:rsid w:val="00A93402"/>
    <w:rsid w:val="00A94DBD"/>
    <w:rsid w:val="00A970B6"/>
    <w:rsid w:val="00A97342"/>
    <w:rsid w:val="00AB20BF"/>
    <w:rsid w:val="00AB216E"/>
    <w:rsid w:val="00AB3C5B"/>
    <w:rsid w:val="00AC112A"/>
    <w:rsid w:val="00AC3846"/>
    <w:rsid w:val="00AC4535"/>
    <w:rsid w:val="00AC6106"/>
    <w:rsid w:val="00AD3E7B"/>
    <w:rsid w:val="00AD7857"/>
    <w:rsid w:val="00AE0D99"/>
    <w:rsid w:val="00AE1333"/>
    <w:rsid w:val="00AE6314"/>
    <w:rsid w:val="00AE7FC2"/>
    <w:rsid w:val="00AF1A96"/>
    <w:rsid w:val="00AF49A2"/>
    <w:rsid w:val="00AF5D38"/>
    <w:rsid w:val="00AF5F02"/>
    <w:rsid w:val="00AF712D"/>
    <w:rsid w:val="00AF75DD"/>
    <w:rsid w:val="00B00CCF"/>
    <w:rsid w:val="00B15C3B"/>
    <w:rsid w:val="00B22D92"/>
    <w:rsid w:val="00B22F04"/>
    <w:rsid w:val="00B24F3E"/>
    <w:rsid w:val="00B25A77"/>
    <w:rsid w:val="00B32378"/>
    <w:rsid w:val="00B34648"/>
    <w:rsid w:val="00B3556D"/>
    <w:rsid w:val="00B400D0"/>
    <w:rsid w:val="00B46C48"/>
    <w:rsid w:val="00B50B69"/>
    <w:rsid w:val="00B52E0A"/>
    <w:rsid w:val="00B60B0F"/>
    <w:rsid w:val="00B625AD"/>
    <w:rsid w:val="00B652F9"/>
    <w:rsid w:val="00B72436"/>
    <w:rsid w:val="00B757CD"/>
    <w:rsid w:val="00B763DD"/>
    <w:rsid w:val="00B76418"/>
    <w:rsid w:val="00B76DF8"/>
    <w:rsid w:val="00B80300"/>
    <w:rsid w:val="00B809EC"/>
    <w:rsid w:val="00B81C4E"/>
    <w:rsid w:val="00B8288D"/>
    <w:rsid w:val="00B91B1F"/>
    <w:rsid w:val="00B92B29"/>
    <w:rsid w:val="00B9415B"/>
    <w:rsid w:val="00B96289"/>
    <w:rsid w:val="00B9708A"/>
    <w:rsid w:val="00BA1C54"/>
    <w:rsid w:val="00BA6CAC"/>
    <w:rsid w:val="00BA7AA0"/>
    <w:rsid w:val="00BB0357"/>
    <w:rsid w:val="00BB3E50"/>
    <w:rsid w:val="00BB50A2"/>
    <w:rsid w:val="00BB6161"/>
    <w:rsid w:val="00BB702C"/>
    <w:rsid w:val="00BB75D5"/>
    <w:rsid w:val="00BC3BA9"/>
    <w:rsid w:val="00BC7591"/>
    <w:rsid w:val="00BD7BA5"/>
    <w:rsid w:val="00BE1499"/>
    <w:rsid w:val="00BE1CD2"/>
    <w:rsid w:val="00BE2FDA"/>
    <w:rsid w:val="00BE459B"/>
    <w:rsid w:val="00BE7F54"/>
    <w:rsid w:val="00C000F3"/>
    <w:rsid w:val="00C02AB6"/>
    <w:rsid w:val="00C03573"/>
    <w:rsid w:val="00C044A9"/>
    <w:rsid w:val="00C059FD"/>
    <w:rsid w:val="00C13B7A"/>
    <w:rsid w:val="00C1468A"/>
    <w:rsid w:val="00C150E7"/>
    <w:rsid w:val="00C15E12"/>
    <w:rsid w:val="00C1670D"/>
    <w:rsid w:val="00C22DAC"/>
    <w:rsid w:val="00C262BA"/>
    <w:rsid w:val="00C26A5A"/>
    <w:rsid w:val="00C31417"/>
    <w:rsid w:val="00C320D6"/>
    <w:rsid w:val="00C37049"/>
    <w:rsid w:val="00C416E1"/>
    <w:rsid w:val="00C4463C"/>
    <w:rsid w:val="00C6027D"/>
    <w:rsid w:val="00C60A0F"/>
    <w:rsid w:val="00C73AAC"/>
    <w:rsid w:val="00C75931"/>
    <w:rsid w:val="00C80888"/>
    <w:rsid w:val="00C832D6"/>
    <w:rsid w:val="00C86E9D"/>
    <w:rsid w:val="00C905E3"/>
    <w:rsid w:val="00C94A07"/>
    <w:rsid w:val="00C94F51"/>
    <w:rsid w:val="00C953C4"/>
    <w:rsid w:val="00C97AF0"/>
    <w:rsid w:val="00CA02F9"/>
    <w:rsid w:val="00CA03BC"/>
    <w:rsid w:val="00CA1F5B"/>
    <w:rsid w:val="00CA3975"/>
    <w:rsid w:val="00CB2C5D"/>
    <w:rsid w:val="00CB406E"/>
    <w:rsid w:val="00CB4915"/>
    <w:rsid w:val="00CC1649"/>
    <w:rsid w:val="00CC1ADB"/>
    <w:rsid w:val="00CC3ADF"/>
    <w:rsid w:val="00CC43D6"/>
    <w:rsid w:val="00CC4506"/>
    <w:rsid w:val="00CC4773"/>
    <w:rsid w:val="00CC678C"/>
    <w:rsid w:val="00CC67C2"/>
    <w:rsid w:val="00CC7A21"/>
    <w:rsid w:val="00CD076B"/>
    <w:rsid w:val="00CD132A"/>
    <w:rsid w:val="00CD5EF9"/>
    <w:rsid w:val="00CD7F0E"/>
    <w:rsid w:val="00CE0633"/>
    <w:rsid w:val="00CE0828"/>
    <w:rsid w:val="00CE298E"/>
    <w:rsid w:val="00CE5987"/>
    <w:rsid w:val="00CE7239"/>
    <w:rsid w:val="00CF253C"/>
    <w:rsid w:val="00CF516B"/>
    <w:rsid w:val="00D00F23"/>
    <w:rsid w:val="00D01323"/>
    <w:rsid w:val="00D17C0D"/>
    <w:rsid w:val="00D2577C"/>
    <w:rsid w:val="00D25850"/>
    <w:rsid w:val="00D25E01"/>
    <w:rsid w:val="00D26022"/>
    <w:rsid w:val="00D31036"/>
    <w:rsid w:val="00D3273F"/>
    <w:rsid w:val="00D33D2B"/>
    <w:rsid w:val="00D349C0"/>
    <w:rsid w:val="00D4409B"/>
    <w:rsid w:val="00D50376"/>
    <w:rsid w:val="00D50537"/>
    <w:rsid w:val="00D52A29"/>
    <w:rsid w:val="00D55DBD"/>
    <w:rsid w:val="00D6055F"/>
    <w:rsid w:val="00D60748"/>
    <w:rsid w:val="00D61A57"/>
    <w:rsid w:val="00D638E5"/>
    <w:rsid w:val="00D63B56"/>
    <w:rsid w:val="00D67C87"/>
    <w:rsid w:val="00D70638"/>
    <w:rsid w:val="00D70A0F"/>
    <w:rsid w:val="00D765B1"/>
    <w:rsid w:val="00D76BA6"/>
    <w:rsid w:val="00D805AD"/>
    <w:rsid w:val="00D81160"/>
    <w:rsid w:val="00D86628"/>
    <w:rsid w:val="00D9248E"/>
    <w:rsid w:val="00D92736"/>
    <w:rsid w:val="00D93480"/>
    <w:rsid w:val="00D9373F"/>
    <w:rsid w:val="00DA0F94"/>
    <w:rsid w:val="00DA111B"/>
    <w:rsid w:val="00DA14F5"/>
    <w:rsid w:val="00DA2E76"/>
    <w:rsid w:val="00DA3269"/>
    <w:rsid w:val="00DA33A9"/>
    <w:rsid w:val="00DB1A0F"/>
    <w:rsid w:val="00DB25B2"/>
    <w:rsid w:val="00DB35EC"/>
    <w:rsid w:val="00DC46EC"/>
    <w:rsid w:val="00DC6E87"/>
    <w:rsid w:val="00DD16C9"/>
    <w:rsid w:val="00DD3048"/>
    <w:rsid w:val="00DD3810"/>
    <w:rsid w:val="00DD6F0A"/>
    <w:rsid w:val="00DE13A5"/>
    <w:rsid w:val="00DE157C"/>
    <w:rsid w:val="00DE1AC7"/>
    <w:rsid w:val="00DE3709"/>
    <w:rsid w:val="00DE4120"/>
    <w:rsid w:val="00DE4853"/>
    <w:rsid w:val="00DE487A"/>
    <w:rsid w:val="00DE4959"/>
    <w:rsid w:val="00DE57AA"/>
    <w:rsid w:val="00DF1582"/>
    <w:rsid w:val="00DF1FC1"/>
    <w:rsid w:val="00DF336E"/>
    <w:rsid w:val="00DF50AA"/>
    <w:rsid w:val="00DF6135"/>
    <w:rsid w:val="00E01436"/>
    <w:rsid w:val="00E02372"/>
    <w:rsid w:val="00E056D1"/>
    <w:rsid w:val="00E0600E"/>
    <w:rsid w:val="00E102F8"/>
    <w:rsid w:val="00E11F61"/>
    <w:rsid w:val="00E13ADD"/>
    <w:rsid w:val="00E148CD"/>
    <w:rsid w:val="00E14C53"/>
    <w:rsid w:val="00E14D7D"/>
    <w:rsid w:val="00E15B45"/>
    <w:rsid w:val="00E15E39"/>
    <w:rsid w:val="00E17164"/>
    <w:rsid w:val="00E21181"/>
    <w:rsid w:val="00E2136B"/>
    <w:rsid w:val="00E21D24"/>
    <w:rsid w:val="00E22A21"/>
    <w:rsid w:val="00E25A53"/>
    <w:rsid w:val="00E2764A"/>
    <w:rsid w:val="00E32433"/>
    <w:rsid w:val="00E32715"/>
    <w:rsid w:val="00E35BE6"/>
    <w:rsid w:val="00E35CEC"/>
    <w:rsid w:val="00E406DE"/>
    <w:rsid w:val="00E415C3"/>
    <w:rsid w:val="00E423A9"/>
    <w:rsid w:val="00E437B5"/>
    <w:rsid w:val="00E53F07"/>
    <w:rsid w:val="00E544C0"/>
    <w:rsid w:val="00E61531"/>
    <w:rsid w:val="00E61704"/>
    <w:rsid w:val="00E6374C"/>
    <w:rsid w:val="00E6418B"/>
    <w:rsid w:val="00E66455"/>
    <w:rsid w:val="00E66B17"/>
    <w:rsid w:val="00E670F5"/>
    <w:rsid w:val="00E714BB"/>
    <w:rsid w:val="00E71ECC"/>
    <w:rsid w:val="00E72C34"/>
    <w:rsid w:val="00E737DB"/>
    <w:rsid w:val="00E7472A"/>
    <w:rsid w:val="00E9075E"/>
    <w:rsid w:val="00E93E61"/>
    <w:rsid w:val="00E94843"/>
    <w:rsid w:val="00E979E2"/>
    <w:rsid w:val="00EA2D38"/>
    <w:rsid w:val="00EA56D0"/>
    <w:rsid w:val="00EA7139"/>
    <w:rsid w:val="00EB014F"/>
    <w:rsid w:val="00EB2DC4"/>
    <w:rsid w:val="00EB47F3"/>
    <w:rsid w:val="00EB6588"/>
    <w:rsid w:val="00EC1926"/>
    <w:rsid w:val="00EC1D9B"/>
    <w:rsid w:val="00EC4167"/>
    <w:rsid w:val="00ED2472"/>
    <w:rsid w:val="00ED3D9A"/>
    <w:rsid w:val="00EE0346"/>
    <w:rsid w:val="00EE569E"/>
    <w:rsid w:val="00EE5929"/>
    <w:rsid w:val="00EE6B6D"/>
    <w:rsid w:val="00EE6C4C"/>
    <w:rsid w:val="00EE7CFE"/>
    <w:rsid w:val="00EF0F2C"/>
    <w:rsid w:val="00EF283C"/>
    <w:rsid w:val="00EF4D62"/>
    <w:rsid w:val="00EF5EBA"/>
    <w:rsid w:val="00EF665B"/>
    <w:rsid w:val="00F00321"/>
    <w:rsid w:val="00F0099A"/>
    <w:rsid w:val="00F0580B"/>
    <w:rsid w:val="00F1295F"/>
    <w:rsid w:val="00F16F62"/>
    <w:rsid w:val="00F205B1"/>
    <w:rsid w:val="00F21274"/>
    <w:rsid w:val="00F2237B"/>
    <w:rsid w:val="00F226CA"/>
    <w:rsid w:val="00F32E85"/>
    <w:rsid w:val="00F340D6"/>
    <w:rsid w:val="00F3538F"/>
    <w:rsid w:val="00F35D18"/>
    <w:rsid w:val="00F41B3E"/>
    <w:rsid w:val="00F44AF3"/>
    <w:rsid w:val="00F44F86"/>
    <w:rsid w:val="00F45F70"/>
    <w:rsid w:val="00F522BC"/>
    <w:rsid w:val="00F547F9"/>
    <w:rsid w:val="00F571B3"/>
    <w:rsid w:val="00F64B2C"/>
    <w:rsid w:val="00F6600A"/>
    <w:rsid w:val="00F71969"/>
    <w:rsid w:val="00F71BA8"/>
    <w:rsid w:val="00F71BFD"/>
    <w:rsid w:val="00F71E0D"/>
    <w:rsid w:val="00F762CC"/>
    <w:rsid w:val="00F8107B"/>
    <w:rsid w:val="00F8476F"/>
    <w:rsid w:val="00F869EE"/>
    <w:rsid w:val="00F86F7C"/>
    <w:rsid w:val="00F877FF"/>
    <w:rsid w:val="00F911F5"/>
    <w:rsid w:val="00F92A3F"/>
    <w:rsid w:val="00F93C1E"/>
    <w:rsid w:val="00F94F21"/>
    <w:rsid w:val="00F95252"/>
    <w:rsid w:val="00F963E2"/>
    <w:rsid w:val="00F96599"/>
    <w:rsid w:val="00F9754E"/>
    <w:rsid w:val="00F97B10"/>
    <w:rsid w:val="00FB24CB"/>
    <w:rsid w:val="00FB31F3"/>
    <w:rsid w:val="00FB3C9B"/>
    <w:rsid w:val="00FB3E24"/>
    <w:rsid w:val="00FB66F9"/>
    <w:rsid w:val="00FB79AD"/>
    <w:rsid w:val="00FC2849"/>
    <w:rsid w:val="00FC3E43"/>
    <w:rsid w:val="00FC50BF"/>
    <w:rsid w:val="00FC5894"/>
    <w:rsid w:val="00FD3299"/>
    <w:rsid w:val="00FD63B0"/>
    <w:rsid w:val="00FD64CB"/>
    <w:rsid w:val="00FE5D78"/>
    <w:rsid w:val="00FF2404"/>
    <w:rsid w:val="00FF39EE"/>
    <w:rsid w:val="00FF4AC7"/>
    <w:rsid w:val="00FF61B1"/>
    <w:rsid w:val="00FF6396"/>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AA"/>
    <w:rPr>
      <w:sz w:val="24"/>
      <w:szCs w:val="24"/>
    </w:rPr>
  </w:style>
  <w:style w:type="paragraph" w:styleId="Heading1">
    <w:name w:val="heading 1"/>
    <w:basedOn w:val="Normal"/>
    <w:next w:val="Normal"/>
    <w:qFormat/>
    <w:rsid w:val="002F76AA"/>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rsid w:val="002F76AA"/>
    <w:pPr>
      <w:keepNext/>
      <w:outlineLvl w:val="1"/>
    </w:pPr>
    <w:rPr>
      <w:rFonts w:ascii="Arial" w:hAnsi="Arial" w:cs="Arial"/>
      <w:b/>
      <w:bCs/>
      <w:color w:val="000000"/>
    </w:rPr>
  </w:style>
  <w:style w:type="paragraph" w:styleId="Heading3">
    <w:name w:val="heading 3"/>
    <w:basedOn w:val="Normal"/>
    <w:next w:val="Normal"/>
    <w:qFormat/>
    <w:rsid w:val="002F76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76AA"/>
    <w:pPr>
      <w:spacing w:before="100" w:beforeAutospacing="1" w:after="100" w:afterAutospacing="1"/>
    </w:pPr>
  </w:style>
  <w:style w:type="character" w:styleId="Hyperlink">
    <w:name w:val="Hyperlink"/>
    <w:basedOn w:val="DefaultParagraphFont"/>
    <w:rsid w:val="002F76AA"/>
    <w:rPr>
      <w:color w:val="0000FF"/>
      <w:u w:val="single"/>
    </w:rPr>
  </w:style>
  <w:style w:type="paragraph" w:styleId="BodyTextIndent">
    <w:name w:val="Body Text Indent"/>
    <w:basedOn w:val="Normal"/>
    <w:rsid w:val="002F76AA"/>
    <w:pPr>
      <w:ind w:left="360"/>
    </w:pPr>
  </w:style>
  <w:style w:type="paragraph" w:styleId="BodyText2">
    <w:name w:val="Body Text 2"/>
    <w:basedOn w:val="Normal"/>
    <w:rsid w:val="002F76AA"/>
    <w:pPr>
      <w:spacing w:after="120" w:line="480" w:lineRule="auto"/>
    </w:pPr>
  </w:style>
  <w:style w:type="paragraph" w:styleId="FootnoteText">
    <w:name w:val="footnote text"/>
    <w:basedOn w:val="Normal"/>
    <w:link w:val="FootnoteTextChar"/>
    <w:rsid w:val="002F76AA"/>
    <w:rPr>
      <w:sz w:val="20"/>
      <w:szCs w:val="20"/>
    </w:rPr>
  </w:style>
  <w:style w:type="character" w:styleId="FootnoteReference">
    <w:name w:val="footnote reference"/>
    <w:basedOn w:val="DefaultParagraphFont"/>
    <w:rsid w:val="002F76AA"/>
    <w:rPr>
      <w:vertAlign w:val="superscript"/>
    </w:rPr>
  </w:style>
  <w:style w:type="paragraph" w:styleId="Footer">
    <w:name w:val="footer"/>
    <w:basedOn w:val="Normal"/>
    <w:link w:val="FooterChar"/>
    <w:uiPriority w:val="99"/>
    <w:rsid w:val="002F76AA"/>
    <w:pPr>
      <w:tabs>
        <w:tab w:val="center" w:pos="4320"/>
        <w:tab w:val="right" w:pos="8640"/>
      </w:tabs>
    </w:pPr>
  </w:style>
  <w:style w:type="paragraph" w:customStyle="1" w:styleId="FedRegPreambleParagraphNormal">
    <w:name w:val="FedReg Preamble Paragraph Normal"/>
    <w:rsid w:val="002F76AA"/>
    <w:pPr>
      <w:spacing w:line="480" w:lineRule="auto"/>
      <w:ind w:firstLine="720"/>
    </w:pPr>
    <w:rPr>
      <w:rFonts w:ascii="Arial" w:hAnsi="Arial"/>
      <w:sz w:val="24"/>
    </w:rPr>
  </w:style>
  <w:style w:type="paragraph" w:styleId="BodyTextIndent2">
    <w:name w:val="Body Text Indent 2"/>
    <w:basedOn w:val="Normal"/>
    <w:rsid w:val="002F76AA"/>
    <w:pPr>
      <w:spacing w:line="480" w:lineRule="auto"/>
      <w:ind w:firstLine="720"/>
    </w:pPr>
    <w:rPr>
      <w:rFonts w:ascii="Arial" w:hAnsi="Arial" w:cs="Arial"/>
      <w:color w:val="000000"/>
    </w:rPr>
  </w:style>
  <w:style w:type="paragraph" w:styleId="BodyTextIndent3">
    <w:name w:val="Body Text Indent 3"/>
    <w:basedOn w:val="Normal"/>
    <w:rsid w:val="002F76AA"/>
    <w:pPr>
      <w:ind w:firstLine="720"/>
    </w:pPr>
    <w:rPr>
      <w:rFonts w:ascii="Arial" w:hAnsi="Arial" w:cs="Arial"/>
    </w:rPr>
  </w:style>
  <w:style w:type="paragraph" w:customStyle="1" w:styleId="doublebullet">
    <w:name w:val="double bullet"/>
    <w:basedOn w:val="Normal"/>
    <w:rsid w:val="00A32AD5"/>
    <w:pPr>
      <w:numPr>
        <w:numId w:val="2"/>
      </w:numPr>
    </w:pPr>
  </w:style>
  <w:style w:type="paragraph" w:customStyle="1" w:styleId="head3">
    <w:name w:val="head3"/>
    <w:basedOn w:val="Normal"/>
    <w:rsid w:val="002F76AA"/>
    <w:rPr>
      <w:rFonts w:ascii="Arial" w:hAnsi="Arial" w:cs="Arial"/>
      <w:bCs/>
      <w:i/>
      <w:sz w:val="28"/>
    </w:rPr>
  </w:style>
  <w:style w:type="paragraph" w:customStyle="1" w:styleId="fedregpreambletitlenormal">
    <w:name w:val="fedregpreambletitlenormal"/>
    <w:basedOn w:val="Normal"/>
    <w:rsid w:val="002F76AA"/>
    <w:pPr>
      <w:spacing w:before="100" w:beforeAutospacing="1" w:after="100" w:afterAutospacing="1"/>
    </w:pPr>
  </w:style>
  <w:style w:type="paragraph" w:customStyle="1" w:styleId="OmniPage2">
    <w:name w:val="OmniPage #2"/>
    <w:basedOn w:val="Normal"/>
    <w:rsid w:val="002F76AA"/>
    <w:pPr>
      <w:spacing w:line="300" w:lineRule="exact"/>
    </w:pPr>
    <w:rPr>
      <w:sz w:val="20"/>
      <w:szCs w:val="20"/>
    </w:rPr>
  </w:style>
  <w:style w:type="paragraph" w:customStyle="1" w:styleId="OmniPage4">
    <w:name w:val="OmniPage #4"/>
    <w:basedOn w:val="Normal"/>
    <w:rsid w:val="002F76AA"/>
    <w:pPr>
      <w:spacing w:line="240" w:lineRule="exact"/>
    </w:pPr>
    <w:rPr>
      <w:sz w:val="20"/>
      <w:szCs w:val="20"/>
    </w:rPr>
  </w:style>
  <w:style w:type="character" w:styleId="FollowedHyperlink">
    <w:name w:val="FollowedHyperlink"/>
    <w:basedOn w:val="DefaultParagraphFont"/>
    <w:rsid w:val="002F76AA"/>
    <w:rPr>
      <w:color w:val="800080"/>
      <w:u w:val="single"/>
    </w:rPr>
  </w:style>
  <w:style w:type="character" w:styleId="PageNumber">
    <w:name w:val="page number"/>
    <w:basedOn w:val="DefaultParagraphFont"/>
    <w:rsid w:val="002F76AA"/>
  </w:style>
  <w:style w:type="paragraph" w:styleId="BalloonText">
    <w:name w:val="Balloon Text"/>
    <w:basedOn w:val="Normal"/>
    <w:semiHidden/>
    <w:rsid w:val="002F76AA"/>
    <w:rPr>
      <w:rFonts w:ascii="Tahoma" w:hAnsi="Tahoma" w:cs="Tahoma"/>
      <w:sz w:val="16"/>
      <w:szCs w:val="16"/>
    </w:rPr>
  </w:style>
  <w:style w:type="character" w:styleId="CommentReference">
    <w:name w:val="annotation reference"/>
    <w:basedOn w:val="DefaultParagraphFont"/>
    <w:semiHidden/>
    <w:rsid w:val="002F76AA"/>
    <w:rPr>
      <w:sz w:val="16"/>
      <w:szCs w:val="16"/>
    </w:rPr>
  </w:style>
  <w:style w:type="paragraph" w:styleId="CommentText">
    <w:name w:val="annotation text"/>
    <w:basedOn w:val="Normal"/>
    <w:link w:val="CommentTextChar"/>
    <w:semiHidden/>
    <w:rsid w:val="002F76AA"/>
    <w:rPr>
      <w:sz w:val="20"/>
      <w:szCs w:val="20"/>
    </w:rPr>
  </w:style>
  <w:style w:type="paragraph" w:styleId="CommentSubject">
    <w:name w:val="annotation subject"/>
    <w:basedOn w:val="CommentText"/>
    <w:next w:val="CommentText"/>
    <w:semiHidden/>
    <w:rsid w:val="002F76AA"/>
    <w:rPr>
      <w:b/>
      <w:bCs/>
    </w:rPr>
  </w:style>
  <w:style w:type="paragraph" w:styleId="Header">
    <w:name w:val="header"/>
    <w:aliases w:val="h1"/>
    <w:basedOn w:val="Normal"/>
    <w:rsid w:val="002F76AA"/>
    <w:pPr>
      <w:tabs>
        <w:tab w:val="center" w:pos="4320"/>
        <w:tab w:val="right" w:pos="8640"/>
      </w:tabs>
    </w:pPr>
  </w:style>
  <w:style w:type="paragraph" w:customStyle="1" w:styleId="OmniPage3">
    <w:name w:val="OmniPage #3"/>
    <w:basedOn w:val="Normal"/>
    <w:rsid w:val="002F76AA"/>
    <w:pPr>
      <w:spacing w:line="120" w:lineRule="exact"/>
    </w:pPr>
    <w:rPr>
      <w:sz w:val="20"/>
      <w:szCs w:val="20"/>
    </w:rPr>
  </w:style>
  <w:style w:type="character" w:customStyle="1" w:styleId="FootnoteTextChar">
    <w:name w:val="Footnote Text Char"/>
    <w:basedOn w:val="DefaultParagraphFont"/>
    <w:link w:val="FootnoteText"/>
    <w:rsid w:val="00A32AD5"/>
  </w:style>
  <w:style w:type="character" w:customStyle="1" w:styleId="FootnoteTextChar1">
    <w:name w:val="Footnote Text Char1"/>
    <w:basedOn w:val="DefaultParagraphFont"/>
    <w:uiPriority w:val="99"/>
    <w:semiHidden/>
    <w:locked/>
    <w:rsid w:val="00A32AD5"/>
    <w:rPr>
      <w:rFonts w:cs="Times New Roman"/>
      <w:lang w:val="en-US" w:eastAsia="en-US" w:bidi="ar-SA"/>
    </w:rPr>
  </w:style>
  <w:style w:type="paragraph" w:styleId="Revision">
    <w:name w:val="Revision"/>
    <w:hidden/>
    <w:uiPriority w:val="99"/>
    <w:semiHidden/>
    <w:rsid w:val="004015FC"/>
    <w:rPr>
      <w:sz w:val="24"/>
      <w:szCs w:val="24"/>
    </w:rPr>
  </w:style>
  <w:style w:type="character" w:customStyle="1" w:styleId="FooterChar">
    <w:name w:val="Footer Char"/>
    <w:basedOn w:val="DefaultParagraphFont"/>
    <w:link w:val="Footer"/>
    <w:uiPriority w:val="99"/>
    <w:rsid w:val="003D7E41"/>
    <w:rPr>
      <w:sz w:val="24"/>
      <w:szCs w:val="24"/>
    </w:rPr>
  </w:style>
  <w:style w:type="character" w:customStyle="1" w:styleId="CommentTextChar">
    <w:name w:val="Comment Text Char"/>
    <w:basedOn w:val="DefaultParagraphFont"/>
    <w:link w:val="CommentText"/>
    <w:semiHidden/>
    <w:rsid w:val="0050652C"/>
  </w:style>
  <w:style w:type="paragraph" w:styleId="ListParagraph">
    <w:name w:val="List Paragraph"/>
    <w:basedOn w:val="Normal"/>
    <w:uiPriority w:val="34"/>
    <w:qFormat/>
    <w:rsid w:val="00DC46EC"/>
    <w:pPr>
      <w:ind w:left="720"/>
      <w:contextualSpacing/>
    </w:pPr>
  </w:style>
  <w:style w:type="paragraph" w:customStyle="1" w:styleId="SuperRIAFootnote">
    <w:name w:val="Super RIA Footnote"/>
    <w:basedOn w:val="Normal"/>
    <w:link w:val="SuperRIAFootnoteChar"/>
    <w:qFormat/>
    <w:rsid w:val="003F5388"/>
    <w:pPr>
      <w:widowControl w:val="0"/>
      <w:tabs>
        <w:tab w:val="left" w:pos="360"/>
      </w:tabs>
      <w:suppressAutoHyphens/>
      <w:autoSpaceDE w:val="0"/>
      <w:adjustRightInd w:val="0"/>
      <w:spacing w:before="60"/>
      <w:jc w:val="both"/>
      <w:textAlignment w:val="baseline"/>
    </w:pPr>
    <w:rPr>
      <w:sz w:val="20"/>
      <w:szCs w:val="20"/>
      <w:lang w:eastAsia="ar-SA"/>
    </w:rPr>
  </w:style>
  <w:style w:type="character" w:customStyle="1" w:styleId="SuperRIAFootnoteChar">
    <w:name w:val="Super RIA Footnote Char"/>
    <w:link w:val="SuperRIAFootnote"/>
    <w:rsid w:val="003F5388"/>
    <w:rPr>
      <w:lang w:eastAsia="ar-SA"/>
    </w:rPr>
  </w:style>
  <w:style w:type="table" w:styleId="TableGrid">
    <w:name w:val="Table Grid"/>
    <w:basedOn w:val="TableNormal"/>
    <w:rsid w:val="00FC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6577AC"/>
    <w:pPr>
      <w:spacing w:after="120"/>
    </w:pPr>
    <w:rPr>
      <w:sz w:val="16"/>
      <w:szCs w:val="16"/>
    </w:rPr>
  </w:style>
  <w:style w:type="character" w:customStyle="1" w:styleId="BodyText3Char">
    <w:name w:val="Body Text 3 Char"/>
    <w:basedOn w:val="DefaultParagraphFont"/>
    <w:link w:val="BodyText3"/>
    <w:semiHidden/>
    <w:rsid w:val="006577AC"/>
    <w:rPr>
      <w:sz w:val="16"/>
      <w:szCs w:val="16"/>
    </w:rPr>
  </w:style>
  <w:style w:type="character" w:styleId="Strong">
    <w:name w:val="Strong"/>
    <w:qFormat/>
    <w:rsid w:val="006577AC"/>
    <w:rPr>
      <w:b/>
      <w:bCs/>
    </w:rPr>
  </w:style>
  <w:style w:type="paragraph" w:styleId="Title">
    <w:name w:val="Title"/>
    <w:basedOn w:val="Normal"/>
    <w:link w:val="TitleChar"/>
    <w:qFormat/>
    <w:rsid w:val="006577AC"/>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basedOn w:val="DefaultParagraphFont"/>
    <w:link w:val="Title"/>
    <w:rsid w:val="006577AC"/>
    <w:rPr>
      <w:rFonts w:ascii="Letter Gothic 12cpi" w:hAnsi="Letter Gothic 12cpi"/>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AA"/>
    <w:rPr>
      <w:sz w:val="24"/>
      <w:szCs w:val="24"/>
    </w:rPr>
  </w:style>
  <w:style w:type="paragraph" w:styleId="Heading1">
    <w:name w:val="heading 1"/>
    <w:basedOn w:val="Normal"/>
    <w:next w:val="Normal"/>
    <w:qFormat/>
    <w:rsid w:val="002F76AA"/>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qFormat/>
    <w:rsid w:val="002F76AA"/>
    <w:pPr>
      <w:keepNext/>
      <w:outlineLvl w:val="1"/>
    </w:pPr>
    <w:rPr>
      <w:rFonts w:ascii="Arial" w:hAnsi="Arial" w:cs="Arial"/>
      <w:b/>
      <w:bCs/>
      <w:color w:val="000000"/>
    </w:rPr>
  </w:style>
  <w:style w:type="paragraph" w:styleId="Heading3">
    <w:name w:val="heading 3"/>
    <w:basedOn w:val="Normal"/>
    <w:next w:val="Normal"/>
    <w:qFormat/>
    <w:rsid w:val="002F76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76AA"/>
    <w:pPr>
      <w:spacing w:before="100" w:beforeAutospacing="1" w:after="100" w:afterAutospacing="1"/>
    </w:pPr>
  </w:style>
  <w:style w:type="character" w:styleId="Hyperlink">
    <w:name w:val="Hyperlink"/>
    <w:basedOn w:val="DefaultParagraphFont"/>
    <w:rsid w:val="002F76AA"/>
    <w:rPr>
      <w:color w:val="0000FF"/>
      <w:u w:val="single"/>
    </w:rPr>
  </w:style>
  <w:style w:type="paragraph" w:styleId="BodyTextIndent">
    <w:name w:val="Body Text Indent"/>
    <w:basedOn w:val="Normal"/>
    <w:rsid w:val="002F76AA"/>
    <w:pPr>
      <w:ind w:left="360"/>
    </w:pPr>
  </w:style>
  <w:style w:type="paragraph" w:styleId="BodyText2">
    <w:name w:val="Body Text 2"/>
    <w:basedOn w:val="Normal"/>
    <w:rsid w:val="002F76AA"/>
    <w:pPr>
      <w:spacing w:after="120" w:line="480" w:lineRule="auto"/>
    </w:pPr>
  </w:style>
  <w:style w:type="paragraph" w:styleId="FootnoteText">
    <w:name w:val="footnote text"/>
    <w:basedOn w:val="Normal"/>
    <w:link w:val="FootnoteTextChar"/>
    <w:rsid w:val="002F76AA"/>
    <w:rPr>
      <w:sz w:val="20"/>
      <w:szCs w:val="20"/>
    </w:rPr>
  </w:style>
  <w:style w:type="character" w:styleId="FootnoteReference">
    <w:name w:val="footnote reference"/>
    <w:basedOn w:val="DefaultParagraphFont"/>
    <w:rsid w:val="002F76AA"/>
    <w:rPr>
      <w:vertAlign w:val="superscript"/>
    </w:rPr>
  </w:style>
  <w:style w:type="paragraph" w:styleId="Footer">
    <w:name w:val="footer"/>
    <w:basedOn w:val="Normal"/>
    <w:link w:val="FooterChar"/>
    <w:uiPriority w:val="99"/>
    <w:rsid w:val="002F76AA"/>
    <w:pPr>
      <w:tabs>
        <w:tab w:val="center" w:pos="4320"/>
        <w:tab w:val="right" w:pos="8640"/>
      </w:tabs>
    </w:pPr>
  </w:style>
  <w:style w:type="paragraph" w:customStyle="1" w:styleId="FedRegPreambleParagraphNormal">
    <w:name w:val="FedReg Preamble Paragraph Normal"/>
    <w:rsid w:val="002F76AA"/>
    <w:pPr>
      <w:spacing w:line="480" w:lineRule="auto"/>
      <w:ind w:firstLine="720"/>
    </w:pPr>
    <w:rPr>
      <w:rFonts w:ascii="Arial" w:hAnsi="Arial"/>
      <w:sz w:val="24"/>
    </w:rPr>
  </w:style>
  <w:style w:type="paragraph" w:styleId="BodyTextIndent2">
    <w:name w:val="Body Text Indent 2"/>
    <w:basedOn w:val="Normal"/>
    <w:rsid w:val="002F76AA"/>
    <w:pPr>
      <w:spacing w:line="480" w:lineRule="auto"/>
      <w:ind w:firstLine="720"/>
    </w:pPr>
    <w:rPr>
      <w:rFonts w:ascii="Arial" w:hAnsi="Arial" w:cs="Arial"/>
      <w:color w:val="000000"/>
    </w:rPr>
  </w:style>
  <w:style w:type="paragraph" w:styleId="BodyTextIndent3">
    <w:name w:val="Body Text Indent 3"/>
    <w:basedOn w:val="Normal"/>
    <w:rsid w:val="002F76AA"/>
    <w:pPr>
      <w:ind w:firstLine="720"/>
    </w:pPr>
    <w:rPr>
      <w:rFonts w:ascii="Arial" w:hAnsi="Arial" w:cs="Arial"/>
    </w:rPr>
  </w:style>
  <w:style w:type="paragraph" w:customStyle="1" w:styleId="doublebullet">
    <w:name w:val="double bullet"/>
    <w:basedOn w:val="Normal"/>
    <w:rsid w:val="00A32AD5"/>
    <w:pPr>
      <w:numPr>
        <w:numId w:val="2"/>
      </w:numPr>
    </w:pPr>
  </w:style>
  <w:style w:type="paragraph" w:customStyle="1" w:styleId="head3">
    <w:name w:val="head3"/>
    <w:basedOn w:val="Normal"/>
    <w:rsid w:val="002F76AA"/>
    <w:rPr>
      <w:rFonts w:ascii="Arial" w:hAnsi="Arial" w:cs="Arial"/>
      <w:bCs/>
      <w:i/>
      <w:sz w:val="28"/>
    </w:rPr>
  </w:style>
  <w:style w:type="paragraph" w:customStyle="1" w:styleId="fedregpreambletitlenormal">
    <w:name w:val="fedregpreambletitlenormal"/>
    <w:basedOn w:val="Normal"/>
    <w:rsid w:val="002F76AA"/>
    <w:pPr>
      <w:spacing w:before="100" w:beforeAutospacing="1" w:after="100" w:afterAutospacing="1"/>
    </w:pPr>
  </w:style>
  <w:style w:type="paragraph" w:customStyle="1" w:styleId="OmniPage2">
    <w:name w:val="OmniPage #2"/>
    <w:basedOn w:val="Normal"/>
    <w:rsid w:val="002F76AA"/>
    <w:pPr>
      <w:spacing w:line="300" w:lineRule="exact"/>
    </w:pPr>
    <w:rPr>
      <w:sz w:val="20"/>
      <w:szCs w:val="20"/>
    </w:rPr>
  </w:style>
  <w:style w:type="paragraph" w:customStyle="1" w:styleId="OmniPage4">
    <w:name w:val="OmniPage #4"/>
    <w:basedOn w:val="Normal"/>
    <w:rsid w:val="002F76AA"/>
    <w:pPr>
      <w:spacing w:line="240" w:lineRule="exact"/>
    </w:pPr>
    <w:rPr>
      <w:sz w:val="20"/>
      <w:szCs w:val="20"/>
    </w:rPr>
  </w:style>
  <w:style w:type="character" w:styleId="FollowedHyperlink">
    <w:name w:val="FollowedHyperlink"/>
    <w:basedOn w:val="DefaultParagraphFont"/>
    <w:rsid w:val="002F76AA"/>
    <w:rPr>
      <w:color w:val="800080"/>
      <w:u w:val="single"/>
    </w:rPr>
  </w:style>
  <w:style w:type="character" w:styleId="PageNumber">
    <w:name w:val="page number"/>
    <w:basedOn w:val="DefaultParagraphFont"/>
    <w:rsid w:val="002F76AA"/>
  </w:style>
  <w:style w:type="paragraph" w:styleId="BalloonText">
    <w:name w:val="Balloon Text"/>
    <w:basedOn w:val="Normal"/>
    <w:semiHidden/>
    <w:rsid w:val="002F76AA"/>
    <w:rPr>
      <w:rFonts w:ascii="Tahoma" w:hAnsi="Tahoma" w:cs="Tahoma"/>
      <w:sz w:val="16"/>
      <w:szCs w:val="16"/>
    </w:rPr>
  </w:style>
  <w:style w:type="character" w:styleId="CommentReference">
    <w:name w:val="annotation reference"/>
    <w:basedOn w:val="DefaultParagraphFont"/>
    <w:semiHidden/>
    <w:rsid w:val="002F76AA"/>
    <w:rPr>
      <w:sz w:val="16"/>
      <w:szCs w:val="16"/>
    </w:rPr>
  </w:style>
  <w:style w:type="paragraph" w:styleId="CommentText">
    <w:name w:val="annotation text"/>
    <w:basedOn w:val="Normal"/>
    <w:link w:val="CommentTextChar"/>
    <w:semiHidden/>
    <w:rsid w:val="002F76AA"/>
    <w:rPr>
      <w:sz w:val="20"/>
      <w:szCs w:val="20"/>
    </w:rPr>
  </w:style>
  <w:style w:type="paragraph" w:styleId="CommentSubject">
    <w:name w:val="annotation subject"/>
    <w:basedOn w:val="CommentText"/>
    <w:next w:val="CommentText"/>
    <w:semiHidden/>
    <w:rsid w:val="002F76AA"/>
    <w:rPr>
      <w:b/>
      <w:bCs/>
    </w:rPr>
  </w:style>
  <w:style w:type="paragraph" w:styleId="Header">
    <w:name w:val="header"/>
    <w:aliases w:val="h1"/>
    <w:basedOn w:val="Normal"/>
    <w:rsid w:val="002F76AA"/>
    <w:pPr>
      <w:tabs>
        <w:tab w:val="center" w:pos="4320"/>
        <w:tab w:val="right" w:pos="8640"/>
      </w:tabs>
    </w:pPr>
  </w:style>
  <w:style w:type="paragraph" w:customStyle="1" w:styleId="OmniPage3">
    <w:name w:val="OmniPage #3"/>
    <w:basedOn w:val="Normal"/>
    <w:rsid w:val="002F76AA"/>
    <w:pPr>
      <w:spacing w:line="120" w:lineRule="exact"/>
    </w:pPr>
    <w:rPr>
      <w:sz w:val="20"/>
      <w:szCs w:val="20"/>
    </w:rPr>
  </w:style>
  <w:style w:type="character" w:customStyle="1" w:styleId="FootnoteTextChar">
    <w:name w:val="Footnote Text Char"/>
    <w:basedOn w:val="DefaultParagraphFont"/>
    <w:link w:val="FootnoteText"/>
    <w:rsid w:val="00A32AD5"/>
  </w:style>
  <w:style w:type="character" w:customStyle="1" w:styleId="FootnoteTextChar1">
    <w:name w:val="Footnote Text Char1"/>
    <w:basedOn w:val="DefaultParagraphFont"/>
    <w:uiPriority w:val="99"/>
    <w:semiHidden/>
    <w:locked/>
    <w:rsid w:val="00A32AD5"/>
    <w:rPr>
      <w:rFonts w:cs="Times New Roman"/>
      <w:lang w:val="en-US" w:eastAsia="en-US" w:bidi="ar-SA"/>
    </w:rPr>
  </w:style>
  <w:style w:type="paragraph" w:styleId="Revision">
    <w:name w:val="Revision"/>
    <w:hidden/>
    <w:uiPriority w:val="99"/>
    <w:semiHidden/>
    <w:rsid w:val="004015FC"/>
    <w:rPr>
      <w:sz w:val="24"/>
      <w:szCs w:val="24"/>
    </w:rPr>
  </w:style>
  <w:style w:type="character" w:customStyle="1" w:styleId="FooterChar">
    <w:name w:val="Footer Char"/>
    <w:basedOn w:val="DefaultParagraphFont"/>
    <w:link w:val="Footer"/>
    <w:uiPriority w:val="99"/>
    <w:rsid w:val="003D7E41"/>
    <w:rPr>
      <w:sz w:val="24"/>
      <w:szCs w:val="24"/>
    </w:rPr>
  </w:style>
  <w:style w:type="character" w:customStyle="1" w:styleId="CommentTextChar">
    <w:name w:val="Comment Text Char"/>
    <w:basedOn w:val="DefaultParagraphFont"/>
    <w:link w:val="CommentText"/>
    <w:semiHidden/>
    <w:rsid w:val="0050652C"/>
  </w:style>
  <w:style w:type="paragraph" w:styleId="ListParagraph">
    <w:name w:val="List Paragraph"/>
    <w:basedOn w:val="Normal"/>
    <w:uiPriority w:val="34"/>
    <w:qFormat/>
    <w:rsid w:val="00DC46EC"/>
    <w:pPr>
      <w:ind w:left="720"/>
      <w:contextualSpacing/>
    </w:pPr>
  </w:style>
  <w:style w:type="paragraph" w:customStyle="1" w:styleId="SuperRIAFootnote">
    <w:name w:val="Super RIA Footnote"/>
    <w:basedOn w:val="Normal"/>
    <w:link w:val="SuperRIAFootnoteChar"/>
    <w:qFormat/>
    <w:rsid w:val="003F5388"/>
    <w:pPr>
      <w:widowControl w:val="0"/>
      <w:tabs>
        <w:tab w:val="left" w:pos="360"/>
      </w:tabs>
      <w:suppressAutoHyphens/>
      <w:autoSpaceDE w:val="0"/>
      <w:adjustRightInd w:val="0"/>
      <w:spacing w:before="60"/>
      <w:jc w:val="both"/>
      <w:textAlignment w:val="baseline"/>
    </w:pPr>
    <w:rPr>
      <w:sz w:val="20"/>
      <w:szCs w:val="20"/>
      <w:lang w:eastAsia="ar-SA"/>
    </w:rPr>
  </w:style>
  <w:style w:type="character" w:customStyle="1" w:styleId="SuperRIAFootnoteChar">
    <w:name w:val="Super RIA Footnote Char"/>
    <w:link w:val="SuperRIAFootnote"/>
    <w:rsid w:val="003F5388"/>
    <w:rPr>
      <w:lang w:eastAsia="ar-SA"/>
    </w:rPr>
  </w:style>
  <w:style w:type="table" w:styleId="TableGrid">
    <w:name w:val="Table Grid"/>
    <w:basedOn w:val="TableNormal"/>
    <w:rsid w:val="00FC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6577AC"/>
    <w:pPr>
      <w:spacing w:after="120"/>
    </w:pPr>
    <w:rPr>
      <w:sz w:val="16"/>
      <w:szCs w:val="16"/>
    </w:rPr>
  </w:style>
  <w:style w:type="character" w:customStyle="1" w:styleId="BodyText3Char">
    <w:name w:val="Body Text 3 Char"/>
    <w:basedOn w:val="DefaultParagraphFont"/>
    <w:link w:val="BodyText3"/>
    <w:semiHidden/>
    <w:rsid w:val="006577AC"/>
    <w:rPr>
      <w:sz w:val="16"/>
      <w:szCs w:val="16"/>
    </w:rPr>
  </w:style>
  <w:style w:type="character" w:styleId="Strong">
    <w:name w:val="Strong"/>
    <w:qFormat/>
    <w:rsid w:val="006577AC"/>
    <w:rPr>
      <w:b/>
      <w:bCs/>
    </w:rPr>
  </w:style>
  <w:style w:type="paragraph" w:styleId="Title">
    <w:name w:val="Title"/>
    <w:basedOn w:val="Normal"/>
    <w:link w:val="TitleChar"/>
    <w:qFormat/>
    <w:rsid w:val="006577AC"/>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basedOn w:val="DefaultParagraphFont"/>
    <w:link w:val="Title"/>
    <w:rsid w:val="006577AC"/>
    <w:rPr>
      <w:rFonts w:ascii="Letter Gothic 12cpi" w:hAnsi="Letter Gothic 12cp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6994">
      <w:bodyDiv w:val="1"/>
      <w:marLeft w:val="0"/>
      <w:marRight w:val="0"/>
      <w:marTop w:val="0"/>
      <w:marBottom w:val="0"/>
      <w:divBdr>
        <w:top w:val="none" w:sz="0" w:space="0" w:color="auto"/>
        <w:left w:val="none" w:sz="0" w:space="0" w:color="auto"/>
        <w:bottom w:val="none" w:sz="0" w:space="0" w:color="auto"/>
        <w:right w:val="none" w:sz="0" w:space="0" w:color="auto"/>
      </w:divBdr>
    </w:div>
    <w:div w:id="77364500">
      <w:bodyDiv w:val="1"/>
      <w:marLeft w:val="0"/>
      <w:marRight w:val="0"/>
      <w:marTop w:val="0"/>
      <w:marBottom w:val="0"/>
      <w:divBdr>
        <w:top w:val="none" w:sz="0" w:space="0" w:color="auto"/>
        <w:left w:val="none" w:sz="0" w:space="0" w:color="auto"/>
        <w:bottom w:val="none" w:sz="0" w:space="0" w:color="auto"/>
        <w:right w:val="none" w:sz="0" w:space="0" w:color="auto"/>
      </w:divBdr>
    </w:div>
    <w:div w:id="99573475">
      <w:bodyDiv w:val="1"/>
      <w:marLeft w:val="0"/>
      <w:marRight w:val="0"/>
      <w:marTop w:val="0"/>
      <w:marBottom w:val="0"/>
      <w:divBdr>
        <w:top w:val="none" w:sz="0" w:space="0" w:color="auto"/>
        <w:left w:val="none" w:sz="0" w:space="0" w:color="auto"/>
        <w:bottom w:val="none" w:sz="0" w:space="0" w:color="auto"/>
        <w:right w:val="none" w:sz="0" w:space="0" w:color="auto"/>
      </w:divBdr>
    </w:div>
    <w:div w:id="118227478">
      <w:bodyDiv w:val="1"/>
      <w:marLeft w:val="0"/>
      <w:marRight w:val="0"/>
      <w:marTop w:val="0"/>
      <w:marBottom w:val="0"/>
      <w:divBdr>
        <w:top w:val="none" w:sz="0" w:space="0" w:color="auto"/>
        <w:left w:val="none" w:sz="0" w:space="0" w:color="auto"/>
        <w:bottom w:val="none" w:sz="0" w:space="0" w:color="auto"/>
        <w:right w:val="none" w:sz="0" w:space="0" w:color="auto"/>
      </w:divBdr>
    </w:div>
    <w:div w:id="130170866">
      <w:bodyDiv w:val="1"/>
      <w:marLeft w:val="0"/>
      <w:marRight w:val="0"/>
      <w:marTop w:val="0"/>
      <w:marBottom w:val="0"/>
      <w:divBdr>
        <w:top w:val="none" w:sz="0" w:space="0" w:color="auto"/>
        <w:left w:val="none" w:sz="0" w:space="0" w:color="auto"/>
        <w:bottom w:val="none" w:sz="0" w:space="0" w:color="auto"/>
        <w:right w:val="none" w:sz="0" w:space="0" w:color="auto"/>
      </w:divBdr>
    </w:div>
    <w:div w:id="148979333">
      <w:bodyDiv w:val="1"/>
      <w:marLeft w:val="0"/>
      <w:marRight w:val="0"/>
      <w:marTop w:val="0"/>
      <w:marBottom w:val="0"/>
      <w:divBdr>
        <w:top w:val="none" w:sz="0" w:space="0" w:color="auto"/>
        <w:left w:val="none" w:sz="0" w:space="0" w:color="auto"/>
        <w:bottom w:val="none" w:sz="0" w:space="0" w:color="auto"/>
        <w:right w:val="none" w:sz="0" w:space="0" w:color="auto"/>
      </w:divBdr>
    </w:div>
    <w:div w:id="155734287">
      <w:bodyDiv w:val="1"/>
      <w:marLeft w:val="0"/>
      <w:marRight w:val="0"/>
      <w:marTop w:val="0"/>
      <w:marBottom w:val="0"/>
      <w:divBdr>
        <w:top w:val="none" w:sz="0" w:space="0" w:color="auto"/>
        <w:left w:val="none" w:sz="0" w:space="0" w:color="auto"/>
        <w:bottom w:val="none" w:sz="0" w:space="0" w:color="auto"/>
        <w:right w:val="none" w:sz="0" w:space="0" w:color="auto"/>
      </w:divBdr>
    </w:div>
    <w:div w:id="274407808">
      <w:bodyDiv w:val="1"/>
      <w:marLeft w:val="0"/>
      <w:marRight w:val="0"/>
      <w:marTop w:val="0"/>
      <w:marBottom w:val="0"/>
      <w:divBdr>
        <w:top w:val="none" w:sz="0" w:space="0" w:color="auto"/>
        <w:left w:val="none" w:sz="0" w:space="0" w:color="auto"/>
        <w:bottom w:val="none" w:sz="0" w:space="0" w:color="auto"/>
        <w:right w:val="none" w:sz="0" w:space="0" w:color="auto"/>
      </w:divBdr>
    </w:div>
    <w:div w:id="283931382">
      <w:bodyDiv w:val="1"/>
      <w:marLeft w:val="0"/>
      <w:marRight w:val="0"/>
      <w:marTop w:val="0"/>
      <w:marBottom w:val="0"/>
      <w:divBdr>
        <w:top w:val="none" w:sz="0" w:space="0" w:color="auto"/>
        <w:left w:val="none" w:sz="0" w:space="0" w:color="auto"/>
        <w:bottom w:val="none" w:sz="0" w:space="0" w:color="auto"/>
        <w:right w:val="none" w:sz="0" w:space="0" w:color="auto"/>
      </w:divBdr>
    </w:div>
    <w:div w:id="287443004">
      <w:bodyDiv w:val="1"/>
      <w:marLeft w:val="0"/>
      <w:marRight w:val="0"/>
      <w:marTop w:val="0"/>
      <w:marBottom w:val="0"/>
      <w:divBdr>
        <w:top w:val="none" w:sz="0" w:space="0" w:color="auto"/>
        <w:left w:val="none" w:sz="0" w:space="0" w:color="auto"/>
        <w:bottom w:val="none" w:sz="0" w:space="0" w:color="auto"/>
        <w:right w:val="none" w:sz="0" w:space="0" w:color="auto"/>
      </w:divBdr>
    </w:div>
    <w:div w:id="313990453">
      <w:bodyDiv w:val="1"/>
      <w:marLeft w:val="0"/>
      <w:marRight w:val="0"/>
      <w:marTop w:val="0"/>
      <w:marBottom w:val="0"/>
      <w:divBdr>
        <w:top w:val="none" w:sz="0" w:space="0" w:color="auto"/>
        <w:left w:val="none" w:sz="0" w:space="0" w:color="auto"/>
        <w:bottom w:val="none" w:sz="0" w:space="0" w:color="auto"/>
        <w:right w:val="none" w:sz="0" w:space="0" w:color="auto"/>
      </w:divBdr>
    </w:div>
    <w:div w:id="420417689">
      <w:bodyDiv w:val="1"/>
      <w:marLeft w:val="0"/>
      <w:marRight w:val="0"/>
      <w:marTop w:val="0"/>
      <w:marBottom w:val="0"/>
      <w:divBdr>
        <w:top w:val="none" w:sz="0" w:space="0" w:color="auto"/>
        <w:left w:val="none" w:sz="0" w:space="0" w:color="auto"/>
        <w:bottom w:val="none" w:sz="0" w:space="0" w:color="auto"/>
        <w:right w:val="none" w:sz="0" w:space="0" w:color="auto"/>
      </w:divBdr>
    </w:div>
    <w:div w:id="432677652">
      <w:bodyDiv w:val="1"/>
      <w:marLeft w:val="0"/>
      <w:marRight w:val="0"/>
      <w:marTop w:val="0"/>
      <w:marBottom w:val="0"/>
      <w:divBdr>
        <w:top w:val="none" w:sz="0" w:space="0" w:color="auto"/>
        <w:left w:val="none" w:sz="0" w:space="0" w:color="auto"/>
        <w:bottom w:val="none" w:sz="0" w:space="0" w:color="auto"/>
        <w:right w:val="none" w:sz="0" w:space="0" w:color="auto"/>
      </w:divBdr>
    </w:div>
    <w:div w:id="517282232">
      <w:bodyDiv w:val="1"/>
      <w:marLeft w:val="0"/>
      <w:marRight w:val="0"/>
      <w:marTop w:val="0"/>
      <w:marBottom w:val="0"/>
      <w:divBdr>
        <w:top w:val="none" w:sz="0" w:space="0" w:color="auto"/>
        <w:left w:val="none" w:sz="0" w:space="0" w:color="auto"/>
        <w:bottom w:val="none" w:sz="0" w:space="0" w:color="auto"/>
        <w:right w:val="none" w:sz="0" w:space="0" w:color="auto"/>
      </w:divBdr>
    </w:div>
    <w:div w:id="660161633">
      <w:bodyDiv w:val="1"/>
      <w:marLeft w:val="0"/>
      <w:marRight w:val="0"/>
      <w:marTop w:val="0"/>
      <w:marBottom w:val="0"/>
      <w:divBdr>
        <w:top w:val="none" w:sz="0" w:space="0" w:color="auto"/>
        <w:left w:val="none" w:sz="0" w:space="0" w:color="auto"/>
        <w:bottom w:val="none" w:sz="0" w:space="0" w:color="auto"/>
        <w:right w:val="none" w:sz="0" w:space="0" w:color="auto"/>
      </w:divBdr>
    </w:div>
    <w:div w:id="707729559">
      <w:bodyDiv w:val="1"/>
      <w:marLeft w:val="0"/>
      <w:marRight w:val="0"/>
      <w:marTop w:val="0"/>
      <w:marBottom w:val="0"/>
      <w:divBdr>
        <w:top w:val="none" w:sz="0" w:space="0" w:color="auto"/>
        <w:left w:val="none" w:sz="0" w:space="0" w:color="auto"/>
        <w:bottom w:val="none" w:sz="0" w:space="0" w:color="auto"/>
        <w:right w:val="none" w:sz="0" w:space="0" w:color="auto"/>
      </w:divBdr>
    </w:div>
    <w:div w:id="1010334285">
      <w:bodyDiv w:val="1"/>
      <w:marLeft w:val="0"/>
      <w:marRight w:val="0"/>
      <w:marTop w:val="0"/>
      <w:marBottom w:val="0"/>
      <w:divBdr>
        <w:top w:val="none" w:sz="0" w:space="0" w:color="auto"/>
        <w:left w:val="none" w:sz="0" w:space="0" w:color="auto"/>
        <w:bottom w:val="none" w:sz="0" w:space="0" w:color="auto"/>
        <w:right w:val="none" w:sz="0" w:space="0" w:color="auto"/>
      </w:divBdr>
      <w:divsChild>
        <w:div w:id="635187378">
          <w:marLeft w:val="1166"/>
          <w:marRight w:val="0"/>
          <w:marTop w:val="200"/>
          <w:marBottom w:val="0"/>
          <w:divBdr>
            <w:top w:val="none" w:sz="0" w:space="0" w:color="auto"/>
            <w:left w:val="none" w:sz="0" w:space="0" w:color="auto"/>
            <w:bottom w:val="none" w:sz="0" w:space="0" w:color="auto"/>
            <w:right w:val="none" w:sz="0" w:space="0" w:color="auto"/>
          </w:divBdr>
        </w:div>
        <w:div w:id="997147427">
          <w:marLeft w:val="1166"/>
          <w:marRight w:val="0"/>
          <w:marTop w:val="200"/>
          <w:marBottom w:val="0"/>
          <w:divBdr>
            <w:top w:val="none" w:sz="0" w:space="0" w:color="auto"/>
            <w:left w:val="none" w:sz="0" w:space="0" w:color="auto"/>
            <w:bottom w:val="none" w:sz="0" w:space="0" w:color="auto"/>
            <w:right w:val="none" w:sz="0" w:space="0" w:color="auto"/>
          </w:divBdr>
        </w:div>
      </w:divsChild>
    </w:div>
    <w:div w:id="1045642590">
      <w:bodyDiv w:val="1"/>
      <w:marLeft w:val="0"/>
      <w:marRight w:val="0"/>
      <w:marTop w:val="0"/>
      <w:marBottom w:val="0"/>
      <w:divBdr>
        <w:top w:val="none" w:sz="0" w:space="0" w:color="auto"/>
        <w:left w:val="none" w:sz="0" w:space="0" w:color="auto"/>
        <w:bottom w:val="none" w:sz="0" w:space="0" w:color="auto"/>
        <w:right w:val="none" w:sz="0" w:space="0" w:color="auto"/>
      </w:divBdr>
    </w:div>
    <w:div w:id="1061757967">
      <w:bodyDiv w:val="1"/>
      <w:marLeft w:val="0"/>
      <w:marRight w:val="0"/>
      <w:marTop w:val="0"/>
      <w:marBottom w:val="0"/>
      <w:divBdr>
        <w:top w:val="none" w:sz="0" w:space="0" w:color="auto"/>
        <w:left w:val="none" w:sz="0" w:space="0" w:color="auto"/>
        <w:bottom w:val="none" w:sz="0" w:space="0" w:color="auto"/>
        <w:right w:val="none" w:sz="0" w:space="0" w:color="auto"/>
      </w:divBdr>
    </w:div>
    <w:div w:id="1178035582">
      <w:bodyDiv w:val="1"/>
      <w:marLeft w:val="0"/>
      <w:marRight w:val="0"/>
      <w:marTop w:val="0"/>
      <w:marBottom w:val="0"/>
      <w:divBdr>
        <w:top w:val="none" w:sz="0" w:space="0" w:color="auto"/>
        <w:left w:val="none" w:sz="0" w:space="0" w:color="auto"/>
        <w:bottom w:val="none" w:sz="0" w:space="0" w:color="auto"/>
        <w:right w:val="none" w:sz="0" w:space="0" w:color="auto"/>
      </w:divBdr>
    </w:div>
    <w:div w:id="1217357071">
      <w:bodyDiv w:val="1"/>
      <w:marLeft w:val="0"/>
      <w:marRight w:val="0"/>
      <w:marTop w:val="0"/>
      <w:marBottom w:val="0"/>
      <w:divBdr>
        <w:top w:val="none" w:sz="0" w:space="0" w:color="auto"/>
        <w:left w:val="none" w:sz="0" w:space="0" w:color="auto"/>
        <w:bottom w:val="none" w:sz="0" w:space="0" w:color="auto"/>
        <w:right w:val="none" w:sz="0" w:space="0" w:color="auto"/>
      </w:divBdr>
    </w:div>
    <w:div w:id="1273828961">
      <w:bodyDiv w:val="1"/>
      <w:marLeft w:val="0"/>
      <w:marRight w:val="0"/>
      <w:marTop w:val="0"/>
      <w:marBottom w:val="0"/>
      <w:divBdr>
        <w:top w:val="none" w:sz="0" w:space="0" w:color="auto"/>
        <w:left w:val="none" w:sz="0" w:space="0" w:color="auto"/>
        <w:bottom w:val="none" w:sz="0" w:space="0" w:color="auto"/>
        <w:right w:val="none" w:sz="0" w:space="0" w:color="auto"/>
      </w:divBdr>
    </w:div>
    <w:div w:id="1364207087">
      <w:bodyDiv w:val="1"/>
      <w:marLeft w:val="0"/>
      <w:marRight w:val="0"/>
      <w:marTop w:val="0"/>
      <w:marBottom w:val="0"/>
      <w:divBdr>
        <w:top w:val="none" w:sz="0" w:space="0" w:color="auto"/>
        <w:left w:val="none" w:sz="0" w:space="0" w:color="auto"/>
        <w:bottom w:val="none" w:sz="0" w:space="0" w:color="auto"/>
        <w:right w:val="none" w:sz="0" w:space="0" w:color="auto"/>
      </w:divBdr>
    </w:div>
    <w:div w:id="1370186245">
      <w:bodyDiv w:val="1"/>
      <w:marLeft w:val="0"/>
      <w:marRight w:val="0"/>
      <w:marTop w:val="0"/>
      <w:marBottom w:val="0"/>
      <w:divBdr>
        <w:top w:val="none" w:sz="0" w:space="0" w:color="auto"/>
        <w:left w:val="none" w:sz="0" w:space="0" w:color="auto"/>
        <w:bottom w:val="none" w:sz="0" w:space="0" w:color="auto"/>
        <w:right w:val="none" w:sz="0" w:space="0" w:color="auto"/>
      </w:divBdr>
    </w:div>
    <w:div w:id="1434738827">
      <w:bodyDiv w:val="1"/>
      <w:marLeft w:val="0"/>
      <w:marRight w:val="0"/>
      <w:marTop w:val="0"/>
      <w:marBottom w:val="0"/>
      <w:divBdr>
        <w:top w:val="none" w:sz="0" w:space="0" w:color="auto"/>
        <w:left w:val="none" w:sz="0" w:space="0" w:color="auto"/>
        <w:bottom w:val="none" w:sz="0" w:space="0" w:color="auto"/>
        <w:right w:val="none" w:sz="0" w:space="0" w:color="auto"/>
      </w:divBdr>
    </w:div>
    <w:div w:id="1564097585">
      <w:bodyDiv w:val="1"/>
      <w:marLeft w:val="0"/>
      <w:marRight w:val="0"/>
      <w:marTop w:val="0"/>
      <w:marBottom w:val="0"/>
      <w:divBdr>
        <w:top w:val="none" w:sz="0" w:space="0" w:color="auto"/>
        <w:left w:val="none" w:sz="0" w:space="0" w:color="auto"/>
        <w:bottom w:val="none" w:sz="0" w:space="0" w:color="auto"/>
        <w:right w:val="none" w:sz="0" w:space="0" w:color="auto"/>
      </w:divBdr>
    </w:div>
    <w:div w:id="1588882418">
      <w:bodyDiv w:val="1"/>
      <w:marLeft w:val="0"/>
      <w:marRight w:val="0"/>
      <w:marTop w:val="0"/>
      <w:marBottom w:val="0"/>
      <w:divBdr>
        <w:top w:val="none" w:sz="0" w:space="0" w:color="auto"/>
        <w:left w:val="none" w:sz="0" w:space="0" w:color="auto"/>
        <w:bottom w:val="none" w:sz="0" w:space="0" w:color="auto"/>
        <w:right w:val="none" w:sz="0" w:space="0" w:color="auto"/>
      </w:divBdr>
    </w:div>
    <w:div w:id="1670015954">
      <w:bodyDiv w:val="1"/>
      <w:marLeft w:val="0"/>
      <w:marRight w:val="0"/>
      <w:marTop w:val="0"/>
      <w:marBottom w:val="0"/>
      <w:divBdr>
        <w:top w:val="none" w:sz="0" w:space="0" w:color="auto"/>
        <w:left w:val="none" w:sz="0" w:space="0" w:color="auto"/>
        <w:bottom w:val="none" w:sz="0" w:space="0" w:color="auto"/>
        <w:right w:val="none" w:sz="0" w:space="0" w:color="auto"/>
      </w:divBdr>
    </w:div>
    <w:div w:id="1692803598">
      <w:bodyDiv w:val="1"/>
      <w:marLeft w:val="0"/>
      <w:marRight w:val="0"/>
      <w:marTop w:val="0"/>
      <w:marBottom w:val="0"/>
      <w:divBdr>
        <w:top w:val="none" w:sz="0" w:space="0" w:color="auto"/>
        <w:left w:val="none" w:sz="0" w:space="0" w:color="auto"/>
        <w:bottom w:val="none" w:sz="0" w:space="0" w:color="auto"/>
        <w:right w:val="none" w:sz="0" w:space="0" w:color="auto"/>
      </w:divBdr>
    </w:div>
    <w:div w:id="1710110636">
      <w:bodyDiv w:val="1"/>
      <w:marLeft w:val="0"/>
      <w:marRight w:val="0"/>
      <w:marTop w:val="0"/>
      <w:marBottom w:val="0"/>
      <w:divBdr>
        <w:top w:val="none" w:sz="0" w:space="0" w:color="auto"/>
        <w:left w:val="none" w:sz="0" w:space="0" w:color="auto"/>
        <w:bottom w:val="none" w:sz="0" w:space="0" w:color="auto"/>
        <w:right w:val="none" w:sz="0" w:space="0" w:color="auto"/>
      </w:divBdr>
    </w:div>
    <w:div w:id="1724138387">
      <w:bodyDiv w:val="1"/>
      <w:marLeft w:val="0"/>
      <w:marRight w:val="0"/>
      <w:marTop w:val="0"/>
      <w:marBottom w:val="0"/>
      <w:divBdr>
        <w:top w:val="none" w:sz="0" w:space="0" w:color="auto"/>
        <w:left w:val="none" w:sz="0" w:space="0" w:color="auto"/>
        <w:bottom w:val="none" w:sz="0" w:space="0" w:color="auto"/>
        <w:right w:val="none" w:sz="0" w:space="0" w:color="auto"/>
      </w:divBdr>
    </w:div>
    <w:div w:id="1769504712">
      <w:bodyDiv w:val="1"/>
      <w:marLeft w:val="0"/>
      <w:marRight w:val="0"/>
      <w:marTop w:val="0"/>
      <w:marBottom w:val="0"/>
      <w:divBdr>
        <w:top w:val="none" w:sz="0" w:space="0" w:color="auto"/>
        <w:left w:val="none" w:sz="0" w:space="0" w:color="auto"/>
        <w:bottom w:val="none" w:sz="0" w:space="0" w:color="auto"/>
        <w:right w:val="none" w:sz="0" w:space="0" w:color="auto"/>
      </w:divBdr>
    </w:div>
    <w:div w:id="1781101510">
      <w:bodyDiv w:val="1"/>
      <w:marLeft w:val="0"/>
      <w:marRight w:val="0"/>
      <w:marTop w:val="0"/>
      <w:marBottom w:val="0"/>
      <w:divBdr>
        <w:top w:val="none" w:sz="0" w:space="0" w:color="auto"/>
        <w:left w:val="none" w:sz="0" w:space="0" w:color="auto"/>
        <w:bottom w:val="none" w:sz="0" w:space="0" w:color="auto"/>
        <w:right w:val="none" w:sz="0" w:space="0" w:color="auto"/>
      </w:divBdr>
    </w:div>
    <w:div w:id="1795128249">
      <w:bodyDiv w:val="1"/>
      <w:marLeft w:val="0"/>
      <w:marRight w:val="0"/>
      <w:marTop w:val="0"/>
      <w:marBottom w:val="0"/>
      <w:divBdr>
        <w:top w:val="none" w:sz="0" w:space="0" w:color="auto"/>
        <w:left w:val="none" w:sz="0" w:space="0" w:color="auto"/>
        <w:bottom w:val="none" w:sz="0" w:space="0" w:color="auto"/>
        <w:right w:val="none" w:sz="0" w:space="0" w:color="auto"/>
      </w:divBdr>
    </w:div>
    <w:div w:id="1828747391">
      <w:bodyDiv w:val="1"/>
      <w:marLeft w:val="0"/>
      <w:marRight w:val="0"/>
      <w:marTop w:val="0"/>
      <w:marBottom w:val="0"/>
      <w:divBdr>
        <w:top w:val="none" w:sz="0" w:space="0" w:color="auto"/>
        <w:left w:val="none" w:sz="0" w:space="0" w:color="auto"/>
        <w:bottom w:val="none" w:sz="0" w:space="0" w:color="auto"/>
        <w:right w:val="none" w:sz="0" w:space="0" w:color="auto"/>
      </w:divBdr>
    </w:div>
    <w:div w:id="1864975378">
      <w:bodyDiv w:val="1"/>
      <w:marLeft w:val="0"/>
      <w:marRight w:val="0"/>
      <w:marTop w:val="0"/>
      <w:marBottom w:val="0"/>
      <w:divBdr>
        <w:top w:val="none" w:sz="0" w:space="0" w:color="auto"/>
        <w:left w:val="none" w:sz="0" w:space="0" w:color="auto"/>
        <w:bottom w:val="none" w:sz="0" w:space="0" w:color="auto"/>
        <w:right w:val="none" w:sz="0" w:space="0" w:color="auto"/>
      </w:divBdr>
    </w:div>
    <w:div w:id="1881548515">
      <w:bodyDiv w:val="1"/>
      <w:marLeft w:val="0"/>
      <w:marRight w:val="0"/>
      <w:marTop w:val="0"/>
      <w:marBottom w:val="0"/>
      <w:divBdr>
        <w:top w:val="none" w:sz="0" w:space="0" w:color="auto"/>
        <w:left w:val="none" w:sz="0" w:space="0" w:color="auto"/>
        <w:bottom w:val="none" w:sz="0" w:space="0" w:color="auto"/>
        <w:right w:val="none" w:sz="0" w:space="0" w:color="auto"/>
      </w:divBdr>
    </w:div>
    <w:div w:id="2050640045">
      <w:bodyDiv w:val="1"/>
      <w:marLeft w:val="0"/>
      <w:marRight w:val="0"/>
      <w:marTop w:val="0"/>
      <w:marBottom w:val="0"/>
      <w:divBdr>
        <w:top w:val="none" w:sz="0" w:space="0" w:color="auto"/>
        <w:left w:val="none" w:sz="0" w:space="0" w:color="auto"/>
        <w:bottom w:val="none" w:sz="0" w:space="0" w:color="auto"/>
        <w:right w:val="none" w:sz="0" w:space="0" w:color="auto"/>
      </w:divBdr>
    </w:div>
    <w:div w:id="21124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27074029B9414E8B5C68E14D3A4306" ma:contentTypeVersion="0" ma:contentTypeDescription="Create a new document." ma:contentTypeScope="" ma:versionID="83767e3d887c26a20f3d13e12783bdd3">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0F-4256-4E69-A74C-BA46B37030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79F64-3CC8-4059-8E75-1C1388177302}">
  <ds:schemaRefs>
    <ds:schemaRef ds:uri="http://schemas.microsoft.com/sharepoint/v3/contenttype/forms"/>
  </ds:schemaRefs>
</ds:datastoreItem>
</file>

<file path=customXml/itemProps3.xml><?xml version="1.0" encoding="utf-8"?>
<ds:datastoreItem xmlns:ds="http://schemas.openxmlformats.org/officeDocument/2006/customXml" ds:itemID="{7DC75B3A-0002-461A-A8C0-45D43505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F417C1-3B74-451A-98CF-C8051277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Manager>Loretta Bitner</Manager>
  <Company>FMCSA</Company>
  <LinksUpToDate>false</LinksUpToDate>
  <CharactersWithSpaces>25750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Practices of Household Goods Brokers, 2126-NEW</dc:subject>
  <dc:creator>FMCSA Commercial Enforcement Division (MC-ECC), Washington D.C.</dc:creator>
  <cp:keywords/>
  <dc:description/>
  <cp:lastModifiedBy>SYSTEM</cp:lastModifiedBy>
  <cp:revision>2</cp:revision>
  <cp:lastPrinted>2019-12-10T15:34:00Z</cp:lastPrinted>
  <dcterms:created xsi:type="dcterms:W3CDTF">2019-12-30T15:11:00Z</dcterms:created>
  <dcterms:modified xsi:type="dcterms:W3CDTF">2019-12-30T15:11:00Z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0x0101005327074029B9414E8B5C68E14D3A4306</vt:lpwstr>
  </property>
</Properties>
</file>