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30" w:type="dxa"/>
          <w:left w:w="60" w:type="dxa"/>
          <w:bottom w:w="90" w:type="dxa"/>
          <w:right w:w="60" w:type="dxa"/>
        </w:tblCellMar>
        <w:tblLook w:val="04A0" w:firstRow="1" w:lastRow="0" w:firstColumn="1" w:lastColumn="0" w:noHBand="0" w:noVBand="1"/>
      </w:tblPr>
      <w:tblGrid>
        <w:gridCol w:w="4996"/>
        <w:gridCol w:w="4499"/>
      </w:tblGrid>
      <w:tr w:rsidR="00DF585C">
        <w:trPr>
          <w:divId w:val="916935971"/>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sz w:val="72"/>
                <w:szCs w:val="72"/>
              </w:rPr>
            </w:pPr>
            <w:bookmarkStart w:id="0" w:name="_GoBack"/>
            <w:bookmarkEnd w:id="0"/>
            <w:r>
              <w:rPr>
                <w:rFonts w:ascii="Arial" w:eastAsia="Times New Roman" w:hAnsi="Arial" w:cs="Arial"/>
                <w:sz w:val="72"/>
                <w:szCs w:val="72"/>
              </w:rPr>
              <w:t>DOT</w:t>
            </w:r>
          </w:p>
        </w:tc>
        <w:tc>
          <w:tcPr>
            <w:tcW w:w="0" w:type="auto"/>
            <w:tcMar>
              <w:top w:w="30" w:type="dxa"/>
              <w:left w:w="15" w:type="dxa"/>
              <w:bottom w:w="30" w:type="dxa"/>
              <w:right w:w="60" w:type="dxa"/>
            </w:tcMar>
            <w:vAlign w:val="center"/>
            <w:hideMark/>
          </w:tcPr>
          <w:p w:rsidR="00DF585C" w:rsidRDefault="002C0514">
            <w:pPr>
              <w:jc w:val="right"/>
              <w:rPr>
                <w:rFonts w:ascii="Arial" w:eastAsia="Times New Roman" w:hAnsi="Arial" w:cs="Arial"/>
                <w:sz w:val="72"/>
                <w:szCs w:val="72"/>
              </w:rPr>
            </w:pPr>
            <w:r>
              <w:rPr>
                <w:rFonts w:ascii="Arial" w:eastAsia="Times New Roman" w:hAnsi="Arial" w:cs="Arial"/>
                <w:sz w:val="72"/>
                <w:szCs w:val="72"/>
              </w:rPr>
              <w:t>FTA</w:t>
            </w:r>
          </w:p>
        </w:tc>
      </w:tr>
    </w:tbl>
    <w:tbl>
      <w:tblPr>
        <w:tblW w:w="5000" w:type="pct"/>
        <w:tblCellSpacing w:w="15" w:type="dxa"/>
        <w:tblCellMar>
          <w:top w:w="30" w:type="dxa"/>
          <w:left w:w="60" w:type="dxa"/>
          <w:bottom w:w="90" w:type="dxa"/>
          <w:right w:w="60" w:type="dxa"/>
        </w:tblCellMar>
        <w:tblLook w:val="04A0" w:firstRow="1" w:lastRow="0" w:firstColumn="1" w:lastColumn="0" w:noHBand="0" w:noVBand="1"/>
      </w:tblPr>
      <w:tblGrid>
        <w:gridCol w:w="5020"/>
        <w:gridCol w:w="4475"/>
      </w:tblGrid>
      <w:tr w:rsidR="00DF585C">
        <w:trPr>
          <w:divId w:val="757288116"/>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b/>
                <w:bCs/>
                <w:sz w:val="20"/>
                <w:szCs w:val="20"/>
              </w:rPr>
            </w:pPr>
            <w:r>
              <w:rPr>
                <w:rFonts w:ascii="Arial" w:eastAsia="Times New Roman" w:hAnsi="Arial" w:cs="Arial"/>
                <w:b/>
                <w:bCs/>
                <w:sz w:val="20"/>
                <w:szCs w:val="20"/>
              </w:rPr>
              <w:t>U.S. Department of Transportation</w:t>
            </w:r>
          </w:p>
        </w:tc>
        <w:tc>
          <w:tcPr>
            <w:tcW w:w="0" w:type="auto"/>
            <w:tcMar>
              <w:top w:w="30" w:type="dxa"/>
              <w:left w:w="15" w:type="dxa"/>
              <w:bottom w:w="30" w:type="dxa"/>
              <w:right w:w="60" w:type="dxa"/>
            </w:tcMar>
            <w:vAlign w:val="center"/>
            <w:hideMark/>
          </w:tcPr>
          <w:p w:rsidR="00DF585C" w:rsidRDefault="002C0514">
            <w:pPr>
              <w:jc w:val="right"/>
              <w:rPr>
                <w:rFonts w:ascii="Arial" w:eastAsia="Times New Roman" w:hAnsi="Arial" w:cs="Arial"/>
                <w:b/>
                <w:bCs/>
                <w:sz w:val="20"/>
                <w:szCs w:val="20"/>
              </w:rPr>
            </w:pPr>
            <w:r>
              <w:rPr>
                <w:rFonts w:ascii="Arial" w:eastAsia="Times New Roman" w:hAnsi="Arial" w:cs="Arial"/>
                <w:b/>
                <w:bCs/>
                <w:sz w:val="20"/>
                <w:szCs w:val="20"/>
              </w:rPr>
              <w:t>Federal Transit Administration</w:t>
            </w:r>
          </w:p>
        </w:tc>
      </w:tr>
    </w:tbl>
    <w:p w:rsidR="00DF585C" w:rsidRDefault="002C0514">
      <w:pPr>
        <w:jc w:val="center"/>
        <w:divId w:val="30304335"/>
        <w:rPr>
          <w:rFonts w:ascii="Arial" w:eastAsia="Times New Roman" w:hAnsi="Arial" w:cs="Arial"/>
          <w:sz w:val="20"/>
          <w:szCs w:val="20"/>
        </w:rPr>
      </w:pPr>
      <w:r>
        <w:rPr>
          <w:rFonts w:ascii="Arial" w:eastAsia="Times New Roman" w:hAnsi="Arial" w:cs="Arial"/>
          <w:b/>
          <w:bCs/>
          <w:sz w:val="48"/>
          <w:szCs w:val="48"/>
        </w:rPr>
        <w:t>Quarter 1 (Oct - Dec), FY 2019 Milestone Progress Report</w:t>
      </w:r>
    </w:p>
    <w:p w:rsidR="00DF585C" w:rsidRDefault="00DF585C">
      <w:pPr>
        <w:spacing w:after="240"/>
        <w:divId w:val="30304335"/>
        <w:rPr>
          <w:rFonts w:ascii="Arial" w:eastAsia="Times New Roman" w:hAnsi="Arial" w:cs="Arial"/>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65"/>
        <w:gridCol w:w="4560"/>
      </w:tblGrid>
      <w:tr w:rsidR="00DF585C">
        <w:trPr>
          <w:divId w:val="307518582"/>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Federal Award Identification Number (FAIN)</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FL-90-X723-00</w:t>
            </w:r>
          </w:p>
        </w:tc>
      </w:tr>
      <w:tr w:rsidR="00DF585C">
        <w:trPr>
          <w:divId w:val="307518582"/>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Temporary Application Number</w:t>
            </w: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FL-90-X723-00</w:t>
            </w:r>
          </w:p>
        </w:tc>
      </w:tr>
      <w:tr w:rsidR="00DF585C">
        <w:trPr>
          <w:divId w:val="307518582"/>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Award Name</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FTA Section 5307 Formula Funds FY 2010</w:t>
            </w:r>
          </w:p>
        </w:tc>
      </w:tr>
      <w:tr w:rsidR="00DF585C">
        <w:trPr>
          <w:divId w:val="307518582"/>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Award Status</w:t>
            </w: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Active / Budget Revision Under Review</w:t>
            </w:r>
          </w:p>
        </w:tc>
      </w:tr>
      <w:tr w:rsidR="00DF585C">
        <w:trPr>
          <w:divId w:val="307518582"/>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Award Budget Number</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divId w:val="30304335"/>
        <w:rPr>
          <w:rFonts w:ascii="Arial" w:eastAsia="Times New Roman" w:hAnsi="Arial" w:cs="Arial"/>
          <w:sz w:val="20"/>
          <w:szCs w:val="20"/>
        </w:rPr>
      </w:pPr>
    </w:p>
    <w:p w:rsidR="00DF585C" w:rsidRDefault="002C0514">
      <w:pPr>
        <w:divId w:val="1314261579"/>
        <w:rPr>
          <w:rFonts w:ascii="Arial" w:eastAsia="Times New Roman" w:hAnsi="Arial" w:cs="Arial"/>
          <w:b/>
          <w:bCs/>
          <w:sz w:val="36"/>
          <w:szCs w:val="36"/>
        </w:rPr>
      </w:pPr>
      <w:r>
        <w:rPr>
          <w:rFonts w:ascii="Arial" w:eastAsia="Times New Roman" w:hAnsi="Arial" w:cs="Arial"/>
          <w:b/>
          <w:bCs/>
          <w:sz w:val="36"/>
          <w:szCs w:val="36"/>
        </w:rPr>
        <w:t>Part 1: Recipient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1480074966"/>
              <w:rPr>
                <w:rFonts w:ascii="Arial" w:eastAsia="Times New Roman" w:hAnsi="Arial" w:cs="Arial"/>
                <w:b/>
                <w:bCs/>
                <w:sz w:val="28"/>
                <w:szCs w:val="28"/>
              </w:rPr>
            </w:pPr>
            <w:r>
              <w:rPr>
                <w:rFonts w:ascii="Arial" w:eastAsia="Times New Roman" w:hAnsi="Arial" w:cs="Arial"/>
                <w:b/>
                <w:bCs/>
                <w:sz w:val="28"/>
                <w:szCs w:val="28"/>
              </w:rPr>
              <w:t>Name: Pinellas Suncoast Transit Authority, Inc.</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23"/>
              <w:gridCol w:w="2049"/>
              <w:gridCol w:w="4187"/>
              <w:gridCol w:w="177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Recipient ID</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Recipient OST Type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Recipient Alias</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Recipient DUNS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1080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Transit Authority</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PINELLAS SUNCOAST TRANSIT AUTHORITY</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069675825</w:t>
                  </w:r>
                </w:p>
              </w:tc>
            </w:tr>
          </w:tbl>
          <w:p w:rsidR="00DF585C" w:rsidRDefault="00DF585C">
            <w:pPr>
              <w:rPr>
                <w:rFonts w:ascii="Arial" w:eastAsia="Times New Roman" w:hAnsi="Arial" w:cs="Arial"/>
              </w:rPr>
            </w:pPr>
          </w:p>
        </w:tc>
      </w:tr>
    </w:tbl>
    <w:p w:rsidR="00DF585C" w:rsidRDefault="00DF585C">
      <w:pPr>
        <w:spacing w:after="240"/>
        <w:divId w:val="30304335"/>
        <w:rPr>
          <w:rFonts w:ascii="Arial" w:eastAsia="Times New Roman" w:hAnsi="Arial" w:cs="Arial"/>
          <w:sz w:val="20"/>
          <w:szCs w:val="20"/>
        </w:rPr>
      </w:pPr>
    </w:p>
    <w:p w:rsidR="00DF585C" w:rsidRDefault="002C0514">
      <w:pPr>
        <w:divId w:val="1267232752"/>
        <w:rPr>
          <w:rFonts w:ascii="Arial" w:eastAsia="Times New Roman" w:hAnsi="Arial" w:cs="Arial"/>
          <w:b/>
          <w:bCs/>
          <w:sz w:val="36"/>
          <w:szCs w:val="36"/>
        </w:rPr>
      </w:pPr>
      <w:r>
        <w:rPr>
          <w:rFonts w:ascii="Arial" w:eastAsia="Times New Roman" w:hAnsi="Arial" w:cs="Arial"/>
          <w:b/>
          <w:bCs/>
          <w:sz w:val="36"/>
          <w:szCs w:val="36"/>
        </w:rPr>
        <w:t>Part 2: Award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1810705355"/>
              <w:rPr>
                <w:rFonts w:ascii="Arial" w:eastAsia="Times New Roman" w:hAnsi="Arial" w:cs="Arial"/>
                <w:b/>
                <w:bCs/>
                <w:sz w:val="28"/>
                <w:szCs w:val="28"/>
              </w:rPr>
            </w:pPr>
            <w:r>
              <w:rPr>
                <w:rFonts w:ascii="Arial" w:eastAsia="Times New Roman" w:hAnsi="Arial" w:cs="Arial"/>
                <w:b/>
                <w:bCs/>
                <w:sz w:val="28"/>
                <w:szCs w:val="28"/>
              </w:rPr>
              <w:t>Title: FTA Section 5307 Formula Funds FY 2010</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2"/>
              <w:gridCol w:w="2667"/>
              <w:gridCol w:w="1155"/>
              <w:gridCol w:w="1381"/>
              <w:gridCol w:w="1697"/>
              <w:gridCol w:w="1283"/>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FAIN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Award Status</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Award Type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Date Created</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Last Updated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From TEAM?</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FL-90-X723-00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Active / Budget Revision Under Review</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Grant</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12/6/2010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12/3/2019</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Yes</w:t>
                  </w:r>
                </w:p>
              </w:tc>
            </w:tr>
          </w:tbl>
          <w:p w:rsidR="00DF585C" w:rsidRDefault="00DF585C">
            <w:pPr>
              <w:spacing w:after="240"/>
              <w:rPr>
                <w:rFonts w:ascii="Arial" w:eastAsia="Times New Roman" w:hAnsi="Arial" w:cs="Arial"/>
              </w:rPr>
            </w:pPr>
          </w:p>
        </w:tc>
      </w:tr>
    </w:tbl>
    <w:p w:rsidR="00DF585C" w:rsidRDefault="00DF585C">
      <w:pPr>
        <w:spacing w:after="240"/>
        <w:divId w:val="30304335"/>
        <w:rPr>
          <w:rFonts w:ascii="Arial" w:eastAsia="Times New Roman" w:hAnsi="Arial" w:cs="Arial"/>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55"/>
        <w:gridCol w:w="1782"/>
        <w:gridCol w:w="1518"/>
        <w:gridCol w:w="1470"/>
      </w:tblGrid>
      <w:tr w:rsidR="00DF585C">
        <w:trPr>
          <w:divId w:val="30304335"/>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lastRenderedPageBreak/>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$11,732,407</w:t>
            </w:r>
          </w:p>
        </w:tc>
      </w:tr>
      <w:tr w:rsidR="00DF585C">
        <w:trPr>
          <w:divId w:val="30304335"/>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Local</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State</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divId w:val="30304335"/>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Other Federal</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divId w:val="30304335"/>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$11,732,407</w:t>
            </w:r>
          </w:p>
        </w:tc>
      </w:tr>
      <w:tr w:rsidR="00DF585C">
        <w:trPr>
          <w:divId w:val="30304335"/>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divId w:val="30304335"/>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$11,732,407</w:t>
            </w:r>
          </w:p>
        </w:tc>
      </w:tr>
    </w:tbl>
    <w:p w:rsidR="00DF585C" w:rsidRDefault="00DF585C">
      <w:pPr>
        <w:spacing w:after="240"/>
        <w:divId w:val="30304335"/>
        <w:rPr>
          <w:rFonts w:ascii="Arial" w:eastAsia="Times New Roman" w:hAnsi="Arial" w:cs="Arial"/>
          <w:sz w:val="20"/>
          <w:szCs w:val="20"/>
        </w:rPr>
      </w:pPr>
    </w:p>
    <w:p w:rsidR="00DF585C" w:rsidRDefault="002C0514">
      <w:pPr>
        <w:divId w:val="2110662023"/>
        <w:rPr>
          <w:rFonts w:ascii="Arial" w:eastAsia="Times New Roman" w:hAnsi="Arial" w:cs="Arial"/>
          <w:b/>
          <w:bCs/>
          <w:sz w:val="36"/>
          <w:szCs w:val="36"/>
        </w:rPr>
      </w:pPr>
      <w:r>
        <w:rPr>
          <w:rFonts w:ascii="Arial" w:eastAsia="Times New Roman" w:hAnsi="Arial" w:cs="Arial"/>
          <w:b/>
          <w:bCs/>
          <w:sz w:val="36"/>
          <w:szCs w:val="36"/>
        </w:rPr>
        <w:t>Part 3: Milestone Progress Report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72"/>
        <w:gridCol w:w="1313"/>
        <w:gridCol w:w="1125"/>
        <w:gridCol w:w="1465"/>
        <w:gridCol w:w="1544"/>
        <w:gridCol w:w="1302"/>
        <w:gridCol w:w="1574"/>
      </w:tblGrid>
      <w:tr w:rsidR="00DF585C">
        <w:trPr>
          <w:divId w:val="30304335"/>
          <w:tblCellSpacing w:w="15" w:type="dxa"/>
        </w:trPr>
        <w:tc>
          <w:tcPr>
            <w:tcW w:w="0" w:type="auto"/>
            <w:gridSpan w:val="7"/>
            <w:tcMar>
              <w:top w:w="300" w:type="dxa"/>
              <w:left w:w="15" w:type="dxa"/>
              <w:bottom w:w="30" w:type="dxa"/>
              <w:right w:w="60" w:type="dxa"/>
            </w:tcMar>
            <w:vAlign w:val="center"/>
            <w:hideMark/>
          </w:tcPr>
          <w:p w:rsidR="00DF585C" w:rsidRDefault="002C0514">
            <w:pPr>
              <w:spacing w:after="150"/>
              <w:rPr>
                <w:rFonts w:ascii="Arial" w:eastAsia="Times New Roman" w:hAnsi="Arial" w:cs="Arial"/>
                <w:b/>
                <w:bCs/>
                <w:sz w:val="28"/>
                <w:szCs w:val="28"/>
              </w:rPr>
            </w:pPr>
            <w:r>
              <w:rPr>
                <w:rFonts w:ascii="Arial" w:eastAsia="Times New Roman" w:hAnsi="Arial" w:cs="Arial"/>
                <w:b/>
                <w:bCs/>
                <w:sz w:val="28"/>
                <w:szCs w:val="28"/>
              </w:rPr>
              <w:t>Milestone Progress Report Details</w:t>
            </w:r>
          </w:p>
        </w:tc>
      </w:tr>
      <w:tr w:rsidR="00DF585C">
        <w:trPr>
          <w:divId w:val="30304335"/>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Report Type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Report Period</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Final Report?</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Report Period Begin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Report Period End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Report Due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Submission Date</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Quarterly</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Quarter 1 (Oct - Dec), FY 2019</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10/1/2018</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12/31/2018</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1/30/2019</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1/22/2019</w:t>
            </w:r>
          </w:p>
        </w:tc>
      </w:tr>
    </w:tbl>
    <w:p w:rsidR="00DF585C" w:rsidRDefault="00DF585C">
      <w:pPr>
        <w:spacing w:after="240"/>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82"/>
        <w:gridCol w:w="2366"/>
        <w:gridCol w:w="2366"/>
        <w:gridCol w:w="2381"/>
      </w:tblGrid>
      <w:tr w:rsidR="00DF585C">
        <w:trPr>
          <w:divId w:val="30304335"/>
          <w:tblCellSpacing w:w="15" w:type="dxa"/>
        </w:trPr>
        <w:tc>
          <w:tcPr>
            <w:tcW w:w="0" w:type="auto"/>
            <w:gridSpan w:val="4"/>
            <w:tcMar>
              <w:top w:w="300" w:type="dxa"/>
              <w:left w:w="15" w:type="dxa"/>
              <w:bottom w:w="30" w:type="dxa"/>
              <w:right w:w="60" w:type="dxa"/>
            </w:tcMar>
            <w:vAlign w:val="center"/>
            <w:hideMark/>
          </w:tcPr>
          <w:p w:rsidR="00DF585C" w:rsidRDefault="002C0514">
            <w:pPr>
              <w:spacing w:after="150"/>
              <w:rPr>
                <w:rFonts w:ascii="Arial" w:eastAsia="Times New Roman" w:hAnsi="Arial" w:cs="Arial"/>
                <w:b/>
                <w:bCs/>
                <w:sz w:val="28"/>
                <w:szCs w:val="28"/>
              </w:rPr>
            </w:pPr>
            <w:r>
              <w:rPr>
                <w:rFonts w:ascii="Arial" w:eastAsia="Times New Roman" w:hAnsi="Arial" w:cs="Arial"/>
                <w:b/>
                <w:bCs/>
                <w:sz w:val="28"/>
                <w:szCs w:val="28"/>
              </w:rPr>
              <w:t>Status Log</w:t>
            </w:r>
          </w:p>
        </w:tc>
      </w:tr>
      <w:tr w:rsidR="00DF585C">
        <w:trPr>
          <w:divId w:val="30304335"/>
          <w:tblCellSpacing w:w="15" w:type="dxa"/>
        </w:trPr>
        <w:tc>
          <w:tcPr>
            <w:tcW w:w="1250" w:type="pct"/>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Previous Status</w:t>
            </w:r>
          </w:p>
        </w:tc>
        <w:tc>
          <w:tcPr>
            <w:tcW w:w="1250" w:type="pct"/>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New Status</w:t>
            </w:r>
          </w:p>
        </w:tc>
        <w:tc>
          <w:tcPr>
            <w:tcW w:w="1250" w:type="pct"/>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Updated Date</w:t>
            </w:r>
          </w:p>
        </w:tc>
        <w:tc>
          <w:tcPr>
            <w:tcW w:w="1250" w:type="pct"/>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Updated By</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Submitted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FTA Review Complete</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2/22/2019</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Work in Progress</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Submitted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1/22/2019</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Pam Reitz</w:t>
            </w:r>
          </w:p>
        </w:tc>
      </w:tr>
    </w:tbl>
    <w:p w:rsidR="00DF585C" w:rsidRDefault="00DF585C">
      <w:pPr>
        <w:spacing w:after="240"/>
        <w:divId w:val="30304335"/>
        <w:rPr>
          <w:rFonts w:ascii="Arial" w:eastAsia="Times New Roman" w:hAnsi="Arial" w:cs="Arial"/>
          <w:sz w:val="20"/>
          <w:szCs w:val="20"/>
        </w:rPr>
      </w:pPr>
    </w:p>
    <w:p w:rsidR="00DF585C" w:rsidRDefault="002C0514">
      <w:pPr>
        <w:divId w:val="538125534"/>
        <w:rPr>
          <w:rFonts w:ascii="Arial" w:eastAsia="Times New Roman" w:hAnsi="Arial" w:cs="Arial"/>
          <w:b/>
          <w:bCs/>
          <w:sz w:val="28"/>
          <w:szCs w:val="28"/>
        </w:rPr>
      </w:pPr>
      <w:r>
        <w:rPr>
          <w:rFonts w:ascii="Arial" w:eastAsia="Times New Roman" w:hAnsi="Arial" w:cs="Arial"/>
          <w:b/>
          <w:bCs/>
          <w:sz w:val="28"/>
          <w:szCs w:val="28"/>
        </w:rPr>
        <w:t xml:space="preserve">Milestone Progress Overview Remarks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0"/>
        <w:gridCol w:w="8065"/>
      </w:tblGrid>
      <w:tr w:rsidR="00DF585C">
        <w:trPr>
          <w:divId w:val="30304335"/>
          <w:tblCellSpacing w:w="15" w:type="dxa"/>
        </w:trPr>
        <w:tc>
          <w:tcPr>
            <w:tcW w:w="750" w:type="pct"/>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Remark By</w:t>
            </w:r>
          </w:p>
        </w:tc>
        <w:tc>
          <w:tcPr>
            <w:tcW w:w="4250" w:type="pct"/>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Pam Reitz</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Remark Type</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Award Overview</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 xml:space="preserve">Remark Date </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 xml:space="preserve">10/23/2019 </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 xml:space="preserve">Remark </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Grant is active and project is ongoing.</w:t>
            </w:r>
          </w:p>
        </w:tc>
      </w:tr>
    </w:tbl>
    <w:p w:rsidR="00DF585C" w:rsidRDefault="00DF585C">
      <w:pPr>
        <w:divId w:val="30304335"/>
        <w:rPr>
          <w:rFonts w:ascii="Arial" w:eastAsia="Times New Roman" w:hAnsi="Arial" w:cs="Arial"/>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0"/>
        <w:gridCol w:w="8065"/>
      </w:tblGrid>
      <w:tr w:rsidR="00DF585C">
        <w:trPr>
          <w:divId w:val="30304335"/>
          <w:tblCellSpacing w:w="15" w:type="dxa"/>
        </w:trPr>
        <w:tc>
          <w:tcPr>
            <w:tcW w:w="750" w:type="pct"/>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lastRenderedPageBreak/>
              <w:t>Remark By</w:t>
            </w:r>
          </w:p>
        </w:tc>
        <w:tc>
          <w:tcPr>
            <w:tcW w:w="4250" w:type="pct"/>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Pam Reitz</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Remark Type</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Award Overview</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 xml:space="preserve">Remark Date </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 xml:space="preserve">7/30/2019 </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 xml:space="preserve">Remark </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Grant is active and projects are ongoing to close grant</w:t>
            </w:r>
          </w:p>
        </w:tc>
      </w:tr>
    </w:tbl>
    <w:p w:rsidR="00DF585C" w:rsidRDefault="00DF585C">
      <w:pPr>
        <w:divId w:val="30304335"/>
        <w:rPr>
          <w:rFonts w:ascii="Arial" w:eastAsia="Times New Roman" w:hAnsi="Arial" w:cs="Arial"/>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0"/>
        <w:gridCol w:w="8065"/>
      </w:tblGrid>
      <w:tr w:rsidR="00DF585C">
        <w:trPr>
          <w:divId w:val="30304335"/>
          <w:tblCellSpacing w:w="15" w:type="dxa"/>
        </w:trPr>
        <w:tc>
          <w:tcPr>
            <w:tcW w:w="750" w:type="pct"/>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Remark By</w:t>
            </w:r>
          </w:p>
        </w:tc>
        <w:tc>
          <w:tcPr>
            <w:tcW w:w="4250" w:type="pct"/>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Pam Reitz</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Remark Type</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Award Overview</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 xml:space="preserve">Remark Date </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 xml:space="preserve">4/16/2019 </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 xml:space="preserve">Remark </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Grant is active and work is ongoing to complete the projects.</w:t>
            </w:r>
          </w:p>
        </w:tc>
      </w:tr>
    </w:tbl>
    <w:p w:rsidR="00DF585C" w:rsidRDefault="00DF585C">
      <w:pPr>
        <w:divId w:val="30304335"/>
        <w:rPr>
          <w:rFonts w:ascii="Arial" w:eastAsia="Times New Roman" w:hAnsi="Arial" w:cs="Arial"/>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0"/>
        <w:gridCol w:w="8065"/>
      </w:tblGrid>
      <w:tr w:rsidR="00DF585C">
        <w:trPr>
          <w:divId w:val="30304335"/>
          <w:tblCellSpacing w:w="15" w:type="dxa"/>
        </w:trPr>
        <w:tc>
          <w:tcPr>
            <w:tcW w:w="750" w:type="pct"/>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Remark By</w:t>
            </w:r>
          </w:p>
        </w:tc>
        <w:tc>
          <w:tcPr>
            <w:tcW w:w="4250" w:type="pct"/>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Pam Reitz</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Remark Type</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Award Overview</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 xml:space="preserve">Remark Date </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 xml:space="preserve">1/22/2019 </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 xml:space="preserve">Remark </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grant is active and projects are ongoing to be complete projects and close the grant.</w:t>
            </w:r>
          </w:p>
        </w:tc>
      </w:tr>
    </w:tbl>
    <w:p w:rsidR="00DF585C" w:rsidRDefault="00DF585C">
      <w:pPr>
        <w:divId w:val="30304335"/>
        <w:rPr>
          <w:rFonts w:ascii="Arial" w:eastAsia="Times New Roman" w:hAnsi="Arial" w:cs="Arial"/>
          <w:sz w:val="20"/>
          <w:szCs w:val="20"/>
        </w:rPr>
      </w:pP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0"/>
        <w:gridCol w:w="8065"/>
      </w:tblGrid>
      <w:tr w:rsidR="00DF585C">
        <w:trPr>
          <w:divId w:val="30304335"/>
          <w:tblCellSpacing w:w="15" w:type="dxa"/>
        </w:trPr>
        <w:tc>
          <w:tcPr>
            <w:tcW w:w="750" w:type="pct"/>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Remark By</w:t>
            </w:r>
          </w:p>
        </w:tc>
        <w:tc>
          <w:tcPr>
            <w:tcW w:w="4250" w:type="pct"/>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Pam Reitz</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Remark Type</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Award Overview</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 xml:space="preserve">Remark Date </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 xml:space="preserve">10/24/2018 </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 xml:space="preserve">Remark </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Grant is active and projects are being completed in order to closed the grant</w:t>
            </w:r>
          </w:p>
        </w:tc>
      </w:tr>
    </w:tbl>
    <w:p w:rsidR="00DF585C" w:rsidRDefault="00DF585C">
      <w:pPr>
        <w:spacing w:after="240"/>
        <w:divId w:val="30304335"/>
        <w:rPr>
          <w:rFonts w:ascii="Arial" w:eastAsia="Times New Roman" w:hAnsi="Arial" w:cs="Arial"/>
          <w:sz w:val="20"/>
          <w:szCs w:val="20"/>
        </w:rPr>
      </w:pPr>
    </w:p>
    <w:p w:rsidR="00DF585C" w:rsidRDefault="002C0514">
      <w:pPr>
        <w:divId w:val="1219587597"/>
        <w:rPr>
          <w:rFonts w:ascii="Arial" w:eastAsia="Times New Roman" w:hAnsi="Arial" w:cs="Arial"/>
          <w:b/>
          <w:bCs/>
          <w:sz w:val="28"/>
          <w:szCs w:val="28"/>
        </w:rPr>
      </w:pPr>
      <w:r>
        <w:rPr>
          <w:rFonts w:ascii="Arial" w:eastAsia="Times New Roman" w:hAnsi="Arial" w:cs="Arial"/>
          <w:b/>
          <w:bCs/>
          <w:sz w:val="28"/>
          <w:szCs w:val="28"/>
        </w:rPr>
        <w:t xml:space="preserve">Milestone Progress FTA Review Remarks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0"/>
        <w:gridCol w:w="8065"/>
      </w:tblGrid>
      <w:tr w:rsidR="00DF585C">
        <w:trPr>
          <w:divId w:val="30304335"/>
          <w:tblCellSpacing w:w="15" w:type="dxa"/>
        </w:trPr>
        <w:tc>
          <w:tcPr>
            <w:tcW w:w="750" w:type="pct"/>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Remark By</w:t>
            </w:r>
          </w:p>
        </w:tc>
        <w:tc>
          <w:tcPr>
            <w:tcW w:w="4250" w:type="pct"/>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Linda Segovia</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Remark Type</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FTA Remarks</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 xml:space="preserve">Remark Date </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 xml:space="preserve">2/22/2019 </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 xml:space="preserve">Remark </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FTA reviewed FFR and MPR on 02/22/2019.</w:t>
            </w:r>
          </w:p>
        </w:tc>
      </w:tr>
    </w:tbl>
    <w:p w:rsidR="00DF585C" w:rsidRDefault="002C0514">
      <w:pPr>
        <w:spacing w:after="240"/>
        <w:divId w:val="30304335"/>
        <w:rPr>
          <w:rFonts w:ascii="Arial" w:eastAsia="Times New Roman" w:hAnsi="Arial" w:cs="Arial"/>
          <w:sz w:val="20"/>
          <w:szCs w:val="20"/>
        </w:rPr>
      </w:pPr>
      <w:r>
        <w:rPr>
          <w:rFonts w:ascii="Arial" w:eastAsia="Times New Roman" w:hAnsi="Arial" w:cs="Arial"/>
          <w:sz w:val="20"/>
          <w:szCs w:val="20"/>
        </w:rPr>
        <w:br/>
      </w:r>
    </w:p>
    <w:p w:rsidR="00DF585C" w:rsidRDefault="002C0514">
      <w:pPr>
        <w:divId w:val="1292905569"/>
        <w:rPr>
          <w:rFonts w:ascii="Arial" w:eastAsia="Times New Roman" w:hAnsi="Arial" w:cs="Arial"/>
          <w:b/>
          <w:bCs/>
          <w:sz w:val="28"/>
          <w:szCs w:val="28"/>
        </w:rPr>
      </w:pPr>
      <w:r>
        <w:rPr>
          <w:rFonts w:ascii="Arial" w:eastAsia="Times New Roman" w:hAnsi="Arial" w:cs="Arial"/>
          <w:b/>
          <w:bCs/>
          <w:sz w:val="28"/>
          <w:szCs w:val="28"/>
        </w:rPr>
        <w:t xml:space="preserve">Milestone Details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195657588"/>
              <w:rPr>
                <w:rFonts w:ascii="Arial" w:eastAsia="Times New Roman" w:hAnsi="Arial" w:cs="Arial"/>
                <w:b/>
                <w:bCs/>
              </w:rPr>
            </w:pPr>
            <w:r>
              <w:rPr>
                <w:rFonts w:ascii="Arial" w:eastAsia="Times New Roman" w:hAnsi="Arial" w:cs="Arial"/>
                <w:b/>
                <w:bCs/>
              </w:rPr>
              <w:t>Budget Activity Line Item: 11.7A.00 - PREVENTIVE MAINTENANCE</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This ALI will be used by PSTA to cover the cost of our Preventive Maintenance Program which includes; 1. Maintain high quality transportation through a progressive 6,000 mile inspection and service program. 2. Perform weekly brake checks and adjustment and wheelchair lift/ramp inspections. 3. Prepare the fleet for daily revenue service through fueling, cleaning, repair work (as needed), and fluid checks. 4. Parts are ordered and inventoried for each fleet to ensure timely service repairs. 5. Buses are held out of service as needed, for repair operations. After repairs, buses are tested to ensure proper service before returning to revenue service. A Copy of a Force Account Plan was sent to FTA for feedback and is currently on file. Major Capital Parts purchased with this grant that have are valued at $5000.00+, will have a useful life of 5 years.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86"/>
              <w:gridCol w:w="2319"/>
              <w:gridCol w:w="2418"/>
              <w:gridCol w:w="2418"/>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11.7A.00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OTHER CAPITAL ITEMS (BUS) (117-00)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PREVENTIVE MAINTENANCE</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PREVENTIVE MAINTENANCE</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74"/>
              <w:gridCol w:w="1787"/>
              <w:gridCol w:w="1521"/>
              <w:gridCol w:w="133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$6,281,796</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$6,281,796</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$6,281,796</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13</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12/1/2010</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12/21/2010</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9/30/2012</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3/30/2012</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14"/>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1119841412"/>
              <w:rPr>
                <w:rFonts w:ascii="Arial" w:eastAsia="Times New Roman" w:hAnsi="Arial" w:cs="Arial"/>
                <w:b/>
                <w:bCs/>
              </w:rPr>
            </w:pPr>
            <w:r>
              <w:rPr>
                <w:rFonts w:ascii="Arial" w:eastAsia="Times New Roman" w:hAnsi="Arial" w:cs="Arial"/>
                <w:b/>
                <w:bCs/>
              </w:rPr>
              <w:t>Budget Activity Line Item: 11.73.00 - CONTINGENCIES/PROGRAM RESERVE</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FTA encourages that grantees include a line item for contingency. Five percent is the normal figure and has proven to be sufficient over the years. This year the contingency has been set at 1.32% and will be used if additional funds are need to cover unexpected cost in the ALI`s that are programmed.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
              <w:gridCol w:w="1106"/>
              <w:gridCol w:w="3412"/>
              <w:gridCol w:w="3412"/>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11.73.00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OTHER CAPITAL ITEMS (BUS) (117-00)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CONTINGENCIES/PROGRAM RESERVE</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CONTINGENCIES/PROGRAM RESERVE</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57"/>
              <w:gridCol w:w="1944"/>
              <w:gridCol w:w="1620"/>
              <w:gridCol w:w="1042"/>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063"/>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525"/>
                    <w:gridCol w:w="2049"/>
                    <w:gridCol w:w="1975"/>
                    <w:gridCol w:w="2095"/>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12/1/2010</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1/23/2011</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18</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9/30/2013</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12/30/2016</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1778602644"/>
              <w:rPr>
                <w:rFonts w:ascii="Arial" w:eastAsia="Times New Roman" w:hAnsi="Arial" w:cs="Arial"/>
                <w:b/>
                <w:bCs/>
              </w:rPr>
            </w:pPr>
            <w:r>
              <w:rPr>
                <w:rFonts w:ascii="Arial" w:eastAsia="Times New Roman" w:hAnsi="Arial" w:cs="Arial"/>
                <w:b/>
                <w:bCs/>
              </w:rPr>
              <w:t>Budget Activity Line Item: 11.93.05 - CONSTRUCT PED ACCESS / WALKWAYS</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PSTA`s American Recovery and Reinvestment Act (ARRA) Program included $1,000,000 for Americans with Disabilities Act (ADA) bus stop accessibility improvements. PSTA will continue the ADA bus stop improvement initiative, using funds from grant FL 90-X723 focusing first on the top ten route corridors, including select bus stops that are unimproved and require ADA compliant accessibility features. PSTA has identified approximately 600 bus stops that require improvements. The improvements include curbs, curb ramps, curb cuts, landing pads, handrails, drainage culverts, and bike racks. PSTA has a population of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0"/>
              <w:gridCol w:w="2689"/>
              <w:gridCol w:w="2266"/>
              <w:gridCol w:w="2266"/>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11.93.05</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TRANSIT ENHANCEMENTS (BUS) (119-00)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CONSTRUCT PED ACCESS / WALKWAYS</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CONSTRUCT PED ACCESS / WALKWAYS</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25</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20"/>
              <w:gridCol w:w="1820"/>
              <w:gridCol w:w="1542"/>
              <w:gridCol w:w="113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$553,946</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$553,946</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$553,946</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RFP/IFB issued</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RFP/IFB issued</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7/1/2009</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7/1/2009</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Awarded</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Awarded</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1718"/>
                    <w:gridCol w:w="1591"/>
                    <w:gridCol w:w="1571"/>
                    <w:gridCol w:w="3045"/>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9/1/2009</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9/1/2009</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12/31/2018 -- No expenditures this quarter. PO is active and work is being complete as needed in order to complete/close the project.</w:t>
                        </w: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Complete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Complete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1961"/>
                    <w:gridCol w:w="1729"/>
                    <w:gridCol w:w="1693"/>
                    <w:gridCol w:w="2542"/>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18</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9/30/2012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9/30/2019</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 xml:space="preserve">milestone date extended in order to cover ALI expenses to close the grant. </w:t>
                        </w: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1051464011"/>
              <w:rPr>
                <w:rFonts w:ascii="Arial" w:eastAsia="Times New Roman" w:hAnsi="Arial" w:cs="Arial"/>
                <w:b/>
                <w:bCs/>
              </w:rPr>
            </w:pPr>
            <w:r>
              <w:rPr>
                <w:rFonts w:ascii="Arial" w:eastAsia="Times New Roman" w:hAnsi="Arial" w:cs="Arial"/>
                <w:b/>
                <w:bCs/>
              </w:rPr>
              <w:t>Budget Activity Line Item: 11.79.00 - PROJECT ADMINISTRATION</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Normally PSTA includes 3% for Project Administration. However, this year PSTA has programmed 1% and we feel that this will be sufficient to cover expenses for this ALI. The project admin ALI will be used for Project Admin of the capital projects listed in grant FL 90-X723.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2"/>
              <w:gridCol w:w="2145"/>
              <w:gridCol w:w="2522"/>
              <w:gridCol w:w="2522"/>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11.79.00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OTHER CAPITAL ITEMS (BUS) (117-00)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PROJECT ADMINISTRATION</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PROJECT ADMINISTRATION</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89"/>
              <w:gridCol w:w="1836"/>
              <w:gridCol w:w="1552"/>
              <w:gridCol w:w="1042"/>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$78,979</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$78,979</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$78,979</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1798"/>
                    <w:gridCol w:w="1637"/>
                    <w:gridCol w:w="1612"/>
                    <w:gridCol w:w="2953"/>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13</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12/1/2010</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12/23/2010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12/31/2018 -- Expenses this quarter for internal PSTA time spent in administration time charged to the grant</w:t>
                        </w: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1926"/>
                    <w:gridCol w:w="1709"/>
                    <w:gridCol w:w="1675"/>
                    <w:gridCol w:w="2615"/>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9/30/2013</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9/30/2019</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milestone date extended in order to cover additional expenses until grant is closed.</w:t>
                        </w: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45107369"/>
              <w:rPr>
                <w:rFonts w:ascii="Arial" w:eastAsia="Times New Roman" w:hAnsi="Arial" w:cs="Arial"/>
                <w:b/>
                <w:bCs/>
              </w:rPr>
            </w:pPr>
            <w:r>
              <w:rPr>
                <w:rFonts w:ascii="Arial" w:eastAsia="Times New Roman" w:hAnsi="Arial" w:cs="Arial"/>
                <w:b/>
                <w:bCs/>
              </w:rPr>
              <w:t>Budget Activity Line Item: 11.44.05 - REHAB/RENOVATE - YARDS AND SHOPS</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PSTA is requesting to use $1,500,000 of FTA funds to cover the cost for approximately 3 inches of additional concrete and technical support to repair an existing bus yard/parking lot that was previously constructed. This additional 3 inches of concrete is needed due to cracking in the original bus yard/parking lot which was funded by a previous FTA grant (see below). This ALI will fund the additional 3 inches of concrete needed for the repair of the existing bus yard/parking lot and the remaining concrete costs will be funded by PSTA. Original construction of the new facility and bus yard (completed in 2005) was funded by FTA under Grant #FL 90-X483. Information included in the grant stated that FTA issued a Finding of No Significant Impact (FONSI) for the final design and construction of the facility on June 30, 2003, following completion of an Environmental Assessment in June 2003 by PSTA. This enviromental finding was received from FTA on June 30, 2003. Based on industry standards the reconstructed bus yard/parking lot will have a useful life of up to 20 years. Original Construction Costs for PSTA Scherer Drive Facility Original estimated cost of construction: $37,204,800.00 PSTA Share: $20,235,602.00 54.4% FTA Share: $16,371,408.00 44.0% FDOT Share: $597,790.00 1.6% Total: $37,204,800.00 PSTA Concrete for Bus Yard/Parking Lot Original estimated cost of 6` of concrete: $3,629,282.00 PSTA Share: $1,973,957.83 54.4% FTA Share: $1,597,010.50 44.0% FDOT Share: $58,313.67 1.6% Total: $3,629,282.00 Reconstruction Costs for Original Bus Yard/Parking Lot Estimated cost of 6` of concrete: $4,700,000 Additional Concrete for Bus Yard/Parking Lot * Additional 3` of concrete: $1,500,000 Total Cost: $6,200,000 * Note: Proposed funding in grant FL 90-X723, includes 3` additional concrete layer, aggregate base layer for drainage, and joint sealant.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98"/>
              <w:gridCol w:w="1941"/>
              <w:gridCol w:w="2651"/>
              <w:gridCol w:w="2651"/>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11.44.05</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BUS: SUPPORT EQUIP AND FACILITIES (114-00)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REHAB/RENOVATE - YARDS AND SHOPS</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REHAB/RENOVATE - YARDS AND SHOPS</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74"/>
              <w:gridCol w:w="1787"/>
              <w:gridCol w:w="1521"/>
              <w:gridCol w:w="133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$1,500,000</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$1,500,000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$1,500,000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RFP/IFB Issued</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RFP/IFB Issued</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13</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12/1/2010</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2/5/2011</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Award</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Award</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2/1/2012</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3/28/2012</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Complete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Complete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15</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9/30/2013</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12/31/2014</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17121219"/>
              <w:rPr>
                <w:rFonts w:ascii="Arial" w:eastAsia="Times New Roman" w:hAnsi="Arial" w:cs="Arial"/>
                <w:b/>
                <w:bCs/>
              </w:rPr>
            </w:pPr>
            <w:r>
              <w:rPr>
                <w:rFonts w:ascii="Arial" w:eastAsia="Times New Roman" w:hAnsi="Arial" w:cs="Arial"/>
                <w:b/>
                <w:bCs/>
              </w:rPr>
              <w:t>Budget Activity Line Item: 11.72.03 - FORCE ACCOUNT - PROJECT MGMT</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This line item will be used to cover cost directly related to the project management of purchase and installation of the system. With the use of ARRA funds PSTA is purchasing and installing communication equipment which will include Automatic Vehicle Location (AVL) system, automatic stop annunciators for all buses, real time passenger information, and all amenities needed to support and run the new system. The passenger amenities will include predicted arrival times at terminals and transfer centers using information message boards. Passengers could also access predicted arrival times remotely using PDA`s, cell phones, and other devices. The system will cost approximately 1.5 million and will be used towards the 1% security requirement by FTA. The new AVL systems with annunciators that will be installed in each bus are valued in excess of more then $5,000.00 and have a useful life of 5 years. The main AVL unit that will be located in the transportation department at PSTA will also be valued in excess of $5000.00 and will have a useful life of 5 years. The Real Time Passenger information equipment the will be placed at each of PSTAÆs passenger terminals and will have an approximate value between $3500.00 to $6000.00 each (without the cost of supporting equipment). All equipment valued at $5000.00 or more will have a useful life of 5 years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71"/>
              <w:gridCol w:w="2354"/>
              <w:gridCol w:w="2408"/>
              <w:gridCol w:w="2408"/>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11.72.03</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OTHER CAPITAL ITEMS (BUS) (117-00)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FORCE ACCOUNT - PROJECT MGMT</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FORCE ACCOUNT - PROJECT MGMT</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89"/>
              <w:gridCol w:w="1836"/>
              <w:gridCol w:w="1552"/>
              <w:gridCol w:w="1042"/>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$57,980</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$57,980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$57,980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14</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12/1/2010</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5/13/2011</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14</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9/30/2013</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9/30/2013</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300307489"/>
              <w:rPr>
                <w:rFonts w:ascii="Arial" w:eastAsia="Times New Roman" w:hAnsi="Arial" w:cs="Arial"/>
                <w:b/>
                <w:bCs/>
              </w:rPr>
            </w:pPr>
            <w:r>
              <w:rPr>
                <w:rFonts w:ascii="Arial" w:eastAsia="Times New Roman" w:hAnsi="Arial" w:cs="Arial"/>
                <w:b/>
                <w:bCs/>
              </w:rPr>
              <w:t>Budget Activity Line Item: 11.41.09 - ENG/DESIGN - BUS SURVEILL/SECURITY EQUIP</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This ALI will fund the design cost for additional security at PSTA`s Administration/ Maintenance/Operations facility. The design will include additional items such as cameras, fencing, and lighting. PSTA has a population of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79"/>
              <w:gridCol w:w="1704"/>
              <w:gridCol w:w="2779"/>
              <w:gridCol w:w="2779"/>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11.41.09</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BUS: SUPPORT EQUIP AND FACILITIES (114-00)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ENG/DESIGN - BUS SURVEILL/SECURITY EQUIP</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ENG/DESIGN - BUS SURVEILL/SECURITY EQUIP</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89"/>
              <w:gridCol w:w="1836"/>
              <w:gridCol w:w="1552"/>
              <w:gridCol w:w="1042"/>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$62,890</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$62,890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$62,890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15</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12/1/2010</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1/25/2011</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14</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9/30/2012</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9/30/2013</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234322753"/>
              <w:rPr>
                <w:rFonts w:ascii="Arial" w:eastAsia="Times New Roman" w:hAnsi="Arial" w:cs="Arial"/>
                <w:b/>
                <w:bCs/>
              </w:rPr>
            </w:pPr>
            <w:r>
              <w:rPr>
                <w:rFonts w:ascii="Arial" w:eastAsia="Times New Roman" w:hAnsi="Arial" w:cs="Arial"/>
                <w:b/>
                <w:bCs/>
              </w:rPr>
              <w:t>Budget Activity Line Item: 11.42.09 - ACQUIRE - MOBILE SURV/SECURITY EQUIP</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This ALI will be used to purchase security equipment such as cameras, lights monitors, and other related equipment for the security system in the PSTA revenue room, PSTA terminals, and other PSTA terminals as needed. PSTA has a population of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09"/>
              <w:gridCol w:w="2092"/>
              <w:gridCol w:w="2570"/>
              <w:gridCol w:w="2570"/>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11.42.09</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BUS: SUPPORT EQUIP AND FACILITIES (114-00)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MOBILE SURV/SECURITY EQUIP</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MOBILE SURV/SECURITY EQUIP</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89"/>
              <w:gridCol w:w="1836"/>
              <w:gridCol w:w="1552"/>
              <w:gridCol w:w="1042"/>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$43,183</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$43,183</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$43,183</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12/1/2010</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8/8/2013</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18</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9/30/2012</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3/30/2015</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1534615974"/>
              <w:rPr>
                <w:rFonts w:ascii="Arial" w:eastAsia="Times New Roman" w:hAnsi="Arial" w:cs="Arial"/>
                <w:b/>
                <w:bCs/>
              </w:rPr>
            </w:pPr>
            <w:r>
              <w:rPr>
                <w:rFonts w:ascii="Arial" w:eastAsia="Times New Roman" w:hAnsi="Arial" w:cs="Arial"/>
                <w:b/>
                <w:bCs/>
              </w:rPr>
              <w:t>Budget Activity Line Item: 44.26.16 - INCORPORATING SAFETY &amp; SECURITY IN TRANSPORTATION PLANNING</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This ALI will fund consulting cost for security planning and other consultant security related activities. PSTA has a population of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8"/>
              <w:gridCol w:w="2097"/>
              <w:gridCol w:w="2588"/>
              <w:gridCol w:w="2588"/>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44.26.16</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METROPOLITAN PLANNING (442-00)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INCORPORATING SAFETY &amp; SECURITY IN TRANSPORTATION PLANNING</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INCORPORATING SAFETY &amp; SECURITY IN TRANSPORTATION PLANNING</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89"/>
              <w:gridCol w:w="1836"/>
              <w:gridCol w:w="1552"/>
              <w:gridCol w:w="1042"/>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$40,000</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$40,000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$40,000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18</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10/1/2011</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7/12/2013</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14</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9/30/2012</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10/2/2013</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1771504584"/>
              <w:rPr>
                <w:rFonts w:ascii="Arial" w:eastAsia="Times New Roman" w:hAnsi="Arial" w:cs="Arial"/>
                <w:b/>
                <w:bCs/>
              </w:rPr>
            </w:pPr>
            <w:r>
              <w:rPr>
                <w:rFonts w:ascii="Arial" w:eastAsia="Times New Roman" w:hAnsi="Arial" w:cs="Arial"/>
                <w:b/>
                <w:bCs/>
              </w:rPr>
              <w:t>Budget Activity Line Item: 11.41.09 - ENG/DESIGN - BUS SURVEILL/SECURITY EQUIP</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This ALI will fund the design cost for additional security at PSTA`s Administration/ Maintenance/Operations facility. The design will include additional items such as cameras, fencing, and lighting. PSTA has a population of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3"/>
              <w:gridCol w:w="2030"/>
              <w:gridCol w:w="2624"/>
              <w:gridCol w:w="2624"/>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11.41.09</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SECURITY EXPENDITURES (991-00)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ENG/DESIGN - BUS SURVEILL/SECURITY EQUIP</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ENG/DESIGN - BUS SURVEILL/SECURITY EQUIP</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89"/>
              <w:gridCol w:w="1836"/>
              <w:gridCol w:w="1552"/>
              <w:gridCol w:w="1042"/>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$62,890</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$62,890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$62,890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13</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12/1/2010</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1/25/2011</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14</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9/30/2012</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9/30/2013</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287977703"/>
              <w:rPr>
                <w:rFonts w:ascii="Arial" w:eastAsia="Times New Roman" w:hAnsi="Arial" w:cs="Arial"/>
                <w:b/>
                <w:bCs/>
              </w:rPr>
            </w:pPr>
            <w:r>
              <w:rPr>
                <w:rFonts w:ascii="Arial" w:eastAsia="Times New Roman" w:hAnsi="Arial" w:cs="Arial"/>
                <w:b/>
                <w:bCs/>
              </w:rPr>
              <w:t>Budget Activity Line Item: 11.42.09 - ACQUIRE - MOBILE SURV/SECURITY EQUIP</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This ALI will be used to purchase additional security equipment such as lighting, radios, and DVRs. PSTA has a population of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99"/>
              <w:gridCol w:w="2284"/>
              <w:gridCol w:w="2479"/>
              <w:gridCol w:w="2479"/>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11.42.09</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SECURITY EXPENDITURES (991-00)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MOBILE SURV/SECURITY EQUIP</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MOBILE SURV/SECURITY EQUIP</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89"/>
              <w:gridCol w:w="1836"/>
              <w:gridCol w:w="1552"/>
              <w:gridCol w:w="1042"/>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$43,183</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$43,183</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$43,183</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21</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12/1/2010</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8/8/2013</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18</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9/30/2012</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3/30/2015</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1355381913"/>
              <w:rPr>
                <w:rFonts w:ascii="Arial" w:eastAsia="Times New Roman" w:hAnsi="Arial" w:cs="Arial"/>
                <w:b/>
                <w:bCs/>
              </w:rPr>
            </w:pPr>
            <w:r>
              <w:rPr>
                <w:rFonts w:ascii="Arial" w:eastAsia="Times New Roman" w:hAnsi="Arial" w:cs="Arial"/>
                <w:b/>
                <w:bCs/>
              </w:rPr>
              <w:t>Budget Activity Line Item: 44.26.16 - INCORPORATING SAFETY &amp; SECURITY IN TRANSPORTATION PLANNING</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This ALI will fund consulting cost for security planning and other consultant security related activities. PSTA has a population of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68"/>
              <w:gridCol w:w="2075"/>
              <w:gridCol w:w="2599"/>
              <w:gridCol w:w="2599"/>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44.26.16</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SECURITY EXPENDITURES (991-00)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INCORPORATING SAFETY &amp; SECURITY IN TRANSPORTATION PLANNING</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INCORPORATING SAFETY &amp; SECURITY IN TRANSPORTATION PLANNING</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89"/>
              <w:gridCol w:w="1836"/>
              <w:gridCol w:w="1552"/>
              <w:gridCol w:w="1042"/>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$40,000</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$40,000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$40,000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7/12/2013</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10/2/2013</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1393431918"/>
              <w:rPr>
                <w:rFonts w:ascii="Arial" w:eastAsia="Times New Roman" w:hAnsi="Arial" w:cs="Arial"/>
                <w:b/>
                <w:bCs/>
              </w:rPr>
            </w:pPr>
            <w:r>
              <w:rPr>
                <w:rFonts w:ascii="Arial" w:eastAsia="Times New Roman" w:hAnsi="Arial" w:cs="Arial"/>
                <w:b/>
                <w:bCs/>
              </w:rPr>
              <w:t>Budget Activity Line Item: 11.42.08 - ACQUIRE - ADP SOFTWARE</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The project will consist of but not limited to upgrading PSTA`s current DVR software that captures all the video images from the fleet and purchase additional software, software licenses, fueling system software upgrades, phone system upgrades, and network configurations for Real Time Passenger Information system. The project includes the software that will work with the new Smartcard printer/encoder, and all other software as needed.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69"/>
              <w:gridCol w:w="2900"/>
              <w:gridCol w:w="2136"/>
              <w:gridCol w:w="2136"/>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11.42.08</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BUS: SUPPORT EQUIP AND FACILITIES (114-00)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ADP SOFTWARE</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ADP SOFTWARE</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89"/>
              <w:gridCol w:w="1836"/>
              <w:gridCol w:w="1552"/>
              <w:gridCol w:w="1042"/>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$55,384</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$55,384</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$55,384</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14</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7/11/2011</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19</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6/30/2016</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2085758745"/>
              <w:rPr>
                <w:rFonts w:ascii="Arial" w:eastAsia="Times New Roman" w:hAnsi="Arial" w:cs="Arial"/>
                <w:b/>
                <w:bCs/>
              </w:rPr>
            </w:pPr>
            <w:r>
              <w:rPr>
                <w:rFonts w:ascii="Arial" w:eastAsia="Times New Roman" w:hAnsi="Arial" w:cs="Arial"/>
                <w:b/>
                <w:bCs/>
              </w:rPr>
              <w:t>Budget Activity Line Item: 11.16.40 - LEASE ASSOC CAP MAINT ITEMS</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PSTA leases its bus tire rather than purchasing them. The lease price includes all shipping and handling, storage, and inventory at PSTA, as well as dismounting and mounting of tires. PSTA mechanics simply remove a mounted tire assembly from inventory when a new tire is needed. This is a three-year contract with two 1-year options (total 5 years) with Goodyear Tire.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05"/>
              <w:gridCol w:w="2369"/>
              <w:gridCol w:w="2391"/>
              <w:gridCol w:w="2376"/>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11.16.40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BUS - ROLLING STOCK (111-00)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LEASE ASSOC CAP MAINT ITEMS</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LEASE ASSOC CAP MAINT ITEMS</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20"/>
              <w:gridCol w:w="1820"/>
              <w:gridCol w:w="1542"/>
              <w:gridCol w:w="113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$345,084</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$345,084</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$345,084</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RFP/IFB Issued</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RFP/IFB Issued</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10/30/2009</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10/30/2009</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Award</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Award</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1/30/2010</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1/30/2010</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Complete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Complete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13</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9/30/2012</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12/30/2012</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1707756467"/>
              <w:rPr>
                <w:rFonts w:ascii="Arial" w:eastAsia="Times New Roman" w:hAnsi="Arial" w:cs="Arial"/>
                <w:b/>
                <w:bCs/>
              </w:rPr>
            </w:pPr>
            <w:r>
              <w:rPr>
                <w:rFonts w:ascii="Arial" w:eastAsia="Times New Roman" w:hAnsi="Arial" w:cs="Arial"/>
                <w:b/>
                <w:bCs/>
              </w:rPr>
              <w:t>Budget Activity Line Item: 11.42.20 - ACQUIRE - MISC SUPPORT EQUIPMENT</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This ALI will be used to purchase misc. support equipment that will include but not limited to: support equipment to be used in the Revenue Room after the renovation is complete and misc. Maintenance support equipment, such as lift station pumps, analog meters, cables, floor jacks, jack stands, hydraulic anchor pull arms, battery packs, fuel nozzles, ABS systems, utility carts/tables, 3-position bike racks, fitness equipment, farebox replacement project equipment, and new camera ID system for all PSTA passenger terminals. The current system is in excess of 10 years old and is not working properly. This ALI will also be used to purchase other misc. equipment as needed by PSTA. Transfer $361,255 from contingency to cover the purchase of additional equipment such as; replacement golf carts and gators, static brake test equipment, IT server room A/C and A/C control system, and revenue room equipment.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8"/>
              <w:gridCol w:w="2479"/>
              <w:gridCol w:w="2362"/>
              <w:gridCol w:w="2362"/>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11.42.20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BUS: SUPPORT EQUIP AND FACILITIES (114-00)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MISC SUPPORT EQUIPMENT</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MISC SUPPORT EQUIPMENT</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20"/>
              <w:gridCol w:w="1820"/>
              <w:gridCol w:w="1542"/>
              <w:gridCol w:w="113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$280,718</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$280,718</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$280,718</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9/19/2012</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17</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3/30/2017</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658462996"/>
              <w:rPr>
                <w:rFonts w:ascii="Arial" w:eastAsia="Times New Roman" w:hAnsi="Arial" w:cs="Arial"/>
                <w:b/>
                <w:bCs/>
              </w:rPr>
            </w:pPr>
            <w:r>
              <w:rPr>
                <w:rFonts w:ascii="Arial" w:eastAsia="Times New Roman" w:hAnsi="Arial" w:cs="Arial"/>
                <w:b/>
                <w:bCs/>
              </w:rPr>
              <w:t>Budget Activity Line Item: 11.42.07 - ACQUIRE - ADP HARDWARE</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This ALI will include the purchase of misc. computer hardware. Transfer $730,000 from Contingency to cover additional Hardware projects such as; Purchase replacement fuel management system hardware, Purchase servers, upgrade AV equipment in the PSTA Boardroom and auditorium, laminator, storage units, fiber upgrades, campus WiFi, tablets for connector vehicles. Transfer $45,027 from Software to Hardware to cover the purchase computer hardware storage equipment for the PSTA system. Transfer $7,500 from HW to SW to purchase custom SW that will work with the Connector Route Tablets and Route match software.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67"/>
              <w:gridCol w:w="2858"/>
              <w:gridCol w:w="2158"/>
              <w:gridCol w:w="2158"/>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11.42.07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BUS: SUPPORT EQUIP AND FACILITIES (114-00)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ADP HARDWARE</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ADP HARDWARE</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20"/>
              <w:gridCol w:w="1820"/>
              <w:gridCol w:w="1542"/>
              <w:gridCol w:w="113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$344,884</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$344,884</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$344,884</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13</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12/13/2012</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12/30/2017</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9/30/2018</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207425113"/>
              <w:rPr>
                <w:rFonts w:ascii="Arial" w:eastAsia="Times New Roman" w:hAnsi="Arial" w:cs="Arial"/>
                <w:b/>
                <w:bCs/>
              </w:rPr>
            </w:pPr>
            <w:r>
              <w:rPr>
                <w:rFonts w:ascii="Arial" w:eastAsia="Times New Roman" w:hAnsi="Arial" w:cs="Arial"/>
                <w:b/>
                <w:bCs/>
              </w:rPr>
              <w:t>Budget Activity Line Item: 11.42.20 - ACQUIRE - MISC SUPPORT EQUIPMENT</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This ALI will cover expenses for upgrades to the server room A/C system. Transfer $154,163 from contingency to cover the purchase and installation of the IT room A/C system.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8"/>
              <w:gridCol w:w="2479"/>
              <w:gridCol w:w="2362"/>
              <w:gridCol w:w="2362"/>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11.42.20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BUS: SUPPORT EQUIP AND FACILITIES (114-00)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MISC SUPPORT EQUIPMENT</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MISC SUPPORT EQUIPMENT</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89"/>
              <w:gridCol w:w="1836"/>
              <w:gridCol w:w="1552"/>
              <w:gridCol w:w="1042"/>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$98,458</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$98,458</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$98,458</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RFP/IFB Issued</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RFP/IFB Issued</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15</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1/9/2014</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Award</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Award</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16</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3/5/2014</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Complete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Complete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15</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3/30/2015</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299189814"/>
              <w:rPr>
                <w:rFonts w:ascii="Arial" w:eastAsia="Times New Roman" w:hAnsi="Arial" w:cs="Arial"/>
                <w:b/>
                <w:bCs/>
              </w:rPr>
            </w:pPr>
            <w:r>
              <w:rPr>
                <w:rFonts w:ascii="Arial" w:eastAsia="Times New Roman" w:hAnsi="Arial" w:cs="Arial"/>
                <w:b/>
                <w:bCs/>
              </w:rPr>
              <w:t>Budget Activity Line Item: 11.42.03 - ACQUIRE - ADMIN/MAINT FACILITY</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This ALI will cover expenses for Security fencing around the PSTA Admin Facility and automatic Security vehicle entrance gates.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0"/>
              <w:gridCol w:w="2515"/>
              <w:gridCol w:w="2343"/>
              <w:gridCol w:w="2343"/>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11.42.03</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BUS: SUPPORT EQUIP AND FACILITIES (114-00)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ADMIN/MAINT FACILITY</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ADMIN/MAINT FACILITY</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89"/>
              <w:gridCol w:w="1836"/>
              <w:gridCol w:w="1552"/>
              <w:gridCol w:w="1042"/>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RFP/IFB Issued</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RFP/IFB Issued</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16</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12/30/2016</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Award</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Award</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17</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12/30/2016</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Complete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Complete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15</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12/30/2016</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1685398851"/>
              <w:rPr>
                <w:rFonts w:ascii="Arial" w:eastAsia="Times New Roman" w:hAnsi="Arial" w:cs="Arial"/>
                <w:b/>
                <w:bCs/>
              </w:rPr>
            </w:pPr>
            <w:r>
              <w:rPr>
                <w:rFonts w:ascii="Arial" w:eastAsia="Times New Roman" w:hAnsi="Arial" w:cs="Arial"/>
                <w:b/>
                <w:bCs/>
              </w:rPr>
              <w:t>Budget Activity Line Item: 11.42.20 - ACQUIRE - MISC SUPPORT EQUIPMENT</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This Ali will be used to purchase misc. support equipment which will include equipment to upgrade PSTA`s diesel fuel storage tanks and dispensers. The computer hardware that will be purchased for the vehicle fuel station is a state-of-the-art management tool that will achieve annual cost reductions in commodities, vehicle components, and service expenses, accurate mileage data, improved total fluid accountability, and automated reconciliation. All Hardware that is valued at $5000.00 or greater will have a useful life of 5 years. This project transfer from another PSTA grant.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38"/>
              <w:gridCol w:w="2479"/>
              <w:gridCol w:w="2362"/>
              <w:gridCol w:w="2362"/>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11.42.20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BUS: SUPPORT EQUIP AND FACILITIES (114-00)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MISC SUPPORT EQUIPMENT</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MISC SUPPORT EQUIPMENT</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20"/>
              <w:gridCol w:w="1820"/>
              <w:gridCol w:w="1542"/>
              <w:gridCol w:w="113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$131,790</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$131,790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$131,790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RFP/IFB Issued</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RFP/IFB Issued</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15</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Award</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Award</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1761"/>
                    <w:gridCol w:w="1616"/>
                    <w:gridCol w:w="1593"/>
                    <w:gridCol w:w="2955"/>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15</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6/30/2017</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10/17/2017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12/31/2018 -- No expenditures in ALI this quarter. PO was issued for work to be completed but no invoice received at this time.</w:t>
                        </w: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Complete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Complete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090"/>
                    <w:gridCol w:w="1803"/>
                    <w:gridCol w:w="1758"/>
                    <w:gridCol w:w="227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15</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12/30/2017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5/30/2019</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Milestone date updated in order to complete project</w:t>
                        </w: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72312843"/>
              <w:rPr>
                <w:rFonts w:ascii="Arial" w:eastAsia="Times New Roman" w:hAnsi="Arial" w:cs="Arial"/>
                <w:b/>
                <w:bCs/>
              </w:rPr>
            </w:pPr>
            <w:r>
              <w:rPr>
                <w:rFonts w:ascii="Arial" w:eastAsia="Times New Roman" w:hAnsi="Arial" w:cs="Arial"/>
                <w:b/>
                <w:bCs/>
              </w:rPr>
              <w:t>Budget Activity Line Item: 11.42.07 - ACQUIRE - ADP HARDWARE</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This ALI will include the purchase of misc. computer server hardware. Project was made into its on ALI to track easier.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67"/>
              <w:gridCol w:w="2858"/>
              <w:gridCol w:w="2158"/>
              <w:gridCol w:w="2158"/>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11.42.07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BUS: SUPPORT EQUIP AND FACILITIES (114-00)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ADP HARDWARE</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ADP HARDWARE</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20"/>
              <w:gridCol w:w="1820"/>
              <w:gridCol w:w="1542"/>
              <w:gridCol w:w="113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$164,768</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$164,768</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$164,768</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RFP/IFB Issued</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RFP/IFB Issued</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Award</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Award</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Complete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Complete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868906916"/>
              <w:rPr>
                <w:rFonts w:ascii="Arial" w:eastAsia="Times New Roman" w:hAnsi="Arial" w:cs="Arial"/>
                <w:b/>
                <w:bCs/>
              </w:rPr>
            </w:pPr>
            <w:r>
              <w:rPr>
                <w:rFonts w:ascii="Arial" w:eastAsia="Times New Roman" w:hAnsi="Arial" w:cs="Arial"/>
                <w:b/>
                <w:bCs/>
              </w:rPr>
              <w:t>Budget Activity Line Item: 44.24.00 - SHORT RANGE TRANSIT PLANNING</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During the upcoming year, PSTA will use this line item to complete various planning activity which will include but not limited to Transit Development Plan annual update, Civil Right/Title VI update, Market Research, Transit Surveys, and Special projects. Staff will work in coordination with PSTA`s general consultant firm Tindale, Oliver &amp; Associates to complete these planning projects in order to comply with FDOT`s requirements. PSTA Staff time and consultant service that are directly related to the projects will be charged to this line item. The Planning ALI in this grant is in the current UPWP, Approval date of May 12, 2010.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54"/>
              <w:gridCol w:w="2705"/>
              <w:gridCol w:w="2241"/>
              <w:gridCol w:w="2241"/>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44.24.00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METROPOLITAN PLANNING (442-00)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SHORT RANGE TRANSIT PLANNING</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SHORT RANGE TRANSIT PLANNING</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20"/>
              <w:gridCol w:w="1820"/>
              <w:gridCol w:w="1542"/>
              <w:gridCol w:w="113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$500,651</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$500,651</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$500,651</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RFP/IFB Issued</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RFP/IFB Issued</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7/1/2001</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3/30/2007</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Awarded</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Awarded</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10/1/2007</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7/28/2010</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Complete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Complete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16</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9/30/2013</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3/31/2018</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1637562147"/>
              <w:rPr>
                <w:rFonts w:ascii="Arial" w:eastAsia="Times New Roman" w:hAnsi="Arial" w:cs="Arial"/>
                <w:b/>
                <w:bCs/>
              </w:rPr>
            </w:pPr>
            <w:r>
              <w:rPr>
                <w:rFonts w:ascii="Arial" w:eastAsia="Times New Roman" w:hAnsi="Arial" w:cs="Arial"/>
                <w:b/>
                <w:bCs/>
              </w:rPr>
              <w:t>Budget Activity Line Item: 11.42.07 - ACQUIRE - ADP HARDWARE</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This ALI will include the purchase of misc. computer server hardware. Project was made into its on ALI to track easier.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67"/>
              <w:gridCol w:w="2858"/>
              <w:gridCol w:w="2158"/>
              <w:gridCol w:w="2158"/>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11.42.07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BUS: SUPPORT EQUIP AND FACILITIES (114-00)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ADP HARDWARE</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ADP HARDWARE</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20"/>
              <w:gridCol w:w="1820"/>
              <w:gridCol w:w="1542"/>
              <w:gridCol w:w="113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$164,768</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$164,768</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$164,768</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Initial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10/21/2015</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10/21/2015</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Final Expenditure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12/31/2017</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12/31/2017</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1584605291"/>
              <w:rPr>
                <w:rFonts w:ascii="Arial" w:eastAsia="Times New Roman" w:hAnsi="Arial" w:cs="Arial"/>
                <w:b/>
                <w:bCs/>
              </w:rPr>
            </w:pPr>
            <w:r>
              <w:rPr>
                <w:rFonts w:ascii="Arial" w:eastAsia="Times New Roman" w:hAnsi="Arial" w:cs="Arial"/>
                <w:b/>
                <w:bCs/>
              </w:rPr>
              <w:t>Budget Activity Line Item: 11.42.10 - ACQUIRE - MOBILE FARE COLL EQUIP</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The ALI 11.42.10 will be used to cover PSTAs portion of the Regional Fare Collection Project (information listed below). Project Overview: This project is being led by the Hillsborough Transit Authority for the Regional Working Group consisting of transit agencies and from Hillsborough, Pinellas, Pasco, Hernando, Manatee and Sarasota counties. The Project Time Line from Notice to Proceed to completion is 798 days. The goal of the project is to enhance mobility of passengers between its respective jurisdictions. The goal will be achieved through creating an electronic fare-payment system that will be deployed region-wide using third-party produced and distributed prepaid card and contactless devices such as smart cards, Mobile Applications, credit and debit cards, RFID tags, secure bar codes and NFC (Near Field Communication) devices. Mobile Applications will be completed first. The new state of the art integrated electronic fare payment distribution collection and processing system will utilize best practices of modern technologies in the consumer and fare payment sectors, capable of interfacing with both bank and non-bank financial clearing systems for transaction processing and settlement. The consolidated regional on-line ticketing portal for passengers of all Regional Working Group members will allow passengers to reload and manage fare media. This centralized approach eliminates the need for each Regional Working Group member to maintain its own back-office passenger on-line fare payment system. HART has approved award of a contract with Init for a total not-to exceed amount of $12,088,783 for project implementation. Fiscal Impact: Of the $12,088,783 total contract award, PSTA’s portion is $4,199,983. FDOT $ 832,580 FTA Currently Under Grant 2,991,875 FTA 5307 FY 2019 Grant 375,528 Total $4,199,983 FTA Milestone Dates (for FTA Grants) RFP Issued Date: 03/24/2015 Contract Award Date: 02/29/2016 Project Start: 03/30/2016 Project Complete: 05/07/2019 PSTA will utilize funding from existing FTA Section 5307 grant to cover the expenses for the Regional Fare Collection project. Funding from Current FTA Grants FL 90-X723 – 11.42.10 - $ 903,099 FL 90-X758 – 11.42.10 - $1,072,939 FL 90-X783 – 11.42.10 - $ 258,169 FL 90-X811 – 11.42.10 - $ 402,089 FL 90-X841 – 11.42.10 - $ 255,579 FL 90-X841 – 11.72.03 - $ 100,000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3"/>
              <w:gridCol w:w="2289"/>
              <w:gridCol w:w="1913"/>
              <w:gridCol w:w="3016"/>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11.42.10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BUS: SUPPORT EQUIP AND FACILITIES (114-00)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MOBILE FARE COLL EQUIP</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ACQUISITION OF BUS SUPPORT EQUIP/FACILITIES</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20"/>
              <w:gridCol w:w="1820"/>
              <w:gridCol w:w="1542"/>
              <w:gridCol w:w="113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$979,208</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$979,208</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$979,208</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Start Date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Start Date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3/30/2016</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3/1/2016</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End Date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End Date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5/7/2019</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12/31/2017</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RFP Issued</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RFP Issued</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3/24/2015</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3/24/2015</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Contract Award</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Contract Award</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2/29/2016</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2/29/2016</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11076372"/>
              <w:rPr>
                <w:rFonts w:ascii="Arial" w:eastAsia="Times New Roman" w:hAnsi="Arial" w:cs="Arial"/>
                <w:b/>
                <w:bCs/>
              </w:rPr>
            </w:pPr>
            <w:r>
              <w:rPr>
                <w:rFonts w:ascii="Arial" w:eastAsia="Times New Roman" w:hAnsi="Arial" w:cs="Arial"/>
                <w:b/>
                <w:bCs/>
              </w:rPr>
              <w:t>Budget Activity Line Item: 11.42.08 - ACQUIRE - ADP SOFTWARE</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Purchase and install new APC computer software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
              <w:gridCol w:w="2309"/>
              <w:gridCol w:w="1874"/>
              <w:gridCol w:w="3034"/>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11.42.08</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BUS: SUPPORT EQUIP AND FACILITIES (114-00)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ADP SOFTWARE</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ACQUISITION OF BUS SUPPORT EQUIP/FACILITIES</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89"/>
              <w:gridCol w:w="1836"/>
              <w:gridCol w:w="1552"/>
              <w:gridCol w:w="1042"/>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$27,705</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$27,705</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$27,705</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Start Date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Start Date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1/15/2017</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3/23/2017</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End Date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End Date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4/30/2017</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12/31/2017</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Award Contract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Award Contract</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1/2/2017</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3/23/2017</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70"/>
      </w:tblGrid>
      <w:tr w:rsidR="00DF585C">
        <w:trPr>
          <w:divId w:val="30304335"/>
          <w:tblCellSpacing w:w="15" w:type="dxa"/>
        </w:trPr>
        <w:tc>
          <w:tcPr>
            <w:tcW w:w="6" w:type="dxa"/>
            <w:tcBorders>
              <w:top w:val="single" w:sz="6" w:space="0" w:color="000000"/>
              <w:left w:val="single" w:sz="6" w:space="0" w:color="000000"/>
              <w:bottom w:val="single" w:sz="6" w:space="0" w:color="000000"/>
              <w:right w:val="single" w:sz="6" w:space="0" w:color="000000"/>
            </w:tcBorders>
            <w:tcMar>
              <w:top w:w="30" w:type="dxa"/>
              <w:left w:w="60" w:type="dxa"/>
              <w:bottom w:w="30" w:type="dxa"/>
              <w:right w:w="60" w:type="dxa"/>
            </w:tcMar>
            <w:vAlign w:val="center"/>
            <w:hideMark/>
          </w:tcPr>
          <w:p w:rsidR="00DF585C" w:rsidRDefault="002C0514">
            <w:pPr>
              <w:divId w:val="321467412"/>
              <w:rPr>
                <w:rFonts w:ascii="Arial" w:eastAsia="Times New Roman" w:hAnsi="Arial" w:cs="Arial"/>
                <w:b/>
                <w:bCs/>
              </w:rPr>
            </w:pPr>
            <w:r>
              <w:rPr>
                <w:rFonts w:ascii="Arial" w:eastAsia="Times New Roman" w:hAnsi="Arial" w:cs="Arial"/>
                <w:b/>
                <w:bCs/>
              </w:rPr>
              <w:t>Budget Activity Line Item: 11.42.08 - ACQUIRE - ADP SOFTWARE</w:t>
            </w:r>
          </w:p>
        </w:tc>
      </w:tr>
      <w:tr w:rsidR="00DF585C">
        <w:trPr>
          <w:divId w:val="30304335"/>
          <w:tblCellSpacing w:w="15" w:type="dxa"/>
        </w:trPr>
        <w:tc>
          <w:tcPr>
            <w:tcW w:w="0" w:type="auto"/>
            <w:tcMar>
              <w:top w:w="30" w:type="dxa"/>
              <w:left w:w="15" w:type="dxa"/>
              <w:bottom w:w="30" w:type="dxa"/>
              <w:right w:w="60" w:type="dxa"/>
            </w:tcMar>
            <w:vAlign w:val="center"/>
            <w:hideMark/>
          </w:tcPr>
          <w:p w:rsidR="00DF585C" w:rsidRDefault="002C0514">
            <w:pPr>
              <w:spacing w:after="240"/>
              <w:rPr>
                <w:rFonts w:ascii="Arial" w:eastAsia="Times New Roman" w:hAnsi="Arial" w:cs="Arial"/>
              </w:rPr>
            </w:pPr>
            <w:r>
              <w:rPr>
                <w:rFonts w:ascii="Arial" w:eastAsia="Times New Roman" w:hAnsi="Arial" w:cs="Arial"/>
                <w:b/>
                <w:bCs/>
              </w:rPr>
              <w:t>Line Item Description:</w:t>
            </w:r>
            <w:r>
              <w:rPr>
                <w:rFonts w:ascii="Arial" w:eastAsia="Times New Roman" w:hAnsi="Arial" w:cs="Arial"/>
              </w:rPr>
              <w:t xml:space="preserve"> This ALI will be used for the purchase and installation of virtual desktop software to be used by all end users within PSTA. </w:t>
            </w: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24"/>
              <w:gridCol w:w="2309"/>
              <w:gridCol w:w="1874"/>
              <w:gridCol w:w="3034"/>
              <w:gridCol w:w="109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Line Item #</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Scope Name / Code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Custom Item Name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Activity</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Quantity</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11.42.08</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BUS: SUPPORT EQUIP AND FACILITIES (114-00)</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ACQUIRE - ADP SOFTWARE</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ACQUISITION OF BUS SUPPORT EQUIP/FACILITIES</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20"/>
              <w:gridCol w:w="1820"/>
              <w:gridCol w:w="1542"/>
              <w:gridCol w:w="113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Funding Source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Section of Statute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CFDA Number</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Amount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49 USC 5307 - Urbanized Area Formula (FY2006 forward)</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5307-2</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20507</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$184,983</w:t>
                  </w:r>
                </w:p>
              </w:tc>
            </w:tr>
            <w:tr w:rsidR="00DF585C">
              <w:trPr>
                <w:tblCellSpacing w:w="15" w:type="dxa"/>
              </w:trPr>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Non-FTA Amount</w:t>
                  </w:r>
                </w:p>
              </w:tc>
              <w:tc>
                <w:tcPr>
                  <w:tcW w:w="0" w:type="auto"/>
                  <w:shd w:val="clear" w:color="auto" w:fill="E4E2E3"/>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shd w:val="clear" w:color="auto" w:fill="E4E2E3"/>
                  <w:tcMar>
                    <w:top w:w="30" w:type="dxa"/>
                    <w:left w:w="15" w:type="dxa"/>
                    <w:bottom w:w="30" w:type="dxa"/>
                    <w:right w:w="60" w:type="dxa"/>
                  </w:tcMar>
                  <w:vAlign w:val="center"/>
                  <w:hideMark/>
                </w:tcPr>
                <w:p w:rsidR="00DF585C" w:rsidRDefault="00DF585C">
                  <w:pPr>
                    <w:rPr>
                      <w:rFonts w:eastAsia="Times New Roman"/>
                      <w:sz w:val="20"/>
                      <w:szCs w:val="20"/>
                    </w:rPr>
                  </w:pPr>
                </w:p>
              </w:tc>
              <w:tc>
                <w:tcPr>
                  <w:tcW w:w="0" w:type="auto"/>
                  <w:shd w:val="clear" w:color="auto" w:fill="E4E2E3"/>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Total Eligible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$184,983</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Adjustment Amount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$0</w:t>
                  </w:r>
                </w:p>
              </w:tc>
            </w:tr>
            <w:tr w:rsidR="00DF585C">
              <w:trPr>
                <w:tblCellSpacing w:w="15" w:type="dxa"/>
              </w:trPr>
              <w:tc>
                <w:tcPr>
                  <w:tcW w:w="0" w:type="auto"/>
                  <w:gridSpan w:val="3"/>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Gross Award Cost</w:t>
                  </w:r>
                </w:p>
              </w:tc>
              <w:tc>
                <w:tcPr>
                  <w:tcW w:w="0" w:type="auto"/>
                  <w:tcBorders>
                    <w:top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$184,983</w:t>
                  </w:r>
                </w:p>
              </w:tc>
            </w:tr>
          </w:tbl>
          <w:p w:rsidR="00DF585C" w:rsidRDefault="00DF585C">
            <w:pPr>
              <w:spacing w:after="240"/>
              <w:rPr>
                <w:rFonts w:ascii="Arial" w:eastAsia="Times New Roman" w:hAnsi="Arial" w:cs="Arial"/>
              </w:rPr>
            </w:pPr>
          </w:p>
        </w:tc>
      </w:tr>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9"/>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Start Date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Start Date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2300"/>
                    <w:gridCol w:w="1921"/>
                    <w:gridCol w:w="1862"/>
                    <w:gridCol w:w="1917"/>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6</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6/1/2018</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3/26/2018</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End Date</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End Date</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5"/>
                    <w:gridCol w:w="2273"/>
                    <w:gridCol w:w="1906"/>
                    <w:gridCol w:w="1849"/>
                    <w:gridCol w:w="1896"/>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6</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9/30/2018</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4/1/2019</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DF585C">
                        <w:pPr>
                          <w:rPr>
                            <w:rFonts w:eastAsia="Times New Roman"/>
                            <w:sz w:val="20"/>
                            <w:szCs w:val="20"/>
                          </w:rPr>
                        </w:pP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divId w:val="30304335"/>
        <w:rPr>
          <w:rFonts w:ascii="Arial" w:eastAsia="Times New Roman" w:hAnsi="Arial" w:cs="Arial"/>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95"/>
      </w:tblGrid>
      <w:tr w:rsidR="00DF585C">
        <w:trPr>
          <w:divId w:val="30304335"/>
          <w:tblCellSpacing w:w="15" w:type="dxa"/>
        </w:trPr>
        <w:tc>
          <w:tcPr>
            <w:tcW w:w="0" w:type="auto"/>
            <w:tcMar>
              <w:top w:w="30" w:type="dxa"/>
              <w:left w:w="15" w:type="dxa"/>
              <w:bottom w:w="30" w:type="dxa"/>
              <w:right w:w="60" w:type="dxa"/>
            </w:tcMar>
            <w:vAlign w:val="center"/>
            <w:hideMark/>
          </w:tcPr>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Name:</w:t>
                  </w:r>
                  <w:r>
                    <w:rPr>
                      <w:rFonts w:ascii="Arial" w:eastAsia="Times New Roman" w:hAnsi="Arial" w:cs="Arial"/>
                    </w:rPr>
                    <w:t xml:space="preserve"> Award Contract</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b/>
                      <w:bCs/>
                    </w:rPr>
                    <w:t>Milestone Description:</w:t>
                  </w:r>
                  <w:r>
                    <w:rPr>
                      <w:rFonts w:ascii="Arial" w:eastAsia="Times New Roman" w:hAnsi="Arial" w:cs="Arial"/>
                    </w:rPr>
                    <w:t xml:space="preserve"> Award Contract</w:t>
                  </w:r>
                </w:p>
              </w:tc>
            </w:tr>
            <w:tr w:rsidR="00DF585C">
              <w:trPr>
                <w:tblCellSpacing w:w="15" w:type="dxa"/>
              </w:trPr>
              <w:tc>
                <w:tcPr>
                  <w:tcW w:w="0" w:type="auto"/>
                  <w:tcMar>
                    <w:top w:w="30" w:type="dxa"/>
                    <w:left w:w="15" w:type="dxa"/>
                    <w:bottom w:w="30" w:type="dxa"/>
                    <w:right w:w="60"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54"/>
                    <w:gridCol w:w="1674"/>
                    <w:gridCol w:w="1567"/>
                    <w:gridCol w:w="1550"/>
                    <w:gridCol w:w="3134"/>
                  </w:tblGrid>
                  <w:tr w:rsidR="00DF585C">
                    <w:trPr>
                      <w:tblCellSpacing w:w="15" w:type="dxa"/>
                    </w:trPr>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Revision#</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Original Estimated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Revised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Actual Completion Date</w:t>
                        </w:r>
                      </w:p>
                    </w:tc>
                    <w:tc>
                      <w:tcPr>
                        <w:tcW w:w="0" w:type="auto"/>
                        <w:tcBorders>
                          <w:bottom w:val="single" w:sz="6" w:space="0" w:color="000000"/>
                        </w:tcBorders>
                        <w:tcMar>
                          <w:top w:w="30" w:type="dxa"/>
                          <w:left w:w="15" w:type="dxa"/>
                          <w:bottom w:w="30" w:type="dxa"/>
                          <w:right w:w="60" w:type="dxa"/>
                        </w:tcMar>
                        <w:vAlign w:val="center"/>
                        <w:hideMark/>
                      </w:tcPr>
                      <w:p w:rsidR="00DF585C" w:rsidRDefault="002C0514">
                        <w:pPr>
                          <w:rPr>
                            <w:rFonts w:ascii="Arial" w:eastAsia="Times New Roman" w:hAnsi="Arial" w:cs="Arial"/>
                            <w:b/>
                            <w:bCs/>
                          </w:rPr>
                        </w:pPr>
                        <w:r>
                          <w:rPr>
                            <w:rFonts w:ascii="Arial" w:eastAsia="Times New Roman" w:hAnsi="Arial" w:cs="Arial"/>
                            <w:b/>
                            <w:bCs/>
                          </w:rPr>
                          <w:t>Milestone Progress Remarks</w:t>
                        </w:r>
                      </w:p>
                    </w:tc>
                  </w:tr>
                  <w:tr w:rsidR="00DF585C">
                    <w:trPr>
                      <w:tblCellSpacing w:w="15" w:type="dxa"/>
                    </w:trPr>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6</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5/23/2018</w:t>
                        </w:r>
                      </w:p>
                    </w:tc>
                    <w:tc>
                      <w:tcPr>
                        <w:tcW w:w="0" w:type="auto"/>
                        <w:tcMar>
                          <w:top w:w="30" w:type="dxa"/>
                          <w:left w:w="15" w:type="dxa"/>
                          <w:bottom w:w="30" w:type="dxa"/>
                          <w:right w:w="60" w:type="dxa"/>
                        </w:tcMar>
                        <w:vAlign w:val="center"/>
                        <w:hideMark/>
                      </w:tcPr>
                      <w:p w:rsidR="00DF585C" w:rsidRDefault="00DF585C">
                        <w:pPr>
                          <w:rPr>
                            <w:rFonts w:ascii="Arial" w:eastAsia="Times New Roman" w:hAnsi="Arial" w:cs="Arial"/>
                          </w:rPr>
                        </w:pP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3/26/2018</w:t>
                        </w:r>
                      </w:p>
                    </w:tc>
                    <w:tc>
                      <w:tcPr>
                        <w:tcW w:w="0" w:type="auto"/>
                        <w:tcMar>
                          <w:top w:w="30" w:type="dxa"/>
                          <w:left w:w="15" w:type="dxa"/>
                          <w:bottom w:w="30" w:type="dxa"/>
                          <w:right w:w="60" w:type="dxa"/>
                        </w:tcMar>
                        <w:vAlign w:val="center"/>
                        <w:hideMark/>
                      </w:tcPr>
                      <w:p w:rsidR="00DF585C" w:rsidRDefault="002C0514">
                        <w:pPr>
                          <w:rPr>
                            <w:rFonts w:ascii="Arial" w:eastAsia="Times New Roman" w:hAnsi="Arial" w:cs="Arial"/>
                          </w:rPr>
                        </w:pPr>
                        <w:r>
                          <w:rPr>
                            <w:rFonts w:ascii="Arial" w:eastAsia="Times New Roman" w:hAnsi="Arial" w:cs="Arial"/>
                          </w:rPr>
                          <w:t>12/30/2018 -- Expenditures this quarter for the purchase of new computer software for PSTA's computer refresh project and new PO issues for the purchase of Procurement software.</w:t>
                        </w:r>
                      </w:p>
                    </w:tc>
                  </w:tr>
                </w:tbl>
                <w:p w:rsidR="00DF585C" w:rsidRDefault="00DF585C">
                  <w:pPr>
                    <w:rPr>
                      <w:rFonts w:ascii="Arial" w:eastAsia="Times New Roman" w:hAnsi="Arial" w:cs="Arial"/>
                    </w:rPr>
                  </w:pPr>
                </w:p>
              </w:tc>
            </w:tr>
          </w:tbl>
          <w:p w:rsidR="00DF585C" w:rsidRDefault="00DF585C">
            <w:pPr>
              <w:rPr>
                <w:rFonts w:ascii="Arial" w:eastAsia="Times New Roman" w:hAnsi="Arial" w:cs="Arial"/>
              </w:rPr>
            </w:pPr>
          </w:p>
        </w:tc>
      </w:tr>
    </w:tbl>
    <w:p w:rsidR="00DF585C" w:rsidRDefault="00DF585C">
      <w:pPr>
        <w:spacing w:after="240"/>
        <w:divId w:val="30304335"/>
        <w:rPr>
          <w:rFonts w:ascii="Arial" w:eastAsia="Times New Roman" w:hAnsi="Arial" w:cs="Arial"/>
          <w:sz w:val="20"/>
          <w:szCs w:val="20"/>
        </w:rPr>
      </w:pPr>
    </w:p>
    <w:sectPr w:rsidR="00DF5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noPunctuationKerning/>
  <w:characterSpacingControl w:val="doNotCompress"/>
  <w:compat>
    <w:doNotSnapToGridInCell/>
    <w:doNotWrapTextWithPunct/>
    <w:doNotUseEastAsianBreakRules/>
    <w:growAutofit/>
    <w:compatSetting w:name="compatibilityMode" w:uri="http://schemas.microsoft.com/office/word" w:val="14"/>
  </w:compat>
  <w:docVars>
    <w:docVar w:name="__Grammarly_42____i" w:val="H4sIAAAAAAAEAKtWckksSQxILCpxzi/NK1GyMqwFAAEhoTITAAAA"/>
    <w:docVar w:name="__Grammarly_42___1" w:val="H4sIAAAAAAAEAKtWcslP9kxRslIyNDYyMjAwMTMzNLYwNTYwMbFQ0lEKTi0uzszPAykwrAUAhwa3miwAAAA="/>
  </w:docVars>
  <w:rsids>
    <w:rsidRoot w:val="002C0514"/>
    <w:rsid w:val="002423A4"/>
    <w:rsid w:val="002C0514"/>
    <w:rsid w:val="00DF5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pageheader1">
    <w:name w:val="pageheader1"/>
    <w:basedOn w:val="Normal"/>
    <w:pPr>
      <w:spacing w:before="100" w:beforeAutospacing="1" w:after="100" w:afterAutospacing="1"/>
    </w:pPr>
    <w:rPr>
      <w:rFonts w:ascii="Arial" w:hAnsi="Arial" w:cs="Arial"/>
      <w:b/>
      <w:bCs/>
      <w:color w:val="000000"/>
      <w:sz w:val="20"/>
      <w:szCs w:val="20"/>
    </w:rPr>
  </w:style>
  <w:style w:type="paragraph" w:customStyle="1" w:styleId="partheader1">
    <w:name w:val="partheader1"/>
    <w:basedOn w:val="Normal"/>
    <w:pPr>
      <w:spacing w:before="100" w:beforeAutospacing="1" w:after="100" w:afterAutospacing="1"/>
    </w:pPr>
    <w:rPr>
      <w:rFonts w:ascii="Arial" w:hAnsi="Arial" w:cs="Arial"/>
      <w:sz w:val="20"/>
      <w:szCs w:val="20"/>
    </w:rPr>
  </w:style>
  <w:style w:type="paragraph" w:customStyle="1" w:styleId="alt">
    <w:name w:val="alt"/>
    <w:basedOn w:val="Normal"/>
    <w:pPr>
      <w:shd w:val="clear" w:color="auto" w:fill="E4E2E3"/>
      <w:spacing w:before="100" w:beforeAutospacing="1" w:after="100" w:afterAutospacing="1"/>
    </w:pPr>
  </w:style>
  <w:style w:type="paragraph" w:customStyle="1" w:styleId="Title1">
    <w:name w:val="Title1"/>
    <w:basedOn w:val="Normal"/>
    <w:pPr>
      <w:spacing w:before="100" w:beforeAutospacing="1" w:after="150"/>
    </w:pPr>
    <w:rPr>
      <w:b/>
      <w:bCs/>
      <w:sz w:val="28"/>
      <w:szCs w:val="28"/>
    </w:rPr>
  </w:style>
  <w:style w:type="paragraph" w:customStyle="1" w:styleId="Subtitle1">
    <w:name w:val="Subtitle1"/>
    <w:basedOn w:val="Normal"/>
    <w:pPr>
      <w:spacing w:before="100" w:beforeAutospacing="1" w:after="100" w:afterAutospacing="1"/>
    </w:pPr>
    <w:rPr>
      <w:u w:val="single"/>
    </w:rPr>
  </w:style>
  <w:style w:type="paragraph" w:customStyle="1" w:styleId="headtitle">
    <w:name w:val="headtitle"/>
    <w:basedOn w:val="Normal"/>
    <w:pPr>
      <w:spacing w:before="100" w:beforeAutospacing="1" w:after="100" w:afterAutospacing="1"/>
      <w:jc w:val="center"/>
    </w:pPr>
    <w:rPr>
      <w:sz w:val="48"/>
      <w:szCs w:val="48"/>
    </w:rPr>
  </w:style>
  <w:style w:type="paragraph" w:customStyle="1" w:styleId="parttitle">
    <w:name w:val="parttitle"/>
    <w:basedOn w:val="Normal"/>
    <w:pPr>
      <w:spacing w:before="100" w:beforeAutospacing="1" w:after="100" w:afterAutospacing="1"/>
    </w:pPr>
    <w:rPr>
      <w:b/>
      <w:bCs/>
      <w:sz w:val="36"/>
      <w:szCs w:val="36"/>
    </w:rPr>
  </w:style>
  <w:style w:type="paragraph" w:customStyle="1" w:styleId="minititle">
    <w:name w:val="minititle"/>
    <w:basedOn w:val="Normal"/>
    <w:pPr>
      <w:spacing w:before="100" w:beforeAutospacing="1" w:after="100" w:afterAutospacing="1"/>
    </w:pPr>
    <w:rPr>
      <w:b/>
      <w:bCs/>
      <w:sz w:val="22"/>
      <w:szCs w:val="22"/>
    </w:rPr>
  </w:style>
  <w:style w:type="paragraph" w:customStyle="1" w:styleId="table">
    <w:name w:val="table"/>
    <w:basedOn w:val="Normal"/>
    <w:pPr>
      <w:spacing w:before="100" w:beforeAutospacing="1" w:after="100" w:afterAutospacing="1"/>
    </w:pPr>
  </w:style>
  <w:style w:type="paragraph" w:customStyle="1" w:styleId="half">
    <w:name w:val="half"/>
    <w:basedOn w:val="Normal"/>
    <w:pPr>
      <w:spacing w:before="100" w:beforeAutospacing="1" w:after="100" w:afterAutospacing="1"/>
      <w:textAlignment w:val="top"/>
    </w:pPr>
  </w:style>
  <w:style w:type="paragraph" w:customStyle="1" w:styleId="inner">
    <w:name w:val="inner"/>
    <w:basedOn w:val="Normal"/>
    <w:pPr>
      <w:spacing w:before="100" w:beforeAutospacing="1" w:after="100" w:afterAutospacing="1"/>
    </w:pPr>
  </w:style>
  <w:style w:type="paragraph" w:customStyle="1" w:styleId="innerx2">
    <w:name w:val="innerx2"/>
    <w:basedOn w:val="Normal"/>
    <w:pPr>
      <w:spacing w:before="30" w:after="90"/>
      <w:ind w:left="60" w:right="60"/>
    </w:pPr>
  </w:style>
  <w:style w:type="paragraph" w:customStyle="1" w:styleId="bordered">
    <w:name w:val="bordered"/>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underlined">
    <w:name w:val="underlined"/>
    <w:basedOn w:val="Normal"/>
    <w:pPr>
      <w:pBdr>
        <w:bottom w:val="single" w:sz="6" w:space="0" w:color="000000"/>
      </w:pBdr>
      <w:spacing w:before="100" w:beforeAutospacing="1" w:after="100" w:afterAutospacing="1"/>
    </w:pPr>
    <w:rPr>
      <w:b/>
      <w:bCs/>
    </w:rPr>
  </w:style>
  <w:style w:type="paragraph" w:customStyle="1" w:styleId="overlined">
    <w:name w:val="overlined"/>
    <w:basedOn w:val="Normal"/>
    <w:pPr>
      <w:pBdr>
        <w:top w:val="single" w:sz="6" w:space="0" w:color="000000"/>
      </w:pBdr>
      <w:spacing w:before="100" w:beforeAutospacing="1" w:after="100" w:afterAutospacing="1"/>
    </w:pPr>
    <w:rPr>
      <w:b/>
      <w:bCs/>
    </w:rPr>
  </w:style>
  <w:style w:type="paragraph" w:customStyle="1" w:styleId="projectname">
    <w:name w:val="projectname"/>
    <w:basedOn w:val="Normal"/>
    <w:pPr>
      <w:pBdr>
        <w:top w:val="single" w:sz="6" w:space="0" w:color="000000"/>
        <w:left w:val="single" w:sz="6" w:space="3" w:color="000000"/>
        <w:bottom w:val="single" w:sz="6" w:space="0" w:color="000000"/>
        <w:right w:val="single" w:sz="6" w:space="0" w:color="000000"/>
      </w:pBdr>
      <w:spacing w:before="100" w:beforeAutospacing="1" w:after="100" w:afterAutospacing="1"/>
    </w:pPr>
    <w:rPr>
      <w:b/>
      <w:bCs/>
      <w:sz w:val="28"/>
      <w:szCs w:val="28"/>
    </w:rPr>
  </w:style>
  <w:style w:type="paragraph" w:customStyle="1" w:styleId="lineitemname">
    <w:name w:val="lineitemname"/>
    <w:basedOn w:val="Normal"/>
    <w:pPr>
      <w:pBdr>
        <w:top w:val="single" w:sz="6" w:space="0" w:color="000000"/>
        <w:left w:val="single" w:sz="6" w:space="3" w:color="000000"/>
        <w:bottom w:val="single" w:sz="6" w:space="0" w:color="000000"/>
        <w:right w:val="single" w:sz="6" w:space="0" w:color="000000"/>
      </w:pBdr>
      <w:spacing w:before="100" w:beforeAutospacing="1" w:after="100" w:afterAutospacing="1"/>
    </w:pPr>
    <w:rPr>
      <w:b/>
      <w:bCs/>
    </w:rPr>
  </w:style>
  <w:style w:type="paragraph" w:customStyle="1" w:styleId="titleline">
    <w:name w:val="titleline"/>
    <w:basedOn w:val="Normal"/>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pageheader1">
    <w:name w:val="pageheader1"/>
    <w:basedOn w:val="Normal"/>
    <w:pPr>
      <w:spacing w:before="100" w:beforeAutospacing="1" w:after="100" w:afterAutospacing="1"/>
    </w:pPr>
    <w:rPr>
      <w:rFonts w:ascii="Arial" w:hAnsi="Arial" w:cs="Arial"/>
      <w:b/>
      <w:bCs/>
      <w:color w:val="000000"/>
      <w:sz w:val="20"/>
      <w:szCs w:val="20"/>
    </w:rPr>
  </w:style>
  <w:style w:type="paragraph" w:customStyle="1" w:styleId="partheader1">
    <w:name w:val="partheader1"/>
    <w:basedOn w:val="Normal"/>
    <w:pPr>
      <w:spacing w:before="100" w:beforeAutospacing="1" w:after="100" w:afterAutospacing="1"/>
    </w:pPr>
    <w:rPr>
      <w:rFonts w:ascii="Arial" w:hAnsi="Arial" w:cs="Arial"/>
      <w:sz w:val="20"/>
      <w:szCs w:val="20"/>
    </w:rPr>
  </w:style>
  <w:style w:type="paragraph" w:customStyle="1" w:styleId="alt">
    <w:name w:val="alt"/>
    <w:basedOn w:val="Normal"/>
    <w:pPr>
      <w:shd w:val="clear" w:color="auto" w:fill="E4E2E3"/>
      <w:spacing w:before="100" w:beforeAutospacing="1" w:after="100" w:afterAutospacing="1"/>
    </w:pPr>
  </w:style>
  <w:style w:type="paragraph" w:customStyle="1" w:styleId="Title1">
    <w:name w:val="Title1"/>
    <w:basedOn w:val="Normal"/>
    <w:pPr>
      <w:spacing w:before="100" w:beforeAutospacing="1" w:after="150"/>
    </w:pPr>
    <w:rPr>
      <w:b/>
      <w:bCs/>
      <w:sz w:val="28"/>
      <w:szCs w:val="28"/>
    </w:rPr>
  </w:style>
  <w:style w:type="paragraph" w:customStyle="1" w:styleId="Subtitle1">
    <w:name w:val="Subtitle1"/>
    <w:basedOn w:val="Normal"/>
    <w:pPr>
      <w:spacing w:before="100" w:beforeAutospacing="1" w:after="100" w:afterAutospacing="1"/>
    </w:pPr>
    <w:rPr>
      <w:u w:val="single"/>
    </w:rPr>
  </w:style>
  <w:style w:type="paragraph" w:customStyle="1" w:styleId="headtitle">
    <w:name w:val="headtitle"/>
    <w:basedOn w:val="Normal"/>
    <w:pPr>
      <w:spacing w:before="100" w:beforeAutospacing="1" w:after="100" w:afterAutospacing="1"/>
      <w:jc w:val="center"/>
    </w:pPr>
    <w:rPr>
      <w:sz w:val="48"/>
      <w:szCs w:val="48"/>
    </w:rPr>
  </w:style>
  <w:style w:type="paragraph" w:customStyle="1" w:styleId="parttitle">
    <w:name w:val="parttitle"/>
    <w:basedOn w:val="Normal"/>
    <w:pPr>
      <w:spacing w:before="100" w:beforeAutospacing="1" w:after="100" w:afterAutospacing="1"/>
    </w:pPr>
    <w:rPr>
      <w:b/>
      <w:bCs/>
      <w:sz w:val="36"/>
      <w:szCs w:val="36"/>
    </w:rPr>
  </w:style>
  <w:style w:type="paragraph" w:customStyle="1" w:styleId="minititle">
    <w:name w:val="minititle"/>
    <w:basedOn w:val="Normal"/>
    <w:pPr>
      <w:spacing w:before="100" w:beforeAutospacing="1" w:after="100" w:afterAutospacing="1"/>
    </w:pPr>
    <w:rPr>
      <w:b/>
      <w:bCs/>
      <w:sz w:val="22"/>
      <w:szCs w:val="22"/>
    </w:rPr>
  </w:style>
  <w:style w:type="paragraph" w:customStyle="1" w:styleId="table">
    <w:name w:val="table"/>
    <w:basedOn w:val="Normal"/>
    <w:pPr>
      <w:spacing w:before="100" w:beforeAutospacing="1" w:after="100" w:afterAutospacing="1"/>
    </w:pPr>
  </w:style>
  <w:style w:type="paragraph" w:customStyle="1" w:styleId="half">
    <w:name w:val="half"/>
    <w:basedOn w:val="Normal"/>
    <w:pPr>
      <w:spacing w:before="100" w:beforeAutospacing="1" w:after="100" w:afterAutospacing="1"/>
      <w:textAlignment w:val="top"/>
    </w:pPr>
  </w:style>
  <w:style w:type="paragraph" w:customStyle="1" w:styleId="inner">
    <w:name w:val="inner"/>
    <w:basedOn w:val="Normal"/>
    <w:pPr>
      <w:spacing w:before="100" w:beforeAutospacing="1" w:after="100" w:afterAutospacing="1"/>
    </w:pPr>
  </w:style>
  <w:style w:type="paragraph" w:customStyle="1" w:styleId="innerx2">
    <w:name w:val="innerx2"/>
    <w:basedOn w:val="Normal"/>
    <w:pPr>
      <w:spacing w:before="30" w:after="90"/>
      <w:ind w:left="60" w:right="60"/>
    </w:pPr>
  </w:style>
  <w:style w:type="paragraph" w:customStyle="1" w:styleId="bordered">
    <w:name w:val="bordered"/>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underlined">
    <w:name w:val="underlined"/>
    <w:basedOn w:val="Normal"/>
    <w:pPr>
      <w:pBdr>
        <w:bottom w:val="single" w:sz="6" w:space="0" w:color="000000"/>
      </w:pBdr>
      <w:spacing w:before="100" w:beforeAutospacing="1" w:after="100" w:afterAutospacing="1"/>
    </w:pPr>
    <w:rPr>
      <w:b/>
      <w:bCs/>
    </w:rPr>
  </w:style>
  <w:style w:type="paragraph" w:customStyle="1" w:styleId="overlined">
    <w:name w:val="overlined"/>
    <w:basedOn w:val="Normal"/>
    <w:pPr>
      <w:pBdr>
        <w:top w:val="single" w:sz="6" w:space="0" w:color="000000"/>
      </w:pBdr>
      <w:spacing w:before="100" w:beforeAutospacing="1" w:after="100" w:afterAutospacing="1"/>
    </w:pPr>
    <w:rPr>
      <w:b/>
      <w:bCs/>
    </w:rPr>
  </w:style>
  <w:style w:type="paragraph" w:customStyle="1" w:styleId="projectname">
    <w:name w:val="projectname"/>
    <w:basedOn w:val="Normal"/>
    <w:pPr>
      <w:pBdr>
        <w:top w:val="single" w:sz="6" w:space="0" w:color="000000"/>
        <w:left w:val="single" w:sz="6" w:space="3" w:color="000000"/>
        <w:bottom w:val="single" w:sz="6" w:space="0" w:color="000000"/>
        <w:right w:val="single" w:sz="6" w:space="0" w:color="000000"/>
      </w:pBdr>
      <w:spacing w:before="100" w:beforeAutospacing="1" w:after="100" w:afterAutospacing="1"/>
    </w:pPr>
    <w:rPr>
      <w:b/>
      <w:bCs/>
      <w:sz w:val="28"/>
      <w:szCs w:val="28"/>
    </w:rPr>
  </w:style>
  <w:style w:type="paragraph" w:customStyle="1" w:styleId="lineitemname">
    <w:name w:val="lineitemname"/>
    <w:basedOn w:val="Normal"/>
    <w:pPr>
      <w:pBdr>
        <w:top w:val="single" w:sz="6" w:space="0" w:color="000000"/>
        <w:left w:val="single" w:sz="6" w:space="3" w:color="000000"/>
        <w:bottom w:val="single" w:sz="6" w:space="0" w:color="000000"/>
        <w:right w:val="single" w:sz="6" w:space="0" w:color="000000"/>
      </w:pBdr>
      <w:spacing w:before="100" w:beforeAutospacing="1" w:after="100" w:afterAutospacing="1"/>
    </w:pPr>
    <w:rPr>
      <w:b/>
      <w:bCs/>
    </w:rPr>
  </w:style>
  <w:style w:type="paragraph" w:customStyle="1" w:styleId="titleline">
    <w:name w:val="titleline"/>
    <w:basedOn w:val="Normal"/>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4335">
      <w:marLeft w:val="0"/>
      <w:marRight w:val="0"/>
      <w:marTop w:val="100"/>
      <w:marBottom w:val="100"/>
      <w:divBdr>
        <w:top w:val="none" w:sz="0" w:space="0" w:color="auto"/>
        <w:left w:val="none" w:sz="0" w:space="0" w:color="auto"/>
        <w:bottom w:val="none" w:sz="0" w:space="0" w:color="auto"/>
        <w:right w:val="none" w:sz="0" w:space="0" w:color="auto"/>
      </w:divBdr>
      <w:divsChild>
        <w:div w:id="307518582">
          <w:marLeft w:val="0"/>
          <w:marRight w:val="0"/>
          <w:marTop w:val="0"/>
          <w:marBottom w:val="0"/>
          <w:divBdr>
            <w:top w:val="none" w:sz="0" w:space="0" w:color="auto"/>
            <w:left w:val="none" w:sz="0" w:space="0" w:color="auto"/>
            <w:bottom w:val="none" w:sz="0" w:space="0" w:color="auto"/>
            <w:right w:val="none" w:sz="0" w:space="0" w:color="auto"/>
          </w:divBdr>
        </w:div>
        <w:div w:id="1314261579">
          <w:marLeft w:val="0"/>
          <w:marRight w:val="0"/>
          <w:marTop w:val="0"/>
          <w:marBottom w:val="0"/>
          <w:divBdr>
            <w:top w:val="none" w:sz="0" w:space="0" w:color="auto"/>
            <w:left w:val="none" w:sz="0" w:space="0" w:color="auto"/>
            <w:bottom w:val="none" w:sz="0" w:space="0" w:color="auto"/>
            <w:right w:val="none" w:sz="0" w:space="0" w:color="auto"/>
          </w:divBdr>
        </w:div>
        <w:div w:id="1480074966">
          <w:marLeft w:val="0"/>
          <w:marRight w:val="0"/>
          <w:marTop w:val="0"/>
          <w:marBottom w:val="0"/>
          <w:divBdr>
            <w:top w:val="none" w:sz="0" w:space="0" w:color="auto"/>
            <w:left w:val="none" w:sz="0" w:space="0" w:color="auto"/>
            <w:bottom w:val="none" w:sz="0" w:space="0" w:color="auto"/>
            <w:right w:val="none" w:sz="0" w:space="0" w:color="auto"/>
          </w:divBdr>
        </w:div>
        <w:div w:id="1267232752">
          <w:marLeft w:val="0"/>
          <w:marRight w:val="0"/>
          <w:marTop w:val="0"/>
          <w:marBottom w:val="0"/>
          <w:divBdr>
            <w:top w:val="none" w:sz="0" w:space="0" w:color="auto"/>
            <w:left w:val="none" w:sz="0" w:space="0" w:color="auto"/>
            <w:bottom w:val="none" w:sz="0" w:space="0" w:color="auto"/>
            <w:right w:val="none" w:sz="0" w:space="0" w:color="auto"/>
          </w:divBdr>
        </w:div>
        <w:div w:id="1810705355">
          <w:marLeft w:val="0"/>
          <w:marRight w:val="0"/>
          <w:marTop w:val="0"/>
          <w:marBottom w:val="0"/>
          <w:divBdr>
            <w:top w:val="none" w:sz="0" w:space="0" w:color="auto"/>
            <w:left w:val="none" w:sz="0" w:space="0" w:color="auto"/>
            <w:bottom w:val="none" w:sz="0" w:space="0" w:color="auto"/>
            <w:right w:val="none" w:sz="0" w:space="0" w:color="auto"/>
          </w:divBdr>
        </w:div>
        <w:div w:id="2110662023">
          <w:marLeft w:val="0"/>
          <w:marRight w:val="0"/>
          <w:marTop w:val="0"/>
          <w:marBottom w:val="0"/>
          <w:divBdr>
            <w:top w:val="none" w:sz="0" w:space="0" w:color="auto"/>
            <w:left w:val="none" w:sz="0" w:space="0" w:color="auto"/>
            <w:bottom w:val="none" w:sz="0" w:space="0" w:color="auto"/>
            <w:right w:val="none" w:sz="0" w:space="0" w:color="auto"/>
          </w:divBdr>
        </w:div>
        <w:div w:id="538125534">
          <w:marLeft w:val="0"/>
          <w:marRight w:val="0"/>
          <w:marTop w:val="0"/>
          <w:marBottom w:val="150"/>
          <w:divBdr>
            <w:top w:val="none" w:sz="0" w:space="0" w:color="auto"/>
            <w:left w:val="none" w:sz="0" w:space="0" w:color="auto"/>
            <w:bottom w:val="none" w:sz="0" w:space="0" w:color="auto"/>
            <w:right w:val="none" w:sz="0" w:space="0" w:color="auto"/>
          </w:divBdr>
        </w:div>
        <w:div w:id="1219587597">
          <w:marLeft w:val="0"/>
          <w:marRight w:val="0"/>
          <w:marTop w:val="0"/>
          <w:marBottom w:val="150"/>
          <w:divBdr>
            <w:top w:val="none" w:sz="0" w:space="0" w:color="auto"/>
            <w:left w:val="none" w:sz="0" w:space="0" w:color="auto"/>
            <w:bottom w:val="none" w:sz="0" w:space="0" w:color="auto"/>
            <w:right w:val="none" w:sz="0" w:space="0" w:color="auto"/>
          </w:divBdr>
        </w:div>
        <w:div w:id="1292905569">
          <w:marLeft w:val="0"/>
          <w:marRight w:val="0"/>
          <w:marTop w:val="0"/>
          <w:marBottom w:val="150"/>
          <w:divBdr>
            <w:top w:val="none" w:sz="0" w:space="0" w:color="auto"/>
            <w:left w:val="none" w:sz="0" w:space="0" w:color="auto"/>
            <w:bottom w:val="none" w:sz="0" w:space="0" w:color="auto"/>
            <w:right w:val="none" w:sz="0" w:space="0" w:color="auto"/>
          </w:divBdr>
        </w:div>
        <w:div w:id="195657588">
          <w:marLeft w:val="0"/>
          <w:marRight w:val="0"/>
          <w:marTop w:val="0"/>
          <w:marBottom w:val="0"/>
          <w:divBdr>
            <w:top w:val="none" w:sz="0" w:space="0" w:color="auto"/>
            <w:left w:val="none" w:sz="0" w:space="0" w:color="auto"/>
            <w:bottom w:val="none" w:sz="0" w:space="0" w:color="auto"/>
            <w:right w:val="none" w:sz="0" w:space="0" w:color="auto"/>
          </w:divBdr>
        </w:div>
        <w:div w:id="1119841412">
          <w:marLeft w:val="0"/>
          <w:marRight w:val="0"/>
          <w:marTop w:val="0"/>
          <w:marBottom w:val="0"/>
          <w:divBdr>
            <w:top w:val="none" w:sz="0" w:space="0" w:color="auto"/>
            <w:left w:val="none" w:sz="0" w:space="0" w:color="auto"/>
            <w:bottom w:val="none" w:sz="0" w:space="0" w:color="auto"/>
            <w:right w:val="none" w:sz="0" w:space="0" w:color="auto"/>
          </w:divBdr>
        </w:div>
        <w:div w:id="1778602644">
          <w:marLeft w:val="0"/>
          <w:marRight w:val="0"/>
          <w:marTop w:val="0"/>
          <w:marBottom w:val="0"/>
          <w:divBdr>
            <w:top w:val="none" w:sz="0" w:space="0" w:color="auto"/>
            <w:left w:val="none" w:sz="0" w:space="0" w:color="auto"/>
            <w:bottom w:val="none" w:sz="0" w:space="0" w:color="auto"/>
            <w:right w:val="none" w:sz="0" w:space="0" w:color="auto"/>
          </w:divBdr>
        </w:div>
        <w:div w:id="1051464011">
          <w:marLeft w:val="0"/>
          <w:marRight w:val="0"/>
          <w:marTop w:val="0"/>
          <w:marBottom w:val="0"/>
          <w:divBdr>
            <w:top w:val="none" w:sz="0" w:space="0" w:color="auto"/>
            <w:left w:val="none" w:sz="0" w:space="0" w:color="auto"/>
            <w:bottom w:val="none" w:sz="0" w:space="0" w:color="auto"/>
            <w:right w:val="none" w:sz="0" w:space="0" w:color="auto"/>
          </w:divBdr>
        </w:div>
        <w:div w:id="45107369">
          <w:marLeft w:val="0"/>
          <w:marRight w:val="0"/>
          <w:marTop w:val="0"/>
          <w:marBottom w:val="0"/>
          <w:divBdr>
            <w:top w:val="none" w:sz="0" w:space="0" w:color="auto"/>
            <w:left w:val="none" w:sz="0" w:space="0" w:color="auto"/>
            <w:bottom w:val="none" w:sz="0" w:space="0" w:color="auto"/>
            <w:right w:val="none" w:sz="0" w:space="0" w:color="auto"/>
          </w:divBdr>
        </w:div>
        <w:div w:id="17121219">
          <w:marLeft w:val="0"/>
          <w:marRight w:val="0"/>
          <w:marTop w:val="0"/>
          <w:marBottom w:val="0"/>
          <w:divBdr>
            <w:top w:val="none" w:sz="0" w:space="0" w:color="auto"/>
            <w:left w:val="none" w:sz="0" w:space="0" w:color="auto"/>
            <w:bottom w:val="none" w:sz="0" w:space="0" w:color="auto"/>
            <w:right w:val="none" w:sz="0" w:space="0" w:color="auto"/>
          </w:divBdr>
        </w:div>
        <w:div w:id="300307489">
          <w:marLeft w:val="0"/>
          <w:marRight w:val="0"/>
          <w:marTop w:val="0"/>
          <w:marBottom w:val="0"/>
          <w:divBdr>
            <w:top w:val="none" w:sz="0" w:space="0" w:color="auto"/>
            <w:left w:val="none" w:sz="0" w:space="0" w:color="auto"/>
            <w:bottom w:val="none" w:sz="0" w:space="0" w:color="auto"/>
            <w:right w:val="none" w:sz="0" w:space="0" w:color="auto"/>
          </w:divBdr>
        </w:div>
        <w:div w:id="234322753">
          <w:marLeft w:val="0"/>
          <w:marRight w:val="0"/>
          <w:marTop w:val="0"/>
          <w:marBottom w:val="0"/>
          <w:divBdr>
            <w:top w:val="none" w:sz="0" w:space="0" w:color="auto"/>
            <w:left w:val="none" w:sz="0" w:space="0" w:color="auto"/>
            <w:bottom w:val="none" w:sz="0" w:space="0" w:color="auto"/>
            <w:right w:val="none" w:sz="0" w:space="0" w:color="auto"/>
          </w:divBdr>
        </w:div>
        <w:div w:id="1534615974">
          <w:marLeft w:val="0"/>
          <w:marRight w:val="0"/>
          <w:marTop w:val="0"/>
          <w:marBottom w:val="0"/>
          <w:divBdr>
            <w:top w:val="none" w:sz="0" w:space="0" w:color="auto"/>
            <w:left w:val="none" w:sz="0" w:space="0" w:color="auto"/>
            <w:bottom w:val="none" w:sz="0" w:space="0" w:color="auto"/>
            <w:right w:val="none" w:sz="0" w:space="0" w:color="auto"/>
          </w:divBdr>
        </w:div>
        <w:div w:id="1771504584">
          <w:marLeft w:val="0"/>
          <w:marRight w:val="0"/>
          <w:marTop w:val="0"/>
          <w:marBottom w:val="0"/>
          <w:divBdr>
            <w:top w:val="none" w:sz="0" w:space="0" w:color="auto"/>
            <w:left w:val="none" w:sz="0" w:space="0" w:color="auto"/>
            <w:bottom w:val="none" w:sz="0" w:space="0" w:color="auto"/>
            <w:right w:val="none" w:sz="0" w:space="0" w:color="auto"/>
          </w:divBdr>
        </w:div>
        <w:div w:id="287977703">
          <w:marLeft w:val="0"/>
          <w:marRight w:val="0"/>
          <w:marTop w:val="0"/>
          <w:marBottom w:val="0"/>
          <w:divBdr>
            <w:top w:val="none" w:sz="0" w:space="0" w:color="auto"/>
            <w:left w:val="none" w:sz="0" w:space="0" w:color="auto"/>
            <w:bottom w:val="none" w:sz="0" w:space="0" w:color="auto"/>
            <w:right w:val="none" w:sz="0" w:space="0" w:color="auto"/>
          </w:divBdr>
        </w:div>
        <w:div w:id="1355381913">
          <w:marLeft w:val="0"/>
          <w:marRight w:val="0"/>
          <w:marTop w:val="0"/>
          <w:marBottom w:val="0"/>
          <w:divBdr>
            <w:top w:val="none" w:sz="0" w:space="0" w:color="auto"/>
            <w:left w:val="none" w:sz="0" w:space="0" w:color="auto"/>
            <w:bottom w:val="none" w:sz="0" w:space="0" w:color="auto"/>
            <w:right w:val="none" w:sz="0" w:space="0" w:color="auto"/>
          </w:divBdr>
        </w:div>
        <w:div w:id="1393431918">
          <w:marLeft w:val="0"/>
          <w:marRight w:val="0"/>
          <w:marTop w:val="0"/>
          <w:marBottom w:val="0"/>
          <w:divBdr>
            <w:top w:val="none" w:sz="0" w:space="0" w:color="auto"/>
            <w:left w:val="none" w:sz="0" w:space="0" w:color="auto"/>
            <w:bottom w:val="none" w:sz="0" w:space="0" w:color="auto"/>
            <w:right w:val="none" w:sz="0" w:space="0" w:color="auto"/>
          </w:divBdr>
        </w:div>
        <w:div w:id="2085758745">
          <w:marLeft w:val="0"/>
          <w:marRight w:val="0"/>
          <w:marTop w:val="0"/>
          <w:marBottom w:val="0"/>
          <w:divBdr>
            <w:top w:val="none" w:sz="0" w:space="0" w:color="auto"/>
            <w:left w:val="none" w:sz="0" w:space="0" w:color="auto"/>
            <w:bottom w:val="none" w:sz="0" w:space="0" w:color="auto"/>
            <w:right w:val="none" w:sz="0" w:space="0" w:color="auto"/>
          </w:divBdr>
        </w:div>
        <w:div w:id="1707756467">
          <w:marLeft w:val="0"/>
          <w:marRight w:val="0"/>
          <w:marTop w:val="0"/>
          <w:marBottom w:val="0"/>
          <w:divBdr>
            <w:top w:val="none" w:sz="0" w:space="0" w:color="auto"/>
            <w:left w:val="none" w:sz="0" w:space="0" w:color="auto"/>
            <w:bottom w:val="none" w:sz="0" w:space="0" w:color="auto"/>
            <w:right w:val="none" w:sz="0" w:space="0" w:color="auto"/>
          </w:divBdr>
        </w:div>
        <w:div w:id="658462996">
          <w:marLeft w:val="0"/>
          <w:marRight w:val="0"/>
          <w:marTop w:val="0"/>
          <w:marBottom w:val="0"/>
          <w:divBdr>
            <w:top w:val="none" w:sz="0" w:space="0" w:color="auto"/>
            <w:left w:val="none" w:sz="0" w:space="0" w:color="auto"/>
            <w:bottom w:val="none" w:sz="0" w:space="0" w:color="auto"/>
            <w:right w:val="none" w:sz="0" w:space="0" w:color="auto"/>
          </w:divBdr>
        </w:div>
        <w:div w:id="207425113">
          <w:marLeft w:val="0"/>
          <w:marRight w:val="0"/>
          <w:marTop w:val="0"/>
          <w:marBottom w:val="0"/>
          <w:divBdr>
            <w:top w:val="none" w:sz="0" w:space="0" w:color="auto"/>
            <w:left w:val="none" w:sz="0" w:space="0" w:color="auto"/>
            <w:bottom w:val="none" w:sz="0" w:space="0" w:color="auto"/>
            <w:right w:val="none" w:sz="0" w:space="0" w:color="auto"/>
          </w:divBdr>
        </w:div>
        <w:div w:id="299189814">
          <w:marLeft w:val="0"/>
          <w:marRight w:val="0"/>
          <w:marTop w:val="0"/>
          <w:marBottom w:val="0"/>
          <w:divBdr>
            <w:top w:val="none" w:sz="0" w:space="0" w:color="auto"/>
            <w:left w:val="none" w:sz="0" w:space="0" w:color="auto"/>
            <w:bottom w:val="none" w:sz="0" w:space="0" w:color="auto"/>
            <w:right w:val="none" w:sz="0" w:space="0" w:color="auto"/>
          </w:divBdr>
        </w:div>
        <w:div w:id="1685398851">
          <w:marLeft w:val="0"/>
          <w:marRight w:val="0"/>
          <w:marTop w:val="0"/>
          <w:marBottom w:val="0"/>
          <w:divBdr>
            <w:top w:val="none" w:sz="0" w:space="0" w:color="auto"/>
            <w:left w:val="none" w:sz="0" w:space="0" w:color="auto"/>
            <w:bottom w:val="none" w:sz="0" w:space="0" w:color="auto"/>
            <w:right w:val="none" w:sz="0" w:space="0" w:color="auto"/>
          </w:divBdr>
        </w:div>
        <w:div w:id="72312843">
          <w:marLeft w:val="0"/>
          <w:marRight w:val="0"/>
          <w:marTop w:val="0"/>
          <w:marBottom w:val="0"/>
          <w:divBdr>
            <w:top w:val="none" w:sz="0" w:space="0" w:color="auto"/>
            <w:left w:val="none" w:sz="0" w:space="0" w:color="auto"/>
            <w:bottom w:val="none" w:sz="0" w:space="0" w:color="auto"/>
            <w:right w:val="none" w:sz="0" w:space="0" w:color="auto"/>
          </w:divBdr>
        </w:div>
        <w:div w:id="868906916">
          <w:marLeft w:val="0"/>
          <w:marRight w:val="0"/>
          <w:marTop w:val="0"/>
          <w:marBottom w:val="0"/>
          <w:divBdr>
            <w:top w:val="none" w:sz="0" w:space="0" w:color="auto"/>
            <w:left w:val="none" w:sz="0" w:space="0" w:color="auto"/>
            <w:bottom w:val="none" w:sz="0" w:space="0" w:color="auto"/>
            <w:right w:val="none" w:sz="0" w:space="0" w:color="auto"/>
          </w:divBdr>
        </w:div>
        <w:div w:id="1637562147">
          <w:marLeft w:val="0"/>
          <w:marRight w:val="0"/>
          <w:marTop w:val="0"/>
          <w:marBottom w:val="0"/>
          <w:divBdr>
            <w:top w:val="none" w:sz="0" w:space="0" w:color="auto"/>
            <w:left w:val="none" w:sz="0" w:space="0" w:color="auto"/>
            <w:bottom w:val="none" w:sz="0" w:space="0" w:color="auto"/>
            <w:right w:val="none" w:sz="0" w:space="0" w:color="auto"/>
          </w:divBdr>
        </w:div>
        <w:div w:id="1584605291">
          <w:marLeft w:val="0"/>
          <w:marRight w:val="0"/>
          <w:marTop w:val="0"/>
          <w:marBottom w:val="0"/>
          <w:divBdr>
            <w:top w:val="none" w:sz="0" w:space="0" w:color="auto"/>
            <w:left w:val="none" w:sz="0" w:space="0" w:color="auto"/>
            <w:bottom w:val="none" w:sz="0" w:space="0" w:color="auto"/>
            <w:right w:val="none" w:sz="0" w:space="0" w:color="auto"/>
          </w:divBdr>
        </w:div>
        <w:div w:id="11076372">
          <w:marLeft w:val="0"/>
          <w:marRight w:val="0"/>
          <w:marTop w:val="0"/>
          <w:marBottom w:val="0"/>
          <w:divBdr>
            <w:top w:val="none" w:sz="0" w:space="0" w:color="auto"/>
            <w:left w:val="none" w:sz="0" w:space="0" w:color="auto"/>
            <w:bottom w:val="none" w:sz="0" w:space="0" w:color="auto"/>
            <w:right w:val="none" w:sz="0" w:space="0" w:color="auto"/>
          </w:divBdr>
        </w:div>
        <w:div w:id="321467412">
          <w:marLeft w:val="0"/>
          <w:marRight w:val="0"/>
          <w:marTop w:val="0"/>
          <w:marBottom w:val="0"/>
          <w:divBdr>
            <w:top w:val="none" w:sz="0" w:space="0" w:color="auto"/>
            <w:left w:val="none" w:sz="0" w:space="0" w:color="auto"/>
            <w:bottom w:val="none" w:sz="0" w:space="0" w:color="auto"/>
            <w:right w:val="none" w:sz="0" w:space="0" w:color="auto"/>
          </w:divBdr>
        </w:div>
      </w:divsChild>
    </w:div>
    <w:div w:id="757288116">
      <w:marLeft w:val="0"/>
      <w:marRight w:val="0"/>
      <w:marTop w:val="100"/>
      <w:marBottom w:val="100"/>
      <w:divBdr>
        <w:top w:val="none" w:sz="0" w:space="0" w:color="auto"/>
        <w:left w:val="none" w:sz="0" w:space="0" w:color="auto"/>
        <w:bottom w:val="none" w:sz="0" w:space="0" w:color="auto"/>
        <w:right w:val="none" w:sz="0" w:space="0" w:color="auto"/>
      </w:divBdr>
      <w:divsChild>
        <w:div w:id="916935971">
          <w:marLeft w:val="0"/>
          <w:marRight w:val="0"/>
          <w:marTop w:val="0"/>
          <w:marBottom w:val="0"/>
          <w:divBdr>
            <w:top w:val="none" w:sz="0" w:space="0" w:color="auto"/>
            <w:left w:val="none" w:sz="0" w:space="0" w:color="auto"/>
            <w:bottom w:val="single" w:sz="6"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6384</Words>
  <Characters>36393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View Print Milestone Progress Report</vt:lpstr>
    </vt:vector>
  </TitlesOfParts>
  <Company/>
  <LinksUpToDate>false</LinksUpToDate>
  <CharactersWithSpaces>42692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Print Milestone Progress Report</dc:title>
  <dc:subject/>
  <dc:creator>Clark, Tara (FTA)</dc:creator>
  <cp:keywords/>
  <dc:description/>
  <cp:lastModifiedBy>SYSTEM</cp:lastModifiedBy>
  <cp:revision>2</cp:revision>
  <dcterms:created xsi:type="dcterms:W3CDTF">2019-12-12T19:26:00Z</dcterms:created>
  <dcterms:modified xsi:type="dcterms:W3CDTF">2019-12-12T19:26:00Z</dcterms:modified>
</cp:coreProperties>
</file>