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7C4" w:rsidRDefault="008377C4">
      <w:pPr>
        <w:suppressAutoHyphens/>
        <w:jc w:val="center"/>
        <w:rPr>
          <w:rFonts w:ascii="Times New Roman" w:hAnsi="Times New Roman"/>
          <w:b/>
        </w:rPr>
      </w:pPr>
      <w:bookmarkStart w:id="0" w:name="_GoBack"/>
      <w:bookmarkEnd w:id="0"/>
      <w:r>
        <w:rPr>
          <w:rFonts w:ascii="Times New Roman" w:hAnsi="Times New Roman"/>
          <w:b/>
        </w:rPr>
        <w:t>SUPPORTING STATEMENT FOR NEW AND</w:t>
      </w:r>
    </w:p>
    <w:p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rsidR="00E8419F" w:rsidRDefault="00E8419F">
      <w:pPr>
        <w:tabs>
          <w:tab w:val="center" w:pos="4680"/>
        </w:tabs>
        <w:suppressAutoHyphens/>
        <w:spacing w:after="240"/>
        <w:jc w:val="center"/>
        <w:rPr>
          <w:rFonts w:ascii="Times New Roman" w:hAnsi="Times New Roman"/>
          <w:b/>
        </w:rPr>
      </w:pPr>
      <w:r>
        <w:rPr>
          <w:rFonts w:ascii="Times New Roman" w:hAnsi="Times New Roman"/>
          <w:b/>
        </w:rPr>
        <w:t>Comparabil</w:t>
      </w:r>
      <w:r w:rsidR="00C86D45">
        <w:rPr>
          <w:rFonts w:ascii="Times New Roman" w:hAnsi="Times New Roman"/>
          <w:b/>
        </w:rPr>
        <w:t>i</w:t>
      </w:r>
      <w:r>
        <w:rPr>
          <w:rFonts w:ascii="Times New Roman" w:hAnsi="Times New Roman"/>
          <w:b/>
        </w:rPr>
        <w:t xml:space="preserve">ty Determinations for </w:t>
      </w:r>
      <w:r w:rsidR="00563ED9">
        <w:rPr>
          <w:rFonts w:ascii="Times New Roman" w:hAnsi="Times New Roman"/>
          <w:b/>
        </w:rPr>
        <w:t xml:space="preserve">the </w:t>
      </w:r>
      <w:r>
        <w:rPr>
          <w:rFonts w:ascii="Times New Roman" w:hAnsi="Times New Roman"/>
          <w:b/>
        </w:rPr>
        <w:t>Group A and B Requirements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w:t>
      </w:r>
      <w:r w:rsidR="00F27D9F">
        <w:rPr>
          <w:rFonts w:ascii="Times New Roman" w:hAnsi="Times New Roman"/>
          <w:b/>
        </w:rPr>
        <w:t xml:space="preserve"> 3038-0072</w:t>
      </w:r>
      <w:r w:rsidR="005C0B8C">
        <w:rPr>
          <w:rFonts w:ascii="Times New Roman" w:hAnsi="Times New Roman"/>
          <w:b/>
        </w:rPr>
        <w:t xml:space="preserve"> </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5357C" w:rsidRDefault="00C5357C">
      <w:pPr>
        <w:pStyle w:val="Default"/>
        <w:jc w:val="both"/>
        <w:rPr>
          <w:rFonts w:ascii="Times New Roman" w:hAnsi="Times New Roman" w:cs="Times New Roman"/>
        </w:rPr>
      </w:pPr>
    </w:p>
    <w:p w:rsidR="00C5357C" w:rsidRDefault="00C5357C" w:rsidP="00263A90">
      <w:pPr>
        <w:pStyle w:val="Default"/>
        <w:ind w:firstLine="720"/>
        <w:jc w:val="both"/>
        <w:rPr>
          <w:rFonts w:ascii="Times New Roman" w:hAnsi="Times New Roman" w:cs="Times New Roman"/>
        </w:rPr>
      </w:pPr>
      <w:r>
        <w:rPr>
          <w:rFonts w:ascii="Times New Roman" w:hAnsi="Times New Roman" w:cs="Times New Roman"/>
        </w:rPr>
        <w:t>S</w:t>
      </w:r>
      <w:r w:rsidRPr="00EF358E">
        <w:rPr>
          <w:rFonts w:ascii="Times New Roman" w:hAnsi="Times New Roman" w:cs="Times New Roman"/>
        </w:rPr>
        <w:t xml:space="preserve">ection 2(i) of the </w:t>
      </w:r>
      <w:r w:rsidRPr="00C5357C">
        <w:rPr>
          <w:rFonts w:ascii="Times New Roman" w:hAnsi="Times New Roman" w:cs="Times New Roman"/>
        </w:rPr>
        <w:t>Commodity Exchange Act</w:t>
      </w:r>
      <w:r>
        <w:rPr>
          <w:rFonts w:ascii="Times New Roman" w:hAnsi="Times New Roman" w:cs="Times New Roman"/>
        </w:rPr>
        <w:t xml:space="preserve"> (“CEA”)</w:t>
      </w:r>
      <w:r w:rsidRPr="00EF358E">
        <w:rPr>
          <w:rFonts w:ascii="Times New Roman" w:hAnsi="Times New Roman" w:cs="Times New Roman"/>
        </w:rPr>
        <w:t xml:space="preserve"> provides the </w:t>
      </w:r>
      <w:r>
        <w:rPr>
          <w:rFonts w:ascii="Times New Roman" w:hAnsi="Times New Roman" w:cs="Times New Roman"/>
        </w:rPr>
        <w:t xml:space="preserve">Commodity Futures Trading Commission </w:t>
      </w:r>
      <w:r w:rsidR="005E0D59">
        <w:rPr>
          <w:rFonts w:ascii="Times New Roman" w:hAnsi="Times New Roman" w:cs="Times New Roman"/>
        </w:rPr>
        <w:t>(</w:t>
      </w:r>
      <w:r>
        <w:rPr>
          <w:rFonts w:ascii="Times New Roman" w:hAnsi="Times New Roman" w:cs="Times New Roman"/>
        </w:rPr>
        <w:t>“Commission”)</w:t>
      </w:r>
      <w:r w:rsidRPr="00EF358E">
        <w:rPr>
          <w:rFonts w:ascii="Times New Roman" w:hAnsi="Times New Roman" w:cs="Times New Roman"/>
        </w:rPr>
        <w:t xml:space="preserve"> with express authority over activities outside the United States relating to swaps when certain conditions are met.  </w:t>
      </w:r>
      <w:r>
        <w:rPr>
          <w:rFonts w:ascii="Times New Roman" w:hAnsi="Times New Roman" w:cs="Times New Roman"/>
        </w:rPr>
        <w:t>S</w:t>
      </w:r>
      <w:r w:rsidR="005E0D59">
        <w:rPr>
          <w:rFonts w:ascii="Times New Roman" w:hAnsi="Times New Roman" w:cs="Times New Roman"/>
        </w:rPr>
        <w:t>pecifically, section 2(i)</w:t>
      </w:r>
      <w:r w:rsidRPr="00EF358E">
        <w:rPr>
          <w:rFonts w:ascii="Times New Roman" w:hAnsi="Times New Roman" w:cs="Times New Roman"/>
        </w:rPr>
        <w:t xml:space="preserve"> provides that </w:t>
      </w:r>
      <w:r w:rsidR="005E0D59" w:rsidRPr="005E0D59">
        <w:rPr>
          <w:rFonts w:ascii="Times New Roman" w:hAnsi="Times New Roman" w:cs="Times New Roman"/>
        </w:rPr>
        <w:t>the swaps provisions of the CEA enacted by Title VII (“Title VII”)</w:t>
      </w:r>
      <w:r w:rsidR="005E0D59">
        <w:rPr>
          <w:rFonts w:ascii="Times New Roman" w:hAnsi="Times New Roman" w:cs="Times New Roman"/>
        </w:rPr>
        <w:t xml:space="preserve"> </w:t>
      </w:r>
      <w:r w:rsidR="005E0D59" w:rsidRPr="005E0D59">
        <w:rPr>
          <w:rFonts w:ascii="Times New Roman" w:hAnsi="Times New Roman" w:cs="Times New Roman"/>
        </w:rPr>
        <w:t xml:space="preserve">of the </w:t>
      </w:r>
      <w:r w:rsidR="005E0D59" w:rsidRPr="00EF358E">
        <w:rPr>
          <w:rFonts w:ascii="Times New Roman" w:hAnsi="Times New Roman" w:cs="Times New Roman"/>
        </w:rPr>
        <w:t xml:space="preserve">Wall Street Transparency and Accountability Act of 2010 </w:t>
      </w:r>
      <w:r w:rsidR="005E0D59">
        <w:rPr>
          <w:rFonts w:ascii="Times New Roman" w:hAnsi="Times New Roman" w:cs="Times New Roman"/>
        </w:rPr>
        <w:t>(“Dodd-Frank Act”)</w:t>
      </w:r>
      <w:r w:rsidR="005E0D59" w:rsidRPr="005E0D59">
        <w:rPr>
          <w:rFonts w:ascii="Times New Roman" w:hAnsi="Times New Roman" w:cs="Times New Roman"/>
        </w:rPr>
        <w:t xml:space="preserve"> (including any rule prescribed or regulation promulgated under the CEA) do not apply to activities outside the United States (“U.S.”) unless such activities have a “direct and significant connection with activities in, or effect on, commerce of the United States” or they contravene Commission rules or regulations as are necessary or appropriate to prevent evasion of the swaps provisions of the CEA enacted under Title VII</w:t>
      </w:r>
      <w:r w:rsidRPr="00EF358E">
        <w:rPr>
          <w:rFonts w:ascii="Times New Roman" w:hAnsi="Times New Roman" w:cs="Times New Roman"/>
        </w:rPr>
        <w:t xml:space="preserve">.  </w:t>
      </w:r>
    </w:p>
    <w:p w:rsidR="00C5357C" w:rsidRDefault="00C5357C">
      <w:pPr>
        <w:pStyle w:val="Default"/>
        <w:jc w:val="both"/>
        <w:rPr>
          <w:rFonts w:ascii="Times New Roman" w:hAnsi="Times New Roman" w:cs="Times New Roman"/>
        </w:rPr>
      </w:pPr>
    </w:p>
    <w:p w:rsidR="00EF358E" w:rsidRDefault="00C5357C" w:rsidP="00263A90">
      <w:pPr>
        <w:pStyle w:val="Default"/>
        <w:ind w:firstLine="720"/>
        <w:jc w:val="both"/>
        <w:rPr>
          <w:rFonts w:ascii="Times New Roman" w:hAnsi="Times New Roman" w:cs="Times New Roman"/>
        </w:rPr>
      </w:pPr>
      <w:r>
        <w:rPr>
          <w:rFonts w:ascii="Times New Roman" w:hAnsi="Times New Roman" w:cs="Times New Roman"/>
        </w:rPr>
        <w:t>The Commission</w:t>
      </w:r>
      <w:r w:rsidRPr="00C5357C">
        <w:rPr>
          <w:rFonts w:ascii="Times New Roman" w:hAnsi="Times New Roman" w:cs="Times New Roman"/>
        </w:rPr>
        <w:t xml:space="preserve"> is </w:t>
      </w:r>
      <w:r>
        <w:rPr>
          <w:rFonts w:ascii="Times New Roman" w:hAnsi="Times New Roman" w:cs="Times New Roman"/>
        </w:rPr>
        <w:t>proposing a</w:t>
      </w:r>
      <w:r w:rsidRPr="00C5357C">
        <w:rPr>
          <w:rFonts w:ascii="Times New Roman" w:hAnsi="Times New Roman" w:cs="Times New Roman"/>
        </w:rPr>
        <w:t xml:space="preserve"> rule (“Proposed Rule”) addressing the cross-border application of </w:t>
      </w:r>
      <w:r w:rsidR="00E8419F">
        <w:rPr>
          <w:rFonts w:ascii="Times New Roman" w:hAnsi="Times New Roman" w:cs="Times New Roman"/>
        </w:rPr>
        <w:t>certain</w:t>
      </w:r>
      <w:r w:rsidRPr="00C5357C">
        <w:rPr>
          <w:rFonts w:ascii="Times New Roman" w:hAnsi="Times New Roman" w:cs="Times New Roman"/>
        </w:rPr>
        <w:t xml:space="preserve"> swaps provisions of the </w:t>
      </w:r>
      <w:r>
        <w:rPr>
          <w:rFonts w:ascii="Times New Roman" w:hAnsi="Times New Roman" w:cs="Times New Roman"/>
        </w:rPr>
        <w:t>CEA</w:t>
      </w:r>
      <w:r w:rsidRPr="00C5357C">
        <w:rPr>
          <w:rFonts w:ascii="Times New Roman" w:hAnsi="Times New Roman" w:cs="Times New Roman"/>
        </w:rPr>
        <w:t xml:space="preserve">, as added by Title VII. </w:t>
      </w:r>
      <w:r>
        <w:rPr>
          <w:rFonts w:ascii="Times New Roman" w:hAnsi="Times New Roman" w:cs="Times New Roman"/>
        </w:rPr>
        <w:t xml:space="preserve"> T</w:t>
      </w:r>
      <w:r w:rsidRPr="00C5357C">
        <w:rPr>
          <w:rFonts w:ascii="Times New Roman" w:hAnsi="Times New Roman" w:cs="Times New Roman"/>
        </w:rPr>
        <w:t>he Proposed Rule defines key terms for purposes of applying the</w:t>
      </w:r>
      <w:r w:rsidR="00E8419F">
        <w:rPr>
          <w:rFonts w:ascii="Times New Roman" w:hAnsi="Times New Roman" w:cs="Times New Roman"/>
        </w:rPr>
        <w:t>se</w:t>
      </w:r>
      <w:r w:rsidRPr="00C5357C">
        <w:rPr>
          <w:rFonts w:ascii="Times New Roman" w:hAnsi="Times New Roman" w:cs="Times New Roman"/>
        </w:rPr>
        <w:t xml:space="preserve"> CEA’s swaps provisions to cross-border transactions, addresses the cross-border application of the registration thresholds and certain requirements </w:t>
      </w:r>
      <w:r w:rsidR="00E8419F">
        <w:rPr>
          <w:rFonts w:ascii="Times New Roman" w:hAnsi="Times New Roman" w:cs="Times New Roman"/>
        </w:rPr>
        <w:t>(“Group A and Group B Requirements”)</w:t>
      </w:r>
      <w:r w:rsidR="00654F39">
        <w:rPr>
          <w:rStyle w:val="FootnoteReference"/>
          <w:rFonts w:ascii="Times New Roman" w:hAnsi="Times New Roman" w:cs="Times New Roman"/>
        </w:rPr>
        <w:footnoteReference w:id="1"/>
      </w:r>
      <w:r w:rsidR="00E8419F">
        <w:rPr>
          <w:rFonts w:ascii="Times New Roman" w:hAnsi="Times New Roman" w:cs="Times New Roman"/>
        </w:rPr>
        <w:t xml:space="preserve"> </w:t>
      </w:r>
      <w:r w:rsidRPr="00C5357C">
        <w:rPr>
          <w:rFonts w:ascii="Times New Roman" w:hAnsi="Times New Roman" w:cs="Times New Roman"/>
        </w:rPr>
        <w:t>applicable to swap dealers and major swap participants, and establishes a formal process for requesting comparability determinations for such requirements from the Commission.</w:t>
      </w:r>
      <w:r w:rsidR="004433DB" w:rsidRPr="004433DB">
        <w:rPr>
          <w:rFonts w:ascii="Times New Roman" w:hAnsi="Times New Roman" w:cs="Times New Roman"/>
        </w:rPr>
        <w:t xml:space="preserve"> </w:t>
      </w:r>
      <w:r>
        <w:rPr>
          <w:rFonts w:ascii="Times New Roman" w:hAnsi="Times New Roman" w:cs="Times New Roman"/>
        </w:rPr>
        <w:t xml:space="preserve"> </w:t>
      </w:r>
    </w:p>
    <w:p w:rsidR="00C5357C" w:rsidRDefault="00C5357C" w:rsidP="00EF358E">
      <w:pPr>
        <w:pStyle w:val="Default"/>
        <w:jc w:val="both"/>
        <w:rPr>
          <w:rFonts w:ascii="Times New Roman" w:hAnsi="Times New Roman" w:cs="Times New Roman"/>
        </w:rPr>
      </w:pPr>
    </w:p>
    <w:p w:rsidR="00C5357C" w:rsidRPr="00EF358E" w:rsidRDefault="00C5357C" w:rsidP="00263A90">
      <w:pPr>
        <w:pStyle w:val="Default"/>
        <w:ind w:firstLine="720"/>
        <w:jc w:val="both"/>
        <w:rPr>
          <w:rFonts w:ascii="Times New Roman" w:hAnsi="Times New Roman" w:cs="Times New Roman"/>
        </w:rPr>
      </w:pPr>
      <w:r w:rsidRPr="00C5357C">
        <w:rPr>
          <w:rFonts w:ascii="Times New Roman" w:hAnsi="Times New Roman" w:cs="Times New Roman"/>
        </w:rPr>
        <w:t xml:space="preserve">As part of the Proposed Rule, the Commission is proposing to permit certain swap dealers and major swap participants registered with the Commission (“swap entities”) to comply with a foreign jurisdiction’s swap </w:t>
      </w:r>
      <w:r w:rsidR="004E7220">
        <w:rPr>
          <w:rFonts w:ascii="Times New Roman" w:hAnsi="Times New Roman" w:cs="Times New Roman"/>
        </w:rPr>
        <w:t>standards</w:t>
      </w:r>
      <w:r w:rsidRPr="00C5357C">
        <w:rPr>
          <w:rFonts w:ascii="Times New Roman" w:hAnsi="Times New Roman" w:cs="Times New Roman"/>
        </w:rPr>
        <w:t xml:space="preserve"> in lieu of </w:t>
      </w:r>
      <w:r w:rsidR="00E8419F">
        <w:rPr>
          <w:rFonts w:ascii="Times New Roman" w:hAnsi="Times New Roman" w:cs="Times New Roman"/>
        </w:rPr>
        <w:t>the Group A and Group B Requirements</w:t>
      </w:r>
      <w:r w:rsidRPr="00C5357C">
        <w:rPr>
          <w:rFonts w:ascii="Times New Roman" w:hAnsi="Times New Roman" w:cs="Times New Roman"/>
        </w:rPr>
        <w:t xml:space="preserve"> in certain cases, provided that the Commission determines that such foreign </w:t>
      </w:r>
      <w:r w:rsidR="004E7220">
        <w:rPr>
          <w:rFonts w:ascii="Times New Roman" w:hAnsi="Times New Roman" w:cs="Times New Roman"/>
        </w:rPr>
        <w:t>standards</w:t>
      </w:r>
      <w:r w:rsidRPr="00C5357C">
        <w:rPr>
          <w:rFonts w:ascii="Times New Roman" w:hAnsi="Times New Roman" w:cs="Times New Roman"/>
        </w:rPr>
        <w:t xml:space="preserve"> are comparable to </w:t>
      </w:r>
      <w:r w:rsidR="00E8419F">
        <w:rPr>
          <w:rFonts w:ascii="Times New Roman" w:hAnsi="Times New Roman" w:cs="Times New Roman"/>
        </w:rPr>
        <w:t>such</w:t>
      </w:r>
      <w:r w:rsidRPr="00C5357C">
        <w:rPr>
          <w:rFonts w:ascii="Times New Roman" w:hAnsi="Times New Roman" w:cs="Times New Roman"/>
        </w:rPr>
        <w:t xml:space="preserve"> requirements.  The Proposed Rule would implement a process pursuant to which the Commission would conduct these comparability determinations, including outlining procedures for initiating such determinations.  A comparability determination could be requested by swap entities that are eligible for substituted compliance</w:t>
      </w:r>
      <w:r w:rsidR="00E8419F">
        <w:rPr>
          <w:rFonts w:ascii="Times New Roman" w:hAnsi="Times New Roman" w:cs="Times New Roman"/>
        </w:rPr>
        <w:t xml:space="preserve"> for the Group A and Group B Requirements</w:t>
      </w:r>
      <w:r w:rsidRPr="00C5357C">
        <w:rPr>
          <w:rFonts w:ascii="Times New Roman" w:hAnsi="Times New Roman" w:cs="Times New Roman"/>
        </w:rPr>
        <w:t xml:space="preserve">, their trade associations, and foreign regulatory authorities meeting certain </w:t>
      </w:r>
      <w:r w:rsidRPr="00C5357C">
        <w:rPr>
          <w:rFonts w:ascii="Times New Roman" w:hAnsi="Times New Roman" w:cs="Times New Roman"/>
        </w:rPr>
        <w:lastRenderedPageBreak/>
        <w:t xml:space="preserve">requirements. </w:t>
      </w:r>
      <w:r w:rsidR="006C5EEE">
        <w:rPr>
          <w:rFonts w:ascii="Times New Roman" w:hAnsi="Times New Roman" w:cs="Times New Roman"/>
        </w:rPr>
        <w:t xml:space="preserve"> </w:t>
      </w:r>
      <w:r w:rsidRPr="00C5357C">
        <w:rPr>
          <w:rFonts w:ascii="Times New Roman" w:hAnsi="Times New Roman" w:cs="Times New Roman"/>
        </w:rPr>
        <w:t xml:space="preserve">Applicants seeking a comparability determination would be required to furnish certain information to the Commission that provides a comprehensive explanation of the foreign jurisdiction’s relevant swap </w:t>
      </w:r>
      <w:r w:rsidR="004E7220">
        <w:rPr>
          <w:rFonts w:ascii="Times New Roman" w:hAnsi="Times New Roman" w:cs="Times New Roman"/>
        </w:rPr>
        <w:t>standards</w:t>
      </w:r>
      <w:r w:rsidRPr="00C5357C">
        <w:rPr>
          <w:rFonts w:ascii="Times New Roman" w:hAnsi="Times New Roman" w:cs="Times New Roman"/>
        </w:rPr>
        <w:t xml:space="preserve">, including how they might differ from the corresponding requirements in the CEA and </w:t>
      </w:r>
      <w:r w:rsidR="00E8419F">
        <w:rPr>
          <w:rFonts w:ascii="Times New Roman" w:hAnsi="Times New Roman" w:cs="Times New Roman"/>
        </w:rPr>
        <w:t>the Group A and Group B Requirements</w:t>
      </w:r>
      <w:r w:rsidRPr="00C5357C">
        <w:rPr>
          <w:rFonts w:ascii="Times New Roman" w:hAnsi="Times New Roman" w:cs="Times New Roman"/>
        </w:rPr>
        <w:t xml:space="preserve"> and how, notwithstanding such differences, the foreign jurisdiction’s swap </w:t>
      </w:r>
      <w:r w:rsidR="004E7220">
        <w:rPr>
          <w:rFonts w:ascii="Times New Roman" w:hAnsi="Times New Roman" w:cs="Times New Roman"/>
        </w:rPr>
        <w:t>standards</w:t>
      </w:r>
      <w:r w:rsidRPr="00C5357C">
        <w:rPr>
          <w:rFonts w:ascii="Times New Roman" w:hAnsi="Times New Roman" w:cs="Times New Roman"/>
        </w:rPr>
        <w:t xml:space="preserve"> achieve comparable outcomes to those of the Commission.  </w:t>
      </w:r>
      <w:r w:rsidRPr="00EF358E">
        <w:rPr>
          <w:rFonts w:ascii="Times New Roman" w:hAnsi="Times New Roman" w:cs="Times New Roman"/>
        </w:rPr>
        <w:t>Once a comparability determination is made for a jurisdiction, it would apply for all entities or transactions in that jurisdiction to the extent provided in the comparability determination, as approved by the Commission and subject to any conditions specified by the Commission.</w:t>
      </w:r>
      <w:r>
        <w:rPr>
          <w:rFonts w:ascii="Times New Roman" w:hAnsi="Times New Roman" w:cs="Times New Roman"/>
        </w:rPr>
        <w:t xml:space="preserve"> </w:t>
      </w:r>
      <w:r w:rsidRPr="00C5357C">
        <w:rPr>
          <w:rFonts w:ascii="Times New Roman" w:hAnsi="Times New Roman" w:cs="Times New Roman"/>
        </w:rPr>
        <w:t xml:space="preserve">The information collection would be necessary for the Commission to consider whether the foreign jurisdiction’s relevant swap </w:t>
      </w:r>
      <w:r w:rsidR="004E7220">
        <w:rPr>
          <w:rFonts w:ascii="Times New Roman" w:hAnsi="Times New Roman" w:cs="Times New Roman"/>
        </w:rPr>
        <w:t>standards</w:t>
      </w:r>
      <w:r w:rsidRPr="00C5357C">
        <w:rPr>
          <w:rFonts w:ascii="Times New Roman" w:hAnsi="Times New Roman" w:cs="Times New Roman"/>
        </w:rPr>
        <w:t xml:space="preserve"> are comparable to the Commission’s requirements.</w:t>
      </w:r>
    </w:p>
    <w:p w:rsidR="0070031C" w:rsidRDefault="0070031C" w:rsidP="00301D9B">
      <w:pPr>
        <w:pStyle w:val="Default"/>
        <w:jc w:val="both"/>
        <w:rPr>
          <w:rFonts w:ascii="Times New Roman" w:hAnsi="Times New Roman" w:cs="Times New Roman"/>
        </w:rPr>
      </w:pPr>
    </w:p>
    <w:p w:rsidR="008377C4" w:rsidRDefault="008377C4">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pPr>
        <w:jc w:val="both"/>
        <w:rPr>
          <w:rFonts w:ascii="Times New Roman" w:hAnsi="Times New Roman"/>
        </w:rPr>
      </w:pPr>
    </w:p>
    <w:p w:rsidR="008377C4" w:rsidRDefault="00EF358E" w:rsidP="00263A90">
      <w:pPr>
        <w:ind w:firstLine="720"/>
        <w:jc w:val="both"/>
        <w:rPr>
          <w:rFonts w:ascii="Times New Roman" w:hAnsi="Times New Roman"/>
        </w:rPr>
      </w:pPr>
      <w:r w:rsidRPr="00EF358E">
        <w:rPr>
          <w:rFonts w:ascii="Times New Roman" w:hAnsi="Times New Roman"/>
        </w:rPr>
        <w:t xml:space="preserve">Persons requesting a comparability determination would be required to submit documentation to the Commission.  As noted above, </w:t>
      </w:r>
      <w:r w:rsidR="004E7220" w:rsidRPr="00C5357C">
        <w:rPr>
          <w:rFonts w:ascii="Times New Roman" w:hAnsi="Times New Roman"/>
        </w:rPr>
        <w:t>swap entities that are eligible for substituted compliance, their trade associations, and foreign regulatory authorities meeting certain requirements</w:t>
      </w:r>
      <w:r w:rsidRPr="00EF358E">
        <w:rPr>
          <w:rFonts w:ascii="Times New Roman" w:hAnsi="Times New Roman"/>
        </w:rPr>
        <w:t xml:space="preserve">, may make </w:t>
      </w:r>
      <w:r w:rsidR="005E0D59">
        <w:rPr>
          <w:rFonts w:ascii="Times New Roman" w:hAnsi="Times New Roman"/>
        </w:rPr>
        <w:t xml:space="preserve">such </w:t>
      </w:r>
      <w:r w:rsidRPr="00EF358E">
        <w:rPr>
          <w:rFonts w:ascii="Times New Roman" w:hAnsi="Times New Roman"/>
        </w:rPr>
        <w:t xml:space="preserve">a request.  The Commission will use this information to determine whether the relevant foreign jurisdiction’s </w:t>
      </w:r>
      <w:r w:rsidR="004E7220">
        <w:rPr>
          <w:rFonts w:ascii="Times New Roman" w:hAnsi="Times New Roman"/>
        </w:rPr>
        <w:t>standards</w:t>
      </w:r>
      <w:r w:rsidRPr="00EF358E">
        <w:rPr>
          <w:rFonts w:ascii="Times New Roman" w:hAnsi="Times New Roman"/>
        </w:rPr>
        <w:t xml:space="preserve"> are comparable to the </w:t>
      </w:r>
      <w:r w:rsidR="00B84650">
        <w:rPr>
          <w:rFonts w:ascii="Times New Roman" w:hAnsi="Times New Roman"/>
        </w:rPr>
        <w:t xml:space="preserve">relevant </w:t>
      </w:r>
      <w:r w:rsidR="00E8419F">
        <w:rPr>
          <w:rFonts w:ascii="Times New Roman" w:hAnsi="Times New Roman"/>
        </w:rPr>
        <w:t>Group A and Group B Requirements</w:t>
      </w:r>
      <w:r w:rsidR="004E7220">
        <w:rPr>
          <w:rFonts w:ascii="Times New Roman" w:hAnsi="Times New Roman"/>
        </w:rPr>
        <w:t xml:space="preserve"> for purposes of allowing substituted compliance under the Proposed Rule</w:t>
      </w:r>
      <w:r w:rsidRPr="00EF358E">
        <w:rPr>
          <w:rFonts w:ascii="Times New Roman" w:hAnsi="Times New Roman"/>
        </w:rPr>
        <w:t xml:space="preserve">.  </w:t>
      </w:r>
    </w:p>
    <w:p w:rsidR="00263A90" w:rsidRDefault="00263A90" w:rsidP="000D0E60">
      <w:pPr>
        <w:keepNext/>
        <w:tabs>
          <w:tab w:val="left" w:pos="-720"/>
        </w:tabs>
        <w:spacing w:after="240"/>
        <w:ind w:left="720" w:hanging="720"/>
        <w:jc w:val="both"/>
        <w:rPr>
          <w:rFonts w:ascii="Times New Roman" w:hAnsi="Times New Roman"/>
          <w:b/>
        </w:rPr>
      </w:pPr>
    </w:p>
    <w:p w:rsidR="000D0E60" w:rsidRDefault="008377C4" w:rsidP="000D0E60">
      <w:pPr>
        <w:keepNext/>
        <w:tabs>
          <w:tab w:val="left" w:pos="-720"/>
        </w:tabs>
        <w:spacing w:after="240"/>
        <w:ind w:left="720" w:hanging="720"/>
        <w:jc w:val="both"/>
        <w:rPr>
          <w:rFonts w:ascii="Times New Roman" w:hAnsi="Times New Roman"/>
          <w:b/>
        </w:rPr>
      </w:pPr>
      <w:r>
        <w:rPr>
          <w:rFonts w:ascii="Times New Roman" w:hAnsi="Times New Roman"/>
          <w:b/>
        </w:rPr>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w:t>
      </w:r>
      <w:r w:rsidR="005556BF">
        <w:rPr>
          <w:rFonts w:ascii="Times New Roman" w:hAnsi="Times New Roman"/>
          <w:b/>
        </w:rPr>
        <w:t>,</w:t>
      </w:r>
      <w:r>
        <w:rPr>
          <w:rFonts w:ascii="Times New Roman" w:hAnsi="Times New Roman"/>
          <w:b/>
        </w:rPr>
        <w:t xml:space="preserve"> permitting electronic submission of responses, and the basis for the decision for adopting this means of collection.  Also describe any consideration of using information technology to reduce burden.</w:t>
      </w:r>
    </w:p>
    <w:p w:rsidR="00C85E9F" w:rsidRDefault="00AE73CD" w:rsidP="00C92A15">
      <w:pPr>
        <w:keepNext/>
        <w:tabs>
          <w:tab w:val="left" w:pos="-720"/>
        </w:tabs>
        <w:jc w:val="both"/>
        <w:rPr>
          <w:rFonts w:ascii="Times New Roman" w:hAnsi="Times New Roman"/>
        </w:rPr>
      </w:pPr>
      <w:r>
        <w:rPr>
          <w:rFonts w:ascii="Times New Roman" w:hAnsi="Times New Roman"/>
        </w:rPr>
        <w:tab/>
      </w:r>
      <w:r w:rsidR="00EF358E" w:rsidRPr="00EF358E">
        <w:rPr>
          <w:rFonts w:ascii="Times New Roman" w:hAnsi="Times New Roman"/>
        </w:rPr>
        <w:t xml:space="preserve">The collection of information may be reported electronically.  The Commission would permit </w:t>
      </w:r>
      <w:r w:rsidR="004E7220">
        <w:rPr>
          <w:rFonts w:ascii="Times New Roman" w:hAnsi="Times New Roman"/>
        </w:rPr>
        <w:t xml:space="preserve">requestors of comparability determinations </w:t>
      </w:r>
      <w:r w:rsidR="00EF358E" w:rsidRPr="00EF358E">
        <w:rPr>
          <w:rFonts w:ascii="Times New Roman" w:hAnsi="Times New Roman"/>
        </w:rPr>
        <w:t xml:space="preserve">to submit information to the Commission electronically.  </w:t>
      </w:r>
    </w:p>
    <w:p w:rsidR="00C85E9F" w:rsidRDefault="00C85E9F" w:rsidP="00C92A15">
      <w:pPr>
        <w:keepNext/>
        <w:tabs>
          <w:tab w:val="left" w:pos="-720"/>
        </w:tabs>
        <w:jc w:val="both"/>
        <w:rPr>
          <w:rFonts w:ascii="Times New Roman" w:hAnsi="Times New Roman"/>
        </w:rPr>
      </w:pP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AE73CD">
      <w:pPr>
        <w:tabs>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 xml:space="preserve">The collection of information includes the submission of information from </w:t>
      </w:r>
      <w:r w:rsidR="004E7220">
        <w:rPr>
          <w:rFonts w:ascii="Times New Roman" w:hAnsi="Times New Roman"/>
        </w:rPr>
        <w:t>requestors that</w:t>
      </w:r>
      <w:r w:rsidR="00EF358E" w:rsidRPr="00EF358E">
        <w:rPr>
          <w:rFonts w:ascii="Times New Roman" w:hAnsi="Times New Roman"/>
        </w:rPr>
        <w:t xml:space="preserve"> are engaged in activities that implicate </w:t>
      </w:r>
      <w:r w:rsidR="00E8419F">
        <w:rPr>
          <w:rFonts w:ascii="Times New Roman" w:hAnsi="Times New Roman"/>
        </w:rPr>
        <w:t>the Group A and Group B Requirements</w:t>
      </w:r>
      <w:r w:rsidR="00EF358E" w:rsidRPr="00EF358E">
        <w:rPr>
          <w:rFonts w:ascii="Times New Roman" w:hAnsi="Times New Roman"/>
        </w:rPr>
        <w:t>.  This information would not have been previously submitted by the respondents to the Commission.  Therefore, the required information is not already collected by the Commission for any other purpose, collected by any other agency from the affected respondents, or available for public disclosure through any other source.</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lastRenderedPageBreak/>
        <w:t>5.</w:t>
      </w:r>
      <w:r>
        <w:rPr>
          <w:rFonts w:ascii="Times New Roman" w:hAnsi="Times New Roman"/>
          <w:b/>
        </w:rPr>
        <w:tab/>
        <w:t>If the collection of information involves small business or other small entities (Item 5 of OMB From 83-I), describe the methods used to minimize burden.</w:t>
      </w:r>
    </w:p>
    <w:p w:rsidR="008377C4" w:rsidRDefault="00AE73CD" w:rsidP="00E611AC">
      <w:pPr>
        <w:tabs>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 xml:space="preserve">The collection of information will not have a significant impact on small entities.  </w:t>
      </w:r>
      <w:r w:rsidR="004C4DC8">
        <w:rPr>
          <w:rFonts w:ascii="Times New Roman" w:hAnsi="Times New Roman"/>
        </w:rPr>
        <w:t xml:space="preserve"> </w:t>
      </w:r>
      <w:r w:rsidR="001D5087">
        <w:rPr>
          <w:rFonts w:ascii="Times New Roman" w:hAnsi="Times New Roman"/>
        </w:rPr>
        <w:t xml:space="preserv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RDefault="00EF358E" w:rsidP="00263A90">
      <w:pPr>
        <w:pStyle w:val="Default"/>
        <w:ind w:firstLine="720"/>
        <w:jc w:val="both"/>
        <w:rPr>
          <w:rFonts w:ascii="Times New Roman" w:hAnsi="Times New Roman" w:cs="Times New Roman"/>
        </w:rPr>
      </w:pPr>
      <w:r w:rsidRPr="00EF358E">
        <w:rPr>
          <w:rFonts w:ascii="Times New Roman" w:hAnsi="Times New Roman" w:cs="Times New Roman"/>
        </w:rPr>
        <w:t xml:space="preserve">A </w:t>
      </w:r>
      <w:r w:rsidR="00A11BA0">
        <w:rPr>
          <w:rFonts w:ascii="Times New Roman" w:hAnsi="Times New Roman" w:cs="Times New Roman"/>
        </w:rPr>
        <w:t>requestor</w:t>
      </w:r>
      <w:r w:rsidRPr="00EF358E">
        <w:rPr>
          <w:rFonts w:ascii="Times New Roman" w:hAnsi="Times New Roman" w:cs="Times New Roman"/>
        </w:rPr>
        <w:t xml:space="preserve"> is required to submit documentation in support of a request for a comparability determination only once.  If the Commission did not receive information regarding a comparability determination, the Commission could not assess whether the foreign jurisdiction’s </w:t>
      </w:r>
      <w:r w:rsidR="00A11BA0">
        <w:rPr>
          <w:rFonts w:ascii="Times New Roman" w:hAnsi="Times New Roman" w:cs="Times New Roman"/>
        </w:rPr>
        <w:t>swap standards</w:t>
      </w:r>
      <w:r w:rsidRPr="00EF358E">
        <w:rPr>
          <w:rFonts w:ascii="Times New Roman" w:hAnsi="Times New Roman" w:cs="Times New Roman"/>
        </w:rPr>
        <w:t xml:space="preserve"> are comparable to the </w:t>
      </w:r>
      <w:r w:rsidR="00B84650">
        <w:rPr>
          <w:rFonts w:ascii="Times New Roman" w:hAnsi="Times New Roman" w:cs="Times New Roman"/>
        </w:rPr>
        <w:t xml:space="preserve">relevant </w:t>
      </w:r>
      <w:r w:rsidR="00E8419F">
        <w:rPr>
          <w:rFonts w:ascii="Times New Roman" w:hAnsi="Times New Roman" w:cs="Times New Roman"/>
        </w:rPr>
        <w:t>Group A and Group B Requirements</w:t>
      </w:r>
      <w:r w:rsidRPr="00EF358E">
        <w:rPr>
          <w:rFonts w:ascii="Times New Roman" w:hAnsi="Times New Roman" w:cs="Times New Roman"/>
        </w:rPr>
        <w:t>.</w:t>
      </w:r>
    </w:p>
    <w:p w:rsidR="005E0D59" w:rsidRDefault="005E0D59" w:rsidP="00263A90">
      <w:pPr>
        <w:pStyle w:val="Default"/>
        <w:ind w:firstLine="720"/>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Not applicable.  The documentation in support of a comparability determination would only need to be submitted once.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This question does not apply.</w:t>
      </w:r>
      <w:r w:rsidR="00F95239">
        <w:rPr>
          <w:rFonts w:ascii="Times New Roman" w:hAnsi="Times New Roman"/>
        </w:rPr>
        <w:t xml:space="preserve">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more </w:t>
      </w:r>
      <w:r w:rsidR="006C5EEE">
        <w:rPr>
          <w:rFonts w:ascii="Times New Roman" w:hAnsi="Times New Roman"/>
          <w:b/>
        </w:rPr>
        <w:t xml:space="preserve">than </w:t>
      </w:r>
      <w:r>
        <w:rPr>
          <w:rFonts w:ascii="Times New Roman" w:hAnsi="Times New Roman"/>
          <w:b/>
        </w:rPr>
        <w:t>an original and two copies of any document;</w:t>
      </w:r>
    </w:p>
    <w:p w:rsidR="009A148D" w:rsidRDefault="00AE73CD" w:rsidP="00EF358E">
      <w:pPr>
        <w:tabs>
          <w:tab w:val="left" w:pos="-720"/>
          <w:tab w:val="left" w:pos="0"/>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Respondents are not required to submit more than an original and two copies of any documents to the Commission or third parties.</w:t>
      </w:r>
    </w:p>
    <w:p w:rsidR="008377C4" w:rsidRDefault="008377C4" w:rsidP="009A148D">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D10C10" w:rsidRPr="0055257F" w:rsidRDefault="00AE73CD" w:rsidP="00D10C10">
      <w:pPr>
        <w:tabs>
          <w:tab w:val="left" w:pos="-720"/>
          <w:tab w:val="left" w:pos="0"/>
          <w:tab w:val="left" w:pos="720"/>
        </w:tabs>
        <w:spacing w:after="240"/>
        <w:jc w:val="both"/>
        <w:rPr>
          <w:rFonts w:ascii="Times New Roman" w:hAnsi="Times New Roman"/>
        </w:rPr>
      </w:pPr>
      <w:r>
        <w:rPr>
          <w:rFonts w:ascii="Times New Roman" w:hAnsi="Times New Roman"/>
        </w:rPr>
        <w:tab/>
      </w:r>
      <w:r w:rsidR="00E15923" w:rsidRPr="00E15923">
        <w:rPr>
          <w:rFonts w:ascii="Times New Roman" w:hAnsi="Times New Roman"/>
        </w:rPr>
        <w:t xml:space="preserve">Commission Regulation 1.31(b) expressly requires that books and records required to be kept by the CEA or Commission regulations be retained for certain specified periods.  Other than with respect to oral communications and records exclusively created and maintained on paper, the shortest of these periods is five years from the date of creation.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w:t>
      </w:r>
      <w:r w:rsidR="00B871D8">
        <w:rPr>
          <w:rFonts w:ascii="Times New Roman" w:hAnsi="Times New Roman"/>
          <w:b/>
        </w:rPr>
        <w:t>t</w:t>
      </w:r>
      <w:r>
        <w:rPr>
          <w:rFonts w:ascii="Times New Roman" w:hAnsi="Times New Roman"/>
          <w:b/>
        </w:rPr>
        <w:t>e or regulation, that is not supported by disclosure and data security policies that are consistent with the pledge, or which unnecessarily impedes sharing of data with other agencies for compatible confidential use; or</w:t>
      </w:r>
    </w:p>
    <w:p w:rsidR="008377C4" w:rsidRDefault="00AE73CD">
      <w:pPr>
        <w:tabs>
          <w:tab w:val="left" w:pos="-720"/>
          <w:tab w:val="left" w:pos="0"/>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p>
    <w:p w:rsidR="008377C4" w:rsidRPr="00F74530"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requiring respondents to submit proprietary trade secrets, or other confidential information unless the agency can demonstrate that it has instituted procedures </w:t>
      </w:r>
      <w:r w:rsidRPr="00F74530">
        <w:rPr>
          <w:rFonts w:ascii="Times New Roman" w:hAnsi="Times New Roman"/>
          <w:b/>
        </w:rPr>
        <w:t>to protect the information's confidentiality to the extent permitted by law.</w:t>
      </w:r>
    </w:p>
    <w:p w:rsidR="00261931" w:rsidRPr="00261931" w:rsidRDefault="00295F14" w:rsidP="00261931">
      <w:pPr>
        <w:tabs>
          <w:tab w:val="left" w:pos="-720"/>
          <w:tab w:val="left" w:pos="0"/>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The Commission has procedures to protect the confidentiality of an applicant’s or registrant’s data.  These are set forth in the Commission’s regulations at parts 145 and 147 of title 17 of the Code of Federal Regulations.</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19725E">
        <w:rPr>
          <w:rFonts w:ascii="Times New Roman" w:hAnsi="Times New Roman"/>
          <w:b/>
        </w:rPr>
        <w:t xml:space="preserve"> </w:t>
      </w:r>
    </w:p>
    <w:p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E0D59" w:rsidRDefault="00235AFB" w:rsidP="00235AFB">
      <w:pPr>
        <w:tabs>
          <w:tab w:val="left" w:pos="-720"/>
        </w:tabs>
        <w:spacing w:after="240"/>
        <w:ind w:firstLine="720"/>
        <w:jc w:val="both"/>
        <w:rPr>
          <w:rFonts w:ascii="Times New Roman" w:hAnsi="Times New Roman"/>
        </w:rPr>
      </w:pPr>
      <w:r>
        <w:rPr>
          <w:rFonts w:ascii="Times New Roman" w:hAnsi="Times New Roman"/>
        </w:rPr>
        <w:t xml:space="preserve">As part of the rulemaking process, the Proposed Rule was published in the Federal Register at 84 FR </w:t>
      </w:r>
      <w:r w:rsidR="00E15923">
        <w:rPr>
          <w:rFonts w:ascii="Times New Roman" w:hAnsi="Times New Roman"/>
        </w:rPr>
        <w:t>[</w:t>
      </w:r>
      <w:r>
        <w:rPr>
          <w:rFonts w:ascii="Times New Roman" w:hAnsi="Times New Roman"/>
        </w:rPr>
        <w:t>___</w:t>
      </w:r>
      <w:r w:rsidR="00E15923">
        <w:rPr>
          <w:rFonts w:ascii="Times New Roman" w:hAnsi="Times New Roman"/>
        </w:rPr>
        <w:t>]</w:t>
      </w:r>
      <w:r>
        <w:rPr>
          <w:rFonts w:ascii="Times New Roman" w:hAnsi="Times New Roman"/>
        </w:rPr>
        <w:t xml:space="preserve">__.  </w:t>
      </w:r>
      <w:r w:rsidR="00EF358E" w:rsidRPr="00EF358E">
        <w:rPr>
          <w:rFonts w:ascii="Times New Roman" w:hAnsi="Times New Roman"/>
        </w:rPr>
        <w:t xml:space="preserve">In the proposing Federal Register release, the Commission seeks public comment on any aspect of the proposed collection of information. </w:t>
      </w:r>
    </w:p>
    <w:p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r w:rsidR="00304517">
        <w:rPr>
          <w:rFonts w:ascii="Times New Roman" w:hAnsi="Times New Roman"/>
          <w:b/>
        </w:rPr>
        <w:t>remuneration</w:t>
      </w:r>
      <w:r>
        <w:rPr>
          <w:rFonts w:ascii="Times New Roman" w:hAnsi="Times New Roman"/>
          <w:b/>
        </w:rPr>
        <w:t xml:space="preserve"> of contractors or grantees.</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This question does not apply.  </w:t>
      </w:r>
      <w:r w:rsidR="00042BC8">
        <w:rPr>
          <w:rFonts w:ascii="Times New Roman" w:hAnsi="Times New Roman"/>
        </w:rPr>
        <w:t xml:space="preserve">The Commission has neither considered </w:t>
      </w:r>
      <w:r w:rsidR="0019725E">
        <w:rPr>
          <w:rFonts w:ascii="Times New Roman" w:hAnsi="Times New Roman"/>
        </w:rPr>
        <w:t xml:space="preserve">nor </w:t>
      </w:r>
      <w:r w:rsidR="00042BC8">
        <w:rPr>
          <w:rFonts w:ascii="Times New Roman" w:hAnsi="Times New Roman"/>
        </w:rPr>
        <w:t>made</w:t>
      </w:r>
      <w:r w:rsidR="0019725E">
        <w:rPr>
          <w:rFonts w:ascii="Times New Roman" w:hAnsi="Times New Roman"/>
        </w:rPr>
        <w:t xml:space="preserve"> </w:t>
      </w:r>
      <w:r w:rsidR="00042BC8">
        <w:rPr>
          <w:rFonts w:ascii="Times New Roman" w:hAnsi="Times New Roman"/>
        </w:rPr>
        <w:t xml:space="preserve">any </w:t>
      </w:r>
      <w:r w:rsidR="008377C4">
        <w:rPr>
          <w:rFonts w:ascii="Times New Roman" w:hAnsi="Times New Roman"/>
        </w:rPr>
        <w:t xml:space="preserve">payment or gift to </w:t>
      </w:r>
      <w:r w:rsidR="00042BC8">
        <w:rPr>
          <w:rFonts w:ascii="Times New Roman" w:hAnsi="Times New Roman"/>
        </w:rPr>
        <w:t xml:space="preserve">a </w:t>
      </w:r>
      <w:r w:rsidR="008377C4">
        <w:rPr>
          <w:rFonts w:ascii="Times New Roman" w:hAnsi="Times New Roman"/>
        </w:rPr>
        <w:t>respondent.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
    <w:p w:rsidR="00295F14" w:rsidRDefault="00AE73CD" w:rsidP="00295F14">
      <w:pPr>
        <w:tabs>
          <w:tab w:val="left" w:pos="-720"/>
        </w:tabs>
        <w:spacing w:after="240"/>
        <w:jc w:val="both"/>
        <w:rPr>
          <w:rFonts w:ascii="Times New Roman" w:hAnsi="Times New Roman"/>
        </w:rPr>
      </w:pPr>
      <w:r>
        <w:rPr>
          <w:rFonts w:ascii="Times New Roman" w:hAnsi="Times New Roman"/>
        </w:rPr>
        <w:tab/>
      </w:r>
      <w:r w:rsidR="009176AC" w:rsidRPr="009176AC">
        <w:rPr>
          <w:rFonts w:ascii="Times New Roman" w:hAnsi="Times New Roman"/>
        </w:rPr>
        <w:t xml:space="preserve">The Commission does not provide respondents with an assurance of confidentiality.  The Commission fully complies with section 8(a)(1) of the </w:t>
      </w:r>
      <w:r w:rsidR="00A11BA0">
        <w:rPr>
          <w:rFonts w:ascii="Times New Roman" w:hAnsi="Times New Roman"/>
        </w:rPr>
        <w:t>CEA</w:t>
      </w:r>
      <w:r w:rsidR="009176AC" w:rsidRPr="009176AC">
        <w:rPr>
          <w:rFonts w:ascii="Times New Roman" w:hAnsi="Times New Roman"/>
        </w:rPr>
        <w:t xml:space="preserve">, which strictly prohibits the Commission, unless specifically authorized by the </w:t>
      </w:r>
      <w:r w:rsidR="00A11BA0">
        <w:rPr>
          <w:rFonts w:ascii="Times New Roman" w:hAnsi="Times New Roman"/>
        </w:rPr>
        <w:t>CEA</w:t>
      </w:r>
      <w:r w:rsidR="009176AC" w:rsidRPr="009176AC">
        <w:rPr>
          <w:rFonts w:ascii="Times New Roman" w:hAnsi="Times New Roman"/>
        </w:rPr>
        <w:t>, from making public “data and information that would separately disclose the business transactions or market positions of any person and trade secrets or names of customers.”  The Commission has procedures (in Parts 145 and 147 of the Commission</w:t>
      </w:r>
      <w:r w:rsidR="00235AFB">
        <w:rPr>
          <w:rFonts w:ascii="Times New Roman" w:hAnsi="Times New Roman"/>
        </w:rPr>
        <w:t>’s</w:t>
      </w:r>
      <w:r w:rsidR="009176AC" w:rsidRPr="009176AC">
        <w:rPr>
          <w:rFonts w:ascii="Times New Roman" w:hAnsi="Times New Roman"/>
        </w:rPr>
        <w:t xml:space="preserve"> </w:t>
      </w:r>
      <w:r w:rsidR="005E0D59">
        <w:rPr>
          <w:rFonts w:ascii="Times New Roman" w:hAnsi="Times New Roman"/>
        </w:rPr>
        <w:t>r</w:t>
      </w:r>
      <w:r w:rsidR="009176AC" w:rsidRPr="009176AC">
        <w:rPr>
          <w:rFonts w:ascii="Times New Roman" w:hAnsi="Times New Roman"/>
        </w:rPr>
        <w:t xml:space="preserve">egulations) to protect the confidentiality of information it receives from </w:t>
      </w:r>
      <w:r w:rsidR="00235AFB">
        <w:rPr>
          <w:rFonts w:ascii="Times New Roman" w:hAnsi="Times New Roman"/>
        </w:rPr>
        <w:t xml:space="preserve">applicants or from </w:t>
      </w:r>
      <w:r w:rsidR="009176AC" w:rsidRPr="009176AC">
        <w:rPr>
          <w:rFonts w:ascii="Times New Roman" w:hAnsi="Times New Roman"/>
        </w:rPr>
        <w:t xml:space="preserve">registrants and </w:t>
      </w:r>
      <w:r w:rsidR="00235AFB">
        <w:rPr>
          <w:rFonts w:ascii="Times New Roman" w:hAnsi="Times New Roman"/>
        </w:rPr>
        <w:t xml:space="preserve">other </w:t>
      </w:r>
      <w:r w:rsidR="009176AC" w:rsidRPr="009176AC">
        <w:rPr>
          <w:rFonts w:ascii="Times New Roman" w:hAnsi="Times New Roman"/>
        </w:rPr>
        <w:t>market participants.</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AE73CD">
      <w:pPr>
        <w:tabs>
          <w:tab w:val="left" w:pos="-720"/>
        </w:tabs>
        <w:spacing w:after="240"/>
        <w:jc w:val="both"/>
        <w:rPr>
          <w:rFonts w:ascii="Times New Roman" w:hAnsi="Times New Roman"/>
        </w:rPr>
      </w:pPr>
      <w:r>
        <w:rPr>
          <w:rFonts w:ascii="Times New Roman" w:hAnsi="Times New Roman"/>
        </w:rPr>
        <w:tab/>
      </w:r>
      <w:r w:rsidR="00EF358E" w:rsidRPr="00EF358E">
        <w:rPr>
          <w:rFonts w:ascii="Times New Roman" w:hAnsi="Times New Roman"/>
        </w:rPr>
        <w:t>The regulations covered by this collection do not require the giving of sensitive information, as that term is used in Question 11.</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80313" w:rsidRDefault="00EF358E" w:rsidP="003F7819">
      <w:pPr>
        <w:jc w:val="both"/>
        <w:rPr>
          <w:rFonts w:ascii="Times New Roman" w:hAnsi="Times New Roman"/>
        </w:rPr>
      </w:pPr>
      <w:r w:rsidRPr="00EF358E">
        <w:rPr>
          <w:rFonts w:ascii="Times New Roman" w:hAnsi="Times New Roman"/>
        </w:rPr>
        <w:t xml:space="preserve">See Attachment A.  The Commission estimates that the collection of information required by the regulations will impose a burden of </w:t>
      </w:r>
      <w:r w:rsidR="00A11BA0">
        <w:rPr>
          <w:rFonts w:ascii="Times New Roman" w:hAnsi="Times New Roman"/>
        </w:rPr>
        <w:t>200</w:t>
      </w:r>
      <w:r w:rsidRPr="00EF358E">
        <w:rPr>
          <w:rFonts w:ascii="Times New Roman" w:hAnsi="Times New Roman"/>
        </w:rPr>
        <w:t xml:space="preserve"> annual hours on an estimated </w:t>
      </w:r>
      <w:r w:rsidR="00A11BA0">
        <w:rPr>
          <w:rFonts w:ascii="Times New Roman" w:hAnsi="Times New Roman"/>
        </w:rPr>
        <w:t>5</w:t>
      </w:r>
      <w:r w:rsidRPr="00EF358E">
        <w:rPr>
          <w:rFonts w:ascii="Times New Roman" w:hAnsi="Times New Roman"/>
        </w:rPr>
        <w:t xml:space="preserve"> </w:t>
      </w:r>
      <w:r w:rsidR="000151E1">
        <w:rPr>
          <w:rFonts w:ascii="Times New Roman" w:hAnsi="Times New Roman"/>
        </w:rPr>
        <w:t>respondents</w:t>
      </w:r>
      <w:r w:rsidR="00051920">
        <w:rPr>
          <w:rFonts w:ascii="Times New Roman" w:hAnsi="Times New Roman"/>
        </w:rPr>
        <w:t xml:space="preserve">, which is shown as a new collection of information under OMB Control Number 3038-0072 in row 3 of Attachment A. </w:t>
      </w:r>
    </w:p>
    <w:p w:rsidR="008377C4" w:rsidRDefault="00D2245A">
      <w:pPr>
        <w:keepNext/>
        <w:tabs>
          <w:tab w:val="left" w:pos="-720"/>
          <w:tab w:val="left" w:pos="0"/>
        </w:tabs>
        <w:spacing w:after="240"/>
        <w:jc w:val="both"/>
        <w:rPr>
          <w:rFonts w:ascii="Times New Roman" w:hAnsi="Times New Roman"/>
          <w:b/>
        </w:rPr>
      </w:pPr>
      <w:r>
        <w:rPr>
          <w:rFonts w:ascii="Times New Roman" w:hAnsi="Times New Roman"/>
          <w:b/>
        </w:rPr>
        <w:br/>
      </w:r>
      <w:r w:rsidR="008377C4">
        <w:rPr>
          <w:rFonts w:ascii="Times New Roman" w:hAnsi="Times New Roman"/>
          <w:b/>
        </w:rPr>
        <w:t>13.</w:t>
      </w:r>
      <w:r w:rsidR="008377C4">
        <w:rPr>
          <w:rFonts w:ascii="Times New Roman" w:hAnsi="Times New Roman"/>
          <w:b/>
        </w:rPr>
        <w:tab/>
        <w:t>Provide an estimate of the total annual cost burden to respondents or recordkeepers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80313" w:rsidRPr="00480313" w:rsidRDefault="00F1235A" w:rsidP="00AE73CD">
      <w:pPr>
        <w:spacing w:after="240"/>
        <w:ind w:firstLine="720"/>
        <w:jc w:val="both"/>
        <w:rPr>
          <w:rFonts w:ascii="Times New Roman" w:hAnsi="Times New Roman"/>
        </w:rPr>
      </w:pPr>
      <w:r w:rsidRPr="00F1235A">
        <w:rPr>
          <w:rFonts w:ascii="Times New Roman" w:hAnsi="Times New Roman"/>
        </w:rPr>
        <w:t xml:space="preserve">It is expected that respondents will utilize existing software, information technology and systems.  Thus, the Commission believes that there will not be additional capital/startup costs or operational/maintenance costs incurred by </w:t>
      </w:r>
      <w:r w:rsidR="00A11BA0">
        <w:rPr>
          <w:rFonts w:ascii="Times New Roman" w:hAnsi="Times New Roman"/>
        </w:rPr>
        <w:t>requestors</w:t>
      </w:r>
      <w:r w:rsidRPr="00F1235A">
        <w:rPr>
          <w:rFonts w:ascii="Times New Roman" w:hAnsi="Times New Roman"/>
        </w:rPr>
        <w:t xml:space="preserve"> to report </w:t>
      </w:r>
      <w:r w:rsidR="00A11BA0" w:rsidRPr="00F1235A">
        <w:rPr>
          <w:rFonts w:ascii="Times New Roman" w:hAnsi="Times New Roman"/>
        </w:rPr>
        <w:t xml:space="preserve">to the Commission </w:t>
      </w:r>
      <w:r w:rsidRPr="00F1235A">
        <w:rPr>
          <w:rFonts w:ascii="Times New Roman" w:hAnsi="Times New Roman"/>
        </w:rPr>
        <w:t xml:space="preserve">the information required </w:t>
      </w:r>
      <w:r w:rsidR="00A11BA0">
        <w:rPr>
          <w:rFonts w:ascii="Times New Roman" w:hAnsi="Times New Roman"/>
        </w:rPr>
        <w:t>to request a comparability determination</w:t>
      </w:r>
      <w:r w:rsidR="000151E1">
        <w:rPr>
          <w:rFonts w:ascii="Times New Roman" w:hAnsi="Times New Roman"/>
        </w:rPr>
        <w:t xml:space="preserve"> under the Proposed Rule</w:t>
      </w:r>
      <w:r w:rsidRPr="00F1235A">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AE73CD">
      <w:pPr>
        <w:tabs>
          <w:tab w:val="left" w:pos="-720"/>
        </w:tabs>
        <w:spacing w:after="240"/>
        <w:jc w:val="both"/>
        <w:rPr>
          <w:rFonts w:ascii="Times New Roman" w:hAnsi="Times New Roman"/>
        </w:rPr>
      </w:pPr>
      <w:r>
        <w:rPr>
          <w:rFonts w:ascii="Times New Roman" w:hAnsi="Times New Roman"/>
        </w:rPr>
        <w:tab/>
      </w:r>
      <w:r w:rsidR="008377C4">
        <w:rPr>
          <w:rFonts w:ascii="Times New Roman" w:hAnsi="Times New Roman"/>
        </w:rPr>
        <w:t xml:space="preserve">It is not anticipated that the </w:t>
      </w:r>
      <w:r w:rsidR="00051920">
        <w:rPr>
          <w:rFonts w:ascii="Times New Roman" w:hAnsi="Times New Roman"/>
        </w:rPr>
        <w:t xml:space="preserve">proposed </w:t>
      </w:r>
      <w:r w:rsidR="008377C4">
        <w:rPr>
          <w:rFonts w:ascii="Times New Roman" w:hAnsi="Times New Roman"/>
        </w:rPr>
        <w:t xml:space="preserve">regulations </w:t>
      </w:r>
      <w:r w:rsidR="00B86D95">
        <w:rPr>
          <w:rFonts w:ascii="Times New Roman" w:hAnsi="Times New Roman"/>
        </w:rPr>
        <w:t xml:space="preserve">will </w:t>
      </w:r>
      <w:r w:rsidR="008377C4">
        <w:rPr>
          <w:rFonts w:ascii="Times New Roman" w:hAnsi="Times New Roman"/>
        </w:rPr>
        <w:t>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8377C4" w:rsidRDefault="00AE73CD">
      <w:pPr>
        <w:tabs>
          <w:tab w:val="left" w:pos="-720"/>
        </w:tabs>
        <w:spacing w:after="240"/>
        <w:jc w:val="both"/>
        <w:rPr>
          <w:rFonts w:ascii="Times New Roman" w:hAnsi="Times New Roman"/>
        </w:rPr>
      </w:pPr>
      <w:r>
        <w:rPr>
          <w:rFonts w:ascii="Times New Roman" w:hAnsi="Times New Roman"/>
        </w:rPr>
        <w:tab/>
      </w:r>
      <w:r w:rsidR="00F1235A" w:rsidRPr="00F1235A">
        <w:rPr>
          <w:rFonts w:ascii="Times New Roman" w:hAnsi="Times New Roman"/>
        </w:rPr>
        <w:t>The regulations associated with this new collection</w:t>
      </w:r>
      <w:r w:rsidR="00BA48A6">
        <w:rPr>
          <w:rFonts w:ascii="Times New Roman" w:hAnsi="Times New Roman"/>
        </w:rPr>
        <w:t xml:space="preserve"> of</w:t>
      </w:r>
      <w:r w:rsidR="00F1235A" w:rsidRPr="00F1235A">
        <w:rPr>
          <w:rFonts w:ascii="Times New Roman" w:hAnsi="Times New Roman"/>
        </w:rPr>
        <w:t xml:space="preserve"> information request are designed to</w:t>
      </w:r>
      <w:r w:rsidR="00A11BA0">
        <w:rPr>
          <w:rFonts w:ascii="Times New Roman" w:hAnsi="Times New Roman"/>
        </w:rPr>
        <w:t xml:space="preserve">, consistent with section 2(i) of the CEA, provide for a substituted compliance process for </w:t>
      </w:r>
      <w:r w:rsidR="00654F39">
        <w:rPr>
          <w:rFonts w:ascii="Times New Roman" w:hAnsi="Times New Roman"/>
        </w:rPr>
        <w:t>the Group A and Group B Requirements</w:t>
      </w:r>
      <w:r w:rsidR="00A11BA0">
        <w:rPr>
          <w:rFonts w:ascii="Times New Roman" w:hAnsi="Times New Roman"/>
        </w:rPr>
        <w:t xml:space="preserve">.  </w:t>
      </w:r>
      <w:r w:rsidR="00F1235A" w:rsidRPr="00F1235A">
        <w:rPr>
          <w:rFonts w:ascii="Times New Roman" w:hAnsi="Times New Roman"/>
        </w:rPr>
        <w:t xml:space="preserve">The collection of information would be a new collection of information </w:t>
      </w:r>
      <w:r w:rsidR="00A11BA0" w:rsidRPr="00A11BA0">
        <w:rPr>
          <w:rFonts w:ascii="Times New Roman" w:hAnsi="Times New Roman"/>
        </w:rPr>
        <w:t>under OMB control number 3038-0072 (Registration of Swap Dealers and Major Swap Participants)</w:t>
      </w:r>
      <w:r w:rsidR="00F1235A" w:rsidRPr="00F1235A">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 xml:space="preserve">ot </w:t>
      </w:r>
      <w:r w:rsidR="00B86D95">
        <w:rPr>
          <w:rFonts w:ascii="Times New Roman" w:hAnsi="Times New Roman"/>
        </w:rPr>
        <w:t>applicable</w:t>
      </w:r>
      <w:r w:rsidR="008377C4">
        <w:rPr>
          <w:rFonts w:ascii="Times New Roman" w:hAnsi="Times New Roman"/>
        </w:rPr>
        <w: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t>If seeking approval to not display the expiration date for OMB approval of the information collection, explain the reasons that display would be inappropriate.</w:t>
      </w:r>
    </w:p>
    <w:p w:rsidR="008377C4" w:rsidRDefault="00AE73CD">
      <w:pPr>
        <w:tabs>
          <w:tab w:val="left" w:pos="-720"/>
        </w:tabs>
        <w:spacing w:after="240"/>
        <w:jc w:val="both"/>
        <w:rPr>
          <w:rFonts w:ascii="Times New Roman" w:hAnsi="Times New Roman"/>
        </w:rPr>
      </w:pPr>
      <w:r>
        <w:rPr>
          <w:rFonts w:ascii="Times New Roman" w:hAnsi="Times New Roman"/>
        </w:rPr>
        <w:tab/>
      </w:r>
      <w:r w:rsidR="00B86D95">
        <w:rPr>
          <w:rFonts w:ascii="Times New Roman" w:hAnsi="Times New Roman"/>
        </w:rPr>
        <w:t>N</w:t>
      </w:r>
      <w:r w:rsidR="008377C4">
        <w:rPr>
          <w:rFonts w:ascii="Times New Roman" w:hAnsi="Times New Roman"/>
        </w:rPr>
        <w:t>ot appl</w:t>
      </w:r>
      <w:r w:rsidR="00B86D95">
        <w:rPr>
          <w:rFonts w:ascii="Times New Roman" w:hAnsi="Times New Roman"/>
        </w:rPr>
        <w:t>icable</w:t>
      </w:r>
      <w:r w:rsidR="008377C4">
        <w:rPr>
          <w:rFonts w:ascii="Times New Roman" w:hAnsi="Times New Roman"/>
        </w:rPr>
        <w:t>.</w:t>
      </w: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t>18.</w:t>
      </w:r>
      <w:r>
        <w:rPr>
          <w:rFonts w:ascii="Times New Roman" w:hAnsi="Times New Roman"/>
          <w:b/>
        </w:rPr>
        <w:tab/>
        <w:t xml:space="preserve">Explain each exception to the certification statement identified in Item 19, </w:t>
      </w:r>
      <w:r w:rsidR="00B86D95">
        <w:rPr>
          <w:rFonts w:ascii="Times New Roman" w:hAnsi="Times New Roman"/>
          <w:b/>
        </w:rPr>
        <w:t>“</w:t>
      </w:r>
      <w:r>
        <w:rPr>
          <w:rFonts w:ascii="Times New Roman" w:hAnsi="Times New Roman"/>
          <w:b/>
        </w:rPr>
        <w:t>Certification for Paperwork Reduction Act Submissions,</w:t>
      </w:r>
      <w:r w:rsidR="00B86D95">
        <w:rPr>
          <w:rFonts w:ascii="Times New Roman" w:hAnsi="Times New Roman"/>
          <w:b/>
        </w:rPr>
        <w:t>”</w:t>
      </w:r>
      <w:r>
        <w:rPr>
          <w:rFonts w:ascii="Times New Roman" w:hAnsi="Times New Roman"/>
          <w:b/>
        </w:rPr>
        <w:t xml:space="preserve"> of OMB Form 83-I.</w:t>
      </w:r>
    </w:p>
    <w:p w:rsidR="008377C4" w:rsidRDefault="00AE73CD">
      <w:pPr>
        <w:tabs>
          <w:tab w:val="left" w:pos="-720"/>
        </w:tabs>
        <w:spacing w:after="240"/>
        <w:jc w:val="both"/>
        <w:rPr>
          <w:rFonts w:ascii="Times New Roman" w:hAnsi="Times New Roman"/>
        </w:rPr>
      </w:pPr>
      <w:r>
        <w:rPr>
          <w:rFonts w:ascii="Times New Roman" w:hAnsi="Times New Roman"/>
        </w:rPr>
        <w:tab/>
      </w:r>
      <w:r w:rsidR="004A318D">
        <w:rPr>
          <w:rFonts w:ascii="Times New Roman" w:hAnsi="Times New Roman"/>
        </w:rPr>
        <w:t>No</w:t>
      </w:r>
      <w:r w:rsidR="00E9442C">
        <w:rPr>
          <w:rFonts w:ascii="Times New Roman" w:hAnsi="Times New Roman"/>
        </w:rPr>
        <w:t>t applicable</w:t>
      </w:r>
      <w:r w:rsidR="004A318D">
        <w:rPr>
          <w:rFonts w:ascii="Times New Roman" w:hAnsi="Times New Roman"/>
        </w:rPr>
        <w:t>.</w:t>
      </w:r>
    </w:p>
    <w:p w:rsidR="00840F04" w:rsidRPr="005C5072" w:rsidRDefault="00D35F83" w:rsidP="005C5072">
      <w:pPr>
        <w:tabs>
          <w:tab w:val="left" w:pos="-720"/>
        </w:tabs>
        <w:spacing w:after="240"/>
        <w:jc w:val="center"/>
        <w:rPr>
          <w:rFonts w:ascii="Times New Roman" w:hAnsi="Times New Roman"/>
          <w:b/>
          <w:u w:val="single"/>
        </w:rPr>
      </w:pPr>
      <w:r>
        <w:rPr>
          <w:rFonts w:ascii="Times New Roman" w:hAnsi="Times New Roman"/>
        </w:rPr>
        <w:br w:type="page"/>
      </w:r>
      <w:r w:rsidR="00840F04" w:rsidRPr="002A334B">
        <w:rPr>
          <w:rFonts w:ascii="Times New Roman" w:hAnsi="Times New Roman"/>
          <w:b/>
          <w:u w:val="single"/>
        </w:rPr>
        <w:t>Attachment A</w:t>
      </w:r>
    </w:p>
    <w:p w:rsidR="00885109" w:rsidRPr="00885109" w:rsidRDefault="00885109" w:rsidP="002A334B">
      <w:pPr>
        <w:overflowPunct w:val="0"/>
        <w:autoSpaceDE w:val="0"/>
        <w:autoSpaceDN w:val="0"/>
        <w:adjustRightInd w:val="0"/>
        <w:textAlignment w:val="baseline"/>
        <w:rPr>
          <w:rFonts w:ascii="Times New Roman" w:hAnsi="Times New Roman"/>
        </w:rPr>
      </w:pPr>
    </w:p>
    <w:p w:rsidR="00B60F99" w:rsidRDefault="00263A90" w:rsidP="00885109">
      <w:pPr>
        <w:jc w:val="center"/>
        <w:rPr>
          <w:rFonts w:ascii="Times New Roman" w:hAnsi="Times New Roman"/>
          <w:b/>
          <w:bCs/>
        </w:rPr>
      </w:pPr>
      <w:r>
        <w:rPr>
          <w:rFonts w:ascii="Times New Roman" w:hAnsi="Times New Roman"/>
          <w:b/>
          <w:bCs/>
        </w:rPr>
        <w:t>Comparability Determinations for Certain Commission Re</w:t>
      </w:r>
      <w:r w:rsidR="000151E1">
        <w:rPr>
          <w:rFonts w:ascii="Times New Roman" w:hAnsi="Times New Roman"/>
          <w:b/>
          <w:bCs/>
        </w:rPr>
        <w:t>gulations</w:t>
      </w:r>
    </w:p>
    <w:p w:rsidR="00885109" w:rsidRPr="00840F04" w:rsidRDefault="00885109" w:rsidP="00885109">
      <w:pPr>
        <w:jc w:val="center"/>
        <w:rPr>
          <w:rFonts w:ascii="Times New Roman" w:hAnsi="Times New Roman"/>
        </w:rPr>
      </w:pPr>
      <w:r w:rsidRPr="00885109">
        <w:rPr>
          <w:rFonts w:ascii="Times New Roman" w:hAnsi="Times New Roman"/>
          <w:b/>
          <w:bCs/>
        </w:rPr>
        <w:t>(OMB Control No. 3038-0072)</w:t>
      </w:r>
      <w:r w:rsidRPr="00E80CE6">
        <w:rPr>
          <w:rFonts w:ascii="Times New Roman" w:hAnsi="Times New Roman"/>
          <w:b/>
          <w:bCs/>
        </w:rPr>
        <w:t xml:space="preserve"> </w:t>
      </w:r>
    </w:p>
    <w:p w:rsidR="00885109" w:rsidRPr="002A334B" w:rsidRDefault="00885109" w:rsidP="00885109">
      <w:pPr>
        <w:rPr>
          <w:rFonts w:ascii="Times New Roman" w:hAnsi="Times New Roman"/>
        </w:rPr>
      </w:pPr>
      <w:r w:rsidRPr="00D35F83">
        <w:rPr>
          <w:rFonts w:ascii="Times New Roman" w:hAnsi="Times New Roman"/>
        </w:rPr>
        <w:t xml:space="preserve">                       </w:t>
      </w:r>
      <w:r>
        <w:rPr>
          <w:rFonts w:ascii="Times New Roman" w:hAnsi="Times New Roman"/>
        </w:rPr>
        <w:t xml:space="preserve">                               </w:t>
      </w:r>
      <w:r w:rsidR="005C5072">
        <w:rPr>
          <w:rFonts w:ascii="Times New Roman" w:hAnsi="Times New Roman"/>
        </w:rPr>
        <w:t xml:space="preserve">             </w:t>
      </w:r>
      <w:r w:rsidRPr="00D35F83">
        <w:rPr>
          <w:rFonts w:ascii="Times New Roman" w:hAnsi="Times New Roman"/>
        </w:rPr>
        <w:t xml:space="preserve">                              </w:t>
      </w:r>
    </w:p>
    <w:p w:rsidR="00885109" w:rsidRPr="00CE2CC4" w:rsidRDefault="00885109" w:rsidP="00885109">
      <w:pPr>
        <w:overflowPunct w:val="0"/>
        <w:autoSpaceDE w:val="0"/>
        <w:autoSpaceDN w:val="0"/>
        <w:adjustRightInd w:val="0"/>
        <w:textAlignment w:val="baseline"/>
        <w:rPr>
          <w:rFonts w:ascii="Times New Roman" w:hAnsi="Times New Roman"/>
          <w:sz w:val="16"/>
          <w:szCs w:val="16"/>
        </w:rPr>
      </w:pPr>
      <w:r w:rsidRPr="00CE2CC4">
        <w:rPr>
          <w:rFonts w:ascii="Times New Roman" w:hAnsi="Times New Roman"/>
          <w:sz w:val="16"/>
          <w:szCs w:val="16"/>
        </w:rPr>
        <w:t xml:space="preserve">                                                     </w:t>
      </w:r>
      <w:r>
        <w:rPr>
          <w:rFonts w:ascii="Times New Roman" w:hAnsi="Times New Roman"/>
          <w:sz w:val="16"/>
          <w:szCs w:val="16"/>
        </w:rPr>
        <w:t xml:space="preserve">                             </w:t>
      </w:r>
      <w:r w:rsidR="00B60F99">
        <w:rPr>
          <w:rFonts w:ascii="Times New Roman" w:hAnsi="Times New Roman"/>
          <w:sz w:val="16"/>
          <w:szCs w:val="16"/>
        </w:rPr>
        <w:t xml:space="preserve">                           </w:t>
      </w:r>
    </w:p>
    <w:p w:rsidR="00885109" w:rsidRPr="00CE2CC4" w:rsidRDefault="00885109" w:rsidP="00885109">
      <w:pPr>
        <w:overflowPunct w:val="0"/>
        <w:autoSpaceDE w:val="0"/>
        <w:autoSpaceDN w:val="0"/>
        <w:adjustRightInd w:val="0"/>
        <w:textAlignment w:val="baseline"/>
        <w:rPr>
          <w:rFonts w:ascii="Times New Roman" w:hAnsi="Times New Roman"/>
          <w:b/>
          <w:bCs/>
          <w:sz w:val="16"/>
          <w:szCs w:val="16"/>
        </w:rPr>
      </w:pPr>
      <w:r w:rsidRPr="00CE2CC4">
        <w:rPr>
          <w:rFonts w:ascii="Times New Roman" w:hAnsi="Times New Roman"/>
          <w:b/>
          <w:bCs/>
          <w:sz w:val="16"/>
          <w:szCs w:val="16"/>
        </w:rPr>
        <w:t xml:space="preserve">                                                                                                                                                                                </w:t>
      </w:r>
    </w:p>
    <w:tbl>
      <w:tblPr>
        <w:tblW w:w="929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399"/>
        <w:gridCol w:w="1310"/>
        <w:gridCol w:w="1286"/>
        <w:gridCol w:w="1245"/>
        <w:gridCol w:w="1356"/>
      </w:tblGrid>
      <w:tr w:rsidR="00212188" w:rsidRPr="00CE2CC4" w:rsidTr="004433DB">
        <w:trPr>
          <w:trHeight w:val="1440"/>
        </w:trPr>
        <w:tc>
          <w:tcPr>
            <w:tcW w:w="2700" w:type="dxa"/>
            <w:shd w:val="clear" w:color="auto" w:fill="auto"/>
            <w:noWrap/>
            <w:vAlign w:val="bottom"/>
            <w:hideMark/>
          </w:tcPr>
          <w:p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r w:rsidRPr="00CE2CC4">
              <w:rPr>
                <w:rFonts w:ascii="Times New Roman" w:hAnsi="Times New Roman"/>
                <w:b/>
                <w:bCs/>
                <w:sz w:val="16"/>
                <w:szCs w:val="16"/>
              </w:rPr>
              <w:t xml:space="preserve">                                                                                                                                                                                 </w:t>
            </w:r>
            <w:r w:rsidRPr="00CE2CC4">
              <w:rPr>
                <w:rFonts w:ascii="Times New Roman" w:hAnsi="Times New Roman"/>
                <w:b/>
                <w:bCs/>
                <w:color w:val="000000"/>
                <w:sz w:val="16"/>
                <w:szCs w:val="16"/>
              </w:rPr>
              <w:t>COLLECTION </w:t>
            </w:r>
          </w:p>
        </w:tc>
        <w:tc>
          <w:tcPr>
            <w:tcW w:w="1399" w:type="dxa"/>
            <w:shd w:val="clear" w:color="auto" w:fill="auto"/>
            <w:vAlign w:val="bottom"/>
            <w:hideMark/>
          </w:tcPr>
          <w:p w:rsidR="00885109" w:rsidRPr="00CE2CC4" w:rsidRDefault="00885109" w:rsidP="00F13E70">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bCs/>
                <w:sz w:val="16"/>
                <w:szCs w:val="16"/>
              </w:rPr>
              <w:t xml:space="preserve"> </w:t>
            </w:r>
            <w:r w:rsidRPr="00CE2CC4">
              <w:rPr>
                <w:rFonts w:ascii="Times New Roman" w:hAnsi="Times New Roman"/>
                <w:b/>
                <w:sz w:val="16"/>
                <w:szCs w:val="16"/>
              </w:rPr>
              <w:t xml:space="preserve">ESTIMATED # OF RESPONDENTS OR RECORD KEEPERS PER YEAR  </w:t>
            </w:r>
          </w:p>
        </w:tc>
        <w:tc>
          <w:tcPr>
            <w:tcW w:w="1310" w:type="dxa"/>
            <w:shd w:val="clear" w:color="auto" w:fill="auto"/>
            <w:vAlign w:val="bottom"/>
            <w:hideMark/>
          </w:tcPr>
          <w:p w:rsidR="00885109" w:rsidRPr="00CE2CC4" w:rsidRDefault="00212188" w:rsidP="004433DB">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 xml:space="preserve">ESTIMATED </w:t>
            </w:r>
            <w:r w:rsidR="00885109" w:rsidRPr="00CE2CC4">
              <w:rPr>
                <w:rFonts w:ascii="Times New Roman" w:hAnsi="Times New Roman"/>
                <w:b/>
                <w:sz w:val="16"/>
                <w:szCs w:val="16"/>
              </w:rPr>
              <w:t>REPORTS ANNUALLY BY EACH RESPONDENT</w:t>
            </w:r>
          </w:p>
        </w:tc>
        <w:tc>
          <w:tcPr>
            <w:tcW w:w="1286" w:type="dxa"/>
            <w:shd w:val="clear" w:color="auto" w:fill="auto"/>
            <w:vAlign w:val="bottom"/>
            <w:hideMark/>
          </w:tcPr>
          <w:p w:rsidR="00885109" w:rsidRPr="00CE2CC4" w:rsidRDefault="00212188"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 xml:space="preserve">ESTIMATED </w:t>
            </w:r>
            <w:r w:rsidR="00885109" w:rsidRPr="00CE2CC4">
              <w:rPr>
                <w:rFonts w:ascii="Times New Roman" w:hAnsi="Times New Roman"/>
                <w:b/>
                <w:sz w:val="16"/>
                <w:szCs w:val="16"/>
              </w:rPr>
              <w:t xml:space="preserve">TOTAL ANNUAL RESPONSES </w:t>
            </w:r>
          </w:p>
        </w:tc>
        <w:tc>
          <w:tcPr>
            <w:tcW w:w="1245" w:type="dxa"/>
            <w:shd w:val="clear" w:color="auto" w:fill="auto"/>
            <w:vAlign w:val="bottom"/>
            <w:hideMark/>
          </w:tcPr>
          <w:p w:rsidR="00885109" w:rsidRPr="00CE2CC4" w:rsidRDefault="00885109" w:rsidP="004433DB">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AVERAGE NUMBER OF HOURS PER RESPONSE</w:t>
            </w:r>
          </w:p>
        </w:tc>
        <w:tc>
          <w:tcPr>
            <w:tcW w:w="1356" w:type="dxa"/>
            <w:shd w:val="clear" w:color="auto" w:fill="auto"/>
            <w:vAlign w:val="bottom"/>
            <w:hideMark/>
          </w:tcPr>
          <w:p w:rsidR="00885109" w:rsidRPr="00CE2CC4" w:rsidRDefault="00885109" w:rsidP="00212188">
            <w:pPr>
              <w:overflowPunct w:val="0"/>
              <w:autoSpaceDE w:val="0"/>
              <w:autoSpaceDN w:val="0"/>
              <w:adjustRightInd w:val="0"/>
              <w:jc w:val="center"/>
              <w:textAlignment w:val="baseline"/>
              <w:rPr>
                <w:rFonts w:ascii="Times New Roman" w:hAnsi="Times New Roman"/>
                <w:b/>
                <w:sz w:val="16"/>
                <w:szCs w:val="16"/>
              </w:rPr>
            </w:pPr>
            <w:r w:rsidRPr="00CE2CC4">
              <w:rPr>
                <w:rFonts w:ascii="Times New Roman" w:hAnsi="Times New Roman"/>
                <w:b/>
                <w:sz w:val="16"/>
                <w:szCs w:val="16"/>
              </w:rPr>
              <w:t>ESTIMATED TOTAL NUMBER OF  HOURS OF ANNUAL BURDEN IN FISCAL YEAR</w:t>
            </w:r>
          </w:p>
        </w:tc>
      </w:tr>
      <w:tr w:rsidR="00212188" w:rsidRPr="00CE2CC4" w:rsidTr="004433DB">
        <w:trPr>
          <w:trHeight w:val="240"/>
        </w:trPr>
        <w:tc>
          <w:tcPr>
            <w:tcW w:w="2700" w:type="dxa"/>
            <w:shd w:val="clear" w:color="auto" w:fill="auto"/>
            <w:noWrap/>
            <w:vAlign w:val="bottom"/>
            <w:hideMark/>
          </w:tcPr>
          <w:p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rsidR="00885109" w:rsidRPr="00CE2CC4" w:rsidRDefault="00885109" w:rsidP="00F13E70">
            <w:pPr>
              <w:overflowPunct w:val="0"/>
              <w:autoSpaceDE w:val="0"/>
              <w:autoSpaceDN w:val="0"/>
              <w:adjustRightInd w:val="0"/>
              <w:textAlignment w:val="baseline"/>
              <w:rPr>
                <w:rFonts w:ascii="Times New Roman" w:hAnsi="Times New Roman"/>
                <w:b/>
                <w:bCs/>
                <w:color w:val="000000"/>
                <w:sz w:val="16"/>
                <w:szCs w:val="16"/>
              </w:rPr>
            </w:pPr>
          </w:p>
          <w:p w:rsidR="00885109" w:rsidRPr="00CE2CC4" w:rsidRDefault="00437B00" w:rsidP="00F13E7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w:t>
            </w:r>
            <w:r w:rsidR="00B60F99">
              <w:rPr>
                <w:rFonts w:ascii="Times New Roman" w:hAnsi="Times New Roman"/>
                <w:b/>
                <w:bCs/>
                <w:color w:val="000000"/>
                <w:sz w:val="16"/>
                <w:szCs w:val="16"/>
              </w:rPr>
              <w:t>038-0072</w:t>
            </w:r>
            <w:r>
              <w:rPr>
                <w:rFonts w:ascii="Times New Roman" w:hAnsi="Times New Roman"/>
                <w:b/>
                <w:bCs/>
                <w:color w:val="000000"/>
                <w:sz w:val="16"/>
                <w:szCs w:val="16"/>
              </w:rPr>
              <w:t xml:space="preserve"> (1</w:t>
            </w:r>
            <w:r w:rsidRPr="00437B00">
              <w:rPr>
                <w:rFonts w:ascii="Times New Roman" w:hAnsi="Times New Roman"/>
                <w:b/>
                <w:bCs/>
                <w:color w:val="000000"/>
                <w:sz w:val="16"/>
                <w:szCs w:val="16"/>
                <w:vertAlign w:val="superscript"/>
              </w:rPr>
              <w:t>st</w:t>
            </w:r>
            <w:r>
              <w:rPr>
                <w:rFonts w:ascii="Times New Roman" w:hAnsi="Times New Roman"/>
                <w:b/>
                <w:bCs/>
                <w:color w:val="000000"/>
                <w:sz w:val="16"/>
                <w:szCs w:val="16"/>
              </w:rPr>
              <w:t xml:space="preserve"> IC)</w:t>
            </w:r>
            <w:r w:rsidR="00885109" w:rsidRPr="00CE2CC4">
              <w:rPr>
                <w:rFonts w:ascii="Times New Roman" w:hAnsi="Times New Roman"/>
                <w:b/>
                <w:bCs/>
                <w:color w:val="000000"/>
                <w:sz w:val="16"/>
                <w:szCs w:val="16"/>
              </w:rPr>
              <w:t xml:space="preserve">                                                                         </w:t>
            </w:r>
          </w:p>
        </w:tc>
        <w:tc>
          <w:tcPr>
            <w:tcW w:w="1399" w:type="dxa"/>
            <w:shd w:val="clear" w:color="auto" w:fill="auto"/>
            <w:noWrap/>
            <w:vAlign w:val="bottom"/>
            <w:hideMark/>
          </w:tcPr>
          <w:p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770</w:t>
            </w:r>
          </w:p>
        </w:tc>
        <w:tc>
          <w:tcPr>
            <w:tcW w:w="1310" w:type="dxa"/>
            <w:shd w:val="clear" w:color="auto" w:fill="auto"/>
            <w:noWrap/>
            <w:vAlign w:val="bottom"/>
            <w:hideMark/>
          </w:tcPr>
          <w:p w:rsidR="00885109" w:rsidRPr="00CE2CC4"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1.4</w:t>
            </w:r>
          </w:p>
        </w:tc>
        <w:tc>
          <w:tcPr>
            <w:tcW w:w="1286" w:type="dxa"/>
            <w:shd w:val="clear" w:color="auto" w:fill="auto"/>
            <w:noWrap/>
            <w:vAlign w:val="bottom"/>
            <w:hideMark/>
          </w:tcPr>
          <w:p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1,112</w:t>
            </w:r>
          </w:p>
        </w:tc>
        <w:tc>
          <w:tcPr>
            <w:tcW w:w="1245" w:type="dxa"/>
            <w:shd w:val="clear" w:color="auto" w:fill="auto"/>
            <w:noWrap/>
            <w:vAlign w:val="bottom"/>
            <w:hideMark/>
          </w:tcPr>
          <w:p w:rsidR="00885109" w:rsidRPr="00CE2CC4"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0.60</w:t>
            </w:r>
          </w:p>
        </w:tc>
        <w:tc>
          <w:tcPr>
            <w:tcW w:w="1356" w:type="dxa"/>
            <w:shd w:val="clear" w:color="auto" w:fill="auto"/>
            <w:noWrap/>
            <w:vAlign w:val="bottom"/>
            <w:hideMark/>
          </w:tcPr>
          <w:p w:rsidR="00885109" w:rsidRPr="00CE2CC4" w:rsidRDefault="00CD7645" w:rsidP="00CD7645">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667</w:t>
            </w:r>
          </w:p>
        </w:tc>
      </w:tr>
      <w:tr w:rsidR="00212188" w:rsidRPr="00CE2CC4" w:rsidTr="004433DB">
        <w:trPr>
          <w:trHeight w:val="240"/>
        </w:trPr>
        <w:tc>
          <w:tcPr>
            <w:tcW w:w="2700" w:type="dxa"/>
            <w:shd w:val="clear" w:color="auto" w:fill="auto"/>
            <w:noWrap/>
            <w:vAlign w:val="bottom"/>
          </w:tcPr>
          <w:p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rsidR="00437B00" w:rsidRDefault="00437B00" w:rsidP="00F13E70">
            <w:pPr>
              <w:overflowPunct w:val="0"/>
              <w:autoSpaceDE w:val="0"/>
              <w:autoSpaceDN w:val="0"/>
              <w:adjustRightInd w:val="0"/>
              <w:textAlignment w:val="baseline"/>
              <w:rPr>
                <w:rFonts w:ascii="Times New Roman" w:hAnsi="Times New Roman"/>
                <w:b/>
                <w:bCs/>
                <w:color w:val="000000"/>
                <w:sz w:val="16"/>
                <w:szCs w:val="16"/>
              </w:rPr>
            </w:pPr>
          </w:p>
          <w:p w:rsidR="00437B00" w:rsidRPr="00CE2CC4" w:rsidRDefault="00437B00" w:rsidP="00437B00">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#3038-0072 (2</w:t>
            </w:r>
            <w:r w:rsidRPr="00437B00">
              <w:rPr>
                <w:rFonts w:ascii="Times New Roman" w:hAnsi="Times New Roman"/>
                <w:b/>
                <w:bCs/>
                <w:color w:val="000000"/>
                <w:sz w:val="16"/>
                <w:szCs w:val="16"/>
                <w:vertAlign w:val="superscript"/>
              </w:rPr>
              <w:t>nd</w:t>
            </w:r>
            <w:r>
              <w:rPr>
                <w:rFonts w:ascii="Times New Roman" w:hAnsi="Times New Roman"/>
                <w:b/>
                <w:bCs/>
                <w:color w:val="000000"/>
                <w:sz w:val="16"/>
                <w:szCs w:val="16"/>
              </w:rPr>
              <w:t xml:space="preserve"> </w:t>
            </w:r>
            <w:r w:rsidRPr="00437B00">
              <w:rPr>
                <w:rFonts w:ascii="Times New Roman" w:hAnsi="Times New Roman"/>
                <w:b/>
                <w:bCs/>
                <w:color w:val="000000"/>
                <w:sz w:val="16"/>
                <w:szCs w:val="16"/>
              </w:rPr>
              <w:t>IC)</w:t>
            </w:r>
          </w:p>
        </w:tc>
        <w:tc>
          <w:tcPr>
            <w:tcW w:w="1399" w:type="dxa"/>
            <w:shd w:val="clear" w:color="auto" w:fill="auto"/>
            <w:noWrap/>
            <w:vAlign w:val="bottom"/>
          </w:tcPr>
          <w:p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310" w:type="dxa"/>
            <w:shd w:val="clear" w:color="auto" w:fill="auto"/>
            <w:noWrap/>
            <w:vAlign w:val="bottom"/>
          </w:tcPr>
          <w:p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w:t>
            </w:r>
          </w:p>
        </w:tc>
        <w:tc>
          <w:tcPr>
            <w:tcW w:w="1245" w:type="dxa"/>
            <w:shd w:val="clear" w:color="auto" w:fill="auto"/>
            <w:noWrap/>
            <w:vAlign w:val="bottom"/>
          </w:tcPr>
          <w:p w:rsidR="00437B00" w:rsidRDefault="00437B0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2.5</w:t>
            </w:r>
          </w:p>
        </w:tc>
        <w:tc>
          <w:tcPr>
            <w:tcW w:w="1356" w:type="dxa"/>
            <w:shd w:val="clear" w:color="auto" w:fill="auto"/>
            <w:noWrap/>
            <w:vAlign w:val="bottom"/>
          </w:tcPr>
          <w:p w:rsidR="00437B00" w:rsidRDefault="00437B0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5</w:t>
            </w:r>
          </w:p>
        </w:tc>
      </w:tr>
      <w:tr w:rsidR="00212188" w:rsidRPr="00CE2CC4" w:rsidTr="004433DB">
        <w:trPr>
          <w:trHeight w:val="240"/>
        </w:trPr>
        <w:tc>
          <w:tcPr>
            <w:tcW w:w="2700" w:type="dxa"/>
            <w:shd w:val="clear" w:color="auto" w:fill="auto"/>
            <w:noWrap/>
            <w:vAlign w:val="bottom"/>
          </w:tcPr>
          <w:p w:rsidR="004433DB" w:rsidRDefault="004433DB" w:rsidP="00F13E70">
            <w:pPr>
              <w:overflowPunct w:val="0"/>
              <w:autoSpaceDE w:val="0"/>
              <w:autoSpaceDN w:val="0"/>
              <w:adjustRightInd w:val="0"/>
              <w:textAlignment w:val="baseline"/>
              <w:rPr>
                <w:rFonts w:ascii="Times New Roman" w:hAnsi="Times New Roman"/>
                <w:b/>
                <w:bCs/>
                <w:color w:val="000000"/>
                <w:sz w:val="16"/>
                <w:szCs w:val="16"/>
              </w:rPr>
            </w:pPr>
          </w:p>
          <w:p w:rsidR="004433DB" w:rsidRDefault="004433DB" w:rsidP="004433DB">
            <w:pPr>
              <w:overflowPunct w:val="0"/>
              <w:autoSpaceDE w:val="0"/>
              <w:autoSpaceDN w:val="0"/>
              <w:adjustRightInd w:val="0"/>
              <w:textAlignment w:val="baseline"/>
              <w:rPr>
                <w:rFonts w:ascii="Times New Roman" w:hAnsi="Times New Roman"/>
                <w:b/>
                <w:bCs/>
                <w:color w:val="000000"/>
                <w:sz w:val="16"/>
                <w:szCs w:val="16"/>
              </w:rPr>
            </w:pPr>
            <w:r>
              <w:rPr>
                <w:rFonts w:ascii="Times New Roman" w:hAnsi="Times New Roman"/>
                <w:b/>
                <w:bCs/>
                <w:color w:val="000000"/>
                <w:sz w:val="16"/>
                <w:szCs w:val="16"/>
              </w:rPr>
              <w:t xml:space="preserve">#3038-0072 (3rd </w:t>
            </w:r>
            <w:r w:rsidRPr="00437B00">
              <w:rPr>
                <w:rFonts w:ascii="Times New Roman" w:hAnsi="Times New Roman"/>
                <w:b/>
                <w:bCs/>
                <w:color w:val="000000"/>
                <w:sz w:val="16"/>
                <w:szCs w:val="16"/>
              </w:rPr>
              <w:t>IC)</w:t>
            </w:r>
            <w:r>
              <w:rPr>
                <w:rFonts w:ascii="Times New Roman" w:hAnsi="Times New Roman"/>
                <w:b/>
                <w:bCs/>
                <w:color w:val="000000"/>
                <w:sz w:val="16"/>
                <w:szCs w:val="16"/>
              </w:rPr>
              <w:t xml:space="preserve"> (Proposed</w:t>
            </w:r>
            <w:r w:rsidR="00263A90">
              <w:rPr>
                <w:rFonts w:ascii="Times New Roman" w:hAnsi="Times New Roman"/>
                <w:b/>
                <w:bCs/>
                <w:color w:val="000000"/>
                <w:sz w:val="16"/>
                <w:szCs w:val="16"/>
              </w:rPr>
              <w:t xml:space="preserve"> Rule</w:t>
            </w:r>
            <w:r>
              <w:rPr>
                <w:rFonts w:ascii="Times New Roman" w:hAnsi="Times New Roman"/>
                <w:b/>
                <w:bCs/>
                <w:color w:val="000000"/>
                <w:sz w:val="16"/>
                <w:szCs w:val="16"/>
              </w:rPr>
              <w:t>)</w:t>
            </w:r>
          </w:p>
        </w:tc>
        <w:tc>
          <w:tcPr>
            <w:tcW w:w="1399" w:type="dxa"/>
            <w:shd w:val="clear" w:color="auto" w:fill="auto"/>
            <w:noWrap/>
            <w:vAlign w:val="bottom"/>
          </w:tcPr>
          <w:p w:rsidR="004433DB" w:rsidRDefault="00A11BA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5</w:t>
            </w:r>
          </w:p>
        </w:tc>
        <w:tc>
          <w:tcPr>
            <w:tcW w:w="1310" w:type="dxa"/>
            <w:shd w:val="clear" w:color="auto" w:fill="auto"/>
            <w:noWrap/>
            <w:vAlign w:val="bottom"/>
          </w:tcPr>
          <w:p w:rsidR="004433DB" w:rsidRDefault="00A11BA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1</w:t>
            </w:r>
          </w:p>
        </w:tc>
        <w:tc>
          <w:tcPr>
            <w:tcW w:w="1286" w:type="dxa"/>
            <w:shd w:val="clear" w:color="auto" w:fill="auto"/>
            <w:noWrap/>
            <w:vAlign w:val="bottom"/>
          </w:tcPr>
          <w:p w:rsidR="004433DB" w:rsidRDefault="00A11BA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5</w:t>
            </w:r>
          </w:p>
        </w:tc>
        <w:tc>
          <w:tcPr>
            <w:tcW w:w="1245" w:type="dxa"/>
            <w:shd w:val="clear" w:color="auto" w:fill="auto"/>
            <w:noWrap/>
            <w:vAlign w:val="bottom"/>
          </w:tcPr>
          <w:p w:rsidR="004433DB" w:rsidRDefault="00A11BA0" w:rsidP="00150EB2">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40</w:t>
            </w:r>
          </w:p>
        </w:tc>
        <w:tc>
          <w:tcPr>
            <w:tcW w:w="1356" w:type="dxa"/>
            <w:shd w:val="clear" w:color="auto" w:fill="auto"/>
            <w:noWrap/>
            <w:vAlign w:val="bottom"/>
          </w:tcPr>
          <w:p w:rsidR="004433DB" w:rsidRDefault="00A11BA0" w:rsidP="00F13E70">
            <w:pPr>
              <w:overflowPunct w:val="0"/>
              <w:autoSpaceDE w:val="0"/>
              <w:autoSpaceDN w:val="0"/>
              <w:adjustRightInd w:val="0"/>
              <w:jc w:val="center"/>
              <w:textAlignment w:val="baseline"/>
              <w:rPr>
                <w:rFonts w:ascii="Times New Roman" w:hAnsi="Times New Roman"/>
                <w:b/>
                <w:sz w:val="16"/>
                <w:szCs w:val="16"/>
              </w:rPr>
            </w:pPr>
            <w:r>
              <w:rPr>
                <w:rFonts w:ascii="Times New Roman" w:hAnsi="Times New Roman"/>
                <w:b/>
                <w:sz w:val="16"/>
                <w:szCs w:val="16"/>
              </w:rPr>
              <w:t>200</w:t>
            </w:r>
          </w:p>
        </w:tc>
      </w:tr>
    </w:tbl>
    <w:p w:rsidR="00403C0A" w:rsidRDefault="00403C0A" w:rsidP="00403C0A">
      <w:pPr>
        <w:jc w:val="center"/>
        <w:rPr>
          <w:rFonts w:ascii="Times New Roman" w:hAnsi="Times New Roman"/>
        </w:rPr>
      </w:pPr>
    </w:p>
    <w:sectPr w:rsidR="00403C0A" w:rsidSect="00C14510">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A4B" w:rsidRDefault="008C5A4B">
      <w:r>
        <w:separator/>
      </w:r>
    </w:p>
  </w:endnote>
  <w:endnote w:type="continuationSeparator" w:id="0">
    <w:p w:rsidR="008C5A4B" w:rsidRDefault="008C5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6F3" w:rsidRDefault="008426F3">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C40DC8">
      <w:rPr>
        <w:rFonts w:ascii="Times New Roman" w:hAnsi="Times New Roman"/>
        <w:noProof/>
        <w:sz w:val="20"/>
        <w:szCs w:val="20"/>
      </w:rPr>
      <w:t>1</w:t>
    </w:r>
    <w:r>
      <w:rPr>
        <w:rFonts w:ascii="Times New Roman" w:hAnsi="Times New Roman"/>
        <w:sz w:val="20"/>
        <w:szCs w:val="20"/>
      </w:rPr>
      <w:fldChar w:fldCharType="end"/>
    </w:r>
  </w:p>
  <w:p w:rsidR="008426F3" w:rsidRDefault="0084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A4B" w:rsidRDefault="008C5A4B">
      <w:r>
        <w:separator/>
      </w:r>
    </w:p>
  </w:footnote>
  <w:footnote w:type="continuationSeparator" w:id="0">
    <w:p w:rsidR="008C5A4B" w:rsidRDefault="008C5A4B">
      <w:r>
        <w:continuationSeparator/>
      </w:r>
    </w:p>
  </w:footnote>
  <w:footnote w:id="1">
    <w:p w:rsidR="00654F39" w:rsidRDefault="00654F39">
      <w:pPr>
        <w:pStyle w:val="FootnoteText"/>
      </w:pPr>
      <w:r>
        <w:rPr>
          <w:rStyle w:val="FootnoteReference"/>
        </w:rPr>
        <w:footnoteRef/>
      </w:r>
      <w:r>
        <w:t xml:space="preserve"> </w:t>
      </w:r>
      <w:r w:rsidRPr="00654F39">
        <w:t xml:space="preserve">The </w:t>
      </w:r>
      <w:r w:rsidR="006C5EEE">
        <w:t>G</w:t>
      </w:r>
      <w:r w:rsidR="006C5EEE" w:rsidRPr="00654F39">
        <w:t xml:space="preserve">roup </w:t>
      </w:r>
      <w:r w:rsidRPr="00654F39">
        <w:t xml:space="preserve">A </w:t>
      </w:r>
      <w:r w:rsidR="00E15923">
        <w:t>R</w:t>
      </w:r>
      <w:r w:rsidRPr="00654F39">
        <w:t>equirements include: (1) chief compliance officer; (2) risk management; (3) swap data recordkeeping; and (4) antitrust considerations.</w:t>
      </w:r>
      <w:r>
        <w:t xml:space="preserve">  </w:t>
      </w:r>
      <w:r w:rsidRPr="00654F39">
        <w:t xml:space="preserve">The </w:t>
      </w:r>
      <w:r w:rsidR="006C5EEE">
        <w:t>G</w:t>
      </w:r>
      <w:r w:rsidR="006C5EEE" w:rsidRPr="00654F39">
        <w:t xml:space="preserve">roup </w:t>
      </w:r>
      <w:r w:rsidRPr="00654F39">
        <w:t xml:space="preserve">B </w:t>
      </w:r>
      <w:r w:rsidR="00E15923">
        <w:t>R</w:t>
      </w:r>
      <w:r w:rsidRPr="00654F39">
        <w:t>equirements include:  (1) swap trading relationship documentation; (2) portfolio reconciliation and compression; (3) trade confirmation; and (4) daily trading records.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3DB" w:rsidRDefault="00A56995">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8773F"/>
    <w:multiLevelType w:val="hybridMultilevel"/>
    <w:tmpl w:val="1A5A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57"/>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997"/>
    <w:rsid w:val="000010C7"/>
    <w:rsid w:val="0000445D"/>
    <w:rsid w:val="00014F76"/>
    <w:rsid w:val="000151E1"/>
    <w:rsid w:val="00015305"/>
    <w:rsid w:val="00020CEA"/>
    <w:rsid w:val="00032092"/>
    <w:rsid w:val="00032D8B"/>
    <w:rsid w:val="00033A5C"/>
    <w:rsid w:val="00035337"/>
    <w:rsid w:val="00041771"/>
    <w:rsid w:val="0004202D"/>
    <w:rsid w:val="00042BC8"/>
    <w:rsid w:val="00043FD2"/>
    <w:rsid w:val="00046CCA"/>
    <w:rsid w:val="000475B0"/>
    <w:rsid w:val="00051920"/>
    <w:rsid w:val="00060D90"/>
    <w:rsid w:val="0006233D"/>
    <w:rsid w:val="00064652"/>
    <w:rsid w:val="00064EAC"/>
    <w:rsid w:val="00072F81"/>
    <w:rsid w:val="00076146"/>
    <w:rsid w:val="00077F85"/>
    <w:rsid w:val="00083EF4"/>
    <w:rsid w:val="00084F0F"/>
    <w:rsid w:val="00092A52"/>
    <w:rsid w:val="00092D2D"/>
    <w:rsid w:val="000949DB"/>
    <w:rsid w:val="000A07AA"/>
    <w:rsid w:val="000A0D3D"/>
    <w:rsid w:val="000A2EAB"/>
    <w:rsid w:val="000A553C"/>
    <w:rsid w:val="000A6AC0"/>
    <w:rsid w:val="000A772F"/>
    <w:rsid w:val="000B12D0"/>
    <w:rsid w:val="000C217D"/>
    <w:rsid w:val="000C47E7"/>
    <w:rsid w:val="000C77F9"/>
    <w:rsid w:val="000D0E60"/>
    <w:rsid w:val="000D1EC3"/>
    <w:rsid w:val="000D33C7"/>
    <w:rsid w:val="000D574C"/>
    <w:rsid w:val="000E0785"/>
    <w:rsid w:val="000F17D3"/>
    <w:rsid w:val="000F3746"/>
    <w:rsid w:val="000F7F1F"/>
    <w:rsid w:val="00101D8F"/>
    <w:rsid w:val="0010215C"/>
    <w:rsid w:val="001037CB"/>
    <w:rsid w:val="00107020"/>
    <w:rsid w:val="001108BD"/>
    <w:rsid w:val="0011384E"/>
    <w:rsid w:val="00120865"/>
    <w:rsid w:val="001249F2"/>
    <w:rsid w:val="001254E6"/>
    <w:rsid w:val="00127669"/>
    <w:rsid w:val="001277C9"/>
    <w:rsid w:val="0013292C"/>
    <w:rsid w:val="001357EC"/>
    <w:rsid w:val="00140524"/>
    <w:rsid w:val="001407CA"/>
    <w:rsid w:val="0014258D"/>
    <w:rsid w:val="00150EB2"/>
    <w:rsid w:val="00161CCE"/>
    <w:rsid w:val="00170EEE"/>
    <w:rsid w:val="0018311C"/>
    <w:rsid w:val="001873B8"/>
    <w:rsid w:val="0019146A"/>
    <w:rsid w:val="001951FD"/>
    <w:rsid w:val="001957A9"/>
    <w:rsid w:val="00195F8F"/>
    <w:rsid w:val="0019725E"/>
    <w:rsid w:val="001A03D7"/>
    <w:rsid w:val="001A1424"/>
    <w:rsid w:val="001A3CD6"/>
    <w:rsid w:val="001A74F6"/>
    <w:rsid w:val="001B1C89"/>
    <w:rsid w:val="001B7F70"/>
    <w:rsid w:val="001C04C3"/>
    <w:rsid w:val="001C18BF"/>
    <w:rsid w:val="001C2424"/>
    <w:rsid w:val="001D44B7"/>
    <w:rsid w:val="001D5087"/>
    <w:rsid w:val="001E1F52"/>
    <w:rsid w:val="001E3E6C"/>
    <w:rsid w:val="001E5BD7"/>
    <w:rsid w:val="001E6C74"/>
    <w:rsid w:val="001F3576"/>
    <w:rsid w:val="001F7836"/>
    <w:rsid w:val="00207BF1"/>
    <w:rsid w:val="00207E5E"/>
    <w:rsid w:val="00212188"/>
    <w:rsid w:val="00217E38"/>
    <w:rsid w:val="00223D14"/>
    <w:rsid w:val="00224044"/>
    <w:rsid w:val="002268D5"/>
    <w:rsid w:val="0023195D"/>
    <w:rsid w:val="00235507"/>
    <w:rsid w:val="00235AFB"/>
    <w:rsid w:val="00240F58"/>
    <w:rsid w:val="00243A14"/>
    <w:rsid w:val="00245AAC"/>
    <w:rsid w:val="00250BE2"/>
    <w:rsid w:val="00261931"/>
    <w:rsid w:val="00263A90"/>
    <w:rsid w:val="00266FD7"/>
    <w:rsid w:val="00274893"/>
    <w:rsid w:val="00275DF9"/>
    <w:rsid w:val="0028022A"/>
    <w:rsid w:val="002863B6"/>
    <w:rsid w:val="0029062F"/>
    <w:rsid w:val="00291570"/>
    <w:rsid w:val="00292699"/>
    <w:rsid w:val="00295E4B"/>
    <w:rsid w:val="00295F14"/>
    <w:rsid w:val="00297CD8"/>
    <w:rsid w:val="002A0792"/>
    <w:rsid w:val="002A1F3D"/>
    <w:rsid w:val="002A334B"/>
    <w:rsid w:val="002A5833"/>
    <w:rsid w:val="002A7FEC"/>
    <w:rsid w:val="002B0123"/>
    <w:rsid w:val="002B1F68"/>
    <w:rsid w:val="002B745B"/>
    <w:rsid w:val="002C052B"/>
    <w:rsid w:val="002C2B86"/>
    <w:rsid w:val="002C3693"/>
    <w:rsid w:val="002C371F"/>
    <w:rsid w:val="002C6DD9"/>
    <w:rsid w:val="002C718A"/>
    <w:rsid w:val="002D42B8"/>
    <w:rsid w:val="002D57B5"/>
    <w:rsid w:val="002D59B8"/>
    <w:rsid w:val="002E35BC"/>
    <w:rsid w:val="002E502C"/>
    <w:rsid w:val="002E5E8C"/>
    <w:rsid w:val="003004E6"/>
    <w:rsid w:val="00301D9B"/>
    <w:rsid w:val="00304517"/>
    <w:rsid w:val="003057FD"/>
    <w:rsid w:val="00310014"/>
    <w:rsid w:val="00313455"/>
    <w:rsid w:val="00326F1A"/>
    <w:rsid w:val="00330927"/>
    <w:rsid w:val="00332327"/>
    <w:rsid w:val="00332877"/>
    <w:rsid w:val="003403F1"/>
    <w:rsid w:val="00340784"/>
    <w:rsid w:val="00340907"/>
    <w:rsid w:val="00340F14"/>
    <w:rsid w:val="00346637"/>
    <w:rsid w:val="00352A50"/>
    <w:rsid w:val="00353D87"/>
    <w:rsid w:val="00357332"/>
    <w:rsid w:val="003644D2"/>
    <w:rsid w:val="003647C6"/>
    <w:rsid w:val="00365E5E"/>
    <w:rsid w:val="0036681C"/>
    <w:rsid w:val="00366FA5"/>
    <w:rsid w:val="00367349"/>
    <w:rsid w:val="003753E2"/>
    <w:rsid w:val="003833E2"/>
    <w:rsid w:val="003834F1"/>
    <w:rsid w:val="00387E32"/>
    <w:rsid w:val="0039389F"/>
    <w:rsid w:val="003A3D3E"/>
    <w:rsid w:val="003B0CE7"/>
    <w:rsid w:val="003B2C78"/>
    <w:rsid w:val="003B37F4"/>
    <w:rsid w:val="003B3D53"/>
    <w:rsid w:val="003B4927"/>
    <w:rsid w:val="003D1675"/>
    <w:rsid w:val="003D19A0"/>
    <w:rsid w:val="003D2410"/>
    <w:rsid w:val="003D4261"/>
    <w:rsid w:val="003E4139"/>
    <w:rsid w:val="003E6609"/>
    <w:rsid w:val="003E662A"/>
    <w:rsid w:val="003E6C98"/>
    <w:rsid w:val="003F2BAA"/>
    <w:rsid w:val="003F2D13"/>
    <w:rsid w:val="003F40AE"/>
    <w:rsid w:val="003F40D5"/>
    <w:rsid w:val="003F77D5"/>
    <w:rsid w:val="003F7819"/>
    <w:rsid w:val="004029DF"/>
    <w:rsid w:val="00403C0A"/>
    <w:rsid w:val="0040697E"/>
    <w:rsid w:val="00411D1A"/>
    <w:rsid w:val="0041388A"/>
    <w:rsid w:val="00421547"/>
    <w:rsid w:val="00422CED"/>
    <w:rsid w:val="00424858"/>
    <w:rsid w:val="00426C5A"/>
    <w:rsid w:val="00427F74"/>
    <w:rsid w:val="0043144C"/>
    <w:rsid w:val="00432704"/>
    <w:rsid w:val="00432927"/>
    <w:rsid w:val="00435157"/>
    <w:rsid w:val="00437B00"/>
    <w:rsid w:val="00440DCF"/>
    <w:rsid w:val="004433DB"/>
    <w:rsid w:val="004506E8"/>
    <w:rsid w:val="00454D52"/>
    <w:rsid w:val="004570D4"/>
    <w:rsid w:val="004570FB"/>
    <w:rsid w:val="004579B3"/>
    <w:rsid w:val="004579FC"/>
    <w:rsid w:val="004643C8"/>
    <w:rsid w:val="0046617A"/>
    <w:rsid w:val="004710D6"/>
    <w:rsid w:val="00476980"/>
    <w:rsid w:val="00480313"/>
    <w:rsid w:val="00486CBC"/>
    <w:rsid w:val="0049046F"/>
    <w:rsid w:val="0049088E"/>
    <w:rsid w:val="004A1AA5"/>
    <w:rsid w:val="004A318D"/>
    <w:rsid w:val="004A3B5B"/>
    <w:rsid w:val="004A7768"/>
    <w:rsid w:val="004A7960"/>
    <w:rsid w:val="004A796E"/>
    <w:rsid w:val="004B4FEA"/>
    <w:rsid w:val="004B7838"/>
    <w:rsid w:val="004B7DD9"/>
    <w:rsid w:val="004C01A9"/>
    <w:rsid w:val="004C4DC8"/>
    <w:rsid w:val="004C5149"/>
    <w:rsid w:val="004C5A85"/>
    <w:rsid w:val="004C76BE"/>
    <w:rsid w:val="004D4EF9"/>
    <w:rsid w:val="004D789F"/>
    <w:rsid w:val="004E0CD4"/>
    <w:rsid w:val="004E3DC0"/>
    <w:rsid w:val="004E7220"/>
    <w:rsid w:val="004F15A5"/>
    <w:rsid w:val="004F65EC"/>
    <w:rsid w:val="004F750F"/>
    <w:rsid w:val="00500BDC"/>
    <w:rsid w:val="00500D65"/>
    <w:rsid w:val="0050100C"/>
    <w:rsid w:val="00502343"/>
    <w:rsid w:val="0050748B"/>
    <w:rsid w:val="00511AB5"/>
    <w:rsid w:val="00513D59"/>
    <w:rsid w:val="00515B95"/>
    <w:rsid w:val="00515EF7"/>
    <w:rsid w:val="00516BE5"/>
    <w:rsid w:val="00520533"/>
    <w:rsid w:val="00520A00"/>
    <w:rsid w:val="005266B9"/>
    <w:rsid w:val="005268A9"/>
    <w:rsid w:val="00527E7E"/>
    <w:rsid w:val="0053110E"/>
    <w:rsid w:val="00532D76"/>
    <w:rsid w:val="005349A1"/>
    <w:rsid w:val="00542663"/>
    <w:rsid w:val="00550079"/>
    <w:rsid w:val="005516A9"/>
    <w:rsid w:val="0055257F"/>
    <w:rsid w:val="005538D4"/>
    <w:rsid w:val="005556BF"/>
    <w:rsid w:val="00556053"/>
    <w:rsid w:val="0056081D"/>
    <w:rsid w:val="005609B9"/>
    <w:rsid w:val="00563112"/>
    <w:rsid w:val="00563D73"/>
    <w:rsid w:val="00563ED9"/>
    <w:rsid w:val="0057254D"/>
    <w:rsid w:val="005758BB"/>
    <w:rsid w:val="00583619"/>
    <w:rsid w:val="00583BC3"/>
    <w:rsid w:val="005916D1"/>
    <w:rsid w:val="00591754"/>
    <w:rsid w:val="0059354E"/>
    <w:rsid w:val="00594B5C"/>
    <w:rsid w:val="00595441"/>
    <w:rsid w:val="00596780"/>
    <w:rsid w:val="00597B33"/>
    <w:rsid w:val="005A4E37"/>
    <w:rsid w:val="005A5DDF"/>
    <w:rsid w:val="005B25D2"/>
    <w:rsid w:val="005B3FC7"/>
    <w:rsid w:val="005B59C3"/>
    <w:rsid w:val="005C0B8C"/>
    <w:rsid w:val="005C17BF"/>
    <w:rsid w:val="005C4BD6"/>
    <w:rsid w:val="005C5072"/>
    <w:rsid w:val="005C7BFF"/>
    <w:rsid w:val="005D349F"/>
    <w:rsid w:val="005D39B5"/>
    <w:rsid w:val="005D4937"/>
    <w:rsid w:val="005D6E0D"/>
    <w:rsid w:val="005D6F81"/>
    <w:rsid w:val="005D7742"/>
    <w:rsid w:val="005E0D59"/>
    <w:rsid w:val="005E6DF6"/>
    <w:rsid w:val="005F4F54"/>
    <w:rsid w:val="005F6753"/>
    <w:rsid w:val="006007CB"/>
    <w:rsid w:val="006034CA"/>
    <w:rsid w:val="00603F58"/>
    <w:rsid w:val="0061444C"/>
    <w:rsid w:val="00634019"/>
    <w:rsid w:val="0063733A"/>
    <w:rsid w:val="00644A87"/>
    <w:rsid w:val="006523DF"/>
    <w:rsid w:val="006523F1"/>
    <w:rsid w:val="00653F9A"/>
    <w:rsid w:val="00654F39"/>
    <w:rsid w:val="00660886"/>
    <w:rsid w:val="0066355C"/>
    <w:rsid w:val="00664DE6"/>
    <w:rsid w:val="0067168E"/>
    <w:rsid w:val="006764CB"/>
    <w:rsid w:val="006772A7"/>
    <w:rsid w:val="00683189"/>
    <w:rsid w:val="006914B0"/>
    <w:rsid w:val="006946B6"/>
    <w:rsid w:val="006B1332"/>
    <w:rsid w:val="006B22A0"/>
    <w:rsid w:val="006B56D9"/>
    <w:rsid w:val="006B6454"/>
    <w:rsid w:val="006C44CB"/>
    <w:rsid w:val="006C5EEE"/>
    <w:rsid w:val="006D1E9C"/>
    <w:rsid w:val="006D268D"/>
    <w:rsid w:val="006D7103"/>
    <w:rsid w:val="006E0132"/>
    <w:rsid w:val="006E0B98"/>
    <w:rsid w:val="006E2540"/>
    <w:rsid w:val="006E6626"/>
    <w:rsid w:val="006E6660"/>
    <w:rsid w:val="006E691B"/>
    <w:rsid w:val="006F18E1"/>
    <w:rsid w:val="006F6E7A"/>
    <w:rsid w:val="0070031C"/>
    <w:rsid w:val="00710272"/>
    <w:rsid w:val="00715A20"/>
    <w:rsid w:val="007218CE"/>
    <w:rsid w:val="00722A68"/>
    <w:rsid w:val="00723A8D"/>
    <w:rsid w:val="00724767"/>
    <w:rsid w:val="00724FE7"/>
    <w:rsid w:val="0073607C"/>
    <w:rsid w:val="00736EA5"/>
    <w:rsid w:val="00737B34"/>
    <w:rsid w:val="00752ED8"/>
    <w:rsid w:val="00760DB4"/>
    <w:rsid w:val="0076103C"/>
    <w:rsid w:val="00765471"/>
    <w:rsid w:val="00782AB5"/>
    <w:rsid w:val="007847C9"/>
    <w:rsid w:val="00786394"/>
    <w:rsid w:val="007868C2"/>
    <w:rsid w:val="007906C6"/>
    <w:rsid w:val="007A40B1"/>
    <w:rsid w:val="007A72E3"/>
    <w:rsid w:val="007B13B9"/>
    <w:rsid w:val="007B4189"/>
    <w:rsid w:val="007B6513"/>
    <w:rsid w:val="007B7681"/>
    <w:rsid w:val="007C0EF6"/>
    <w:rsid w:val="007C1371"/>
    <w:rsid w:val="007C5864"/>
    <w:rsid w:val="007D4A2C"/>
    <w:rsid w:val="007E179D"/>
    <w:rsid w:val="007E1B57"/>
    <w:rsid w:val="007E5950"/>
    <w:rsid w:val="007F294A"/>
    <w:rsid w:val="007F3143"/>
    <w:rsid w:val="007F3C0A"/>
    <w:rsid w:val="007F60D3"/>
    <w:rsid w:val="008177C6"/>
    <w:rsid w:val="00817F61"/>
    <w:rsid w:val="00821207"/>
    <w:rsid w:val="00826EE1"/>
    <w:rsid w:val="008306BF"/>
    <w:rsid w:val="00836FAD"/>
    <w:rsid w:val="008377C4"/>
    <w:rsid w:val="00840F04"/>
    <w:rsid w:val="0084239F"/>
    <w:rsid w:val="008426F3"/>
    <w:rsid w:val="00845105"/>
    <w:rsid w:val="008758A1"/>
    <w:rsid w:val="00875F01"/>
    <w:rsid w:val="0087778A"/>
    <w:rsid w:val="00877E9E"/>
    <w:rsid w:val="00882744"/>
    <w:rsid w:val="008840F7"/>
    <w:rsid w:val="00885109"/>
    <w:rsid w:val="00885E01"/>
    <w:rsid w:val="00890179"/>
    <w:rsid w:val="0089603E"/>
    <w:rsid w:val="008A0131"/>
    <w:rsid w:val="008A015D"/>
    <w:rsid w:val="008A3A2E"/>
    <w:rsid w:val="008B78D8"/>
    <w:rsid w:val="008C5A4B"/>
    <w:rsid w:val="008D0CBE"/>
    <w:rsid w:val="008D181A"/>
    <w:rsid w:val="008E4D04"/>
    <w:rsid w:val="008E517C"/>
    <w:rsid w:val="008E5212"/>
    <w:rsid w:val="008F482B"/>
    <w:rsid w:val="009118EA"/>
    <w:rsid w:val="00913E4C"/>
    <w:rsid w:val="009163D8"/>
    <w:rsid w:val="009176AC"/>
    <w:rsid w:val="009250EC"/>
    <w:rsid w:val="00925A79"/>
    <w:rsid w:val="00934BF1"/>
    <w:rsid w:val="009428D0"/>
    <w:rsid w:val="00943783"/>
    <w:rsid w:val="00945BEF"/>
    <w:rsid w:val="00945BF7"/>
    <w:rsid w:val="00947930"/>
    <w:rsid w:val="00951A20"/>
    <w:rsid w:val="00952EF5"/>
    <w:rsid w:val="009547C9"/>
    <w:rsid w:val="00956ACD"/>
    <w:rsid w:val="00957CF4"/>
    <w:rsid w:val="009651FE"/>
    <w:rsid w:val="00965E7E"/>
    <w:rsid w:val="0097213C"/>
    <w:rsid w:val="00990E9A"/>
    <w:rsid w:val="009913CB"/>
    <w:rsid w:val="00991B54"/>
    <w:rsid w:val="009A148D"/>
    <w:rsid w:val="009A1F89"/>
    <w:rsid w:val="009A254B"/>
    <w:rsid w:val="009A5F7A"/>
    <w:rsid w:val="009A746B"/>
    <w:rsid w:val="009A7FB3"/>
    <w:rsid w:val="009B2C4D"/>
    <w:rsid w:val="009B322C"/>
    <w:rsid w:val="009B4263"/>
    <w:rsid w:val="009C3E37"/>
    <w:rsid w:val="009C508F"/>
    <w:rsid w:val="009C6187"/>
    <w:rsid w:val="009D5BF6"/>
    <w:rsid w:val="009D7F8D"/>
    <w:rsid w:val="009E1503"/>
    <w:rsid w:val="009E7F87"/>
    <w:rsid w:val="009F294D"/>
    <w:rsid w:val="009F521C"/>
    <w:rsid w:val="00A018F5"/>
    <w:rsid w:val="00A056D1"/>
    <w:rsid w:val="00A117D6"/>
    <w:rsid w:val="00A11BA0"/>
    <w:rsid w:val="00A11CFC"/>
    <w:rsid w:val="00A22A16"/>
    <w:rsid w:val="00A22FAB"/>
    <w:rsid w:val="00A340DB"/>
    <w:rsid w:val="00A42F08"/>
    <w:rsid w:val="00A446C5"/>
    <w:rsid w:val="00A46671"/>
    <w:rsid w:val="00A548F2"/>
    <w:rsid w:val="00A5567C"/>
    <w:rsid w:val="00A56995"/>
    <w:rsid w:val="00A62A1A"/>
    <w:rsid w:val="00A63F09"/>
    <w:rsid w:val="00A64B05"/>
    <w:rsid w:val="00A72917"/>
    <w:rsid w:val="00A73A0E"/>
    <w:rsid w:val="00A7497E"/>
    <w:rsid w:val="00A7537C"/>
    <w:rsid w:val="00A76145"/>
    <w:rsid w:val="00A918ED"/>
    <w:rsid w:val="00AA5752"/>
    <w:rsid w:val="00AA6EE0"/>
    <w:rsid w:val="00AB0814"/>
    <w:rsid w:val="00AB1D4B"/>
    <w:rsid w:val="00AB713A"/>
    <w:rsid w:val="00AB768B"/>
    <w:rsid w:val="00AD30A0"/>
    <w:rsid w:val="00AE0875"/>
    <w:rsid w:val="00AE3881"/>
    <w:rsid w:val="00AE3ABB"/>
    <w:rsid w:val="00AE4C7A"/>
    <w:rsid w:val="00AE69BC"/>
    <w:rsid w:val="00AE73CD"/>
    <w:rsid w:val="00AF140B"/>
    <w:rsid w:val="00AF2AA8"/>
    <w:rsid w:val="00AF41F7"/>
    <w:rsid w:val="00AF5D0C"/>
    <w:rsid w:val="00B066D4"/>
    <w:rsid w:val="00B1028C"/>
    <w:rsid w:val="00B1072E"/>
    <w:rsid w:val="00B1396A"/>
    <w:rsid w:val="00B221AB"/>
    <w:rsid w:val="00B23151"/>
    <w:rsid w:val="00B26157"/>
    <w:rsid w:val="00B327A0"/>
    <w:rsid w:val="00B33DB2"/>
    <w:rsid w:val="00B36A01"/>
    <w:rsid w:val="00B41DD6"/>
    <w:rsid w:val="00B42A86"/>
    <w:rsid w:val="00B45310"/>
    <w:rsid w:val="00B537E7"/>
    <w:rsid w:val="00B60F99"/>
    <w:rsid w:val="00B71AEF"/>
    <w:rsid w:val="00B72131"/>
    <w:rsid w:val="00B7383D"/>
    <w:rsid w:val="00B74DC4"/>
    <w:rsid w:val="00B7727C"/>
    <w:rsid w:val="00B800E1"/>
    <w:rsid w:val="00B84650"/>
    <w:rsid w:val="00B86D95"/>
    <w:rsid w:val="00B871D8"/>
    <w:rsid w:val="00B87856"/>
    <w:rsid w:val="00B90F44"/>
    <w:rsid w:val="00B97C28"/>
    <w:rsid w:val="00BA48A6"/>
    <w:rsid w:val="00BA525C"/>
    <w:rsid w:val="00BA621A"/>
    <w:rsid w:val="00BB1C9F"/>
    <w:rsid w:val="00BB1E01"/>
    <w:rsid w:val="00BC4A87"/>
    <w:rsid w:val="00BC5D04"/>
    <w:rsid w:val="00BC6617"/>
    <w:rsid w:val="00BD5DA5"/>
    <w:rsid w:val="00BE20E6"/>
    <w:rsid w:val="00BE29BE"/>
    <w:rsid w:val="00BE7575"/>
    <w:rsid w:val="00BF4D14"/>
    <w:rsid w:val="00BF68C1"/>
    <w:rsid w:val="00BF6A2E"/>
    <w:rsid w:val="00C00D4E"/>
    <w:rsid w:val="00C01A3E"/>
    <w:rsid w:val="00C0349F"/>
    <w:rsid w:val="00C10516"/>
    <w:rsid w:val="00C14510"/>
    <w:rsid w:val="00C163F8"/>
    <w:rsid w:val="00C207F7"/>
    <w:rsid w:val="00C2245F"/>
    <w:rsid w:val="00C267A4"/>
    <w:rsid w:val="00C27741"/>
    <w:rsid w:val="00C27A39"/>
    <w:rsid w:val="00C3027E"/>
    <w:rsid w:val="00C35777"/>
    <w:rsid w:val="00C40DC8"/>
    <w:rsid w:val="00C46FDB"/>
    <w:rsid w:val="00C517F8"/>
    <w:rsid w:val="00C5357C"/>
    <w:rsid w:val="00C53772"/>
    <w:rsid w:val="00C56388"/>
    <w:rsid w:val="00C60A34"/>
    <w:rsid w:val="00C679C7"/>
    <w:rsid w:val="00C8136B"/>
    <w:rsid w:val="00C81A39"/>
    <w:rsid w:val="00C85E9F"/>
    <w:rsid w:val="00C86AA5"/>
    <w:rsid w:val="00C86D45"/>
    <w:rsid w:val="00C87E17"/>
    <w:rsid w:val="00C90C08"/>
    <w:rsid w:val="00C928FE"/>
    <w:rsid w:val="00C92A15"/>
    <w:rsid w:val="00C937E6"/>
    <w:rsid w:val="00C949C4"/>
    <w:rsid w:val="00C94AB0"/>
    <w:rsid w:val="00C95310"/>
    <w:rsid w:val="00C961B6"/>
    <w:rsid w:val="00C97663"/>
    <w:rsid w:val="00C97B8E"/>
    <w:rsid w:val="00CA178E"/>
    <w:rsid w:val="00CA22C5"/>
    <w:rsid w:val="00CC2033"/>
    <w:rsid w:val="00CC3B42"/>
    <w:rsid w:val="00CC4B63"/>
    <w:rsid w:val="00CD7645"/>
    <w:rsid w:val="00CE2B1C"/>
    <w:rsid w:val="00CE5BAE"/>
    <w:rsid w:val="00CF216A"/>
    <w:rsid w:val="00CF2E59"/>
    <w:rsid w:val="00CF5B90"/>
    <w:rsid w:val="00D0272A"/>
    <w:rsid w:val="00D06E49"/>
    <w:rsid w:val="00D10C10"/>
    <w:rsid w:val="00D13B2F"/>
    <w:rsid w:val="00D13E00"/>
    <w:rsid w:val="00D16AF5"/>
    <w:rsid w:val="00D2245A"/>
    <w:rsid w:val="00D23AA6"/>
    <w:rsid w:val="00D2595B"/>
    <w:rsid w:val="00D263E8"/>
    <w:rsid w:val="00D26794"/>
    <w:rsid w:val="00D300B8"/>
    <w:rsid w:val="00D3264B"/>
    <w:rsid w:val="00D33C93"/>
    <w:rsid w:val="00D35F83"/>
    <w:rsid w:val="00D41243"/>
    <w:rsid w:val="00D441BB"/>
    <w:rsid w:val="00D47F98"/>
    <w:rsid w:val="00D521A3"/>
    <w:rsid w:val="00D64CE9"/>
    <w:rsid w:val="00D72B9C"/>
    <w:rsid w:val="00D73C12"/>
    <w:rsid w:val="00D85F41"/>
    <w:rsid w:val="00D92CB2"/>
    <w:rsid w:val="00D9315A"/>
    <w:rsid w:val="00D97F50"/>
    <w:rsid w:val="00DA2269"/>
    <w:rsid w:val="00DA2DE7"/>
    <w:rsid w:val="00DA4BAF"/>
    <w:rsid w:val="00DA6627"/>
    <w:rsid w:val="00DB2D39"/>
    <w:rsid w:val="00DB3265"/>
    <w:rsid w:val="00DB39BE"/>
    <w:rsid w:val="00DC1C65"/>
    <w:rsid w:val="00DC3AB1"/>
    <w:rsid w:val="00DD21B7"/>
    <w:rsid w:val="00DD2332"/>
    <w:rsid w:val="00DD3094"/>
    <w:rsid w:val="00DD30FC"/>
    <w:rsid w:val="00DD433E"/>
    <w:rsid w:val="00DD4CBA"/>
    <w:rsid w:val="00DD5718"/>
    <w:rsid w:val="00DD6D57"/>
    <w:rsid w:val="00DD7399"/>
    <w:rsid w:val="00DE1D2C"/>
    <w:rsid w:val="00DF3B29"/>
    <w:rsid w:val="00DF7E86"/>
    <w:rsid w:val="00E026C0"/>
    <w:rsid w:val="00E028A5"/>
    <w:rsid w:val="00E061F3"/>
    <w:rsid w:val="00E13759"/>
    <w:rsid w:val="00E15923"/>
    <w:rsid w:val="00E32913"/>
    <w:rsid w:val="00E33112"/>
    <w:rsid w:val="00E360E0"/>
    <w:rsid w:val="00E4575B"/>
    <w:rsid w:val="00E503E6"/>
    <w:rsid w:val="00E50DF5"/>
    <w:rsid w:val="00E5327B"/>
    <w:rsid w:val="00E57227"/>
    <w:rsid w:val="00E611AC"/>
    <w:rsid w:val="00E618B4"/>
    <w:rsid w:val="00E63490"/>
    <w:rsid w:val="00E64631"/>
    <w:rsid w:val="00E77AD4"/>
    <w:rsid w:val="00E80CE6"/>
    <w:rsid w:val="00E8281A"/>
    <w:rsid w:val="00E837CE"/>
    <w:rsid w:val="00E8419F"/>
    <w:rsid w:val="00E84C22"/>
    <w:rsid w:val="00E84C9A"/>
    <w:rsid w:val="00E877A4"/>
    <w:rsid w:val="00E9260E"/>
    <w:rsid w:val="00E9442C"/>
    <w:rsid w:val="00EA2762"/>
    <w:rsid w:val="00EA2BB1"/>
    <w:rsid w:val="00EA35D7"/>
    <w:rsid w:val="00EA6094"/>
    <w:rsid w:val="00EA7443"/>
    <w:rsid w:val="00EB2FBC"/>
    <w:rsid w:val="00EB4935"/>
    <w:rsid w:val="00EB6FF7"/>
    <w:rsid w:val="00EC0B10"/>
    <w:rsid w:val="00EC6335"/>
    <w:rsid w:val="00ED0CAE"/>
    <w:rsid w:val="00ED101F"/>
    <w:rsid w:val="00ED3E67"/>
    <w:rsid w:val="00EE5185"/>
    <w:rsid w:val="00EE5918"/>
    <w:rsid w:val="00EE5EE3"/>
    <w:rsid w:val="00EF12B9"/>
    <w:rsid w:val="00EF1491"/>
    <w:rsid w:val="00EF358E"/>
    <w:rsid w:val="00EF60C3"/>
    <w:rsid w:val="00F008AD"/>
    <w:rsid w:val="00F020FB"/>
    <w:rsid w:val="00F06B32"/>
    <w:rsid w:val="00F100BF"/>
    <w:rsid w:val="00F11846"/>
    <w:rsid w:val="00F1235A"/>
    <w:rsid w:val="00F13E70"/>
    <w:rsid w:val="00F15B08"/>
    <w:rsid w:val="00F23092"/>
    <w:rsid w:val="00F2591A"/>
    <w:rsid w:val="00F27D9F"/>
    <w:rsid w:val="00F31240"/>
    <w:rsid w:val="00F32CAE"/>
    <w:rsid w:val="00F37740"/>
    <w:rsid w:val="00F46494"/>
    <w:rsid w:val="00F4676A"/>
    <w:rsid w:val="00F4694C"/>
    <w:rsid w:val="00F47E65"/>
    <w:rsid w:val="00F50A23"/>
    <w:rsid w:val="00F519C1"/>
    <w:rsid w:val="00F51A33"/>
    <w:rsid w:val="00F62A29"/>
    <w:rsid w:val="00F660B4"/>
    <w:rsid w:val="00F66307"/>
    <w:rsid w:val="00F71793"/>
    <w:rsid w:val="00F74530"/>
    <w:rsid w:val="00F813B1"/>
    <w:rsid w:val="00F840DD"/>
    <w:rsid w:val="00F92F33"/>
    <w:rsid w:val="00F95239"/>
    <w:rsid w:val="00F97914"/>
    <w:rsid w:val="00FB2C15"/>
    <w:rsid w:val="00FB4BE7"/>
    <w:rsid w:val="00FB73AA"/>
    <w:rsid w:val="00FB7997"/>
    <w:rsid w:val="00FB7CDC"/>
    <w:rsid w:val="00FC75C8"/>
    <w:rsid w:val="00FD4DDA"/>
    <w:rsid w:val="00FD4E71"/>
    <w:rsid w:val="00FD51E0"/>
    <w:rsid w:val="00FD6603"/>
    <w:rsid w:val="00FE631C"/>
    <w:rsid w:val="00FE7B1F"/>
    <w:rsid w:val="00FF0225"/>
    <w:rsid w:val="00FF1BE7"/>
    <w:rsid w:val="00FF2B1D"/>
    <w:rsid w:val="00FF77F9"/>
    <w:rsid w:val="00FF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3C0A"/>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fr,Style 19,Style 16,Style 35,12,Nota,Footnote symbol,Footnote,Appel note de bas de p,BVI fnr,SUPERS,Footnote Reference Superscript,(Footnote Reference),Footnote reference number,note TESI,EN Footnote Reference,Voetnootverwijzing"/>
    <w:uiPriority w:val="99"/>
    <w:qFormat/>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qFormat/>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link w:val="Title"/>
    <w:rsid w:val="00C14510"/>
    <w:rPr>
      <w:b/>
      <w:sz w:val="40"/>
    </w:rPr>
  </w:style>
  <w:style w:type="table" w:styleId="TableGrid">
    <w:name w:val="Table Grid"/>
    <w:basedOn w:val="TableNormal"/>
    <w:rsid w:val="00127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link w:val="BalloonText"/>
    <w:rsid w:val="00AF5D0C"/>
    <w:rPr>
      <w:rFonts w:ascii="Tahoma" w:hAnsi="Tahoma" w:cs="Tahoma"/>
      <w:sz w:val="16"/>
      <w:szCs w:val="16"/>
    </w:rPr>
  </w:style>
  <w:style w:type="character" w:styleId="CommentReference">
    <w:name w:val="annotation reference"/>
    <w:rsid w:val="00357332"/>
    <w:rPr>
      <w:sz w:val="16"/>
      <w:szCs w:val="16"/>
    </w:rPr>
  </w:style>
  <w:style w:type="paragraph" w:styleId="CommentText">
    <w:name w:val="annotation text"/>
    <w:basedOn w:val="Normal"/>
    <w:link w:val="CommentTextChar"/>
    <w:rsid w:val="00357332"/>
    <w:rPr>
      <w:sz w:val="20"/>
      <w:szCs w:val="20"/>
    </w:rPr>
  </w:style>
  <w:style w:type="character" w:customStyle="1" w:styleId="CommentTextChar">
    <w:name w:val="Comment Text Char"/>
    <w:link w:val="CommentText"/>
    <w:rsid w:val="00357332"/>
    <w:rPr>
      <w:rFonts w:ascii="Arial" w:hAnsi="Arial"/>
    </w:rPr>
  </w:style>
  <w:style w:type="paragraph" w:styleId="CommentSubject">
    <w:name w:val="annotation subject"/>
    <w:basedOn w:val="CommentText"/>
    <w:next w:val="CommentText"/>
    <w:link w:val="CommentSubjectChar"/>
    <w:rsid w:val="00357332"/>
    <w:rPr>
      <w:b/>
      <w:bCs/>
    </w:rPr>
  </w:style>
  <w:style w:type="character" w:customStyle="1" w:styleId="CommentSubjectChar">
    <w:name w:val="Comment Subject Char"/>
    <w:link w:val="CommentSubject"/>
    <w:rsid w:val="00357332"/>
    <w:rPr>
      <w:rFonts w:ascii="Arial" w:hAnsi="Arial"/>
      <w:b/>
      <w:bCs/>
    </w:rPr>
  </w:style>
  <w:style w:type="paragraph" w:customStyle="1" w:styleId="ColorfulList-Accent11">
    <w:name w:val="Colorful List - Accent 11"/>
    <w:basedOn w:val="Normal"/>
    <w:uiPriority w:val="34"/>
    <w:qFormat/>
    <w:rsid w:val="002C718A"/>
    <w:pPr>
      <w:ind w:left="720"/>
      <w:contextualSpacing/>
    </w:pPr>
    <w:rPr>
      <w:rFonts w:ascii="Times New Roman" w:hAnsi="Times New Roman"/>
    </w:rPr>
  </w:style>
  <w:style w:type="paragraph" w:styleId="ListParagraph">
    <w:name w:val="List Paragraph"/>
    <w:basedOn w:val="Normal"/>
    <w:uiPriority w:val="34"/>
    <w:qFormat/>
    <w:rsid w:val="00261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 w:id="1167600667">
      <w:bodyDiv w:val="1"/>
      <w:marLeft w:val="0"/>
      <w:marRight w:val="0"/>
      <w:marTop w:val="0"/>
      <w:marBottom w:val="0"/>
      <w:divBdr>
        <w:top w:val="none" w:sz="0" w:space="0" w:color="auto"/>
        <w:left w:val="none" w:sz="0" w:space="0" w:color="auto"/>
        <w:bottom w:val="none" w:sz="0" w:space="0" w:color="auto"/>
        <w:right w:val="none" w:sz="0" w:space="0" w:color="auto"/>
      </w:divBdr>
    </w:div>
    <w:div w:id="175867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4199-6C8C-4EE0-9D19-ECBEFEFB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2771</Words>
  <Characters>15795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SYSTEM</cp:lastModifiedBy>
  <cp:revision>2</cp:revision>
  <cp:lastPrinted>2019-11-20T21:51:00Z</cp:lastPrinted>
  <dcterms:created xsi:type="dcterms:W3CDTF">2019-12-17T22:47:00Z</dcterms:created>
  <dcterms:modified xsi:type="dcterms:W3CDTF">2019-12-17T22:47:00Z</dcterms:modified>
</cp:coreProperties>
</file>