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E3B4E6" w14:textId="618C6414" w:rsidR="00E21E52" w:rsidRPr="00E21E52" w:rsidRDefault="00E21E52" w:rsidP="00E21E52">
      <w:pPr>
        <w:suppressAutoHyphens/>
        <w:spacing w:after="0" w:line="240" w:lineRule="auto"/>
        <w:rPr>
          <w:rFonts w:ascii="Times New Roman" w:eastAsia="Times New Roman" w:hAnsi="Times New Roman" w:cs="Times New Roman"/>
          <w:sz w:val="24"/>
          <w:szCs w:val="20"/>
        </w:rPr>
      </w:pPr>
      <w:bookmarkStart w:id="0" w:name="_GoBack"/>
      <w:bookmarkEnd w:id="0"/>
      <w:r w:rsidRPr="00E21E52">
        <w:rPr>
          <w:rFonts w:ascii="Times New Roman" w:eastAsia="Times New Roman" w:hAnsi="Times New Roman" w:cs="Times New Roman"/>
          <w:sz w:val="24"/>
          <w:szCs w:val="20"/>
        </w:rPr>
        <w:t>SUPPORTING STATEMENT FOR REVISED INFORMATION COLLECTIONS</w:t>
      </w:r>
    </w:p>
    <w:p w14:paraId="5BE3B4E7" w14:textId="77777777" w:rsidR="00E21E52" w:rsidRPr="00E21E52" w:rsidRDefault="00E21E52" w:rsidP="00E21E52">
      <w:pPr>
        <w:suppressAutoHyphens/>
        <w:spacing w:after="0" w:line="240" w:lineRule="auto"/>
        <w:rPr>
          <w:rFonts w:ascii="Times New Roman" w:eastAsia="Times New Roman" w:hAnsi="Times New Roman" w:cs="Times New Roman"/>
          <w:sz w:val="24"/>
          <w:szCs w:val="20"/>
        </w:rPr>
      </w:pPr>
    </w:p>
    <w:p w14:paraId="5BE3B4E8" w14:textId="7BF5E452" w:rsidR="00E21E52" w:rsidRPr="00E21E52" w:rsidRDefault="00E21E52" w:rsidP="00E21E52">
      <w:pPr>
        <w:tabs>
          <w:tab w:val="center" w:pos="4680"/>
        </w:tabs>
        <w:suppressAutoHyphens/>
        <w:spacing w:after="0" w:line="240" w:lineRule="auto"/>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ab/>
        <w:t>OMB CONTROL NUMBER 3038-00</w:t>
      </w:r>
      <w:r w:rsidR="00ED19F6">
        <w:rPr>
          <w:rFonts w:ascii="Times New Roman" w:eastAsia="Times New Roman" w:hAnsi="Times New Roman" w:cs="Times New Roman"/>
          <w:sz w:val="24"/>
          <w:szCs w:val="20"/>
        </w:rPr>
        <w:t>96</w:t>
      </w:r>
    </w:p>
    <w:p w14:paraId="5BE3B4E9" w14:textId="77777777" w:rsidR="00E21E52" w:rsidRPr="00E21E52" w:rsidRDefault="00E21E52" w:rsidP="00E21E52">
      <w:pPr>
        <w:tabs>
          <w:tab w:val="left" w:pos="-720"/>
        </w:tabs>
        <w:suppressAutoHyphens/>
        <w:spacing w:after="0" w:line="240" w:lineRule="auto"/>
        <w:rPr>
          <w:rFonts w:ascii="Times New Roman" w:eastAsia="Times New Roman" w:hAnsi="Times New Roman" w:cs="Times New Roman"/>
          <w:sz w:val="24"/>
          <w:szCs w:val="20"/>
        </w:rPr>
      </w:pPr>
    </w:p>
    <w:p w14:paraId="5BE3B4EA" w14:textId="27A78EB7" w:rsidR="00E21E52" w:rsidRPr="00E21E52" w:rsidRDefault="00E21E52" w:rsidP="00E21E52">
      <w:pPr>
        <w:tabs>
          <w:tab w:val="left" w:pos="-720"/>
          <w:tab w:val="left" w:pos="0"/>
        </w:tabs>
        <w:suppressAutoHyphens/>
        <w:spacing w:after="0" w:line="240" w:lineRule="auto"/>
        <w:ind w:left="720" w:hanging="72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1.</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00B85227">
        <w:rPr>
          <w:rFonts w:ascii="Times New Roman" w:eastAsia="Times New Roman" w:hAnsi="Times New Roman" w:cs="Times New Roman"/>
          <w:sz w:val="24"/>
          <w:szCs w:val="20"/>
        </w:rPr>
        <w:t>.</w:t>
      </w:r>
    </w:p>
    <w:p w14:paraId="5BE3B4EB" w14:textId="77777777" w:rsidR="00E21E52" w:rsidRPr="00E21E52" w:rsidRDefault="00E21E52" w:rsidP="00E21E52">
      <w:pPr>
        <w:tabs>
          <w:tab w:val="left" w:pos="-720"/>
          <w:tab w:val="left" w:pos="0"/>
        </w:tabs>
        <w:suppressAutoHyphens/>
        <w:spacing w:after="0" w:line="240" w:lineRule="auto"/>
        <w:ind w:left="720" w:hanging="720"/>
        <w:rPr>
          <w:rFonts w:ascii="Times New Roman" w:eastAsia="Times New Roman" w:hAnsi="Times New Roman" w:cs="Times New Roman"/>
          <w:sz w:val="24"/>
          <w:szCs w:val="20"/>
          <w:highlight w:val="yellow"/>
        </w:rPr>
      </w:pPr>
    </w:p>
    <w:p w14:paraId="5BE3B4ED" w14:textId="0B063E09" w:rsidR="00E21E52" w:rsidRDefault="00B85227" w:rsidP="00B85227">
      <w:pPr>
        <w:widowControl w:val="0"/>
        <w:autoSpaceDE w:val="0"/>
        <w:autoSpaceDN w:val="0"/>
        <w:adjustRightInd w:val="0"/>
        <w:spacing w:after="0" w:line="240" w:lineRule="auto"/>
        <w:ind w:firstLine="720"/>
        <w:rPr>
          <w:rFonts w:ascii="Times New Roman" w:eastAsia="Times New Roman" w:hAnsi="Times New Roman" w:cs="Times New Roman"/>
          <w:color w:val="000000"/>
          <w:sz w:val="24"/>
          <w:szCs w:val="24"/>
        </w:rPr>
      </w:pPr>
      <w:r w:rsidRPr="00B85227">
        <w:rPr>
          <w:rFonts w:ascii="Times New Roman" w:eastAsia="Times New Roman" w:hAnsi="Times New Roman" w:cs="Times New Roman"/>
          <w:color w:val="000000"/>
          <w:sz w:val="24"/>
          <w:szCs w:val="24"/>
        </w:rPr>
        <w:t xml:space="preserve">On July 21, 2010, the Dodd-Frank Wall Street Reform and Consumer Protection Act (“Dodd Frank Act”) went into effect.  Title VII of the Dodd-Frank Act amends the </w:t>
      </w:r>
      <w:r>
        <w:rPr>
          <w:rFonts w:ascii="Times New Roman" w:eastAsia="Times New Roman" w:hAnsi="Times New Roman" w:cs="Times New Roman"/>
          <w:color w:val="000000"/>
          <w:sz w:val="24"/>
          <w:szCs w:val="24"/>
        </w:rPr>
        <w:t xml:space="preserve">Commodity Exchange Act (“CEA”) </w:t>
      </w:r>
      <w:r w:rsidRPr="00B85227">
        <w:rPr>
          <w:rFonts w:ascii="Times New Roman" w:eastAsia="Times New Roman" w:hAnsi="Times New Roman" w:cs="Times New Roman"/>
          <w:color w:val="000000"/>
          <w:sz w:val="24"/>
          <w:szCs w:val="24"/>
        </w:rPr>
        <w:t xml:space="preserve">to establish a comprehensive new regulatory framework for swaps and security-based swaps. Section 728 of the Dodd-Frank Act specifically requires the Commodity Futures Trading Commission (“CFTC” or “Commission”) to establish standards for swap data recordkeeping and reporting, including the data elements to be collected and maintained by swap data repositories (“SDRs”) for each swap. Section 729 of the Dodd-Frank Act required that at least one counterparty to each swap have an obligation to report data concerning each swap. On December 20, 2011, the Commission adopted Part 45 of the Commission’s regulations to establish the swap data recordkeeping and reporting requirements mandated by the Dodd-Frank Act.  </w:t>
      </w:r>
    </w:p>
    <w:p w14:paraId="6B6BD1C0" w14:textId="77777777" w:rsidR="00B85227" w:rsidRPr="00E21E52" w:rsidRDefault="00B85227" w:rsidP="00E21E52">
      <w:pPr>
        <w:widowControl w:val="0"/>
        <w:autoSpaceDE w:val="0"/>
        <w:autoSpaceDN w:val="0"/>
        <w:adjustRightInd w:val="0"/>
        <w:spacing w:after="0" w:line="240" w:lineRule="auto"/>
        <w:rPr>
          <w:rFonts w:ascii="Times New Roman" w:eastAsia="Times New Roman" w:hAnsi="Times New Roman" w:cs="Optimum"/>
          <w:color w:val="000000"/>
          <w:sz w:val="24"/>
          <w:szCs w:val="24"/>
        </w:rPr>
      </w:pPr>
    </w:p>
    <w:p w14:paraId="5BE3B4EE" w14:textId="79C4C826" w:rsidR="00E21E52" w:rsidRPr="00E21E52" w:rsidRDefault="00E21E52" w:rsidP="00B85227">
      <w:pPr>
        <w:widowControl w:val="0"/>
        <w:autoSpaceDE w:val="0"/>
        <w:autoSpaceDN w:val="0"/>
        <w:adjustRightInd w:val="0"/>
        <w:spacing w:after="0" w:line="240" w:lineRule="auto"/>
        <w:ind w:firstLine="720"/>
        <w:rPr>
          <w:rFonts w:ascii="Times New Roman" w:eastAsia="Times New Roman" w:hAnsi="Times New Roman" w:cs="Optimum"/>
          <w:color w:val="000000"/>
          <w:sz w:val="24"/>
          <w:szCs w:val="24"/>
        </w:rPr>
      </w:pPr>
      <w:r w:rsidRPr="00E21E52">
        <w:rPr>
          <w:rFonts w:ascii="Times New Roman" w:eastAsia="Times New Roman" w:hAnsi="Times New Roman" w:cs="Optimum"/>
          <w:color w:val="000000"/>
          <w:sz w:val="24"/>
          <w:szCs w:val="24"/>
        </w:rPr>
        <w:t>This supporting statement concerns the renewal of existing collections of information required by 17 CFR Part 4</w:t>
      </w:r>
      <w:r w:rsidR="00B85227">
        <w:rPr>
          <w:rFonts w:ascii="Times New Roman" w:eastAsia="Times New Roman" w:hAnsi="Times New Roman" w:cs="Optimum"/>
          <w:color w:val="000000"/>
          <w:sz w:val="24"/>
          <w:szCs w:val="24"/>
        </w:rPr>
        <w:t>5</w:t>
      </w:r>
      <w:r w:rsidRPr="00E21E52">
        <w:rPr>
          <w:rFonts w:ascii="Times New Roman" w:eastAsia="Times New Roman" w:hAnsi="Times New Roman" w:cs="Optimum"/>
          <w:color w:val="000000"/>
          <w:sz w:val="24"/>
          <w:szCs w:val="24"/>
        </w:rPr>
        <w:t>.  CFTC regulation 4</w:t>
      </w:r>
      <w:r w:rsidR="00B85227">
        <w:rPr>
          <w:rFonts w:ascii="Times New Roman" w:eastAsia="Times New Roman" w:hAnsi="Times New Roman" w:cs="Optimum"/>
          <w:color w:val="000000"/>
          <w:sz w:val="24"/>
          <w:szCs w:val="24"/>
        </w:rPr>
        <w:t>5</w:t>
      </w:r>
      <w:r w:rsidRPr="00E21E52">
        <w:rPr>
          <w:rFonts w:ascii="Times New Roman" w:eastAsia="Times New Roman" w:hAnsi="Times New Roman" w:cs="Optimum"/>
          <w:color w:val="000000"/>
          <w:sz w:val="24"/>
          <w:szCs w:val="24"/>
        </w:rPr>
        <w:t xml:space="preserve"> imposes recordkee</w:t>
      </w:r>
      <w:r w:rsidR="00B85227">
        <w:rPr>
          <w:rFonts w:ascii="Times New Roman" w:eastAsia="Times New Roman" w:hAnsi="Times New Roman" w:cs="Optimum"/>
          <w:color w:val="000000"/>
          <w:sz w:val="24"/>
          <w:szCs w:val="24"/>
        </w:rPr>
        <w:t>ping and reporting requirements</w:t>
      </w:r>
      <w:r w:rsidRPr="00E21E52">
        <w:rPr>
          <w:rFonts w:ascii="Times New Roman" w:eastAsia="Times New Roman" w:hAnsi="Times New Roman" w:cs="Optimum"/>
          <w:color w:val="000000"/>
          <w:sz w:val="24"/>
          <w:szCs w:val="24"/>
        </w:rPr>
        <w:t xml:space="preserve"> on the following entities: swap dealers (“SDs”), major swap participants (“MSPs”), and counterparties to swaps who are neither SDs nor MSPs </w:t>
      </w:r>
      <w:r w:rsidR="00B85227">
        <w:rPr>
          <w:rFonts w:ascii="Times New Roman" w:eastAsia="Times New Roman" w:hAnsi="Times New Roman" w:cs="Optimum"/>
          <w:color w:val="000000"/>
          <w:sz w:val="24"/>
          <w:szCs w:val="24"/>
        </w:rPr>
        <w:t xml:space="preserve">(“non-SD/MSP counterparties”). </w:t>
      </w:r>
    </w:p>
    <w:p w14:paraId="5BE3B4EF" w14:textId="77777777" w:rsidR="00E21E52" w:rsidRPr="00E21E52" w:rsidRDefault="00E21E52" w:rsidP="00E21E52">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14:paraId="5BE3B4F0" w14:textId="77777777" w:rsidR="00E21E52" w:rsidRPr="00E21E52" w:rsidRDefault="00E21E52" w:rsidP="00E21E52">
      <w:pPr>
        <w:tabs>
          <w:tab w:val="left" w:pos="-720"/>
        </w:tabs>
        <w:suppressAutoHyphens/>
        <w:spacing w:after="0" w:line="240" w:lineRule="auto"/>
        <w:ind w:left="720" w:hanging="72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2.</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Indicate how, by whom, and for what purpose the data would be used.  Except for a new collection, indicate the actual use the agency has made of the information received from the current collection</w:t>
      </w:r>
      <w:r w:rsidRPr="00E21E52">
        <w:rPr>
          <w:rFonts w:ascii="Times New Roman" w:eastAsia="Times New Roman" w:hAnsi="Times New Roman" w:cs="Times New Roman"/>
          <w:sz w:val="24"/>
          <w:szCs w:val="20"/>
        </w:rPr>
        <w:t xml:space="preserve">. </w:t>
      </w:r>
    </w:p>
    <w:p w14:paraId="5BE3B4F1" w14:textId="77777777" w:rsidR="00E21E52" w:rsidRPr="00E21E52" w:rsidRDefault="00E21E52" w:rsidP="00E21E52">
      <w:pPr>
        <w:tabs>
          <w:tab w:val="left" w:pos="-720"/>
        </w:tabs>
        <w:suppressAutoHyphens/>
        <w:spacing w:after="0" w:line="240" w:lineRule="auto"/>
        <w:ind w:left="720" w:hanging="720"/>
        <w:rPr>
          <w:rFonts w:ascii="Times New Roman" w:eastAsia="Times New Roman" w:hAnsi="Times New Roman" w:cs="Times New Roman"/>
          <w:sz w:val="24"/>
          <w:szCs w:val="20"/>
        </w:rPr>
      </w:pPr>
    </w:p>
    <w:p w14:paraId="5BE3B4F2" w14:textId="4FC38F0C" w:rsidR="00E21E52" w:rsidRPr="00E21E52" w:rsidRDefault="00E21E52" w:rsidP="00E21E52">
      <w:pPr>
        <w:tabs>
          <w:tab w:val="left" w:pos="-720"/>
        </w:tabs>
        <w:suppressAutoHyphens/>
        <w:spacing w:after="0" w:line="240" w:lineRule="auto"/>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The Commission uses the data required by CFTC regulation 4</w:t>
      </w:r>
      <w:r w:rsidR="00B85227">
        <w:rPr>
          <w:rFonts w:ascii="Times New Roman" w:eastAsia="Times New Roman" w:hAnsi="Times New Roman" w:cs="Times New Roman"/>
          <w:sz w:val="24"/>
          <w:szCs w:val="20"/>
        </w:rPr>
        <w:t>5</w:t>
      </w:r>
      <w:r w:rsidRPr="00E21E52">
        <w:rPr>
          <w:rFonts w:ascii="Times New Roman" w:eastAsia="Times New Roman" w:hAnsi="Times New Roman" w:cs="Times New Roman"/>
          <w:sz w:val="24"/>
          <w:szCs w:val="20"/>
        </w:rPr>
        <w:t xml:space="preserve"> to fulfill its regulatory mandates, including systemic risk mitigation, market monitoring, and market abuse prevention.</w:t>
      </w:r>
    </w:p>
    <w:p w14:paraId="5BE3B4F3" w14:textId="77777777" w:rsidR="00E21E52" w:rsidRPr="00E21E52" w:rsidRDefault="00E21E52" w:rsidP="00E21E52">
      <w:pPr>
        <w:tabs>
          <w:tab w:val="left" w:pos="-720"/>
        </w:tabs>
        <w:suppressAutoHyphens/>
        <w:spacing w:after="0" w:line="240" w:lineRule="auto"/>
        <w:rPr>
          <w:rFonts w:ascii="Times New Roman" w:eastAsia="Times New Roman" w:hAnsi="Times New Roman" w:cs="Times New Roman"/>
          <w:sz w:val="24"/>
          <w:szCs w:val="20"/>
        </w:rPr>
      </w:pPr>
    </w:p>
    <w:p w14:paraId="5BE3B4F4" w14:textId="77777777" w:rsidR="00E21E52" w:rsidRPr="00E21E52" w:rsidRDefault="00E21E52" w:rsidP="00E21E52">
      <w:pPr>
        <w:tabs>
          <w:tab w:val="left" w:pos="-720"/>
          <w:tab w:val="left" w:pos="0"/>
        </w:tabs>
        <w:suppressAutoHyphens/>
        <w:spacing w:after="0" w:line="240" w:lineRule="auto"/>
        <w:ind w:left="720" w:hanging="720"/>
        <w:rPr>
          <w:rFonts w:ascii="Times New Roman" w:eastAsia="Times New Roman" w:hAnsi="Times New Roman" w:cs="Times New Roman"/>
          <w:sz w:val="24"/>
          <w:szCs w:val="20"/>
          <w:u w:val="single"/>
        </w:rPr>
      </w:pPr>
      <w:r w:rsidRPr="00E21E52">
        <w:rPr>
          <w:rFonts w:ascii="Times New Roman" w:eastAsia="Times New Roman" w:hAnsi="Times New Roman" w:cs="Times New Roman"/>
          <w:sz w:val="24"/>
          <w:szCs w:val="20"/>
        </w:rPr>
        <w:t>3.</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14:paraId="5BE3B4F5" w14:textId="77777777" w:rsidR="00E21E52" w:rsidRPr="00E21E52" w:rsidRDefault="00E21E52" w:rsidP="00E21E52">
      <w:pPr>
        <w:tabs>
          <w:tab w:val="left" w:pos="-720"/>
          <w:tab w:val="left" w:pos="0"/>
        </w:tabs>
        <w:suppressAutoHyphens/>
        <w:spacing w:after="0" w:line="240" w:lineRule="auto"/>
        <w:ind w:left="720" w:hanging="720"/>
        <w:rPr>
          <w:rFonts w:ascii="Times New Roman" w:eastAsia="Times New Roman" w:hAnsi="Times New Roman" w:cs="Times New Roman"/>
          <w:sz w:val="24"/>
          <w:szCs w:val="20"/>
        </w:rPr>
      </w:pPr>
    </w:p>
    <w:p w14:paraId="5BE3B4F6" w14:textId="6D69C012" w:rsidR="00E21E52" w:rsidRPr="00E21E52" w:rsidRDefault="00E21E52" w:rsidP="00E21E52">
      <w:pPr>
        <w:tabs>
          <w:tab w:val="left" w:pos="-720"/>
          <w:tab w:val="left" w:pos="0"/>
        </w:tabs>
        <w:suppressAutoHyphens/>
        <w:spacing w:after="0" w:line="240" w:lineRule="auto"/>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CFTC regulation 4</w:t>
      </w:r>
      <w:r w:rsidR="00B85227">
        <w:rPr>
          <w:rFonts w:ascii="Times New Roman" w:eastAsia="Times New Roman" w:hAnsi="Times New Roman" w:cs="Times New Roman"/>
          <w:sz w:val="24"/>
          <w:szCs w:val="20"/>
        </w:rPr>
        <w:t>5</w:t>
      </w:r>
      <w:r w:rsidRPr="00E21E52">
        <w:rPr>
          <w:rFonts w:ascii="Times New Roman" w:eastAsia="Times New Roman" w:hAnsi="Times New Roman" w:cs="Times New Roman"/>
          <w:sz w:val="24"/>
          <w:szCs w:val="20"/>
        </w:rPr>
        <w:t xml:space="preserve"> generally requires affected parties to ma</w:t>
      </w:r>
      <w:r w:rsidR="00B85227">
        <w:rPr>
          <w:rFonts w:ascii="Times New Roman" w:eastAsia="Times New Roman" w:hAnsi="Times New Roman" w:cs="Times New Roman"/>
          <w:sz w:val="24"/>
          <w:szCs w:val="20"/>
        </w:rPr>
        <w:t xml:space="preserve">intain records electronically. </w:t>
      </w:r>
    </w:p>
    <w:p w14:paraId="5BE3B4F7" w14:textId="77777777" w:rsidR="00E21E52" w:rsidRPr="00E21E52" w:rsidRDefault="00E21E52" w:rsidP="00E21E52">
      <w:pPr>
        <w:tabs>
          <w:tab w:val="left" w:pos="-720"/>
        </w:tabs>
        <w:suppressAutoHyphens/>
        <w:spacing w:after="0" w:line="240" w:lineRule="auto"/>
        <w:rPr>
          <w:rFonts w:ascii="Times New Roman" w:eastAsia="Times New Roman" w:hAnsi="Times New Roman" w:cs="Times New Roman"/>
          <w:sz w:val="24"/>
          <w:szCs w:val="20"/>
        </w:rPr>
      </w:pPr>
    </w:p>
    <w:p w14:paraId="5BE3B4F8" w14:textId="77777777" w:rsidR="00E21E52" w:rsidRPr="00E21E52" w:rsidRDefault="00E21E52" w:rsidP="00E21E52">
      <w:pPr>
        <w:tabs>
          <w:tab w:val="left" w:pos="-720"/>
          <w:tab w:val="left" w:pos="0"/>
        </w:tabs>
        <w:suppressAutoHyphens/>
        <w:spacing w:after="0" w:line="240" w:lineRule="auto"/>
        <w:ind w:left="720" w:hanging="72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4.</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Describe efforts to identify duplication.  Show specifically why any similar information already available cannot be used or modified for use for the purposes described in Item 2 above</w:t>
      </w:r>
      <w:r w:rsidRPr="00E21E52">
        <w:rPr>
          <w:rFonts w:ascii="Times New Roman" w:eastAsia="Times New Roman" w:hAnsi="Times New Roman" w:cs="Times New Roman"/>
          <w:sz w:val="24"/>
          <w:szCs w:val="20"/>
        </w:rPr>
        <w:t xml:space="preserve">. </w:t>
      </w:r>
    </w:p>
    <w:p w14:paraId="5BE3B4F9" w14:textId="77777777" w:rsidR="00E21E52" w:rsidRPr="00E21E52" w:rsidRDefault="00E21E52" w:rsidP="00E21E52">
      <w:pPr>
        <w:tabs>
          <w:tab w:val="left" w:pos="-720"/>
          <w:tab w:val="left" w:pos="0"/>
        </w:tabs>
        <w:suppressAutoHyphens/>
        <w:spacing w:after="0" w:line="240" w:lineRule="auto"/>
        <w:ind w:left="720" w:hanging="720"/>
        <w:rPr>
          <w:rFonts w:ascii="Times New Roman" w:eastAsia="Times New Roman" w:hAnsi="Times New Roman" w:cs="Times New Roman"/>
          <w:sz w:val="24"/>
          <w:szCs w:val="20"/>
        </w:rPr>
      </w:pPr>
    </w:p>
    <w:p w14:paraId="5BE3B4FA" w14:textId="089B312E" w:rsidR="00E21E52" w:rsidRPr="00E21E52" w:rsidRDefault="00B85227" w:rsidP="00E21E52">
      <w:pPr>
        <w:tabs>
          <w:tab w:val="left" w:pos="-720"/>
        </w:tabs>
        <w:spacing w:after="24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lastRenderedPageBreak/>
        <w:tab/>
      </w:r>
      <w:r w:rsidR="00E21E52" w:rsidRPr="00E21E52">
        <w:rPr>
          <w:rFonts w:ascii="Times New Roman" w:eastAsia="Times New Roman" w:hAnsi="Times New Roman" w:cs="Times New Roman"/>
          <w:sz w:val="24"/>
          <w:szCs w:val="20"/>
        </w:rPr>
        <w:t>Prior to enactment of the Dodd-Frank Act, the Commission did not have authority to require swap data recordkeeping and reporting for swaps.  The information required to be reported by respondents pursuant to Part 4</w:t>
      </w:r>
      <w:r>
        <w:rPr>
          <w:rFonts w:ascii="Times New Roman" w:eastAsia="Times New Roman" w:hAnsi="Times New Roman" w:cs="Times New Roman"/>
          <w:sz w:val="24"/>
          <w:szCs w:val="20"/>
        </w:rPr>
        <w:t>5</w:t>
      </w:r>
      <w:r w:rsidR="00E21E52" w:rsidRPr="00E21E52">
        <w:rPr>
          <w:rFonts w:ascii="Times New Roman" w:eastAsia="Times New Roman" w:hAnsi="Times New Roman" w:cs="Times New Roman"/>
          <w:sz w:val="24"/>
          <w:szCs w:val="20"/>
        </w:rPr>
        <w:t xml:space="preserve"> is not otherwise available to the Commission or other agencies.  The information collection is not otherwise available from any other source.  To the maximum extent possible, the information collection was designed to avoid duplication.  In all cases where it was possible to leverage information collections contained in other rulemakings, the Commission elected not to impose collections that would increase burden.</w:t>
      </w:r>
    </w:p>
    <w:p w14:paraId="5BE3B4FB" w14:textId="77777777" w:rsidR="00E21E52" w:rsidRPr="00E21E52" w:rsidRDefault="00E21E52" w:rsidP="00E21E52">
      <w:pPr>
        <w:tabs>
          <w:tab w:val="left" w:pos="-720"/>
          <w:tab w:val="left" w:pos="0"/>
        </w:tabs>
        <w:suppressAutoHyphens/>
        <w:spacing w:after="0" w:line="240" w:lineRule="auto"/>
        <w:ind w:left="720" w:hanging="72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5.</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If the collection of information involves small business or other small entities (Item 5 of OMB From 83-I), describe the methods used to minimize burden</w:t>
      </w:r>
      <w:r w:rsidRPr="00E21E52">
        <w:rPr>
          <w:rFonts w:ascii="Times New Roman" w:eastAsia="Times New Roman" w:hAnsi="Times New Roman" w:cs="Times New Roman"/>
          <w:sz w:val="24"/>
          <w:szCs w:val="20"/>
        </w:rPr>
        <w:t>.</w:t>
      </w:r>
    </w:p>
    <w:p w14:paraId="5BE3B4FC" w14:textId="77777777" w:rsidR="00E21E52" w:rsidRPr="00E21E52" w:rsidRDefault="00E21E52" w:rsidP="00E21E52">
      <w:pPr>
        <w:tabs>
          <w:tab w:val="left" w:pos="-720"/>
          <w:tab w:val="left" w:pos="0"/>
        </w:tabs>
        <w:suppressAutoHyphens/>
        <w:spacing w:after="0" w:line="240" w:lineRule="auto"/>
        <w:ind w:left="720" w:hanging="720"/>
        <w:rPr>
          <w:rFonts w:ascii="Times New Roman" w:eastAsia="Times New Roman" w:hAnsi="Times New Roman" w:cs="Times New Roman"/>
          <w:sz w:val="24"/>
          <w:szCs w:val="20"/>
        </w:rPr>
      </w:pPr>
    </w:p>
    <w:p w14:paraId="5BE3B4FD" w14:textId="0448343F" w:rsidR="00E21E52" w:rsidRPr="00E21E52" w:rsidRDefault="00B85227" w:rsidP="00E21E52">
      <w:pPr>
        <w:tabs>
          <w:tab w:val="left" w:pos="-720"/>
          <w:tab w:val="left" w:pos="0"/>
        </w:tabs>
        <w:suppressAutoHyphens/>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sidR="00E21E52" w:rsidRPr="00E21E52">
        <w:rPr>
          <w:rFonts w:ascii="Times New Roman" w:eastAsia="Times New Roman" w:hAnsi="Times New Roman" w:cs="Times New Roman"/>
          <w:sz w:val="24"/>
          <w:szCs w:val="20"/>
        </w:rPr>
        <w:t>The entities affected by CFTC regulation 4</w:t>
      </w:r>
      <w:r>
        <w:rPr>
          <w:rFonts w:ascii="Times New Roman" w:eastAsia="Times New Roman" w:hAnsi="Times New Roman" w:cs="Times New Roman"/>
          <w:sz w:val="24"/>
          <w:szCs w:val="20"/>
        </w:rPr>
        <w:t>5</w:t>
      </w:r>
      <w:r w:rsidR="00E21E52" w:rsidRPr="00E21E52">
        <w:rPr>
          <w:rFonts w:ascii="Times New Roman" w:eastAsia="Times New Roman" w:hAnsi="Times New Roman" w:cs="Times New Roman"/>
          <w:sz w:val="24"/>
          <w:szCs w:val="20"/>
        </w:rPr>
        <w:t xml:space="preserve"> include SDs, MSPs, and non-SD/MSP counterparties.  SDs and MSPs are not small entities for the purposes of the RFA.</w:t>
      </w:r>
      <w:r w:rsidR="00E21E52" w:rsidRPr="00E21E52">
        <w:rPr>
          <w:rFonts w:ascii="Times New Roman" w:eastAsia="Times New Roman" w:hAnsi="Times New Roman" w:cs="Times New Roman"/>
          <w:sz w:val="24"/>
          <w:szCs w:val="20"/>
          <w:vertAlign w:val="superscript"/>
        </w:rPr>
        <w:footnoteReference w:id="1"/>
      </w:r>
      <w:r w:rsidR="00E21E52" w:rsidRPr="00E21E52">
        <w:rPr>
          <w:rFonts w:ascii="Times New Roman" w:eastAsia="Times New Roman" w:hAnsi="Times New Roman" w:cs="Times New Roman"/>
          <w:sz w:val="24"/>
          <w:szCs w:val="20"/>
        </w:rPr>
        <w:t xml:space="preserve">  Although there are an estimated 30,000 non-SD/MSP counterparties, very few non-SD/MSP counterparties are required to report swap data pursuant to CFTC regulation 4</w:t>
      </w:r>
      <w:r>
        <w:rPr>
          <w:rFonts w:ascii="Times New Roman" w:eastAsia="Times New Roman" w:hAnsi="Times New Roman" w:cs="Times New Roman"/>
          <w:sz w:val="24"/>
          <w:szCs w:val="20"/>
        </w:rPr>
        <w:t>5</w:t>
      </w:r>
      <w:r w:rsidR="00E21E52" w:rsidRPr="00E21E52">
        <w:rPr>
          <w:rFonts w:ascii="Times New Roman" w:eastAsia="Times New Roman" w:hAnsi="Times New Roman" w:cs="Times New Roman"/>
          <w:sz w:val="24"/>
          <w:szCs w:val="20"/>
        </w:rPr>
        <w:t>.  CFTC regulation 4</w:t>
      </w:r>
      <w:r>
        <w:rPr>
          <w:rFonts w:ascii="Times New Roman" w:eastAsia="Times New Roman" w:hAnsi="Times New Roman" w:cs="Times New Roman"/>
          <w:sz w:val="24"/>
          <w:szCs w:val="20"/>
        </w:rPr>
        <w:t>5</w:t>
      </w:r>
      <w:r w:rsidR="00E21E52" w:rsidRPr="00E21E52">
        <w:rPr>
          <w:rFonts w:ascii="Times New Roman" w:eastAsia="Times New Roman" w:hAnsi="Times New Roman" w:cs="Times New Roman"/>
          <w:sz w:val="24"/>
          <w:szCs w:val="20"/>
        </w:rPr>
        <w:t xml:space="preserve"> requires reporting by a non-SD/MSP counterparty only with respect to swaps in which the other counterparty is not an SD or MSP, and the considerable majority of swaps involve at least one SD or MSP.  While CFTC regulation 4</w:t>
      </w:r>
      <w:r>
        <w:rPr>
          <w:rFonts w:ascii="Times New Roman" w:eastAsia="Times New Roman" w:hAnsi="Times New Roman" w:cs="Times New Roman"/>
          <w:sz w:val="24"/>
          <w:szCs w:val="20"/>
        </w:rPr>
        <w:t>5</w:t>
      </w:r>
      <w:r w:rsidR="00E21E52" w:rsidRPr="00E21E52">
        <w:rPr>
          <w:rFonts w:ascii="Times New Roman" w:eastAsia="Times New Roman" w:hAnsi="Times New Roman" w:cs="Times New Roman"/>
          <w:sz w:val="24"/>
          <w:szCs w:val="20"/>
        </w:rPr>
        <w:t xml:space="preserve"> also requires recordkeeping of non-SD/MSP counterparties, the Commission believes that the records required under CFTC regulation 4</w:t>
      </w:r>
      <w:r>
        <w:rPr>
          <w:rFonts w:ascii="Times New Roman" w:eastAsia="Times New Roman" w:hAnsi="Times New Roman" w:cs="Times New Roman"/>
          <w:sz w:val="24"/>
          <w:szCs w:val="20"/>
        </w:rPr>
        <w:t>5</w:t>
      </w:r>
      <w:r w:rsidR="00E21E52" w:rsidRPr="00E21E52">
        <w:rPr>
          <w:rFonts w:ascii="Times New Roman" w:eastAsia="Times New Roman" w:hAnsi="Times New Roman" w:cs="Times New Roman"/>
          <w:sz w:val="24"/>
          <w:szCs w:val="20"/>
        </w:rPr>
        <w:t xml:space="preserve"> are already kept by swap counterparties in their normal course of business.</w:t>
      </w:r>
    </w:p>
    <w:p w14:paraId="5BE3B4FE" w14:textId="77777777" w:rsidR="00E21E52" w:rsidRPr="00E21E52" w:rsidRDefault="00E21E52" w:rsidP="00E21E52">
      <w:pPr>
        <w:tabs>
          <w:tab w:val="left" w:pos="-720"/>
        </w:tabs>
        <w:suppressAutoHyphens/>
        <w:spacing w:after="0" w:line="240" w:lineRule="auto"/>
        <w:rPr>
          <w:rFonts w:ascii="Times New Roman" w:eastAsia="Times New Roman" w:hAnsi="Times New Roman" w:cs="Times New Roman"/>
          <w:sz w:val="24"/>
          <w:szCs w:val="20"/>
        </w:rPr>
      </w:pPr>
    </w:p>
    <w:p w14:paraId="5BE3B4FF" w14:textId="77777777" w:rsidR="00E21E52" w:rsidRPr="00E21E52" w:rsidRDefault="00E21E52" w:rsidP="00E21E52">
      <w:pPr>
        <w:tabs>
          <w:tab w:val="left" w:pos="-720"/>
          <w:tab w:val="left" w:pos="0"/>
        </w:tabs>
        <w:suppressAutoHyphens/>
        <w:spacing w:after="0" w:line="240" w:lineRule="auto"/>
        <w:ind w:left="720" w:hanging="72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6.</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 xml:space="preserve">Describe the consequence to the Federal Program or policy </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activities if the collection were conducted less frequently as well as any technical or legal obstacles to reducing burden</w:t>
      </w:r>
      <w:r w:rsidRPr="00E21E52">
        <w:rPr>
          <w:rFonts w:ascii="Times New Roman" w:eastAsia="Times New Roman" w:hAnsi="Times New Roman" w:cs="Times New Roman"/>
          <w:sz w:val="24"/>
          <w:szCs w:val="20"/>
        </w:rPr>
        <w:t xml:space="preserve">. </w:t>
      </w:r>
    </w:p>
    <w:p w14:paraId="5BE3B500" w14:textId="77777777" w:rsidR="00E21E52" w:rsidRPr="00E21E52" w:rsidRDefault="00E21E52" w:rsidP="00E21E52">
      <w:pPr>
        <w:tabs>
          <w:tab w:val="left" w:pos="-720"/>
          <w:tab w:val="left" w:pos="0"/>
        </w:tabs>
        <w:suppressAutoHyphens/>
        <w:spacing w:after="0" w:line="240" w:lineRule="auto"/>
        <w:ind w:left="720" w:hanging="720"/>
        <w:rPr>
          <w:rFonts w:ascii="Times New Roman" w:eastAsia="Times New Roman" w:hAnsi="Times New Roman" w:cs="Times New Roman"/>
          <w:sz w:val="24"/>
          <w:szCs w:val="20"/>
        </w:rPr>
      </w:pPr>
    </w:p>
    <w:p w14:paraId="5BE3B501" w14:textId="78B48B8F" w:rsidR="00E21E52" w:rsidRPr="00E21E52" w:rsidRDefault="00E21E52" w:rsidP="00B85227">
      <w:pPr>
        <w:widowControl w:val="0"/>
        <w:autoSpaceDE w:val="0"/>
        <w:autoSpaceDN w:val="0"/>
        <w:adjustRightInd w:val="0"/>
        <w:spacing w:after="0" w:line="240" w:lineRule="auto"/>
        <w:ind w:firstLine="720"/>
        <w:rPr>
          <w:rFonts w:ascii="Times New Roman" w:eastAsia="Times New Roman" w:hAnsi="Times New Roman" w:cs="Times New Roman"/>
          <w:color w:val="000000"/>
          <w:sz w:val="24"/>
          <w:szCs w:val="24"/>
        </w:rPr>
      </w:pPr>
      <w:r w:rsidRPr="00E21E52">
        <w:rPr>
          <w:rFonts w:ascii="Times New Roman" w:eastAsia="Times New Roman" w:hAnsi="Times New Roman" w:cs="Times New Roman"/>
          <w:color w:val="000000"/>
          <w:sz w:val="24"/>
          <w:szCs w:val="24"/>
        </w:rPr>
        <w:t xml:space="preserve">Failure to maintain the records or to report swap data required by </w:t>
      </w:r>
      <w:r w:rsidRPr="00E21E52">
        <w:rPr>
          <w:rFonts w:ascii="Times New Roman" w:eastAsia="Times New Roman" w:hAnsi="Times New Roman" w:cs="Optimum"/>
          <w:color w:val="000000"/>
          <w:sz w:val="24"/>
          <w:szCs w:val="24"/>
        </w:rPr>
        <w:t>CFTC regulation 4</w:t>
      </w:r>
      <w:r w:rsidR="00B85227">
        <w:rPr>
          <w:rFonts w:ascii="Times New Roman" w:eastAsia="Times New Roman" w:hAnsi="Times New Roman" w:cs="Optimum"/>
          <w:color w:val="000000"/>
          <w:sz w:val="24"/>
          <w:szCs w:val="24"/>
        </w:rPr>
        <w:t>5</w:t>
      </w:r>
      <w:r w:rsidRPr="00E21E52">
        <w:rPr>
          <w:rFonts w:ascii="Times New Roman" w:eastAsia="Times New Roman" w:hAnsi="Times New Roman" w:cs="Optimum"/>
          <w:color w:val="000000"/>
          <w:sz w:val="24"/>
          <w:szCs w:val="24"/>
        </w:rPr>
        <w:t xml:space="preserve"> </w:t>
      </w:r>
      <w:r w:rsidRPr="00E21E52">
        <w:rPr>
          <w:rFonts w:ascii="Times New Roman" w:eastAsia="Times New Roman" w:hAnsi="Times New Roman" w:cs="Times New Roman"/>
          <w:color w:val="000000"/>
          <w:sz w:val="24"/>
          <w:szCs w:val="24"/>
        </w:rPr>
        <w:t>would adversely affect the Commission’s ability to ensure that complete data concerning all swaps is maintained in SDRs and is available to the Commission and other regulators as required by the Dodd-Frank Act.  The information collection cannot be conducted less frequently without compromising the accuracy and timeliness of the data.</w:t>
      </w:r>
    </w:p>
    <w:p w14:paraId="5BE3B502" w14:textId="77777777" w:rsidR="00E21E52" w:rsidRPr="00E21E52" w:rsidRDefault="00E21E52" w:rsidP="00E21E52">
      <w:pPr>
        <w:tabs>
          <w:tab w:val="left" w:pos="-720"/>
        </w:tabs>
        <w:suppressAutoHyphens/>
        <w:spacing w:after="0" w:line="240" w:lineRule="auto"/>
        <w:rPr>
          <w:rFonts w:ascii="Times New Roman" w:eastAsia="Times New Roman" w:hAnsi="Times New Roman" w:cs="Times New Roman"/>
          <w:sz w:val="24"/>
          <w:szCs w:val="20"/>
        </w:rPr>
      </w:pPr>
    </w:p>
    <w:p w14:paraId="5BE3B503" w14:textId="77777777" w:rsidR="00E21E52" w:rsidRPr="00E21E52" w:rsidRDefault="00E21E52" w:rsidP="00E21E52">
      <w:pPr>
        <w:tabs>
          <w:tab w:val="left" w:pos="-720"/>
        </w:tabs>
        <w:suppressAutoHyphens/>
        <w:spacing w:after="0" w:line="240" w:lineRule="auto"/>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 xml:space="preserve"> 7.</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 xml:space="preserve">Explain any special circumstances that require the collection to be conducted in a </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manner</w:t>
      </w:r>
      <w:r w:rsidRPr="00E21E52">
        <w:rPr>
          <w:rFonts w:ascii="Times New Roman" w:eastAsia="Times New Roman" w:hAnsi="Times New Roman" w:cs="Times New Roman"/>
          <w:sz w:val="24"/>
          <w:szCs w:val="20"/>
        </w:rPr>
        <w:t>:</w:t>
      </w:r>
    </w:p>
    <w:p w14:paraId="5BE3B504" w14:textId="77777777" w:rsidR="00E21E52" w:rsidRPr="00E21E52" w:rsidRDefault="00E21E52" w:rsidP="00E21E52">
      <w:pPr>
        <w:tabs>
          <w:tab w:val="left" w:pos="-720"/>
        </w:tabs>
        <w:suppressAutoHyphens/>
        <w:spacing w:after="0" w:line="240" w:lineRule="auto"/>
        <w:rPr>
          <w:rFonts w:ascii="Times New Roman" w:eastAsia="Times New Roman" w:hAnsi="Times New Roman" w:cs="Times New Roman"/>
          <w:sz w:val="24"/>
          <w:szCs w:val="20"/>
        </w:rPr>
      </w:pPr>
    </w:p>
    <w:p w14:paraId="5BE3B505" w14:textId="77777777" w:rsidR="00E21E52" w:rsidRPr="00E21E52" w:rsidRDefault="00E21E52" w:rsidP="00E21E52">
      <w:pPr>
        <w:tabs>
          <w:tab w:val="left" w:pos="-720"/>
          <w:tab w:val="left" w:pos="0"/>
          <w:tab w:val="left" w:pos="720"/>
        </w:tabs>
        <w:suppressAutoHyphens/>
        <w:spacing w:after="0" w:line="240" w:lineRule="auto"/>
        <w:ind w:left="1440" w:hanging="1440"/>
        <w:rPr>
          <w:rFonts w:ascii="Times New Roman" w:eastAsia="Times New Roman" w:hAnsi="Times New Roman" w:cs="Times New Roman"/>
          <w:sz w:val="24"/>
          <w:szCs w:val="20"/>
          <w:u w:val="single"/>
        </w:rPr>
      </w:pPr>
      <w:r w:rsidRPr="00E21E52">
        <w:rPr>
          <w:rFonts w:ascii="Times New Roman" w:eastAsia="Times New Roman" w:hAnsi="Times New Roman" w:cs="Times New Roman"/>
          <w:sz w:val="24"/>
          <w:szCs w:val="20"/>
        </w:rPr>
        <w:tab/>
        <w:t>-</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 xml:space="preserve">requiring respondents to report information to the agency more often than quarterly; </w:t>
      </w:r>
    </w:p>
    <w:p w14:paraId="5BE3B506" w14:textId="77777777" w:rsidR="00E21E52" w:rsidRPr="00E21E52" w:rsidRDefault="00E21E52" w:rsidP="00E21E52">
      <w:pPr>
        <w:tabs>
          <w:tab w:val="left" w:pos="-720"/>
          <w:tab w:val="left" w:pos="0"/>
          <w:tab w:val="left" w:pos="720"/>
        </w:tabs>
        <w:suppressAutoHyphens/>
        <w:spacing w:after="0" w:line="240" w:lineRule="auto"/>
        <w:ind w:left="1440" w:hanging="144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rPr>
        <w:tab/>
      </w:r>
    </w:p>
    <w:p w14:paraId="5BE3B507" w14:textId="60A28192" w:rsidR="00E21E52" w:rsidRPr="00E21E52" w:rsidRDefault="000D010A" w:rsidP="00E21E52">
      <w:pPr>
        <w:tabs>
          <w:tab w:val="left" w:pos="-720"/>
          <w:tab w:val="left" w:pos="0"/>
          <w:tab w:val="left" w:pos="720"/>
        </w:tabs>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sidR="00E21E52" w:rsidRPr="00E21E52">
        <w:rPr>
          <w:rFonts w:ascii="Times New Roman" w:eastAsia="Times New Roman" w:hAnsi="Times New Roman" w:cs="Times New Roman"/>
          <w:sz w:val="24"/>
          <w:szCs w:val="20"/>
        </w:rPr>
        <w:t>CFTC regulation 4</w:t>
      </w:r>
      <w:r>
        <w:rPr>
          <w:rFonts w:ascii="Times New Roman" w:eastAsia="Times New Roman" w:hAnsi="Times New Roman" w:cs="Times New Roman"/>
          <w:sz w:val="24"/>
          <w:szCs w:val="20"/>
        </w:rPr>
        <w:t>5</w:t>
      </w:r>
      <w:r w:rsidR="00E21E52" w:rsidRPr="00E21E52">
        <w:rPr>
          <w:rFonts w:ascii="Times New Roman" w:eastAsia="Times New Roman" w:hAnsi="Times New Roman" w:cs="Times New Roman"/>
          <w:sz w:val="24"/>
          <w:szCs w:val="20"/>
        </w:rPr>
        <w:t xml:space="preserve"> requires reporting directly to the Commission only in the exceptional case of a swap in an asset class for which no SDR accepts swap data.  Such reporting will be required only when requested by the Commission and has not occurred since the Commission adopted regulation 4</w:t>
      </w:r>
      <w:r>
        <w:rPr>
          <w:rFonts w:ascii="Times New Roman" w:eastAsia="Times New Roman" w:hAnsi="Times New Roman" w:cs="Times New Roman"/>
          <w:sz w:val="24"/>
          <w:szCs w:val="20"/>
        </w:rPr>
        <w:t>5</w:t>
      </w:r>
      <w:r w:rsidR="00E21E52" w:rsidRPr="00E21E52">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in 2011</w:t>
      </w:r>
      <w:r w:rsidR="00E21E52" w:rsidRPr="00E21E52">
        <w:rPr>
          <w:rFonts w:ascii="Times New Roman" w:eastAsia="Times New Roman" w:hAnsi="Times New Roman" w:cs="Times New Roman"/>
          <w:color w:val="000000"/>
          <w:sz w:val="24"/>
          <w:szCs w:val="24"/>
        </w:rPr>
        <w:t>.</w:t>
      </w:r>
    </w:p>
    <w:p w14:paraId="5BE3B508" w14:textId="77777777" w:rsidR="00E21E52" w:rsidRPr="00E21E52" w:rsidRDefault="00E21E52" w:rsidP="00E21E52">
      <w:pPr>
        <w:tabs>
          <w:tab w:val="left" w:pos="-720"/>
        </w:tabs>
        <w:suppressAutoHyphens/>
        <w:spacing w:after="0" w:line="240" w:lineRule="auto"/>
        <w:rPr>
          <w:rFonts w:ascii="Times New Roman" w:eastAsia="Times New Roman" w:hAnsi="Times New Roman" w:cs="Times New Roman"/>
          <w:sz w:val="24"/>
          <w:szCs w:val="20"/>
        </w:rPr>
      </w:pPr>
    </w:p>
    <w:p w14:paraId="5BE3B509" w14:textId="77777777" w:rsidR="00E21E52" w:rsidRPr="00E21E52" w:rsidRDefault="00E21E52" w:rsidP="00E21E52">
      <w:pPr>
        <w:tabs>
          <w:tab w:val="left" w:pos="-720"/>
          <w:tab w:val="left" w:pos="0"/>
          <w:tab w:val="left" w:pos="720"/>
        </w:tabs>
        <w:suppressAutoHyphens/>
        <w:spacing w:after="0" w:line="240" w:lineRule="auto"/>
        <w:ind w:left="1440" w:hanging="1440"/>
        <w:rPr>
          <w:rFonts w:ascii="Times New Roman" w:eastAsia="Times New Roman" w:hAnsi="Times New Roman" w:cs="Times New Roman"/>
          <w:sz w:val="24"/>
          <w:szCs w:val="20"/>
          <w:u w:val="single"/>
        </w:rPr>
      </w:pPr>
      <w:r w:rsidRPr="00E21E52">
        <w:rPr>
          <w:rFonts w:ascii="Times New Roman" w:eastAsia="Times New Roman" w:hAnsi="Times New Roman" w:cs="Times New Roman"/>
          <w:sz w:val="24"/>
          <w:szCs w:val="20"/>
        </w:rPr>
        <w:tab/>
        <w:t>-</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requiring respondents to prepare a written response to a collection of information in fewer than 30 days after receipt of it:</w:t>
      </w:r>
    </w:p>
    <w:p w14:paraId="5BE3B50A" w14:textId="77777777" w:rsidR="00E21E52" w:rsidRPr="00E21E52" w:rsidRDefault="00E21E52" w:rsidP="00E21E52">
      <w:pPr>
        <w:tabs>
          <w:tab w:val="left" w:pos="-720"/>
          <w:tab w:val="left" w:pos="0"/>
          <w:tab w:val="left" w:pos="720"/>
        </w:tabs>
        <w:suppressAutoHyphens/>
        <w:spacing w:after="0" w:line="240" w:lineRule="auto"/>
        <w:ind w:left="1440" w:hanging="1440"/>
        <w:rPr>
          <w:rFonts w:ascii="Times New Roman" w:eastAsia="Times New Roman" w:hAnsi="Times New Roman" w:cs="Times New Roman"/>
          <w:sz w:val="24"/>
          <w:szCs w:val="20"/>
          <w:u w:val="single"/>
        </w:rPr>
      </w:pPr>
    </w:p>
    <w:p w14:paraId="5BE3B50B" w14:textId="44E49D3C" w:rsidR="00E21E52" w:rsidRPr="00E21E52" w:rsidRDefault="000D010A" w:rsidP="00E21E52">
      <w:pPr>
        <w:tabs>
          <w:tab w:val="left" w:pos="-720"/>
          <w:tab w:val="left" w:pos="0"/>
          <w:tab w:val="left" w:pos="720"/>
        </w:tabs>
        <w:spacing w:after="24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sidR="00E21E52" w:rsidRPr="00E21E52">
        <w:rPr>
          <w:rFonts w:ascii="Times New Roman" w:eastAsia="Times New Roman" w:hAnsi="Times New Roman" w:cs="Times New Roman"/>
          <w:sz w:val="24"/>
          <w:szCs w:val="20"/>
        </w:rPr>
        <w:t>This question does not apply.  CFTC regulation 4</w:t>
      </w:r>
      <w:r>
        <w:rPr>
          <w:rFonts w:ascii="Times New Roman" w:eastAsia="Times New Roman" w:hAnsi="Times New Roman" w:cs="Times New Roman"/>
          <w:sz w:val="24"/>
          <w:szCs w:val="20"/>
        </w:rPr>
        <w:t>5</w:t>
      </w:r>
      <w:r w:rsidR="00E21E52" w:rsidRPr="00E21E52">
        <w:rPr>
          <w:rFonts w:ascii="Times New Roman" w:eastAsia="Times New Roman" w:hAnsi="Times New Roman" w:cs="Times New Roman"/>
          <w:sz w:val="24"/>
          <w:szCs w:val="20"/>
        </w:rPr>
        <w:t xml:space="preserve"> does not require written responses to a collection of information in fewer than 30 days after receipt.</w:t>
      </w:r>
    </w:p>
    <w:p w14:paraId="5BE3B50C" w14:textId="77777777" w:rsidR="00E21E52" w:rsidRPr="00E21E52" w:rsidRDefault="00E21E52" w:rsidP="00E21E52">
      <w:pPr>
        <w:tabs>
          <w:tab w:val="left" w:pos="-720"/>
          <w:tab w:val="left" w:pos="0"/>
          <w:tab w:val="left" w:pos="720"/>
        </w:tabs>
        <w:suppressAutoHyphens/>
        <w:spacing w:after="0" w:line="240" w:lineRule="auto"/>
        <w:ind w:left="1440" w:hanging="144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ab/>
        <w:t>-</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requiring respondents to submit more that an original and two copies of any document</w:t>
      </w:r>
      <w:r w:rsidRPr="00E21E52">
        <w:rPr>
          <w:rFonts w:ascii="Times New Roman" w:eastAsia="Times New Roman" w:hAnsi="Times New Roman" w:cs="Times New Roman"/>
          <w:sz w:val="24"/>
          <w:szCs w:val="20"/>
        </w:rPr>
        <w:t>;</w:t>
      </w:r>
    </w:p>
    <w:p w14:paraId="5BE3B50D" w14:textId="77777777" w:rsidR="00E21E52" w:rsidRPr="00E21E52" w:rsidRDefault="00E21E52" w:rsidP="00E21E52">
      <w:pPr>
        <w:tabs>
          <w:tab w:val="left" w:pos="-720"/>
          <w:tab w:val="left" w:pos="0"/>
          <w:tab w:val="left" w:pos="720"/>
        </w:tabs>
        <w:suppressAutoHyphens/>
        <w:spacing w:after="0" w:line="240" w:lineRule="auto"/>
        <w:ind w:left="1440" w:hanging="1440"/>
        <w:rPr>
          <w:rFonts w:ascii="Times New Roman" w:eastAsia="Times New Roman" w:hAnsi="Times New Roman" w:cs="Times New Roman"/>
          <w:sz w:val="24"/>
          <w:szCs w:val="20"/>
        </w:rPr>
      </w:pPr>
    </w:p>
    <w:p w14:paraId="5BE3B50E" w14:textId="1ED4B732" w:rsidR="00E21E52" w:rsidRPr="00E21E52" w:rsidRDefault="000D010A" w:rsidP="00E21E52">
      <w:pPr>
        <w:tabs>
          <w:tab w:val="left" w:pos="-720"/>
          <w:tab w:val="left" w:pos="0"/>
          <w:tab w:val="left" w:pos="720"/>
        </w:tabs>
        <w:spacing w:after="24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sidR="00E21E52" w:rsidRPr="00E21E52">
        <w:rPr>
          <w:rFonts w:ascii="Times New Roman" w:eastAsia="Times New Roman" w:hAnsi="Times New Roman" w:cs="Times New Roman"/>
          <w:sz w:val="24"/>
          <w:szCs w:val="20"/>
        </w:rPr>
        <w:t>This question does not apply.  CFTC regulation 4</w:t>
      </w:r>
      <w:r>
        <w:rPr>
          <w:rFonts w:ascii="Times New Roman" w:eastAsia="Times New Roman" w:hAnsi="Times New Roman" w:cs="Times New Roman"/>
          <w:sz w:val="24"/>
          <w:szCs w:val="20"/>
        </w:rPr>
        <w:t>5</w:t>
      </w:r>
      <w:r w:rsidR="00E21E52" w:rsidRPr="00E21E52">
        <w:rPr>
          <w:rFonts w:ascii="Times New Roman" w:eastAsia="Times New Roman" w:hAnsi="Times New Roman" w:cs="Times New Roman"/>
          <w:sz w:val="24"/>
          <w:szCs w:val="20"/>
        </w:rPr>
        <w:t xml:space="preserve"> does not require the submission of any original documents or copies of documents.  CFTC regulation 4</w:t>
      </w:r>
      <w:r>
        <w:rPr>
          <w:rFonts w:ascii="Times New Roman" w:eastAsia="Times New Roman" w:hAnsi="Times New Roman" w:cs="Times New Roman"/>
          <w:sz w:val="24"/>
          <w:szCs w:val="20"/>
        </w:rPr>
        <w:t>5</w:t>
      </w:r>
      <w:r w:rsidR="00E21E52" w:rsidRPr="00E21E52">
        <w:rPr>
          <w:rFonts w:ascii="Times New Roman" w:eastAsia="Times New Roman" w:hAnsi="Times New Roman" w:cs="Times New Roman"/>
          <w:sz w:val="24"/>
          <w:szCs w:val="20"/>
        </w:rPr>
        <w:t xml:space="preserve"> generally requires electronic reporting.</w:t>
      </w:r>
    </w:p>
    <w:p w14:paraId="5BE3B50F" w14:textId="77777777" w:rsidR="00E21E52" w:rsidRPr="00E21E52" w:rsidRDefault="00E21E52" w:rsidP="00E21E52">
      <w:pPr>
        <w:tabs>
          <w:tab w:val="left" w:pos="-720"/>
          <w:tab w:val="left" w:pos="0"/>
          <w:tab w:val="left" w:pos="720"/>
        </w:tabs>
        <w:suppressAutoHyphens/>
        <w:spacing w:after="0" w:line="240" w:lineRule="auto"/>
        <w:ind w:left="1440" w:hanging="144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ab/>
        <w:t>-</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requiring respondents to retain records other than health, medical, government contract, grant-in-aid, or tax records, for more than three years</w:t>
      </w:r>
      <w:r w:rsidRPr="00E21E52">
        <w:rPr>
          <w:rFonts w:ascii="Times New Roman" w:eastAsia="Times New Roman" w:hAnsi="Times New Roman" w:cs="Times New Roman"/>
          <w:sz w:val="24"/>
          <w:szCs w:val="20"/>
        </w:rPr>
        <w:t xml:space="preserve">; </w:t>
      </w:r>
    </w:p>
    <w:p w14:paraId="5BE3B510" w14:textId="77777777" w:rsidR="00E21E52" w:rsidRPr="00E21E52" w:rsidRDefault="00E21E52" w:rsidP="00E21E52">
      <w:pPr>
        <w:tabs>
          <w:tab w:val="left" w:pos="-720"/>
          <w:tab w:val="left" w:pos="0"/>
          <w:tab w:val="left" w:pos="720"/>
        </w:tabs>
        <w:suppressAutoHyphens/>
        <w:spacing w:after="0" w:line="240" w:lineRule="auto"/>
        <w:ind w:left="1440" w:hanging="1440"/>
        <w:rPr>
          <w:rFonts w:ascii="Times New Roman" w:eastAsia="Times New Roman" w:hAnsi="Times New Roman" w:cs="Times New Roman"/>
          <w:sz w:val="24"/>
          <w:szCs w:val="20"/>
        </w:rPr>
      </w:pPr>
    </w:p>
    <w:p w14:paraId="5BE3B511" w14:textId="794AD1FA" w:rsidR="00E21E52" w:rsidRPr="00E21E52" w:rsidRDefault="000D010A" w:rsidP="00E21E52">
      <w:pPr>
        <w:tabs>
          <w:tab w:val="left" w:pos="-720"/>
          <w:tab w:val="left" w:pos="0"/>
          <w:tab w:val="left" w:pos="720"/>
        </w:tabs>
        <w:spacing w:after="24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sidR="00E21E52" w:rsidRPr="00E21E52">
        <w:rPr>
          <w:rFonts w:ascii="Times New Roman" w:eastAsia="Times New Roman" w:hAnsi="Times New Roman" w:cs="Times New Roman"/>
          <w:sz w:val="24"/>
          <w:szCs w:val="20"/>
        </w:rPr>
        <w:t>Section 4</w:t>
      </w:r>
      <w:r>
        <w:rPr>
          <w:rFonts w:ascii="Times New Roman" w:eastAsia="Times New Roman" w:hAnsi="Times New Roman" w:cs="Times New Roman"/>
          <w:sz w:val="24"/>
          <w:szCs w:val="20"/>
        </w:rPr>
        <w:t>5</w:t>
      </w:r>
      <w:r w:rsidR="00E21E52" w:rsidRPr="00E21E52">
        <w:rPr>
          <w:rFonts w:ascii="Times New Roman" w:eastAsia="Times New Roman" w:hAnsi="Times New Roman" w:cs="Times New Roman"/>
          <w:sz w:val="24"/>
          <w:szCs w:val="20"/>
        </w:rPr>
        <w:t xml:space="preserve">.2 requires affected parties to keep certain records pertaining to swaps throughout the life of the swap, and for a period of at least five years from </w:t>
      </w:r>
      <w:r>
        <w:rPr>
          <w:rFonts w:ascii="Times New Roman" w:eastAsia="Times New Roman" w:hAnsi="Times New Roman" w:cs="Times New Roman"/>
          <w:sz w:val="24"/>
          <w:szCs w:val="20"/>
        </w:rPr>
        <w:t xml:space="preserve">final termination of the swap. </w:t>
      </w:r>
      <w:r w:rsidR="00E21E52" w:rsidRPr="00E21E52">
        <w:rPr>
          <w:rFonts w:ascii="Times New Roman" w:eastAsia="Times New Roman" w:hAnsi="Times New Roman" w:cs="Times New Roman"/>
          <w:sz w:val="24"/>
          <w:szCs w:val="20"/>
        </w:rPr>
        <w:t>This retention period is required because swap transactions can continue to exist over substantial periods of time, during which their key economic</w:t>
      </w:r>
      <w:r>
        <w:rPr>
          <w:rFonts w:ascii="Times New Roman" w:eastAsia="Times New Roman" w:hAnsi="Times New Roman" w:cs="Times New Roman"/>
          <w:sz w:val="24"/>
          <w:szCs w:val="20"/>
        </w:rPr>
        <w:t xml:space="preserve"> terms can change. </w:t>
      </w:r>
      <w:r w:rsidR="00E21E52" w:rsidRPr="00E21E52">
        <w:rPr>
          <w:rFonts w:ascii="Times New Roman" w:eastAsia="Times New Roman" w:hAnsi="Times New Roman" w:cs="Times New Roman"/>
          <w:sz w:val="24"/>
          <w:szCs w:val="20"/>
        </w:rPr>
        <w:t>Accordingly, swaps must be monitored by the Commission and other financial regulators throughout their existence, pursuant to the Dodd-Frank Act.</w:t>
      </w:r>
    </w:p>
    <w:p w14:paraId="5BE3B512" w14:textId="77777777" w:rsidR="00E21E52" w:rsidRPr="00E21E52" w:rsidRDefault="00E21E52" w:rsidP="00E21E52">
      <w:pPr>
        <w:tabs>
          <w:tab w:val="left" w:pos="-720"/>
          <w:tab w:val="left" w:pos="0"/>
          <w:tab w:val="left" w:pos="720"/>
        </w:tabs>
        <w:suppressAutoHyphens/>
        <w:spacing w:after="0" w:line="240" w:lineRule="auto"/>
        <w:ind w:left="1440" w:hanging="144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ab/>
        <w:t>-</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in connection with a statistical survey, that is not designed to produce valid and reliable results that can be generalized to the universe of study</w:t>
      </w:r>
      <w:r w:rsidRPr="00E21E52">
        <w:rPr>
          <w:rFonts w:ascii="Times New Roman" w:eastAsia="Times New Roman" w:hAnsi="Times New Roman" w:cs="Times New Roman"/>
          <w:sz w:val="24"/>
          <w:szCs w:val="20"/>
        </w:rPr>
        <w:t xml:space="preserve">; </w:t>
      </w:r>
    </w:p>
    <w:p w14:paraId="5BE3B513" w14:textId="77777777" w:rsidR="00E21E52" w:rsidRPr="00E21E52" w:rsidRDefault="00E21E52" w:rsidP="00E21E52">
      <w:pPr>
        <w:tabs>
          <w:tab w:val="left" w:pos="-720"/>
          <w:tab w:val="left" w:pos="0"/>
          <w:tab w:val="left" w:pos="720"/>
        </w:tabs>
        <w:suppressAutoHyphens/>
        <w:spacing w:after="0" w:line="240" w:lineRule="auto"/>
        <w:ind w:left="1440" w:hanging="1440"/>
        <w:rPr>
          <w:rFonts w:ascii="Times New Roman" w:eastAsia="Times New Roman" w:hAnsi="Times New Roman" w:cs="Times New Roman"/>
          <w:sz w:val="24"/>
          <w:szCs w:val="20"/>
        </w:rPr>
      </w:pPr>
    </w:p>
    <w:p w14:paraId="5BE3B514" w14:textId="67030E18" w:rsidR="00E21E52" w:rsidRPr="00E21E52" w:rsidRDefault="000D010A" w:rsidP="00E21E52">
      <w:pPr>
        <w:tabs>
          <w:tab w:val="left" w:pos="-720"/>
          <w:tab w:val="left" w:pos="0"/>
          <w:tab w:val="left" w:pos="720"/>
        </w:tabs>
        <w:spacing w:after="24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sidR="00E21E52" w:rsidRPr="00E21E52">
        <w:rPr>
          <w:rFonts w:ascii="Times New Roman" w:eastAsia="Times New Roman" w:hAnsi="Times New Roman" w:cs="Times New Roman"/>
          <w:sz w:val="24"/>
          <w:szCs w:val="20"/>
        </w:rPr>
        <w:t>This question does not apply.  CFTC regulation 4</w:t>
      </w:r>
      <w:r>
        <w:rPr>
          <w:rFonts w:ascii="Times New Roman" w:eastAsia="Times New Roman" w:hAnsi="Times New Roman" w:cs="Times New Roman"/>
          <w:sz w:val="24"/>
          <w:szCs w:val="20"/>
        </w:rPr>
        <w:t>5</w:t>
      </w:r>
      <w:r w:rsidR="00E21E52" w:rsidRPr="00E21E52">
        <w:rPr>
          <w:rFonts w:ascii="Times New Roman" w:eastAsia="Times New Roman" w:hAnsi="Times New Roman" w:cs="Times New Roman"/>
          <w:sz w:val="24"/>
          <w:szCs w:val="20"/>
        </w:rPr>
        <w:t xml:space="preserve"> does not require nor involve any statistical surveys.</w:t>
      </w:r>
    </w:p>
    <w:p w14:paraId="5BE3B515" w14:textId="77777777" w:rsidR="00E21E52" w:rsidRPr="00E21E52" w:rsidRDefault="00E21E52" w:rsidP="00E21E52">
      <w:pPr>
        <w:tabs>
          <w:tab w:val="left" w:pos="-720"/>
          <w:tab w:val="left" w:pos="0"/>
          <w:tab w:val="left" w:pos="720"/>
        </w:tabs>
        <w:suppressAutoHyphens/>
        <w:spacing w:after="0" w:line="240" w:lineRule="auto"/>
        <w:ind w:left="1440" w:hanging="144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ab/>
        <w:t>-</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requiring the use of a statistical data classification that has not been reviewed and approved by OMB</w:t>
      </w:r>
      <w:r w:rsidRPr="00E21E52">
        <w:rPr>
          <w:rFonts w:ascii="Times New Roman" w:eastAsia="Times New Roman" w:hAnsi="Times New Roman" w:cs="Times New Roman"/>
          <w:sz w:val="24"/>
          <w:szCs w:val="20"/>
        </w:rPr>
        <w:t>;</w:t>
      </w:r>
    </w:p>
    <w:p w14:paraId="5BE3B516" w14:textId="77777777" w:rsidR="00E21E52" w:rsidRPr="00E21E52" w:rsidRDefault="00E21E52" w:rsidP="00E21E52">
      <w:pPr>
        <w:tabs>
          <w:tab w:val="left" w:pos="-720"/>
          <w:tab w:val="left" w:pos="0"/>
          <w:tab w:val="left" w:pos="720"/>
        </w:tabs>
        <w:suppressAutoHyphens/>
        <w:spacing w:after="0" w:line="240" w:lineRule="auto"/>
        <w:ind w:left="1440" w:hanging="1440"/>
        <w:rPr>
          <w:rFonts w:ascii="Times New Roman" w:eastAsia="Times New Roman" w:hAnsi="Times New Roman" w:cs="Times New Roman"/>
          <w:sz w:val="24"/>
          <w:szCs w:val="20"/>
        </w:rPr>
      </w:pPr>
    </w:p>
    <w:p w14:paraId="5BE3B517" w14:textId="095D7FB1" w:rsidR="00E21E52" w:rsidRPr="00E21E52" w:rsidRDefault="000D010A" w:rsidP="00E21E52">
      <w:pPr>
        <w:tabs>
          <w:tab w:val="left" w:pos="-720"/>
          <w:tab w:val="left" w:pos="0"/>
          <w:tab w:val="left" w:pos="720"/>
        </w:tabs>
        <w:spacing w:after="24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sidR="00E21E52" w:rsidRPr="00E21E52">
        <w:rPr>
          <w:rFonts w:ascii="Times New Roman" w:eastAsia="Times New Roman" w:hAnsi="Times New Roman" w:cs="Times New Roman"/>
          <w:sz w:val="24"/>
          <w:szCs w:val="20"/>
        </w:rPr>
        <w:t>This question does not apply. CFTC regulation 4</w:t>
      </w:r>
      <w:r>
        <w:rPr>
          <w:rFonts w:ascii="Times New Roman" w:eastAsia="Times New Roman" w:hAnsi="Times New Roman" w:cs="Times New Roman"/>
          <w:sz w:val="24"/>
          <w:szCs w:val="20"/>
        </w:rPr>
        <w:t>5</w:t>
      </w:r>
      <w:r w:rsidR="00E21E52" w:rsidRPr="00E21E52">
        <w:rPr>
          <w:rFonts w:ascii="Times New Roman" w:eastAsia="Times New Roman" w:hAnsi="Times New Roman" w:cs="Times New Roman"/>
          <w:sz w:val="24"/>
          <w:szCs w:val="20"/>
        </w:rPr>
        <w:t xml:space="preserve"> does not require nor involve the use of any statistical data classification.</w:t>
      </w:r>
    </w:p>
    <w:p w14:paraId="5BE3B518" w14:textId="77777777" w:rsidR="00E21E52" w:rsidRPr="00E21E52" w:rsidRDefault="00E21E52" w:rsidP="00E21E52">
      <w:pPr>
        <w:tabs>
          <w:tab w:val="left" w:pos="-720"/>
          <w:tab w:val="left" w:pos="0"/>
          <w:tab w:val="left" w:pos="720"/>
        </w:tabs>
        <w:suppressAutoHyphens/>
        <w:spacing w:after="0" w:line="240" w:lineRule="auto"/>
        <w:ind w:left="1440" w:hanging="144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ab/>
        <w:t>-</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14:paraId="5BE3B519" w14:textId="77777777" w:rsidR="00E21E52" w:rsidRPr="00E21E52" w:rsidRDefault="00E21E52" w:rsidP="00E21E52">
      <w:pPr>
        <w:tabs>
          <w:tab w:val="left" w:pos="-720"/>
        </w:tabs>
        <w:suppressAutoHyphens/>
        <w:spacing w:after="0" w:line="240" w:lineRule="auto"/>
        <w:rPr>
          <w:rFonts w:ascii="Times New Roman" w:eastAsia="Times New Roman" w:hAnsi="Times New Roman" w:cs="Times New Roman"/>
          <w:sz w:val="24"/>
          <w:szCs w:val="20"/>
        </w:rPr>
      </w:pPr>
    </w:p>
    <w:p w14:paraId="5BE3B51A" w14:textId="027E3A9D" w:rsidR="00E21E52" w:rsidRPr="00E21E52" w:rsidRDefault="000D010A" w:rsidP="00E21E52">
      <w:pPr>
        <w:tabs>
          <w:tab w:val="left" w:pos="-720"/>
          <w:tab w:val="left" w:pos="0"/>
          <w:tab w:val="left" w:pos="720"/>
        </w:tabs>
        <w:spacing w:after="24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b/>
        <w:t xml:space="preserve">This question does not apply. </w:t>
      </w:r>
      <w:r w:rsidR="00E21E52" w:rsidRPr="00E21E52">
        <w:rPr>
          <w:rFonts w:ascii="Times New Roman" w:eastAsia="Times New Roman" w:hAnsi="Times New Roman" w:cs="Times New Roman"/>
          <w:sz w:val="24"/>
          <w:szCs w:val="20"/>
        </w:rPr>
        <w:t>CFTC regulation 4</w:t>
      </w:r>
      <w:r>
        <w:rPr>
          <w:rFonts w:ascii="Times New Roman" w:eastAsia="Times New Roman" w:hAnsi="Times New Roman" w:cs="Times New Roman"/>
          <w:sz w:val="24"/>
          <w:szCs w:val="20"/>
        </w:rPr>
        <w:t>5</w:t>
      </w:r>
      <w:r w:rsidR="00E21E52" w:rsidRPr="00E21E52">
        <w:rPr>
          <w:rFonts w:ascii="Times New Roman" w:eastAsia="Times New Roman" w:hAnsi="Times New Roman" w:cs="Times New Roman"/>
          <w:sz w:val="24"/>
          <w:szCs w:val="20"/>
        </w:rPr>
        <w:t xml:space="preserve"> does not require nor involve any pledge of confidentiality.</w:t>
      </w:r>
    </w:p>
    <w:p w14:paraId="5BE3B51B" w14:textId="77777777" w:rsidR="00E21E52" w:rsidRPr="00E21E52" w:rsidRDefault="00E21E52" w:rsidP="00E21E52">
      <w:pPr>
        <w:tabs>
          <w:tab w:val="left" w:pos="-720"/>
          <w:tab w:val="left" w:pos="0"/>
          <w:tab w:val="left" w:pos="720"/>
        </w:tabs>
        <w:suppressAutoHyphens/>
        <w:spacing w:after="0" w:line="240" w:lineRule="auto"/>
        <w:ind w:left="1440" w:hanging="144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ab/>
        <w:t>-</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requiring respondents to submit proprietary trade secrets, or other confidential information unless the agency can demonstrate that it has instituted procedures to protect the information's confidentiality to the extent permitted by law</w:t>
      </w:r>
      <w:r w:rsidRPr="00E21E52">
        <w:rPr>
          <w:rFonts w:ascii="Times New Roman" w:eastAsia="Times New Roman" w:hAnsi="Times New Roman" w:cs="Times New Roman"/>
          <w:sz w:val="24"/>
          <w:szCs w:val="20"/>
        </w:rPr>
        <w:t>.</w:t>
      </w:r>
    </w:p>
    <w:p w14:paraId="5BE3B51C" w14:textId="77777777" w:rsidR="00E21E52" w:rsidRPr="00E21E52" w:rsidRDefault="00E21E52" w:rsidP="00E21E52">
      <w:pPr>
        <w:tabs>
          <w:tab w:val="left" w:pos="-720"/>
          <w:tab w:val="left" w:pos="0"/>
          <w:tab w:val="left" w:pos="720"/>
        </w:tabs>
        <w:suppressAutoHyphens/>
        <w:spacing w:after="0" w:line="240" w:lineRule="auto"/>
        <w:ind w:left="1440" w:hanging="1440"/>
        <w:rPr>
          <w:rFonts w:ascii="Times New Roman" w:eastAsia="Times New Roman" w:hAnsi="Times New Roman" w:cs="Times New Roman"/>
          <w:sz w:val="24"/>
          <w:szCs w:val="20"/>
        </w:rPr>
      </w:pPr>
    </w:p>
    <w:p w14:paraId="5BE3B51D" w14:textId="205FD8CB" w:rsidR="00E21E52" w:rsidRPr="00E21E52" w:rsidRDefault="000D010A" w:rsidP="00E21E52">
      <w:pPr>
        <w:tabs>
          <w:tab w:val="left" w:pos="-720"/>
          <w:tab w:val="left" w:pos="0"/>
          <w:tab w:val="left" w:pos="720"/>
        </w:tabs>
        <w:spacing w:after="24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sidR="00E21E52" w:rsidRPr="00E21E52">
        <w:rPr>
          <w:rFonts w:ascii="Times New Roman" w:eastAsia="Times New Roman" w:hAnsi="Times New Roman" w:cs="Times New Roman"/>
          <w:sz w:val="24"/>
          <w:szCs w:val="20"/>
        </w:rPr>
        <w:t>CFTC regulation 4</w:t>
      </w:r>
      <w:r>
        <w:rPr>
          <w:rFonts w:ascii="Times New Roman" w:eastAsia="Times New Roman" w:hAnsi="Times New Roman" w:cs="Times New Roman"/>
          <w:sz w:val="24"/>
          <w:szCs w:val="20"/>
        </w:rPr>
        <w:t>5</w:t>
      </w:r>
      <w:r w:rsidR="00E21E52" w:rsidRPr="00E21E52">
        <w:rPr>
          <w:rFonts w:ascii="Times New Roman" w:eastAsia="Times New Roman" w:hAnsi="Times New Roman" w:cs="Times New Roman"/>
          <w:sz w:val="24"/>
          <w:szCs w:val="20"/>
        </w:rPr>
        <w:t xml:space="preserve"> requires the reporting of data to SDRs.  The Commission’s regulations require SDRs to maintain safeguards against the misappropr</w:t>
      </w:r>
      <w:r>
        <w:rPr>
          <w:rFonts w:ascii="Times New Roman" w:eastAsia="Times New Roman" w:hAnsi="Times New Roman" w:cs="Times New Roman"/>
          <w:sz w:val="24"/>
          <w:szCs w:val="20"/>
        </w:rPr>
        <w:t xml:space="preserve">iation or misuse of swap data. </w:t>
      </w:r>
      <w:r w:rsidR="00E21E52" w:rsidRPr="00E21E52">
        <w:rPr>
          <w:rFonts w:ascii="Times New Roman" w:eastAsia="Times New Roman" w:hAnsi="Times New Roman" w:cs="Times New Roman"/>
          <w:sz w:val="24"/>
          <w:szCs w:val="20"/>
        </w:rPr>
        <w:t xml:space="preserve">The Commission has access to data maintained at SDRs, but is prohibited (save for limited exceptions) from disclosing swap data pursuant to Section 8 of the CEA. </w:t>
      </w:r>
    </w:p>
    <w:p w14:paraId="5BE3B51E" w14:textId="77777777" w:rsidR="00E21E52" w:rsidRPr="00E21E52" w:rsidRDefault="00E21E52" w:rsidP="00E21E52">
      <w:pPr>
        <w:tabs>
          <w:tab w:val="left" w:pos="-720"/>
          <w:tab w:val="left" w:pos="0"/>
        </w:tabs>
        <w:suppressAutoHyphens/>
        <w:spacing w:after="0" w:line="240" w:lineRule="auto"/>
        <w:ind w:left="720" w:hanging="720"/>
        <w:rPr>
          <w:rFonts w:ascii="Times New Roman" w:eastAsia="Times New Roman" w:hAnsi="Times New Roman" w:cs="Times New Roman"/>
          <w:sz w:val="24"/>
          <w:szCs w:val="20"/>
          <w:u w:val="single"/>
        </w:rPr>
      </w:pPr>
      <w:r w:rsidRPr="00E21E52">
        <w:rPr>
          <w:rFonts w:ascii="Times New Roman" w:eastAsia="Times New Roman" w:hAnsi="Times New Roman" w:cs="Times New Roman"/>
          <w:sz w:val="24"/>
          <w:szCs w:val="20"/>
        </w:rPr>
        <w:t>8.</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5BE3B51F" w14:textId="77777777" w:rsidR="00E21E52" w:rsidRPr="00E21E52" w:rsidRDefault="00E21E52" w:rsidP="00E21E52">
      <w:pPr>
        <w:tabs>
          <w:tab w:val="left" w:pos="-720"/>
          <w:tab w:val="left" w:pos="0"/>
        </w:tabs>
        <w:suppressAutoHyphens/>
        <w:spacing w:after="0" w:line="240" w:lineRule="auto"/>
        <w:ind w:left="720" w:hanging="720"/>
        <w:rPr>
          <w:rFonts w:ascii="Times New Roman" w:eastAsia="Times New Roman" w:hAnsi="Times New Roman" w:cs="Times New Roman"/>
          <w:sz w:val="24"/>
          <w:szCs w:val="20"/>
        </w:rPr>
      </w:pPr>
    </w:p>
    <w:p w14:paraId="5BE3B520" w14:textId="0D374DA5" w:rsidR="00E21E52" w:rsidRPr="00E21E52" w:rsidRDefault="000D010A" w:rsidP="00E21E52">
      <w:pPr>
        <w:tabs>
          <w:tab w:val="left" w:pos="-720"/>
          <w:tab w:val="left" w:pos="0"/>
        </w:tabs>
        <w:spacing w:after="24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sidR="00E21E52" w:rsidRPr="00E21E52">
        <w:rPr>
          <w:rFonts w:ascii="Times New Roman" w:eastAsia="Times New Roman" w:hAnsi="Times New Roman" w:cs="Times New Roman"/>
          <w:sz w:val="24"/>
          <w:szCs w:val="20"/>
        </w:rPr>
        <w:t>The Commission affirmatively sought comment from the public concerning the renewal of existing collections of information required by CFTC regulation 4</w:t>
      </w:r>
      <w:r>
        <w:rPr>
          <w:rFonts w:ascii="Times New Roman" w:eastAsia="Times New Roman" w:hAnsi="Times New Roman" w:cs="Times New Roman"/>
          <w:sz w:val="24"/>
          <w:szCs w:val="20"/>
        </w:rPr>
        <w:t>5</w:t>
      </w:r>
      <w:r w:rsidR="00E21E52" w:rsidRPr="00E21E52">
        <w:rPr>
          <w:rFonts w:ascii="Times New Roman" w:eastAsia="Times New Roman" w:hAnsi="Times New Roman" w:cs="Times New Roman"/>
          <w:sz w:val="24"/>
          <w:szCs w:val="20"/>
        </w:rPr>
        <w:t xml:space="preserve">.  A copy of the solicitation of public comment appeared in the Federal Register at </w:t>
      </w:r>
      <w:r w:rsidR="00F10EBB" w:rsidRPr="00F10EBB">
        <w:rPr>
          <w:rFonts w:ascii="Times New Roman" w:eastAsia="Times New Roman" w:hAnsi="Times New Roman" w:cs="Times New Roman"/>
          <w:sz w:val="24"/>
          <w:szCs w:val="20"/>
        </w:rPr>
        <w:t xml:space="preserve">84 FR 50413 </w:t>
      </w:r>
      <w:r w:rsidR="00E21E52" w:rsidRPr="00F10EBB">
        <w:rPr>
          <w:rFonts w:ascii="Times New Roman" w:eastAsia="Times New Roman" w:hAnsi="Times New Roman" w:cs="Times New Roman"/>
          <w:sz w:val="24"/>
          <w:szCs w:val="20"/>
        </w:rPr>
        <w:t>(</w:t>
      </w:r>
      <w:r w:rsidR="00F10EBB" w:rsidRPr="00F10EBB">
        <w:rPr>
          <w:rFonts w:ascii="Times New Roman" w:eastAsia="Times New Roman" w:hAnsi="Times New Roman" w:cs="Times New Roman"/>
          <w:sz w:val="24"/>
          <w:szCs w:val="20"/>
        </w:rPr>
        <w:t>September 25, 2019</w:t>
      </w:r>
      <w:r w:rsidR="00E21E52" w:rsidRPr="00F10EBB">
        <w:rPr>
          <w:rFonts w:ascii="Times New Roman" w:eastAsia="Times New Roman" w:hAnsi="Times New Roman" w:cs="Times New Roman"/>
          <w:sz w:val="24"/>
          <w:szCs w:val="20"/>
        </w:rPr>
        <w:t>).  The Commission received no comments.</w:t>
      </w:r>
    </w:p>
    <w:p w14:paraId="5BE3B521" w14:textId="77777777" w:rsidR="00E21E52" w:rsidRPr="00E21E52" w:rsidRDefault="00E21E52" w:rsidP="00E21E52">
      <w:pPr>
        <w:tabs>
          <w:tab w:val="left" w:pos="-720"/>
          <w:tab w:val="left" w:pos="0"/>
        </w:tabs>
        <w:suppressAutoHyphens/>
        <w:spacing w:after="0" w:line="240" w:lineRule="auto"/>
        <w:ind w:left="720" w:hanging="720"/>
        <w:rPr>
          <w:rFonts w:ascii="Times New Roman" w:eastAsia="Times New Roman" w:hAnsi="Times New Roman" w:cs="Times New Roman"/>
          <w:sz w:val="24"/>
          <w:szCs w:val="20"/>
          <w:u w:val="single"/>
        </w:rPr>
      </w:pP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5BE3B522" w14:textId="77777777" w:rsidR="00E21E52" w:rsidRPr="00E21E52" w:rsidRDefault="00E21E52" w:rsidP="00E21E52">
      <w:pPr>
        <w:tabs>
          <w:tab w:val="left" w:pos="-720"/>
          <w:tab w:val="left" w:pos="0"/>
        </w:tabs>
        <w:suppressAutoHyphens/>
        <w:spacing w:after="0" w:line="240" w:lineRule="auto"/>
        <w:ind w:left="720" w:hanging="720"/>
        <w:rPr>
          <w:rFonts w:ascii="Times New Roman" w:eastAsia="Times New Roman" w:hAnsi="Times New Roman" w:cs="Times New Roman"/>
          <w:sz w:val="24"/>
          <w:szCs w:val="20"/>
          <w:u w:val="single"/>
        </w:rPr>
      </w:pPr>
    </w:p>
    <w:p w14:paraId="5BE3B523" w14:textId="191CF087" w:rsidR="00E21E52" w:rsidRPr="00E21E52" w:rsidRDefault="000D010A" w:rsidP="00E21E52">
      <w:pPr>
        <w:tabs>
          <w:tab w:val="left" w:pos="-720"/>
          <w:tab w:val="left" w:pos="0"/>
        </w:tabs>
        <w:suppressAutoHyphens/>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sidR="00E21E52" w:rsidRPr="00E21E52">
        <w:rPr>
          <w:rFonts w:ascii="Times New Roman" w:eastAsia="Times New Roman" w:hAnsi="Times New Roman" w:cs="Times New Roman"/>
          <w:sz w:val="24"/>
          <w:szCs w:val="20"/>
        </w:rPr>
        <w:t>The Commission published a notice in the Federal Register soliciting public comment on the renewal of this collection.</w:t>
      </w:r>
    </w:p>
    <w:p w14:paraId="5BE3B524" w14:textId="77777777" w:rsidR="00E21E52" w:rsidRPr="00E21E52" w:rsidRDefault="00E21E52" w:rsidP="00E21E52">
      <w:pPr>
        <w:tabs>
          <w:tab w:val="left" w:pos="-720"/>
          <w:tab w:val="left" w:pos="0"/>
        </w:tabs>
        <w:suppressAutoHyphens/>
        <w:spacing w:after="0" w:line="240" w:lineRule="auto"/>
        <w:rPr>
          <w:rFonts w:ascii="Times New Roman" w:eastAsia="Times New Roman" w:hAnsi="Times New Roman" w:cs="Times New Roman"/>
          <w:sz w:val="24"/>
          <w:szCs w:val="20"/>
        </w:rPr>
      </w:pPr>
    </w:p>
    <w:p w14:paraId="5BE3B525" w14:textId="77777777" w:rsidR="00E21E52" w:rsidRPr="00E21E52" w:rsidRDefault="00E21E52" w:rsidP="00E21E52">
      <w:pPr>
        <w:tabs>
          <w:tab w:val="left" w:pos="-720"/>
          <w:tab w:val="left" w:pos="0"/>
        </w:tabs>
        <w:suppressAutoHyphens/>
        <w:spacing w:after="0" w:line="240" w:lineRule="auto"/>
        <w:ind w:left="720" w:hanging="72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Consultation with representatives of those from whom information is to be obtained or those who must compile records should occur at least once every three years—even if the collection of information activity is the same as in prior periods.  There may be circumstances that may preclude consultation in a specific situation.  These circumstances should be explained</w:t>
      </w:r>
      <w:r w:rsidRPr="00E21E52">
        <w:rPr>
          <w:rFonts w:ascii="Times New Roman" w:eastAsia="Times New Roman" w:hAnsi="Times New Roman" w:cs="Times New Roman"/>
          <w:sz w:val="24"/>
          <w:szCs w:val="20"/>
        </w:rPr>
        <w:t>.</w:t>
      </w:r>
    </w:p>
    <w:p w14:paraId="5BE3B526" w14:textId="77777777" w:rsidR="00E21E52" w:rsidRPr="00E21E52" w:rsidRDefault="00E21E52" w:rsidP="00E21E52">
      <w:pPr>
        <w:tabs>
          <w:tab w:val="left" w:pos="-720"/>
        </w:tabs>
        <w:suppressAutoHyphens/>
        <w:spacing w:after="0" w:line="240" w:lineRule="auto"/>
        <w:rPr>
          <w:rFonts w:ascii="Times New Roman" w:eastAsia="Times New Roman" w:hAnsi="Times New Roman" w:cs="Times New Roman"/>
          <w:sz w:val="24"/>
          <w:szCs w:val="20"/>
        </w:rPr>
      </w:pPr>
    </w:p>
    <w:p w14:paraId="5BE3B527" w14:textId="06442EDB" w:rsidR="00E21E52" w:rsidRPr="00E21E52" w:rsidRDefault="000D010A" w:rsidP="00E21E52">
      <w:pPr>
        <w:tabs>
          <w:tab w:val="left" w:pos="-720"/>
        </w:tabs>
        <w:spacing w:after="24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sidR="00E21E52" w:rsidRPr="00E21E52">
        <w:rPr>
          <w:rFonts w:ascii="Times New Roman" w:eastAsia="Times New Roman" w:hAnsi="Times New Roman" w:cs="Times New Roman"/>
          <w:sz w:val="24"/>
          <w:szCs w:val="20"/>
        </w:rPr>
        <w:t>The Commission has continued to meet with affected parties since CFTC regulation 46 was enacted.</w:t>
      </w:r>
    </w:p>
    <w:p w14:paraId="5BE3B528" w14:textId="77777777" w:rsidR="00E21E52" w:rsidRPr="00E21E52" w:rsidRDefault="00E21E52" w:rsidP="00E21E52">
      <w:pPr>
        <w:tabs>
          <w:tab w:val="left" w:pos="-720"/>
          <w:tab w:val="left" w:pos="0"/>
        </w:tabs>
        <w:suppressAutoHyphens/>
        <w:spacing w:after="0" w:line="240" w:lineRule="auto"/>
        <w:ind w:left="720" w:hanging="72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9.</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Explain any decision to provide any payment or gift to respondents, other than remuneration of contractors or grantees</w:t>
      </w:r>
      <w:r w:rsidRPr="00E21E52">
        <w:rPr>
          <w:rFonts w:ascii="Times New Roman" w:eastAsia="Times New Roman" w:hAnsi="Times New Roman" w:cs="Times New Roman"/>
          <w:sz w:val="24"/>
          <w:szCs w:val="20"/>
        </w:rPr>
        <w:t>.</w:t>
      </w:r>
    </w:p>
    <w:p w14:paraId="5BE3B529" w14:textId="77777777" w:rsidR="00E21E52" w:rsidRPr="00E21E52" w:rsidRDefault="00E21E52" w:rsidP="00E21E52">
      <w:pPr>
        <w:tabs>
          <w:tab w:val="left" w:pos="-720"/>
          <w:tab w:val="left" w:pos="0"/>
        </w:tabs>
        <w:suppressAutoHyphens/>
        <w:spacing w:after="0" w:line="240" w:lineRule="auto"/>
        <w:ind w:left="720" w:hanging="720"/>
        <w:rPr>
          <w:rFonts w:ascii="Times New Roman" w:eastAsia="Times New Roman" w:hAnsi="Times New Roman" w:cs="Times New Roman"/>
          <w:sz w:val="24"/>
          <w:szCs w:val="20"/>
        </w:rPr>
      </w:pPr>
    </w:p>
    <w:p w14:paraId="5BE3B52A" w14:textId="00C649CD" w:rsidR="00E21E52" w:rsidRPr="00E21E52" w:rsidRDefault="000D010A" w:rsidP="00E21E52">
      <w:pPr>
        <w:tabs>
          <w:tab w:val="left" w:pos="-720"/>
        </w:tabs>
        <w:spacing w:after="24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sidR="00E21E52" w:rsidRPr="00E21E52">
        <w:rPr>
          <w:rFonts w:ascii="Times New Roman" w:eastAsia="Times New Roman" w:hAnsi="Times New Roman" w:cs="Times New Roman"/>
          <w:sz w:val="24"/>
          <w:szCs w:val="20"/>
        </w:rPr>
        <w:t>This question does not apply.  This information collection does not involve the provision of any payment or gift to respondents.</w:t>
      </w:r>
    </w:p>
    <w:p w14:paraId="5BE3B52B" w14:textId="77777777" w:rsidR="00E21E52" w:rsidRPr="00E21E52" w:rsidRDefault="00E21E52" w:rsidP="00E21E52">
      <w:pPr>
        <w:tabs>
          <w:tab w:val="left" w:pos="-720"/>
          <w:tab w:val="left" w:pos="0"/>
        </w:tabs>
        <w:suppressAutoHyphens/>
        <w:spacing w:after="0" w:line="240" w:lineRule="auto"/>
        <w:ind w:left="720" w:hanging="72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10.</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Describe any assurance of confidentiality provided to respondents and the basis for the assurance in statute, regulations, or agency policy</w:t>
      </w:r>
      <w:r w:rsidRPr="00E21E52">
        <w:rPr>
          <w:rFonts w:ascii="Times New Roman" w:eastAsia="Times New Roman" w:hAnsi="Times New Roman" w:cs="Times New Roman"/>
          <w:sz w:val="24"/>
          <w:szCs w:val="20"/>
        </w:rPr>
        <w:t>.</w:t>
      </w:r>
    </w:p>
    <w:p w14:paraId="5BE3B52C" w14:textId="77777777" w:rsidR="00E21E52" w:rsidRPr="00E21E52" w:rsidRDefault="00E21E52" w:rsidP="00E21E52">
      <w:pPr>
        <w:tabs>
          <w:tab w:val="left" w:pos="-720"/>
          <w:tab w:val="left" w:pos="0"/>
        </w:tabs>
        <w:suppressAutoHyphens/>
        <w:spacing w:after="0" w:line="240" w:lineRule="auto"/>
        <w:ind w:left="720" w:hanging="720"/>
        <w:rPr>
          <w:rFonts w:ascii="Times New Roman" w:eastAsia="Times New Roman" w:hAnsi="Times New Roman" w:cs="Times New Roman"/>
          <w:sz w:val="24"/>
          <w:szCs w:val="20"/>
        </w:rPr>
      </w:pPr>
    </w:p>
    <w:p w14:paraId="5BE3B52D" w14:textId="5209E077" w:rsidR="00E21E52" w:rsidRPr="00E21E52" w:rsidRDefault="000D010A" w:rsidP="00E21E52">
      <w:pPr>
        <w:tabs>
          <w:tab w:val="left" w:pos="-720"/>
          <w:tab w:val="left" w:pos="0"/>
          <w:tab w:val="left" w:pos="720"/>
        </w:tabs>
        <w:spacing w:after="24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sidR="00E21E52" w:rsidRPr="00E21E52">
        <w:rPr>
          <w:rFonts w:ascii="Times New Roman" w:eastAsia="Times New Roman" w:hAnsi="Times New Roman" w:cs="Times New Roman"/>
          <w:sz w:val="24"/>
          <w:szCs w:val="20"/>
        </w:rPr>
        <w:t>The Commission is required to provide confidentiality to respondents pursuant to the Freedom of Information Act, Privacy Act of 1974, CEA, and Commission regulations requiring the confidentiality of information.</w:t>
      </w:r>
      <w:r w:rsidR="00E21E52" w:rsidRPr="00E21E52">
        <w:rPr>
          <w:rFonts w:ascii="Times New Roman" w:eastAsia="Times New Roman" w:hAnsi="Times New Roman" w:cs="Times New Roman"/>
          <w:sz w:val="24"/>
          <w:szCs w:val="20"/>
          <w:vertAlign w:val="superscript"/>
        </w:rPr>
        <w:footnoteReference w:id="2"/>
      </w:r>
      <w:r w:rsidR="00E21E52" w:rsidRPr="00E21E52">
        <w:rPr>
          <w:rFonts w:ascii="Times New Roman" w:eastAsia="Times New Roman" w:hAnsi="Times New Roman" w:cs="Times New Roman"/>
          <w:sz w:val="24"/>
          <w:szCs w:val="20"/>
        </w:rPr>
        <w:t xml:space="preserve">  Section 8(a) of the CEA provides for the confidentiality of data and information except under the limited circumstances delineated therein.</w:t>
      </w:r>
    </w:p>
    <w:p w14:paraId="5BE3B52E" w14:textId="77777777" w:rsidR="00E21E52" w:rsidRPr="00E21E52" w:rsidRDefault="00E21E52" w:rsidP="00E21E52">
      <w:pPr>
        <w:tabs>
          <w:tab w:val="left" w:pos="-720"/>
        </w:tabs>
        <w:suppressAutoHyphens/>
        <w:spacing w:after="0" w:line="240" w:lineRule="auto"/>
        <w:ind w:left="720" w:hanging="72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11.</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E21E52">
        <w:rPr>
          <w:rFonts w:ascii="Times New Roman" w:eastAsia="Times New Roman" w:hAnsi="Times New Roman" w:cs="Times New Roman"/>
          <w:sz w:val="24"/>
          <w:szCs w:val="20"/>
        </w:rPr>
        <w:t>.</w:t>
      </w:r>
    </w:p>
    <w:p w14:paraId="5BE3B52F" w14:textId="77777777" w:rsidR="00E21E52" w:rsidRPr="00E21E52" w:rsidRDefault="00E21E52" w:rsidP="00E21E52">
      <w:pPr>
        <w:tabs>
          <w:tab w:val="left" w:pos="-720"/>
        </w:tabs>
        <w:suppressAutoHyphens/>
        <w:spacing w:after="0" w:line="240" w:lineRule="auto"/>
        <w:ind w:left="720" w:hanging="720"/>
        <w:rPr>
          <w:rFonts w:ascii="Times New Roman" w:eastAsia="Times New Roman" w:hAnsi="Times New Roman" w:cs="Times New Roman"/>
          <w:sz w:val="24"/>
          <w:szCs w:val="20"/>
        </w:rPr>
      </w:pPr>
    </w:p>
    <w:p w14:paraId="5BE3B530" w14:textId="5D08A7F3" w:rsidR="00E21E52" w:rsidRPr="00E21E52" w:rsidRDefault="000D010A" w:rsidP="00E21E52">
      <w:pPr>
        <w:tabs>
          <w:tab w:val="left" w:pos="-720"/>
        </w:tabs>
        <w:spacing w:after="24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sidR="00E21E52" w:rsidRPr="00E21E52">
        <w:rPr>
          <w:rFonts w:ascii="Times New Roman" w:eastAsia="Times New Roman" w:hAnsi="Times New Roman" w:cs="Times New Roman"/>
          <w:sz w:val="24"/>
          <w:szCs w:val="20"/>
        </w:rPr>
        <w:t>This question does not apply.  CFTC regulation 4</w:t>
      </w:r>
      <w:r>
        <w:rPr>
          <w:rFonts w:ascii="Times New Roman" w:eastAsia="Times New Roman" w:hAnsi="Times New Roman" w:cs="Times New Roman"/>
          <w:sz w:val="24"/>
          <w:szCs w:val="20"/>
        </w:rPr>
        <w:t>5</w:t>
      </w:r>
      <w:r w:rsidR="00E21E52" w:rsidRPr="00E21E52">
        <w:rPr>
          <w:rFonts w:ascii="Times New Roman" w:eastAsia="Times New Roman" w:hAnsi="Times New Roman" w:cs="Times New Roman"/>
          <w:sz w:val="24"/>
          <w:szCs w:val="20"/>
        </w:rPr>
        <w:t xml:space="preserve"> does not require nor request the provision of sensitive information, as that term is used in question 11.</w:t>
      </w:r>
    </w:p>
    <w:p w14:paraId="5BE3B531" w14:textId="77777777" w:rsidR="00E21E52" w:rsidRPr="00E21E52" w:rsidRDefault="00E21E52" w:rsidP="00E21E52">
      <w:pPr>
        <w:tabs>
          <w:tab w:val="left" w:pos="-720"/>
          <w:tab w:val="left" w:pos="0"/>
        </w:tabs>
        <w:suppressAutoHyphens/>
        <w:spacing w:after="0" w:line="240" w:lineRule="auto"/>
        <w:ind w:left="720" w:hanging="72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12.</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Provide estimates of the hour burden of the collection of information.  The Statement should</w:t>
      </w:r>
      <w:r w:rsidRPr="00E21E52">
        <w:rPr>
          <w:rFonts w:ascii="Times New Roman" w:eastAsia="Times New Roman" w:hAnsi="Times New Roman" w:cs="Times New Roman"/>
          <w:sz w:val="24"/>
          <w:szCs w:val="20"/>
        </w:rPr>
        <w:t>:</w:t>
      </w:r>
    </w:p>
    <w:p w14:paraId="5BE3B532" w14:textId="77777777" w:rsidR="00E21E52" w:rsidRPr="00E21E52" w:rsidRDefault="00E21E52" w:rsidP="00E21E52">
      <w:pPr>
        <w:tabs>
          <w:tab w:val="left" w:pos="-720"/>
        </w:tabs>
        <w:suppressAutoHyphens/>
        <w:spacing w:after="0" w:line="240" w:lineRule="auto"/>
        <w:rPr>
          <w:rFonts w:ascii="Times New Roman" w:eastAsia="Times New Roman" w:hAnsi="Times New Roman" w:cs="Times New Roman"/>
          <w:sz w:val="24"/>
          <w:szCs w:val="20"/>
        </w:rPr>
      </w:pPr>
    </w:p>
    <w:p w14:paraId="5BE3B533" w14:textId="77777777" w:rsidR="00E21E52" w:rsidRPr="00E21E52" w:rsidRDefault="00E21E52" w:rsidP="00E21E52">
      <w:pPr>
        <w:tabs>
          <w:tab w:val="left" w:pos="-720"/>
          <w:tab w:val="left" w:pos="0"/>
          <w:tab w:val="left" w:pos="720"/>
        </w:tabs>
        <w:suppressAutoHyphens/>
        <w:spacing w:after="0" w:line="240" w:lineRule="auto"/>
        <w:ind w:left="1440" w:hanging="144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ab/>
        <w:t>-</w:t>
      </w:r>
      <w:r w:rsidRPr="00E21E52">
        <w:rPr>
          <w:rFonts w:ascii="Times New Roman" w:eastAsia="Times New Roman" w:hAnsi="Times New Roman" w:cs="Times New Roman"/>
          <w:sz w:val="24"/>
          <w:szCs w:val="20"/>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BE3B534" w14:textId="77777777" w:rsidR="00E21E52" w:rsidRPr="00E21E52" w:rsidRDefault="00E21E52" w:rsidP="00E21E52">
      <w:pPr>
        <w:tabs>
          <w:tab w:val="left" w:pos="-720"/>
        </w:tabs>
        <w:suppressAutoHyphens/>
        <w:spacing w:after="0" w:line="240" w:lineRule="auto"/>
        <w:rPr>
          <w:rFonts w:ascii="Times New Roman" w:eastAsia="Times New Roman" w:hAnsi="Times New Roman" w:cs="Times New Roman"/>
          <w:sz w:val="24"/>
          <w:szCs w:val="20"/>
        </w:rPr>
      </w:pPr>
    </w:p>
    <w:p w14:paraId="5BE3B535" w14:textId="5666E993" w:rsidR="00E21E52" w:rsidRPr="00E21E52" w:rsidRDefault="00E21E52" w:rsidP="00E21E52">
      <w:pPr>
        <w:tabs>
          <w:tab w:val="left" w:pos="-720"/>
          <w:tab w:val="left" w:pos="0"/>
          <w:tab w:val="left" w:pos="720"/>
        </w:tabs>
        <w:suppressAutoHyphens/>
        <w:spacing w:after="0" w:line="240" w:lineRule="auto"/>
        <w:ind w:left="1440" w:hanging="144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ab/>
        <w:t>-</w:t>
      </w:r>
      <w:r w:rsidRPr="00E21E52">
        <w:rPr>
          <w:rFonts w:ascii="Times New Roman" w:eastAsia="Times New Roman" w:hAnsi="Times New Roman" w:cs="Times New Roman"/>
          <w:sz w:val="24"/>
          <w:szCs w:val="20"/>
        </w:rPr>
        <w:tab/>
        <w:t>If the request for approval covers more than one form, provide separate hour burden estimates for each form and aggregate the hour burdens in Item 1</w:t>
      </w:r>
      <w:r w:rsidR="000D010A">
        <w:rPr>
          <w:rFonts w:ascii="Times New Roman" w:eastAsia="Times New Roman" w:hAnsi="Times New Roman" w:cs="Times New Roman"/>
          <w:sz w:val="24"/>
          <w:szCs w:val="20"/>
        </w:rPr>
        <w:t>8</w:t>
      </w:r>
      <w:r w:rsidRPr="00E21E52">
        <w:rPr>
          <w:rFonts w:ascii="Times New Roman" w:eastAsia="Times New Roman" w:hAnsi="Times New Roman" w:cs="Times New Roman"/>
          <w:sz w:val="24"/>
          <w:szCs w:val="20"/>
        </w:rPr>
        <w:t xml:space="preserve"> of OMB Form 83-I.</w:t>
      </w:r>
    </w:p>
    <w:p w14:paraId="5BE3B536" w14:textId="77777777" w:rsidR="00E21E52" w:rsidRPr="00E21E52" w:rsidRDefault="00E21E52" w:rsidP="00E21E52">
      <w:pPr>
        <w:tabs>
          <w:tab w:val="left" w:pos="-720"/>
        </w:tabs>
        <w:suppressAutoHyphens/>
        <w:spacing w:after="0" w:line="240" w:lineRule="auto"/>
        <w:rPr>
          <w:rFonts w:ascii="Times New Roman" w:eastAsia="Times New Roman" w:hAnsi="Times New Roman" w:cs="Times New Roman"/>
          <w:sz w:val="24"/>
          <w:szCs w:val="20"/>
        </w:rPr>
      </w:pPr>
    </w:p>
    <w:p w14:paraId="5BE3B537" w14:textId="4E414FF1" w:rsidR="00E21E52" w:rsidRPr="00E21E52" w:rsidRDefault="00E21E52" w:rsidP="00E21E52">
      <w:pPr>
        <w:tabs>
          <w:tab w:val="left" w:pos="-720"/>
          <w:tab w:val="left" w:pos="0"/>
          <w:tab w:val="left" w:pos="720"/>
        </w:tabs>
        <w:suppressAutoHyphens/>
        <w:spacing w:after="0" w:line="240" w:lineRule="auto"/>
        <w:ind w:left="1440" w:hanging="144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ab/>
        <w:t>-</w:t>
      </w:r>
      <w:r w:rsidRPr="00E21E52">
        <w:rPr>
          <w:rFonts w:ascii="Times New Roman" w:eastAsia="Times New Roman" w:hAnsi="Times New Roman" w:cs="Times New Roman"/>
          <w:sz w:val="24"/>
          <w:szCs w:val="20"/>
        </w:rPr>
        <w:tab/>
        <w:t>Provide estimates of annualized cost to respondents for the hours burdens for collections of information, identifying and using appropriate wage rate categories.  The cost of contracting out or paying outside parties for information collection activities should not be included here.  Instead, this cost should be included in Item 1</w:t>
      </w:r>
      <w:r w:rsidR="000D010A">
        <w:rPr>
          <w:rFonts w:ascii="Times New Roman" w:eastAsia="Times New Roman" w:hAnsi="Times New Roman" w:cs="Times New Roman"/>
          <w:sz w:val="24"/>
          <w:szCs w:val="20"/>
        </w:rPr>
        <w:t>8</w:t>
      </w:r>
      <w:r w:rsidRPr="00E21E52">
        <w:rPr>
          <w:rFonts w:ascii="Times New Roman" w:eastAsia="Times New Roman" w:hAnsi="Times New Roman" w:cs="Times New Roman"/>
          <w:sz w:val="24"/>
          <w:szCs w:val="20"/>
        </w:rPr>
        <w:t>.</w:t>
      </w:r>
    </w:p>
    <w:p w14:paraId="5BE3B538" w14:textId="77777777" w:rsidR="00E21E52" w:rsidRPr="00E21E52" w:rsidRDefault="00E21E52" w:rsidP="00E21E52">
      <w:pPr>
        <w:tabs>
          <w:tab w:val="left" w:pos="-720"/>
          <w:tab w:val="left" w:pos="0"/>
        </w:tabs>
        <w:suppressAutoHyphens/>
        <w:spacing w:after="0" w:line="240" w:lineRule="auto"/>
        <w:ind w:firstLine="720"/>
        <w:rPr>
          <w:rFonts w:ascii="Times New Roman" w:eastAsia="Times New Roman" w:hAnsi="Times New Roman" w:cs="Times New Roman"/>
          <w:sz w:val="24"/>
          <w:szCs w:val="20"/>
          <w:u w:val="single"/>
        </w:rPr>
      </w:pPr>
    </w:p>
    <w:p w14:paraId="5BE3B539" w14:textId="44EE5EF3" w:rsidR="00E21E52" w:rsidRDefault="000D010A" w:rsidP="00E21E52">
      <w:pPr>
        <w:tabs>
          <w:tab w:val="left" w:pos="-720"/>
          <w:tab w:val="left" w:pos="0"/>
        </w:tabs>
        <w:suppressAutoHyphens/>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sidR="00E21E52" w:rsidRPr="00E21E52">
        <w:rPr>
          <w:rFonts w:ascii="Times New Roman" w:eastAsia="Times New Roman" w:hAnsi="Times New Roman" w:cs="Times New Roman"/>
          <w:sz w:val="24"/>
          <w:szCs w:val="20"/>
        </w:rPr>
        <w:t>CFTC regulation 4</w:t>
      </w:r>
      <w:r>
        <w:rPr>
          <w:rFonts w:ascii="Times New Roman" w:eastAsia="Times New Roman" w:hAnsi="Times New Roman" w:cs="Times New Roman"/>
          <w:sz w:val="24"/>
          <w:szCs w:val="20"/>
        </w:rPr>
        <w:t>5</w:t>
      </w:r>
      <w:r w:rsidR="00E21E52" w:rsidRPr="00E21E52">
        <w:rPr>
          <w:rFonts w:ascii="Times New Roman" w:eastAsia="Times New Roman" w:hAnsi="Times New Roman" w:cs="Times New Roman"/>
          <w:sz w:val="24"/>
          <w:szCs w:val="20"/>
        </w:rPr>
        <w:t xml:space="preserve"> imposes recordkeeping and reporting obligations on affected parties.  As detailed below, Commission staff estimate that the estimated </w:t>
      </w:r>
      <w:r>
        <w:rPr>
          <w:rFonts w:ascii="Times New Roman" w:eastAsia="Times New Roman" w:hAnsi="Times New Roman" w:cs="Times New Roman"/>
          <w:sz w:val="24"/>
          <w:szCs w:val="20"/>
        </w:rPr>
        <w:t>1,732</w:t>
      </w:r>
      <w:r w:rsidR="00E21E52" w:rsidRPr="00E21E52">
        <w:rPr>
          <w:rFonts w:ascii="Times New Roman" w:eastAsia="Times New Roman" w:hAnsi="Times New Roman" w:cs="Times New Roman"/>
          <w:sz w:val="24"/>
          <w:szCs w:val="20"/>
        </w:rPr>
        <w:t xml:space="preserve"> respondents incur a total annual burden of </w:t>
      </w:r>
      <w:r>
        <w:rPr>
          <w:rFonts w:ascii="Times New Roman" w:eastAsia="Times New Roman" w:hAnsi="Times New Roman" w:cs="Times New Roman"/>
          <w:sz w:val="24"/>
          <w:szCs w:val="20"/>
        </w:rPr>
        <w:t>2,279,202</w:t>
      </w:r>
      <w:r w:rsidR="00E21E52" w:rsidRPr="00E21E52">
        <w:rPr>
          <w:rFonts w:ascii="Times New Roman" w:eastAsia="Times New Roman" w:hAnsi="Times New Roman" w:cs="Times New Roman"/>
          <w:sz w:val="24"/>
          <w:szCs w:val="20"/>
        </w:rPr>
        <w:t xml:space="preserve"> hours and an associated total cost of $</w:t>
      </w:r>
      <w:r>
        <w:rPr>
          <w:rFonts w:ascii="Times New Roman" w:eastAsia="Times New Roman" w:hAnsi="Times New Roman" w:cs="Times New Roman"/>
          <w:sz w:val="24"/>
          <w:szCs w:val="20"/>
        </w:rPr>
        <w:t>135,229,006</w:t>
      </w:r>
      <w:r w:rsidR="00E21E52" w:rsidRPr="00E21E52">
        <w:rPr>
          <w:rFonts w:ascii="Times New Roman" w:eastAsia="Times New Roman" w:hAnsi="Times New Roman" w:cs="Times New Roman"/>
          <w:sz w:val="24"/>
          <w:szCs w:val="20"/>
        </w:rPr>
        <w:t>.</w:t>
      </w:r>
    </w:p>
    <w:p w14:paraId="3297E329" w14:textId="77777777" w:rsidR="00947595" w:rsidRDefault="00947595" w:rsidP="00E21E52">
      <w:pPr>
        <w:tabs>
          <w:tab w:val="left" w:pos="-720"/>
          <w:tab w:val="left" w:pos="0"/>
        </w:tabs>
        <w:suppressAutoHyphens/>
        <w:spacing w:after="0" w:line="240" w:lineRule="auto"/>
        <w:rPr>
          <w:rFonts w:ascii="Times New Roman" w:eastAsia="Times New Roman" w:hAnsi="Times New Roman" w:cs="Times New Roman"/>
          <w:sz w:val="24"/>
          <w:szCs w:val="20"/>
        </w:rPr>
      </w:pPr>
    </w:p>
    <w:p w14:paraId="07F2634E" w14:textId="0061CCDD" w:rsidR="00947595" w:rsidRPr="00E21E52" w:rsidRDefault="00947595" w:rsidP="00947595">
      <w:pPr>
        <w:tabs>
          <w:tab w:val="left" w:pos="-720"/>
          <w:tab w:val="left" w:pos="0"/>
        </w:tabs>
        <w:suppressAutoHyphens/>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4"/>
        </w:rPr>
        <w:tab/>
      </w:r>
      <w:r w:rsidRPr="00947595">
        <w:rPr>
          <w:rFonts w:ascii="Times New Roman" w:eastAsia="Times New Roman" w:hAnsi="Times New Roman" w:cs="Times New Roman"/>
          <w:sz w:val="24"/>
          <w:szCs w:val="24"/>
        </w:rPr>
        <w:t xml:space="preserve">See Attachment A for cost estimates associated with the burden hours calculated by this Question 12.  </w:t>
      </w:r>
      <w:r w:rsidR="005034A3" w:rsidRPr="00562207">
        <w:rPr>
          <w:rFonts w:ascii="Times New Roman" w:eastAsia="Times New Roman" w:hAnsi="Times New Roman" w:cs="Times New Roman"/>
          <w:sz w:val="24"/>
          <w:szCs w:val="20"/>
        </w:rPr>
        <w:t>In calculating the cost estimate, t</w:t>
      </w:r>
      <w:r w:rsidR="005034A3" w:rsidRPr="00F865EF">
        <w:rPr>
          <w:rFonts w:ascii="Times New Roman" w:eastAsia="Times New Roman" w:hAnsi="Times New Roman" w:cs="Times New Roman"/>
          <w:sz w:val="24"/>
          <w:szCs w:val="20"/>
        </w:rPr>
        <w:t>he Commission estimated the appropriate wage rate based on salary information for the securities industry compiled by the Department of Labor’s Bureau of Labor Statistics (“BLS”).  Commission staff arrived at an hourly rate of $</w:t>
      </w:r>
      <w:r w:rsidR="005034A3">
        <w:rPr>
          <w:rFonts w:ascii="Times New Roman" w:eastAsia="Times New Roman" w:hAnsi="Times New Roman" w:cs="Times New Roman"/>
          <w:sz w:val="24"/>
          <w:szCs w:val="20"/>
        </w:rPr>
        <w:t>72.48</w:t>
      </w:r>
      <w:r w:rsidR="005034A3" w:rsidRPr="00562207">
        <w:rPr>
          <w:rFonts w:ascii="Times New Roman" w:eastAsia="Times New Roman" w:hAnsi="Times New Roman" w:cs="Times New Roman"/>
          <w:sz w:val="24"/>
          <w:szCs w:val="20"/>
        </w:rPr>
        <w:t xml:space="preserve"> using figures from a weighted average of salaries and bonuses across different professions contained in the most recent BLS Occupational</w:t>
      </w:r>
      <w:r w:rsidR="005034A3" w:rsidRPr="00F865EF">
        <w:rPr>
          <w:rFonts w:ascii="Times New Roman" w:eastAsia="Times New Roman" w:hAnsi="Times New Roman" w:cs="Times New Roman"/>
          <w:sz w:val="24"/>
          <w:szCs w:val="20"/>
        </w:rPr>
        <w:t xml:space="preserve"> Employment and Wages Report (May 201</w:t>
      </w:r>
      <w:r w:rsidR="005034A3">
        <w:rPr>
          <w:rFonts w:ascii="Times New Roman" w:eastAsia="Times New Roman" w:hAnsi="Times New Roman" w:cs="Times New Roman"/>
          <w:sz w:val="24"/>
          <w:szCs w:val="20"/>
        </w:rPr>
        <w:t>8</w:t>
      </w:r>
      <w:r w:rsidR="005034A3" w:rsidRPr="00F865EF">
        <w:rPr>
          <w:rFonts w:ascii="Times New Roman" w:eastAsia="Times New Roman" w:hAnsi="Times New Roman" w:cs="Times New Roman"/>
          <w:sz w:val="24"/>
          <w:szCs w:val="20"/>
        </w:rPr>
        <w:t xml:space="preserve">) multiplied </w:t>
      </w:r>
      <w:r w:rsidR="005034A3" w:rsidRPr="00C46753">
        <w:rPr>
          <w:rFonts w:ascii="Times New Roman" w:eastAsia="Times New Roman" w:hAnsi="Times New Roman" w:cs="Times New Roman"/>
          <w:sz w:val="24"/>
          <w:szCs w:val="20"/>
        </w:rPr>
        <w:t>by 1.3 to account for overhead and other benefits.</w:t>
      </w:r>
      <w:r w:rsidR="005034A3" w:rsidRPr="00C46753">
        <w:rPr>
          <w:rStyle w:val="FootnoteReference"/>
          <w:rFonts w:ascii="Times New Roman" w:eastAsia="Times New Roman" w:hAnsi="Times New Roman" w:cs="Times New Roman"/>
          <w:sz w:val="24"/>
          <w:szCs w:val="20"/>
        </w:rPr>
        <w:footnoteReference w:id="3"/>
      </w:r>
      <w:r w:rsidR="005034A3" w:rsidRPr="00C46753">
        <w:rPr>
          <w:rFonts w:ascii="Times New Roman" w:eastAsia="Times New Roman" w:hAnsi="Times New Roman" w:cs="Times New Roman"/>
          <w:sz w:val="24"/>
          <w:szCs w:val="20"/>
        </w:rPr>
        <w:t xml:space="preserve">  The Commission estimated appropriate wage rate is a weighted national average of mean hourly wages for the following occupations (and their relative weight): “computer programmer – industry: securities, commodity contracts, and other financial investment and related activities ” (50% weight); “compliance officer – industry: securities, commodity contracts, and other financial investment and related activities” (25%); and “lawyer – legal services” (25%)</w:t>
      </w:r>
      <w:r w:rsidR="005034A3" w:rsidRPr="00562207">
        <w:rPr>
          <w:rFonts w:ascii="Times New Roman" w:eastAsia="Times New Roman" w:hAnsi="Times New Roman" w:cs="Times New Roman"/>
          <w:sz w:val="24"/>
          <w:szCs w:val="20"/>
        </w:rPr>
        <w:t>. Commission staff chose this methodology to account for the variance in skill sets that may be used to accomplish the collection of information.</w:t>
      </w:r>
      <w:r w:rsidR="005034A3" w:rsidRPr="00F865EF">
        <w:rPr>
          <w:rFonts w:ascii="Times New Roman" w:eastAsia="Times New Roman" w:hAnsi="Times New Roman" w:cs="Times New Roman"/>
          <w:sz w:val="24"/>
          <w:szCs w:val="20"/>
        </w:rPr>
        <w:t xml:space="preserve">  </w:t>
      </w:r>
    </w:p>
    <w:p w14:paraId="5BE3B53A" w14:textId="77777777" w:rsidR="00E21E52" w:rsidRPr="00E21E52" w:rsidRDefault="00E21E52" w:rsidP="00E21E52">
      <w:pPr>
        <w:tabs>
          <w:tab w:val="left" w:pos="-720"/>
          <w:tab w:val="left" w:pos="0"/>
        </w:tabs>
        <w:suppressAutoHyphens/>
        <w:spacing w:after="0" w:line="240" w:lineRule="auto"/>
        <w:rPr>
          <w:rFonts w:ascii="Times New Roman" w:eastAsia="Times New Roman" w:hAnsi="Times New Roman" w:cs="Times New Roman"/>
          <w:sz w:val="24"/>
          <w:szCs w:val="20"/>
          <w:u w:val="single"/>
        </w:rPr>
      </w:pPr>
    </w:p>
    <w:p w14:paraId="5BE3B555" w14:textId="77777777" w:rsidR="00E21E52" w:rsidRPr="00E21E52" w:rsidRDefault="00E21E52" w:rsidP="00E21E52">
      <w:pPr>
        <w:tabs>
          <w:tab w:val="left" w:pos="-720"/>
          <w:tab w:val="left" w:pos="0"/>
        </w:tabs>
        <w:suppressAutoHyphens/>
        <w:spacing w:after="0" w:line="240" w:lineRule="auto"/>
        <w:ind w:left="720" w:hanging="72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13.</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Provide an estimate of the total annual cost burden to respondents or recordkeepers resulting from the collection of information.  (Do not include the cost of any hour burden shown in Items 12 and 14)</w:t>
      </w:r>
      <w:r w:rsidRPr="00E21E52">
        <w:rPr>
          <w:rFonts w:ascii="Times New Roman" w:eastAsia="Times New Roman" w:hAnsi="Times New Roman" w:cs="Times New Roman"/>
          <w:sz w:val="24"/>
          <w:szCs w:val="20"/>
        </w:rPr>
        <w:t>.</w:t>
      </w:r>
    </w:p>
    <w:p w14:paraId="5BE3B556" w14:textId="77777777" w:rsidR="00E21E52" w:rsidRPr="00E21E52" w:rsidRDefault="00E21E52" w:rsidP="00E21E52">
      <w:pPr>
        <w:tabs>
          <w:tab w:val="left" w:pos="-720"/>
        </w:tabs>
        <w:suppressAutoHyphens/>
        <w:spacing w:after="0" w:line="240" w:lineRule="auto"/>
        <w:rPr>
          <w:rFonts w:ascii="Times New Roman" w:eastAsia="Times New Roman" w:hAnsi="Times New Roman" w:cs="Times New Roman"/>
          <w:sz w:val="24"/>
          <w:szCs w:val="20"/>
        </w:rPr>
      </w:pPr>
    </w:p>
    <w:p w14:paraId="5BE3B557" w14:textId="77777777" w:rsidR="00E21E52" w:rsidRPr="00E21E52" w:rsidRDefault="00E21E52" w:rsidP="00E21E52">
      <w:pPr>
        <w:tabs>
          <w:tab w:val="left" w:pos="-720"/>
          <w:tab w:val="left" w:pos="0"/>
          <w:tab w:val="left" w:pos="720"/>
        </w:tabs>
        <w:suppressAutoHyphens/>
        <w:spacing w:after="0" w:line="240" w:lineRule="auto"/>
        <w:ind w:left="1440" w:hanging="144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ab/>
        <w:t>-</w:t>
      </w:r>
      <w:r w:rsidRPr="00E21E52">
        <w:rPr>
          <w:rFonts w:ascii="Times New Roman" w:eastAsia="Times New Roman" w:hAnsi="Times New Roman" w:cs="Times New Roman"/>
          <w:sz w:val="24"/>
          <w:szCs w:val="20"/>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5BE3B558" w14:textId="77777777" w:rsidR="00E21E52" w:rsidRPr="00E21E52" w:rsidRDefault="00E21E52" w:rsidP="00E21E52">
      <w:pPr>
        <w:tabs>
          <w:tab w:val="left" w:pos="-720"/>
        </w:tabs>
        <w:suppressAutoHyphens/>
        <w:spacing w:after="0" w:line="240" w:lineRule="auto"/>
        <w:rPr>
          <w:rFonts w:ascii="Times New Roman" w:eastAsia="Times New Roman" w:hAnsi="Times New Roman" w:cs="Times New Roman"/>
          <w:sz w:val="24"/>
          <w:szCs w:val="20"/>
        </w:rPr>
      </w:pPr>
    </w:p>
    <w:p w14:paraId="5BE3B559" w14:textId="77777777" w:rsidR="00E21E52" w:rsidRPr="00E21E52" w:rsidRDefault="00E21E52" w:rsidP="00E21E52">
      <w:pPr>
        <w:tabs>
          <w:tab w:val="left" w:pos="-720"/>
          <w:tab w:val="left" w:pos="0"/>
          <w:tab w:val="left" w:pos="720"/>
        </w:tabs>
        <w:suppressAutoHyphens/>
        <w:spacing w:after="0" w:line="240" w:lineRule="auto"/>
        <w:ind w:left="1440" w:hanging="144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ab/>
        <w:t>-</w:t>
      </w:r>
      <w:r w:rsidRPr="00E21E52">
        <w:rPr>
          <w:rFonts w:ascii="Times New Roman" w:eastAsia="Times New Roman" w:hAnsi="Times New Roman" w:cs="Times New Roman"/>
          <w:sz w:val="24"/>
          <w:szCs w:val="20"/>
        </w:rPr>
        <w:tab/>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14:paraId="5BE3B55A" w14:textId="77777777" w:rsidR="00E21E52" w:rsidRPr="00E21E52" w:rsidRDefault="00E21E52" w:rsidP="00E21E52">
      <w:pPr>
        <w:tabs>
          <w:tab w:val="left" w:pos="-720"/>
        </w:tabs>
        <w:suppressAutoHyphens/>
        <w:spacing w:after="0" w:line="240" w:lineRule="auto"/>
        <w:rPr>
          <w:rFonts w:ascii="Times New Roman" w:eastAsia="Times New Roman" w:hAnsi="Times New Roman" w:cs="Times New Roman"/>
          <w:sz w:val="24"/>
          <w:szCs w:val="20"/>
        </w:rPr>
      </w:pPr>
    </w:p>
    <w:p w14:paraId="5BE3B55B" w14:textId="77777777" w:rsidR="00E21E52" w:rsidRPr="00E21E52" w:rsidRDefault="00E21E52" w:rsidP="00E21E52">
      <w:pPr>
        <w:tabs>
          <w:tab w:val="left" w:pos="-720"/>
          <w:tab w:val="left" w:pos="0"/>
          <w:tab w:val="left" w:pos="720"/>
        </w:tabs>
        <w:suppressAutoHyphens/>
        <w:spacing w:after="0" w:line="240" w:lineRule="auto"/>
        <w:ind w:left="1440" w:hanging="144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ab/>
        <w:t>-</w:t>
      </w:r>
      <w:r w:rsidRPr="00E21E52">
        <w:rPr>
          <w:rFonts w:ascii="Times New Roman" w:eastAsia="Times New Roman" w:hAnsi="Times New Roman" w:cs="Times New Roman"/>
          <w:sz w:val="24"/>
          <w:szCs w:val="20"/>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5BE3B55C" w14:textId="77777777" w:rsidR="00E21E52" w:rsidRPr="00E21E52" w:rsidRDefault="00E21E52" w:rsidP="00E21E52">
      <w:pPr>
        <w:tabs>
          <w:tab w:val="left" w:pos="-720"/>
          <w:tab w:val="left" w:pos="0"/>
          <w:tab w:val="left" w:pos="720"/>
        </w:tabs>
        <w:suppressAutoHyphens/>
        <w:spacing w:after="0" w:line="240" w:lineRule="auto"/>
        <w:ind w:left="720"/>
        <w:rPr>
          <w:rFonts w:ascii="Times New Roman" w:eastAsia="Times New Roman" w:hAnsi="Times New Roman" w:cs="Times New Roman"/>
          <w:sz w:val="24"/>
          <w:szCs w:val="20"/>
        </w:rPr>
      </w:pPr>
      <w:r w:rsidRPr="00E21E52">
        <w:rPr>
          <w:rFonts w:ascii="Times New Roman" w:eastAsia="Times New Roman" w:hAnsi="Times New Roman" w:cs="Times New Roman"/>
          <w:b/>
          <w:sz w:val="24"/>
          <w:szCs w:val="20"/>
        </w:rPr>
        <w:tab/>
      </w:r>
    </w:p>
    <w:p w14:paraId="5BE3B55E" w14:textId="2CEEA7DF" w:rsidR="00E21E52" w:rsidRDefault="00947595" w:rsidP="00947595">
      <w:pPr>
        <w:tabs>
          <w:tab w:val="left" w:pos="-720"/>
          <w:tab w:val="left" w:pos="0"/>
          <w:tab w:val="left" w:pos="720"/>
        </w:tabs>
        <w:suppressAutoHyphens/>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sidRPr="00947595">
        <w:rPr>
          <w:rFonts w:ascii="Times New Roman" w:eastAsia="Times New Roman" w:hAnsi="Times New Roman" w:cs="Times New Roman"/>
          <w:sz w:val="24"/>
          <w:szCs w:val="20"/>
        </w:rPr>
        <w:t>The Commission does not expect that the proposed changes to part 45 will result in any start-up or maintenance costs for respondents in addition to what is discussed in the response to Question 12 above and in Attachment A.</w:t>
      </w:r>
    </w:p>
    <w:p w14:paraId="5AAADFD1" w14:textId="77777777" w:rsidR="00947595" w:rsidRPr="00E21E52" w:rsidRDefault="00947595" w:rsidP="00947595">
      <w:pPr>
        <w:tabs>
          <w:tab w:val="left" w:pos="-720"/>
          <w:tab w:val="left" w:pos="0"/>
          <w:tab w:val="left" w:pos="720"/>
        </w:tabs>
        <w:suppressAutoHyphens/>
        <w:spacing w:after="0" w:line="240" w:lineRule="auto"/>
        <w:rPr>
          <w:rFonts w:ascii="Times New Roman" w:eastAsia="Times New Roman" w:hAnsi="Times New Roman" w:cs="Times New Roman"/>
          <w:sz w:val="24"/>
          <w:szCs w:val="20"/>
        </w:rPr>
      </w:pPr>
    </w:p>
    <w:p w14:paraId="5BE3B55F" w14:textId="77777777" w:rsidR="00E21E52" w:rsidRPr="00E21E52" w:rsidRDefault="00E21E52" w:rsidP="00E21E52">
      <w:pPr>
        <w:tabs>
          <w:tab w:val="left" w:pos="-720"/>
        </w:tabs>
        <w:suppressAutoHyphens/>
        <w:spacing w:after="0" w:line="240" w:lineRule="auto"/>
        <w:ind w:left="720" w:hanging="72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14.</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r w:rsidRPr="00E21E52">
        <w:rPr>
          <w:rFonts w:ascii="Times New Roman" w:eastAsia="Times New Roman" w:hAnsi="Times New Roman" w:cs="Times New Roman"/>
          <w:sz w:val="24"/>
          <w:szCs w:val="20"/>
        </w:rPr>
        <w:t xml:space="preserve">  </w:t>
      </w:r>
    </w:p>
    <w:p w14:paraId="5BE3B560" w14:textId="77777777" w:rsidR="00E21E52" w:rsidRPr="00E21E52" w:rsidRDefault="00E21E52" w:rsidP="00E21E52">
      <w:pPr>
        <w:tabs>
          <w:tab w:val="left" w:pos="-720"/>
        </w:tabs>
        <w:suppressAutoHyphens/>
        <w:spacing w:after="0" w:line="240" w:lineRule="auto"/>
        <w:rPr>
          <w:rFonts w:ascii="Times New Roman" w:eastAsia="Times New Roman" w:hAnsi="Times New Roman" w:cs="Times New Roman"/>
          <w:sz w:val="24"/>
          <w:szCs w:val="20"/>
          <w:highlight w:val="red"/>
        </w:rPr>
      </w:pPr>
    </w:p>
    <w:p w14:paraId="5BE3B562" w14:textId="13EDB102" w:rsidR="00E21E52" w:rsidRDefault="00947595" w:rsidP="00947595">
      <w:pPr>
        <w:tabs>
          <w:tab w:val="left" w:pos="-720"/>
        </w:tabs>
        <w:suppressAutoHyphens/>
        <w:spacing w:after="0" w:line="240" w:lineRule="auto"/>
        <w:ind w:firstLine="720"/>
        <w:rPr>
          <w:rFonts w:ascii="Times New Roman" w:eastAsia="Times New Roman" w:hAnsi="Times New Roman" w:cs="Times New Roman"/>
          <w:sz w:val="24"/>
          <w:szCs w:val="20"/>
        </w:rPr>
      </w:pPr>
      <w:r w:rsidRPr="00947595">
        <w:rPr>
          <w:rFonts w:ascii="Times New Roman" w:eastAsia="Times New Roman" w:hAnsi="Times New Roman" w:cs="Times New Roman"/>
          <w:sz w:val="24"/>
          <w:szCs w:val="20"/>
        </w:rPr>
        <w:t>The Commission does not anticipate that the proposed changes will require additional staff time or technology resources beyond what is already dedicated to this collection, as discussed in previous filings related to Information Collection 3038-0096.</w:t>
      </w:r>
    </w:p>
    <w:p w14:paraId="1B5B91F7" w14:textId="77777777" w:rsidR="00947595" w:rsidRPr="00E21E52" w:rsidRDefault="00947595" w:rsidP="00E21E52">
      <w:pPr>
        <w:tabs>
          <w:tab w:val="left" w:pos="-720"/>
        </w:tabs>
        <w:suppressAutoHyphens/>
        <w:spacing w:after="0" w:line="240" w:lineRule="auto"/>
        <w:ind w:left="720" w:hanging="720"/>
        <w:rPr>
          <w:rFonts w:ascii="Times New Roman" w:eastAsia="Times New Roman" w:hAnsi="Times New Roman" w:cs="Times New Roman"/>
          <w:sz w:val="24"/>
          <w:szCs w:val="20"/>
        </w:rPr>
      </w:pPr>
    </w:p>
    <w:p w14:paraId="5BE3B563" w14:textId="77777777" w:rsidR="00E21E52" w:rsidRPr="00E21E52" w:rsidRDefault="00E21E52" w:rsidP="00E21E52">
      <w:pPr>
        <w:tabs>
          <w:tab w:val="left" w:pos="-720"/>
          <w:tab w:val="left" w:pos="0"/>
        </w:tabs>
        <w:suppressAutoHyphens/>
        <w:spacing w:after="0" w:line="240" w:lineRule="auto"/>
        <w:ind w:left="720" w:hanging="72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15.</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Explain the reasons for any program changes or adjustments reported in Items 13 or 14 of the OMB Form 83-I</w:t>
      </w:r>
      <w:r w:rsidRPr="00E21E52">
        <w:rPr>
          <w:rFonts w:ascii="Times New Roman" w:eastAsia="Times New Roman" w:hAnsi="Times New Roman" w:cs="Times New Roman"/>
          <w:sz w:val="24"/>
          <w:szCs w:val="20"/>
        </w:rPr>
        <w:t>.</w:t>
      </w:r>
    </w:p>
    <w:p w14:paraId="5BE3B564" w14:textId="77777777" w:rsidR="00E21E52" w:rsidRPr="00E21E52" w:rsidRDefault="00E21E52" w:rsidP="00E21E52">
      <w:pPr>
        <w:tabs>
          <w:tab w:val="left" w:pos="-720"/>
          <w:tab w:val="left" w:pos="0"/>
        </w:tabs>
        <w:suppressAutoHyphens/>
        <w:spacing w:after="0" w:line="240" w:lineRule="auto"/>
        <w:ind w:left="720" w:hanging="720"/>
        <w:rPr>
          <w:rFonts w:ascii="Times New Roman" w:eastAsia="Times New Roman" w:hAnsi="Times New Roman" w:cs="Times New Roman"/>
          <w:sz w:val="24"/>
          <w:szCs w:val="20"/>
        </w:rPr>
      </w:pPr>
    </w:p>
    <w:p w14:paraId="5BE3B566" w14:textId="6D5C3E37" w:rsidR="00E21E52" w:rsidRDefault="00947595" w:rsidP="00E21E52">
      <w:pPr>
        <w:tabs>
          <w:tab w:val="left" w:pos="-720"/>
        </w:tabs>
        <w:suppressAutoHyphens/>
        <w:spacing w:after="0" w:line="240" w:lineRule="auto"/>
        <w:rPr>
          <w:rFonts w:ascii="Times New Roman" w:eastAsia="Times New Roman" w:hAnsi="Times New Roman" w:cs="Times New Roman"/>
          <w:sz w:val="24"/>
          <w:szCs w:val="20"/>
        </w:rPr>
      </w:pPr>
      <w:r w:rsidRPr="00947595">
        <w:rPr>
          <w:rFonts w:ascii="Times New Roman" w:eastAsia="Times New Roman" w:hAnsi="Times New Roman" w:cs="Times New Roman"/>
          <w:sz w:val="24"/>
          <w:szCs w:val="20"/>
        </w:rPr>
        <w:tab/>
        <w:t>The Commission is updating the overall burden hours, collection volumes, and costs related to Information Collection 3038-0096, based on updated information related to other collections within Information Collection 3038-0096 that are not being modified by this proposal. For example, the Commission is updating the estimated numbers of each type of entity affected by this collection to accurately reflect the current number of each type of entity. This includes 24 SEFs (previously 25), 3 DCMs that allow execution of swaps (previously 15), 3 SDRs (previously 4), 14 DCOs that clear swaps (not previously included), 103 SDs/MSPs (previously 125), and 1585 non-SD/non-MSP reporting counterparties (previously 703).</w:t>
      </w:r>
    </w:p>
    <w:p w14:paraId="643E6DAD" w14:textId="77777777" w:rsidR="00947595" w:rsidRPr="00E21E52" w:rsidRDefault="00947595" w:rsidP="00E21E52">
      <w:pPr>
        <w:tabs>
          <w:tab w:val="left" w:pos="-720"/>
        </w:tabs>
        <w:suppressAutoHyphens/>
        <w:spacing w:after="0" w:line="240" w:lineRule="auto"/>
        <w:rPr>
          <w:rFonts w:ascii="Times New Roman" w:eastAsia="Times New Roman" w:hAnsi="Times New Roman" w:cs="Times New Roman"/>
          <w:sz w:val="24"/>
          <w:szCs w:val="20"/>
        </w:rPr>
      </w:pPr>
    </w:p>
    <w:p w14:paraId="5BE3B567" w14:textId="77777777" w:rsidR="00E21E52" w:rsidRPr="00E21E52" w:rsidRDefault="00E21E52" w:rsidP="00E21E52">
      <w:pPr>
        <w:tabs>
          <w:tab w:val="left" w:pos="-720"/>
          <w:tab w:val="left" w:pos="0"/>
        </w:tabs>
        <w:suppressAutoHyphens/>
        <w:spacing w:after="0" w:line="240" w:lineRule="auto"/>
        <w:ind w:left="720" w:hanging="72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16.</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r w:rsidRPr="00E21E52">
        <w:rPr>
          <w:rFonts w:ascii="Times New Roman" w:eastAsia="Times New Roman" w:hAnsi="Times New Roman" w:cs="Times New Roman"/>
          <w:sz w:val="24"/>
          <w:szCs w:val="20"/>
        </w:rPr>
        <w:t>.</w:t>
      </w:r>
    </w:p>
    <w:p w14:paraId="5BE3B568" w14:textId="77777777" w:rsidR="00E21E52" w:rsidRPr="00E21E52" w:rsidRDefault="00E21E52" w:rsidP="00E21E52">
      <w:pPr>
        <w:tabs>
          <w:tab w:val="left" w:pos="-720"/>
          <w:tab w:val="left" w:pos="0"/>
        </w:tabs>
        <w:suppressAutoHyphens/>
        <w:spacing w:after="0" w:line="240" w:lineRule="auto"/>
        <w:ind w:left="720" w:hanging="720"/>
        <w:rPr>
          <w:rFonts w:ascii="Times New Roman" w:eastAsia="Times New Roman" w:hAnsi="Times New Roman" w:cs="Times New Roman"/>
          <w:sz w:val="24"/>
          <w:szCs w:val="20"/>
        </w:rPr>
      </w:pPr>
    </w:p>
    <w:p w14:paraId="5BE3B56A" w14:textId="55A05E26" w:rsidR="00E21E52" w:rsidRDefault="0081206F" w:rsidP="00E21E52">
      <w:pPr>
        <w:tabs>
          <w:tab w:val="left" w:pos="-720"/>
        </w:tabs>
        <w:suppressAutoHyphens/>
        <w:spacing w:after="0" w:line="240" w:lineRule="auto"/>
        <w:rPr>
          <w:rFonts w:ascii="Times New Roman" w:eastAsia="Times New Roman" w:hAnsi="Times New Roman" w:cs="Times New Roman"/>
          <w:sz w:val="24"/>
          <w:szCs w:val="20"/>
        </w:rPr>
      </w:pPr>
      <w:r w:rsidRPr="0081206F">
        <w:rPr>
          <w:rFonts w:ascii="Times New Roman" w:eastAsia="Times New Roman" w:hAnsi="Times New Roman" w:cs="Times New Roman"/>
          <w:sz w:val="24"/>
          <w:szCs w:val="20"/>
        </w:rPr>
        <w:tab/>
        <w:t>Not applicable, the results of this collection of information are not planned to be published for statistical use.</w:t>
      </w:r>
    </w:p>
    <w:p w14:paraId="0448C55B" w14:textId="77777777" w:rsidR="0081206F" w:rsidRPr="00E21E52" w:rsidRDefault="0081206F" w:rsidP="00E21E52">
      <w:pPr>
        <w:tabs>
          <w:tab w:val="left" w:pos="-720"/>
        </w:tabs>
        <w:suppressAutoHyphens/>
        <w:spacing w:after="0" w:line="240" w:lineRule="auto"/>
        <w:rPr>
          <w:rFonts w:ascii="Times New Roman" w:eastAsia="Times New Roman" w:hAnsi="Times New Roman" w:cs="Times New Roman"/>
          <w:sz w:val="24"/>
          <w:szCs w:val="20"/>
        </w:rPr>
      </w:pPr>
    </w:p>
    <w:p w14:paraId="5BE3B56B" w14:textId="77777777" w:rsidR="00E21E52" w:rsidRPr="00E21E52" w:rsidRDefault="00E21E52" w:rsidP="00E21E52">
      <w:pPr>
        <w:tabs>
          <w:tab w:val="left" w:pos="-720"/>
          <w:tab w:val="left" w:pos="0"/>
        </w:tabs>
        <w:suppressAutoHyphens/>
        <w:spacing w:after="0" w:line="240" w:lineRule="auto"/>
        <w:ind w:left="720" w:hanging="72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17.</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If seeking approval to not display the expiration date for OMB approval of the information collection, explain the reasons that display would be inappropriate</w:t>
      </w:r>
      <w:r w:rsidRPr="00E21E52">
        <w:rPr>
          <w:rFonts w:ascii="Times New Roman" w:eastAsia="Times New Roman" w:hAnsi="Times New Roman" w:cs="Times New Roman"/>
          <w:sz w:val="24"/>
          <w:szCs w:val="20"/>
        </w:rPr>
        <w:t>.</w:t>
      </w:r>
    </w:p>
    <w:p w14:paraId="5BE3B56C" w14:textId="77777777" w:rsidR="00E21E52" w:rsidRPr="00E21E52" w:rsidRDefault="00E21E52" w:rsidP="00E21E52">
      <w:pPr>
        <w:tabs>
          <w:tab w:val="left" w:pos="-720"/>
          <w:tab w:val="left" w:pos="0"/>
        </w:tabs>
        <w:suppressAutoHyphens/>
        <w:spacing w:after="0" w:line="240" w:lineRule="auto"/>
        <w:ind w:left="720" w:hanging="720"/>
        <w:rPr>
          <w:rFonts w:ascii="Times New Roman" w:eastAsia="Times New Roman" w:hAnsi="Times New Roman" w:cs="Times New Roman"/>
          <w:sz w:val="24"/>
          <w:szCs w:val="20"/>
        </w:rPr>
      </w:pPr>
    </w:p>
    <w:p w14:paraId="5BE3B56D" w14:textId="77777777" w:rsidR="00E21E52" w:rsidRPr="00E21E52" w:rsidRDefault="00E21E52" w:rsidP="00E21E52">
      <w:pPr>
        <w:tabs>
          <w:tab w:val="left" w:pos="-720"/>
          <w:tab w:val="left" w:pos="0"/>
        </w:tabs>
        <w:suppressAutoHyphens/>
        <w:spacing w:after="0" w:line="240" w:lineRule="auto"/>
        <w:ind w:left="720" w:hanging="72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This question does not apply.</w:t>
      </w:r>
    </w:p>
    <w:p w14:paraId="5BE3B56E" w14:textId="77777777" w:rsidR="00E21E52" w:rsidRPr="00E21E52" w:rsidRDefault="00E21E52" w:rsidP="00E21E52">
      <w:pPr>
        <w:tabs>
          <w:tab w:val="left" w:pos="-720"/>
        </w:tabs>
        <w:suppressAutoHyphens/>
        <w:spacing w:after="0" w:line="240" w:lineRule="auto"/>
        <w:rPr>
          <w:rFonts w:ascii="Times New Roman" w:eastAsia="Times New Roman" w:hAnsi="Times New Roman" w:cs="Times New Roman"/>
          <w:sz w:val="24"/>
          <w:szCs w:val="20"/>
        </w:rPr>
      </w:pPr>
    </w:p>
    <w:p w14:paraId="5BE3B56F" w14:textId="77777777" w:rsidR="00E21E52" w:rsidRPr="00E21E52" w:rsidRDefault="00E21E52" w:rsidP="00E21E52">
      <w:pPr>
        <w:tabs>
          <w:tab w:val="left" w:pos="-720"/>
          <w:tab w:val="left" w:pos="0"/>
        </w:tabs>
        <w:suppressAutoHyphens/>
        <w:spacing w:after="0" w:line="240" w:lineRule="auto"/>
        <w:ind w:left="720" w:hanging="72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18.</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Explain each exception to the certification statement identified in Item 19, "Certification for Paperwork Reduction Act Submissions," of OMB Form 83-I</w:t>
      </w:r>
      <w:r w:rsidRPr="00E21E52">
        <w:rPr>
          <w:rFonts w:ascii="Times New Roman" w:eastAsia="Times New Roman" w:hAnsi="Times New Roman" w:cs="Times New Roman"/>
          <w:sz w:val="24"/>
          <w:szCs w:val="20"/>
        </w:rPr>
        <w:t>.</w:t>
      </w:r>
    </w:p>
    <w:p w14:paraId="5BE3B570" w14:textId="77777777" w:rsidR="00E21E52" w:rsidRPr="00E21E52" w:rsidRDefault="00E21E52" w:rsidP="00E21E52">
      <w:pPr>
        <w:tabs>
          <w:tab w:val="left" w:pos="-720"/>
        </w:tabs>
        <w:suppressAutoHyphens/>
        <w:spacing w:after="0" w:line="240" w:lineRule="auto"/>
        <w:rPr>
          <w:rFonts w:ascii="Times New Roman" w:eastAsia="Times New Roman" w:hAnsi="Times New Roman" w:cs="Times New Roman"/>
          <w:sz w:val="24"/>
          <w:szCs w:val="20"/>
        </w:rPr>
      </w:pPr>
    </w:p>
    <w:p w14:paraId="5BE3B571" w14:textId="77777777" w:rsidR="00E21E52" w:rsidRPr="00E21E52" w:rsidRDefault="00E21E52" w:rsidP="00E21E52">
      <w:pPr>
        <w:tabs>
          <w:tab w:val="left" w:pos="-720"/>
        </w:tabs>
        <w:suppressAutoHyphens/>
        <w:spacing w:after="0" w:line="240" w:lineRule="auto"/>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This question does not apply.</w:t>
      </w:r>
    </w:p>
    <w:p w14:paraId="5BE3B572" w14:textId="77777777" w:rsidR="00E21E52" w:rsidRPr="00E21E52" w:rsidRDefault="00E21E52" w:rsidP="00E21E52">
      <w:pPr>
        <w:spacing w:after="0" w:line="240" w:lineRule="auto"/>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ab/>
      </w:r>
    </w:p>
    <w:p w14:paraId="5BE3B573" w14:textId="77777777" w:rsidR="00E21E52" w:rsidRPr="00E21E52" w:rsidRDefault="00E21E52" w:rsidP="00E21E52">
      <w:pPr>
        <w:spacing w:after="0" w:line="240" w:lineRule="auto"/>
        <w:rPr>
          <w:rFonts w:ascii="Times New Roman" w:eastAsia="Times New Roman" w:hAnsi="Times New Roman" w:cs="Times New Roman"/>
          <w:sz w:val="24"/>
          <w:szCs w:val="20"/>
        </w:rPr>
      </w:pPr>
    </w:p>
    <w:p w14:paraId="5BE3B574" w14:textId="77777777" w:rsidR="00E21E52" w:rsidRPr="00E21E52" w:rsidRDefault="00E21E52" w:rsidP="00E21E52">
      <w:pPr>
        <w:spacing w:after="0" w:line="240" w:lineRule="auto"/>
        <w:rPr>
          <w:rFonts w:ascii="Times New Roman" w:eastAsia="Times New Roman" w:hAnsi="Times New Roman" w:cs="Times New Roman"/>
          <w:sz w:val="24"/>
          <w:szCs w:val="20"/>
        </w:rPr>
      </w:pPr>
    </w:p>
    <w:p w14:paraId="5BE3B575" w14:textId="77777777" w:rsidR="00E21E52" w:rsidRPr="00E21E52" w:rsidRDefault="00E21E52" w:rsidP="00E21E52">
      <w:pPr>
        <w:spacing w:after="0" w:line="240" w:lineRule="auto"/>
        <w:rPr>
          <w:rFonts w:ascii="Times New Roman" w:eastAsia="Times New Roman" w:hAnsi="Times New Roman" w:cs="Times New Roman"/>
          <w:b/>
          <w:sz w:val="24"/>
          <w:szCs w:val="20"/>
          <w:u w:val="single"/>
        </w:rPr>
      </w:pPr>
    </w:p>
    <w:p w14:paraId="3B686D4D" w14:textId="1A2D148E" w:rsidR="0081206F" w:rsidRPr="0081206F" w:rsidRDefault="0081206F" w:rsidP="0081206F">
      <w:pPr>
        <w:tabs>
          <w:tab w:val="left" w:pos="-720"/>
        </w:tabs>
        <w:spacing w:after="240"/>
        <w:jc w:val="center"/>
        <w:rPr>
          <w:rFonts w:ascii="Times New Roman" w:eastAsia="Times New Roman" w:hAnsi="Times New Roman" w:cs="Times New Roman"/>
          <w:b/>
          <w:szCs w:val="24"/>
        </w:rPr>
      </w:pPr>
      <w:r w:rsidRPr="0081206F">
        <w:rPr>
          <w:rFonts w:ascii="Times New Roman" w:eastAsia="Times New Roman" w:hAnsi="Times New Roman" w:cs="Times New Roman"/>
          <w:b/>
          <w:szCs w:val="24"/>
        </w:rPr>
        <w:t>Attachment A</w:t>
      </w:r>
    </w:p>
    <w:p w14:paraId="3035F9E4" w14:textId="77777777" w:rsidR="0081206F" w:rsidRPr="0081206F" w:rsidRDefault="0081206F" w:rsidP="0081206F">
      <w:pPr>
        <w:jc w:val="center"/>
        <w:rPr>
          <w:rFonts w:ascii="Times New Roman" w:eastAsia="Times New Roman" w:hAnsi="Times New Roman" w:cs="Times New Roman"/>
          <w:b/>
          <w:szCs w:val="24"/>
        </w:rPr>
      </w:pPr>
      <w:r w:rsidRPr="0081206F">
        <w:rPr>
          <w:rFonts w:ascii="Times New Roman" w:eastAsia="Times New Roman" w:hAnsi="Times New Roman" w:cs="Times New Roman"/>
          <w:b/>
          <w:szCs w:val="24"/>
        </w:rPr>
        <w:t>OMB Control Number 3038-0096</w:t>
      </w:r>
    </w:p>
    <w:p w14:paraId="707B619E" w14:textId="4E7A3D7D" w:rsidR="0081206F" w:rsidRPr="0081206F" w:rsidRDefault="0081206F" w:rsidP="0081206F">
      <w:pPr>
        <w:jc w:val="center"/>
        <w:rPr>
          <w:rFonts w:ascii="Times New Roman" w:eastAsia="Times New Roman" w:hAnsi="Times New Roman" w:cs="Times New Roman"/>
          <w:szCs w:val="24"/>
        </w:rPr>
      </w:pPr>
      <w:r w:rsidRPr="0081206F">
        <w:rPr>
          <w:rFonts w:ascii="Times New Roman" w:eastAsia="Times New Roman" w:hAnsi="Times New Roman" w:cs="Times New Roman"/>
          <w:szCs w:val="24"/>
        </w:rPr>
        <w:t>Swap Data Reporting and Recordkeeping</w:t>
      </w:r>
    </w:p>
    <w:p w14:paraId="2DDABC21" w14:textId="4295BD33" w:rsidR="0081206F" w:rsidRPr="0081206F" w:rsidRDefault="0081206F" w:rsidP="0081206F">
      <w:pPr>
        <w:jc w:val="center"/>
        <w:rPr>
          <w:rFonts w:ascii="Times New Roman" w:eastAsia="Times New Roman" w:hAnsi="Times New Roman" w:cs="Times New Roman"/>
          <w:szCs w:val="24"/>
        </w:rPr>
      </w:pPr>
      <w:r w:rsidRPr="0081206F">
        <w:rPr>
          <w:rFonts w:ascii="Times New Roman" w:eastAsia="Times New Roman" w:hAnsi="Times New Roman" w:cs="Times New Roman"/>
          <w:szCs w:val="24"/>
        </w:rPr>
        <w:t>Reporting Burden</w:t>
      </w:r>
    </w:p>
    <w:tbl>
      <w:tblPr>
        <w:tblW w:w="6091" w:type="pct"/>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3"/>
        <w:gridCol w:w="1257"/>
        <w:gridCol w:w="1185"/>
        <w:gridCol w:w="1169"/>
        <w:gridCol w:w="1157"/>
        <w:gridCol w:w="1243"/>
        <w:gridCol w:w="1097"/>
        <w:gridCol w:w="1052"/>
        <w:gridCol w:w="994"/>
        <w:gridCol w:w="1248"/>
      </w:tblGrid>
      <w:tr w:rsidR="005034A3" w:rsidRPr="0081206F" w:rsidDel="009C6DB4" w14:paraId="4D4E5B12" w14:textId="77777777" w:rsidTr="00397E40">
        <w:trPr>
          <w:trHeight w:val="1427"/>
        </w:trPr>
        <w:tc>
          <w:tcPr>
            <w:tcW w:w="541" w:type="pct"/>
          </w:tcPr>
          <w:p w14:paraId="3B6FF6EF" w14:textId="77777777" w:rsidR="0081206F" w:rsidRPr="0081206F" w:rsidRDefault="0081206F" w:rsidP="003D7C36">
            <w:pPr>
              <w:tabs>
                <w:tab w:val="left" w:pos="-720"/>
                <w:tab w:val="left" w:pos="0"/>
              </w:tabs>
              <w:suppressAutoHyphens/>
              <w:spacing w:after="0" w:line="240" w:lineRule="auto"/>
              <w:jc w:val="center"/>
              <w:rPr>
                <w:rFonts w:ascii="Arial" w:eastAsia="Times New Roman" w:hAnsi="Arial" w:cs="Arial"/>
                <w:b/>
                <w:sz w:val="16"/>
                <w:szCs w:val="16"/>
              </w:rPr>
            </w:pPr>
            <w:r w:rsidRPr="0081206F">
              <w:rPr>
                <w:rFonts w:ascii="Arial" w:eastAsia="Times New Roman" w:hAnsi="Arial" w:cs="Arial"/>
                <w:b/>
                <w:sz w:val="16"/>
                <w:szCs w:val="16"/>
              </w:rPr>
              <w:t>1.</w:t>
            </w:r>
          </w:p>
          <w:p w14:paraId="51610A76" w14:textId="77777777" w:rsidR="0081206F" w:rsidRPr="0081206F" w:rsidRDefault="0081206F" w:rsidP="003D7C36">
            <w:pPr>
              <w:tabs>
                <w:tab w:val="left" w:pos="-720"/>
                <w:tab w:val="left" w:pos="0"/>
              </w:tabs>
              <w:suppressAutoHyphens/>
              <w:spacing w:after="0" w:line="240" w:lineRule="auto"/>
              <w:jc w:val="center"/>
              <w:rPr>
                <w:rFonts w:ascii="Arial" w:eastAsia="Times New Roman" w:hAnsi="Arial" w:cs="Arial"/>
                <w:b/>
                <w:sz w:val="16"/>
                <w:szCs w:val="16"/>
              </w:rPr>
            </w:pPr>
            <w:r w:rsidRPr="0081206F">
              <w:rPr>
                <w:rFonts w:ascii="Arial" w:eastAsia="Times New Roman" w:hAnsi="Arial" w:cs="Arial"/>
                <w:b/>
                <w:sz w:val="16"/>
                <w:szCs w:val="16"/>
              </w:rPr>
              <w:t>Regulation(s)</w:t>
            </w:r>
          </w:p>
        </w:tc>
        <w:tc>
          <w:tcPr>
            <w:tcW w:w="539" w:type="pct"/>
          </w:tcPr>
          <w:p w14:paraId="12DB3054" w14:textId="77777777" w:rsidR="0081206F" w:rsidRPr="0081206F" w:rsidRDefault="0081206F" w:rsidP="003D7C36">
            <w:pPr>
              <w:tabs>
                <w:tab w:val="left" w:pos="-720"/>
                <w:tab w:val="left" w:pos="0"/>
              </w:tabs>
              <w:suppressAutoHyphens/>
              <w:spacing w:after="0" w:line="240" w:lineRule="auto"/>
              <w:jc w:val="center"/>
              <w:rPr>
                <w:rFonts w:ascii="Arial" w:eastAsia="Times New Roman" w:hAnsi="Arial" w:cs="Arial"/>
                <w:b/>
                <w:sz w:val="16"/>
                <w:szCs w:val="16"/>
              </w:rPr>
            </w:pPr>
            <w:r w:rsidRPr="0081206F">
              <w:rPr>
                <w:rFonts w:ascii="Arial" w:eastAsia="Times New Roman" w:hAnsi="Arial" w:cs="Arial"/>
                <w:b/>
                <w:sz w:val="16"/>
                <w:szCs w:val="16"/>
              </w:rPr>
              <w:t>2.</w:t>
            </w:r>
          </w:p>
          <w:p w14:paraId="7DD9C9B9" w14:textId="77777777" w:rsidR="0081206F" w:rsidRPr="0081206F" w:rsidRDefault="0081206F" w:rsidP="003D7C36">
            <w:pPr>
              <w:tabs>
                <w:tab w:val="left" w:pos="-720"/>
                <w:tab w:val="left" w:pos="0"/>
              </w:tabs>
              <w:suppressAutoHyphens/>
              <w:spacing w:after="0" w:line="240" w:lineRule="auto"/>
              <w:jc w:val="center"/>
              <w:rPr>
                <w:rFonts w:ascii="Arial" w:eastAsia="Times New Roman" w:hAnsi="Arial" w:cs="Arial"/>
                <w:b/>
                <w:sz w:val="16"/>
                <w:szCs w:val="16"/>
              </w:rPr>
            </w:pPr>
            <w:r w:rsidRPr="0081206F">
              <w:rPr>
                <w:rFonts w:ascii="Arial" w:eastAsia="Times New Roman" w:hAnsi="Arial" w:cs="Arial"/>
                <w:b/>
                <w:sz w:val="16"/>
                <w:szCs w:val="16"/>
              </w:rPr>
              <w:t xml:space="preserve">Estimated Number of Respondents </w:t>
            </w:r>
          </w:p>
          <w:p w14:paraId="271CBBCA" w14:textId="77777777" w:rsidR="0081206F" w:rsidRPr="0081206F" w:rsidRDefault="0081206F" w:rsidP="003D7C36">
            <w:pPr>
              <w:tabs>
                <w:tab w:val="left" w:pos="-720"/>
                <w:tab w:val="left" w:pos="0"/>
              </w:tabs>
              <w:suppressAutoHyphens/>
              <w:spacing w:after="0" w:line="240" w:lineRule="auto"/>
              <w:jc w:val="center"/>
              <w:rPr>
                <w:rFonts w:ascii="Arial" w:eastAsia="Times New Roman" w:hAnsi="Arial" w:cs="Arial"/>
                <w:b/>
                <w:sz w:val="16"/>
                <w:szCs w:val="16"/>
              </w:rPr>
            </w:pPr>
          </w:p>
        </w:tc>
        <w:tc>
          <w:tcPr>
            <w:tcW w:w="508" w:type="pct"/>
          </w:tcPr>
          <w:p w14:paraId="145CF859" w14:textId="77777777" w:rsidR="0081206F" w:rsidRPr="0081206F" w:rsidRDefault="0081206F" w:rsidP="003D7C36">
            <w:pPr>
              <w:tabs>
                <w:tab w:val="left" w:pos="-720"/>
                <w:tab w:val="left" w:pos="0"/>
              </w:tabs>
              <w:suppressAutoHyphens/>
              <w:spacing w:after="0" w:line="240" w:lineRule="auto"/>
              <w:jc w:val="center"/>
              <w:rPr>
                <w:rFonts w:ascii="Arial" w:eastAsia="Times New Roman" w:hAnsi="Arial" w:cs="Arial"/>
                <w:b/>
                <w:sz w:val="16"/>
                <w:szCs w:val="16"/>
              </w:rPr>
            </w:pPr>
            <w:r w:rsidRPr="0081206F">
              <w:rPr>
                <w:rFonts w:ascii="Arial" w:eastAsia="Times New Roman" w:hAnsi="Arial" w:cs="Arial"/>
                <w:b/>
                <w:sz w:val="16"/>
                <w:szCs w:val="16"/>
              </w:rPr>
              <w:t>3.</w:t>
            </w:r>
          </w:p>
          <w:p w14:paraId="4DB01824" w14:textId="77777777" w:rsidR="0081206F" w:rsidRPr="0081206F" w:rsidRDefault="0081206F" w:rsidP="003D7C36">
            <w:pPr>
              <w:tabs>
                <w:tab w:val="left" w:pos="-720"/>
                <w:tab w:val="left" w:pos="0"/>
              </w:tabs>
              <w:suppressAutoHyphens/>
              <w:spacing w:after="0" w:line="240" w:lineRule="auto"/>
              <w:jc w:val="center"/>
              <w:rPr>
                <w:rFonts w:ascii="Arial" w:eastAsia="Times New Roman" w:hAnsi="Arial" w:cs="Arial"/>
                <w:b/>
                <w:sz w:val="16"/>
                <w:szCs w:val="16"/>
              </w:rPr>
            </w:pPr>
            <w:r w:rsidRPr="0081206F">
              <w:rPr>
                <w:rFonts w:ascii="Arial" w:eastAsia="Times New Roman" w:hAnsi="Arial" w:cs="Arial"/>
                <w:b/>
                <w:sz w:val="16"/>
                <w:szCs w:val="16"/>
              </w:rPr>
              <w:t>Estimated Number of Reports</w:t>
            </w:r>
          </w:p>
          <w:p w14:paraId="779B048D" w14:textId="77777777" w:rsidR="0081206F" w:rsidRPr="0081206F" w:rsidRDefault="0081206F" w:rsidP="003D7C36">
            <w:pPr>
              <w:tabs>
                <w:tab w:val="left" w:pos="-720"/>
                <w:tab w:val="left" w:pos="0"/>
              </w:tabs>
              <w:suppressAutoHyphens/>
              <w:spacing w:after="0" w:line="240" w:lineRule="auto"/>
              <w:jc w:val="center"/>
              <w:rPr>
                <w:rFonts w:ascii="Arial" w:eastAsia="Times New Roman" w:hAnsi="Arial" w:cs="Arial"/>
                <w:b/>
                <w:sz w:val="16"/>
                <w:szCs w:val="16"/>
              </w:rPr>
            </w:pPr>
            <w:r w:rsidRPr="0081206F">
              <w:rPr>
                <w:rFonts w:ascii="Arial" w:eastAsia="Times New Roman" w:hAnsi="Arial" w:cs="Arial"/>
                <w:b/>
                <w:sz w:val="16"/>
                <w:szCs w:val="16"/>
              </w:rPr>
              <w:t>by Each Respondent</w:t>
            </w:r>
          </w:p>
        </w:tc>
        <w:tc>
          <w:tcPr>
            <w:tcW w:w="501" w:type="pct"/>
          </w:tcPr>
          <w:p w14:paraId="110A8F82" w14:textId="77777777" w:rsidR="0081206F" w:rsidRPr="0081206F" w:rsidRDefault="0081206F" w:rsidP="003D7C36">
            <w:pPr>
              <w:tabs>
                <w:tab w:val="left" w:pos="-720"/>
                <w:tab w:val="left" w:pos="0"/>
              </w:tabs>
              <w:suppressAutoHyphens/>
              <w:spacing w:after="0" w:line="240" w:lineRule="auto"/>
              <w:jc w:val="center"/>
              <w:rPr>
                <w:rFonts w:ascii="Arial" w:eastAsia="Times New Roman" w:hAnsi="Arial" w:cs="Arial"/>
                <w:b/>
                <w:sz w:val="16"/>
                <w:szCs w:val="16"/>
              </w:rPr>
            </w:pPr>
            <w:r w:rsidRPr="0081206F">
              <w:rPr>
                <w:rFonts w:ascii="Arial" w:eastAsia="Times New Roman" w:hAnsi="Arial" w:cs="Arial"/>
                <w:b/>
                <w:sz w:val="16"/>
                <w:szCs w:val="16"/>
              </w:rPr>
              <w:t>4.</w:t>
            </w:r>
          </w:p>
          <w:p w14:paraId="5D30327C" w14:textId="77777777" w:rsidR="0081206F" w:rsidRPr="0081206F" w:rsidRDefault="0081206F" w:rsidP="003D7C36">
            <w:pPr>
              <w:tabs>
                <w:tab w:val="left" w:pos="-720"/>
                <w:tab w:val="left" w:pos="0"/>
              </w:tabs>
              <w:suppressAutoHyphens/>
              <w:spacing w:after="0" w:line="240" w:lineRule="auto"/>
              <w:jc w:val="center"/>
              <w:rPr>
                <w:rFonts w:ascii="Arial" w:eastAsia="Times New Roman" w:hAnsi="Arial" w:cs="Arial"/>
                <w:b/>
                <w:sz w:val="16"/>
                <w:szCs w:val="16"/>
              </w:rPr>
            </w:pPr>
            <w:r w:rsidRPr="0081206F">
              <w:rPr>
                <w:rFonts w:ascii="Arial" w:eastAsia="Times New Roman" w:hAnsi="Arial" w:cs="Arial"/>
                <w:b/>
                <w:sz w:val="16"/>
                <w:szCs w:val="16"/>
              </w:rPr>
              <w:t>Estimated Average Number of Burden Hours per Response</w:t>
            </w:r>
          </w:p>
        </w:tc>
        <w:tc>
          <w:tcPr>
            <w:tcW w:w="496" w:type="pct"/>
          </w:tcPr>
          <w:p w14:paraId="1D0DAB19" w14:textId="77777777" w:rsidR="0081206F" w:rsidRPr="0081206F" w:rsidRDefault="0081206F" w:rsidP="003D7C36">
            <w:pPr>
              <w:tabs>
                <w:tab w:val="left" w:pos="-720"/>
                <w:tab w:val="left" w:pos="0"/>
              </w:tabs>
              <w:suppressAutoHyphens/>
              <w:spacing w:after="0" w:line="240" w:lineRule="auto"/>
              <w:jc w:val="center"/>
              <w:rPr>
                <w:rFonts w:ascii="Arial" w:eastAsia="Times New Roman" w:hAnsi="Arial" w:cs="Arial"/>
                <w:b/>
                <w:sz w:val="16"/>
                <w:szCs w:val="16"/>
              </w:rPr>
            </w:pPr>
            <w:r w:rsidRPr="0081206F">
              <w:rPr>
                <w:rFonts w:ascii="Arial" w:eastAsia="Times New Roman" w:hAnsi="Arial" w:cs="Arial"/>
                <w:b/>
                <w:sz w:val="16"/>
                <w:szCs w:val="16"/>
              </w:rPr>
              <w:t>5.</w:t>
            </w:r>
          </w:p>
          <w:p w14:paraId="30698EB6" w14:textId="77777777" w:rsidR="0081206F" w:rsidRPr="0081206F" w:rsidRDefault="0081206F" w:rsidP="003D7C36">
            <w:pPr>
              <w:tabs>
                <w:tab w:val="left" w:pos="-720"/>
                <w:tab w:val="left" w:pos="0"/>
              </w:tabs>
              <w:suppressAutoHyphens/>
              <w:spacing w:after="0" w:line="240" w:lineRule="auto"/>
              <w:jc w:val="center"/>
              <w:rPr>
                <w:rFonts w:ascii="Arial" w:eastAsia="Times New Roman" w:hAnsi="Arial" w:cs="Arial"/>
                <w:b/>
                <w:sz w:val="16"/>
                <w:szCs w:val="16"/>
              </w:rPr>
            </w:pPr>
            <w:r w:rsidRPr="0081206F">
              <w:rPr>
                <w:rFonts w:ascii="Arial" w:eastAsia="Times New Roman" w:hAnsi="Arial" w:cs="Arial"/>
                <w:b/>
                <w:sz w:val="16"/>
                <w:szCs w:val="16"/>
              </w:rPr>
              <w:t>Annual Number of Burden Hours per Respondent</w:t>
            </w:r>
          </w:p>
          <w:p w14:paraId="5C94B189" w14:textId="77777777" w:rsidR="0081206F" w:rsidRPr="0081206F" w:rsidRDefault="0081206F" w:rsidP="003D7C36">
            <w:pPr>
              <w:tabs>
                <w:tab w:val="left" w:pos="-720"/>
                <w:tab w:val="left" w:pos="0"/>
              </w:tabs>
              <w:suppressAutoHyphens/>
              <w:spacing w:after="0" w:line="240" w:lineRule="auto"/>
              <w:jc w:val="center"/>
              <w:rPr>
                <w:rFonts w:ascii="Arial" w:eastAsia="Times New Roman" w:hAnsi="Arial" w:cs="Arial"/>
                <w:b/>
                <w:sz w:val="16"/>
                <w:szCs w:val="16"/>
              </w:rPr>
            </w:pPr>
            <w:r w:rsidRPr="0081206F">
              <w:rPr>
                <w:rFonts w:ascii="Arial" w:eastAsia="Times New Roman" w:hAnsi="Arial" w:cs="Arial"/>
                <w:b/>
                <w:sz w:val="16"/>
                <w:szCs w:val="16"/>
              </w:rPr>
              <w:t>(3 x 4)</w:t>
            </w:r>
          </w:p>
        </w:tc>
        <w:tc>
          <w:tcPr>
            <w:tcW w:w="533" w:type="pct"/>
          </w:tcPr>
          <w:p w14:paraId="4F6BB14E" w14:textId="77777777" w:rsidR="0081206F" w:rsidRPr="0081206F" w:rsidRDefault="0081206F" w:rsidP="003D7C36">
            <w:pPr>
              <w:tabs>
                <w:tab w:val="left" w:pos="-720"/>
                <w:tab w:val="left" w:pos="0"/>
              </w:tabs>
              <w:suppressAutoHyphens/>
              <w:spacing w:after="0" w:line="240" w:lineRule="auto"/>
              <w:jc w:val="center"/>
              <w:rPr>
                <w:rFonts w:ascii="Arial" w:eastAsia="Times New Roman" w:hAnsi="Arial" w:cs="Arial"/>
                <w:b/>
                <w:sz w:val="16"/>
                <w:szCs w:val="16"/>
              </w:rPr>
            </w:pPr>
            <w:r w:rsidRPr="0081206F">
              <w:rPr>
                <w:rFonts w:ascii="Arial" w:eastAsia="Times New Roman" w:hAnsi="Arial" w:cs="Arial"/>
                <w:b/>
                <w:sz w:val="16"/>
                <w:szCs w:val="16"/>
              </w:rPr>
              <w:t xml:space="preserve">6. </w:t>
            </w:r>
          </w:p>
          <w:p w14:paraId="717DE3AF" w14:textId="77777777" w:rsidR="0081206F" w:rsidRPr="0081206F" w:rsidRDefault="0081206F" w:rsidP="003D7C36">
            <w:pPr>
              <w:tabs>
                <w:tab w:val="left" w:pos="-720"/>
                <w:tab w:val="left" w:pos="0"/>
              </w:tabs>
              <w:suppressAutoHyphens/>
              <w:spacing w:after="0" w:line="240" w:lineRule="auto"/>
              <w:jc w:val="center"/>
              <w:rPr>
                <w:rFonts w:ascii="Arial" w:eastAsia="Times New Roman" w:hAnsi="Arial" w:cs="Arial"/>
                <w:b/>
                <w:sz w:val="16"/>
                <w:szCs w:val="16"/>
              </w:rPr>
            </w:pPr>
            <w:r w:rsidRPr="0081206F">
              <w:rPr>
                <w:rFonts w:ascii="Arial" w:eastAsia="Times New Roman" w:hAnsi="Arial" w:cs="Arial"/>
                <w:b/>
                <w:sz w:val="16"/>
                <w:szCs w:val="16"/>
              </w:rPr>
              <w:t>Estimated Average Burden Hour Cost</w:t>
            </w:r>
            <w:r w:rsidRPr="0081206F">
              <w:rPr>
                <w:rFonts w:ascii="Arial" w:eastAsia="Times New Roman" w:hAnsi="Arial" w:cs="Arial"/>
                <w:b/>
                <w:sz w:val="16"/>
                <w:szCs w:val="16"/>
                <w:vertAlign w:val="superscript"/>
              </w:rPr>
              <w:footnoteReference w:id="4"/>
            </w:r>
          </w:p>
          <w:p w14:paraId="0594B56D" w14:textId="77777777" w:rsidR="0081206F" w:rsidRPr="0081206F" w:rsidRDefault="0081206F" w:rsidP="003D7C36">
            <w:pPr>
              <w:tabs>
                <w:tab w:val="left" w:pos="-720"/>
                <w:tab w:val="left" w:pos="0"/>
              </w:tabs>
              <w:suppressAutoHyphens/>
              <w:spacing w:after="0" w:line="240" w:lineRule="auto"/>
              <w:jc w:val="center"/>
              <w:rPr>
                <w:rFonts w:ascii="Arial" w:eastAsia="Times New Roman" w:hAnsi="Arial" w:cs="Arial"/>
                <w:b/>
                <w:sz w:val="16"/>
                <w:szCs w:val="16"/>
              </w:rPr>
            </w:pPr>
          </w:p>
        </w:tc>
        <w:tc>
          <w:tcPr>
            <w:tcW w:w="470" w:type="pct"/>
          </w:tcPr>
          <w:p w14:paraId="3500CC06" w14:textId="77777777" w:rsidR="0081206F" w:rsidRPr="0081206F" w:rsidRDefault="0081206F" w:rsidP="003D7C36">
            <w:pPr>
              <w:spacing w:after="0" w:line="240" w:lineRule="auto"/>
              <w:jc w:val="center"/>
              <w:rPr>
                <w:rFonts w:ascii="Arial" w:hAnsi="Arial" w:cs="Arial"/>
                <w:b/>
                <w:sz w:val="16"/>
                <w:szCs w:val="16"/>
              </w:rPr>
            </w:pPr>
            <w:r w:rsidRPr="0081206F">
              <w:rPr>
                <w:rFonts w:ascii="Arial" w:hAnsi="Arial" w:cs="Arial"/>
                <w:b/>
                <w:sz w:val="16"/>
                <w:szCs w:val="16"/>
              </w:rPr>
              <w:t>7.</w:t>
            </w:r>
          </w:p>
          <w:p w14:paraId="7A9FC935" w14:textId="77777777" w:rsidR="0081206F" w:rsidRPr="0081206F" w:rsidRDefault="0081206F" w:rsidP="003D7C36">
            <w:pPr>
              <w:spacing w:after="0" w:line="240" w:lineRule="auto"/>
              <w:jc w:val="center"/>
              <w:rPr>
                <w:rFonts w:ascii="Arial" w:hAnsi="Arial" w:cs="Arial"/>
                <w:b/>
                <w:sz w:val="16"/>
                <w:szCs w:val="16"/>
              </w:rPr>
            </w:pPr>
            <w:r w:rsidRPr="0081206F">
              <w:rPr>
                <w:rFonts w:ascii="Arial" w:hAnsi="Arial" w:cs="Arial"/>
                <w:b/>
                <w:sz w:val="16"/>
                <w:szCs w:val="16"/>
              </w:rPr>
              <w:t>Total Average Hour Burden Cost Per Respondent</w:t>
            </w:r>
          </w:p>
          <w:p w14:paraId="5EF6FDF3" w14:textId="77777777" w:rsidR="0081206F" w:rsidRPr="0081206F" w:rsidRDefault="0081206F" w:rsidP="003D7C36">
            <w:pPr>
              <w:spacing w:after="0" w:line="240" w:lineRule="auto"/>
              <w:jc w:val="center"/>
              <w:rPr>
                <w:rFonts w:ascii="Arial" w:hAnsi="Arial" w:cs="Arial"/>
                <w:b/>
                <w:sz w:val="16"/>
                <w:szCs w:val="16"/>
              </w:rPr>
            </w:pPr>
            <w:r w:rsidRPr="0081206F">
              <w:rPr>
                <w:rFonts w:ascii="Arial" w:hAnsi="Arial" w:cs="Arial"/>
                <w:b/>
                <w:sz w:val="16"/>
                <w:szCs w:val="16"/>
              </w:rPr>
              <w:t>(5 x 6)</w:t>
            </w:r>
          </w:p>
        </w:tc>
        <w:tc>
          <w:tcPr>
            <w:tcW w:w="451" w:type="pct"/>
          </w:tcPr>
          <w:p w14:paraId="44792B51" w14:textId="77777777" w:rsidR="0081206F" w:rsidRPr="0081206F" w:rsidRDefault="0081206F" w:rsidP="003D7C36">
            <w:pPr>
              <w:tabs>
                <w:tab w:val="left" w:pos="-720"/>
                <w:tab w:val="left" w:pos="0"/>
              </w:tabs>
              <w:suppressAutoHyphens/>
              <w:spacing w:after="0" w:line="240" w:lineRule="auto"/>
              <w:jc w:val="center"/>
              <w:rPr>
                <w:rFonts w:ascii="Arial" w:eastAsia="Times New Roman" w:hAnsi="Arial" w:cs="Arial"/>
                <w:b/>
                <w:sz w:val="16"/>
                <w:szCs w:val="16"/>
              </w:rPr>
            </w:pPr>
            <w:r w:rsidRPr="0081206F">
              <w:rPr>
                <w:rFonts w:ascii="Arial" w:eastAsia="Times New Roman" w:hAnsi="Arial" w:cs="Arial"/>
                <w:b/>
                <w:sz w:val="16"/>
                <w:szCs w:val="16"/>
              </w:rPr>
              <w:t>8.</w:t>
            </w:r>
          </w:p>
          <w:p w14:paraId="777FACAC" w14:textId="77777777" w:rsidR="0081206F" w:rsidRPr="0081206F" w:rsidRDefault="0081206F" w:rsidP="003D7C36">
            <w:pPr>
              <w:tabs>
                <w:tab w:val="left" w:pos="-720"/>
                <w:tab w:val="left" w:pos="0"/>
              </w:tabs>
              <w:suppressAutoHyphens/>
              <w:spacing w:after="0" w:line="240" w:lineRule="auto"/>
              <w:jc w:val="center"/>
              <w:rPr>
                <w:rFonts w:ascii="Arial" w:eastAsia="Times New Roman" w:hAnsi="Arial" w:cs="Arial"/>
                <w:b/>
                <w:sz w:val="16"/>
                <w:szCs w:val="16"/>
              </w:rPr>
            </w:pPr>
            <w:r w:rsidRPr="0081206F">
              <w:rPr>
                <w:rFonts w:ascii="Arial" w:eastAsia="Times New Roman" w:hAnsi="Arial" w:cs="Arial"/>
                <w:b/>
                <w:sz w:val="16"/>
                <w:szCs w:val="16"/>
              </w:rPr>
              <w:t>Total Annual</w:t>
            </w:r>
          </w:p>
          <w:p w14:paraId="7810320D" w14:textId="77777777" w:rsidR="0081206F" w:rsidRPr="0081206F" w:rsidRDefault="0081206F" w:rsidP="003D7C36">
            <w:pPr>
              <w:tabs>
                <w:tab w:val="left" w:pos="-720"/>
                <w:tab w:val="left" w:pos="0"/>
              </w:tabs>
              <w:suppressAutoHyphens/>
              <w:spacing w:after="0" w:line="240" w:lineRule="auto"/>
              <w:jc w:val="center"/>
              <w:rPr>
                <w:rFonts w:ascii="Arial" w:eastAsia="Times New Roman" w:hAnsi="Arial" w:cs="Arial"/>
                <w:b/>
                <w:sz w:val="16"/>
                <w:szCs w:val="16"/>
              </w:rPr>
            </w:pPr>
            <w:r w:rsidRPr="0081206F">
              <w:rPr>
                <w:rFonts w:ascii="Arial" w:eastAsia="Times New Roman" w:hAnsi="Arial" w:cs="Arial"/>
                <w:b/>
                <w:sz w:val="16"/>
                <w:szCs w:val="16"/>
              </w:rPr>
              <w:t>Responses</w:t>
            </w:r>
          </w:p>
          <w:p w14:paraId="205D0866" w14:textId="77777777" w:rsidR="0081206F" w:rsidRPr="0081206F" w:rsidRDefault="0081206F" w:rsidP="003D7C36">
            <w:pPr>
              <w:tabs>
                <w:tab w:val="left" w:pos="-720"/>
                <w:tab w:val="left" w:pos="0"/>
              </w:tabs>
              <w:suppressAutoHyphens/>
              <w:spacing w:after="0" w:line="240" w:lineRule="auto"/>
              <w:jc w:val="center"/>
              <w:rPr>
                <w:rFonts w:ascii="Arial" w:eastAsia="Times New Roman" w:hAnsi="Arial" w:cs="Arial"/>
                <w:b/>
                <w:sz w:val="16"/>
                <w:szCs w:val="16"/>
              </w:rPr>
            </w:pPr>
            <w:r w:rsidRPr="0081206F">
              <w:rPr>
                <w:rFonts w:ascii="Arial" w:eastAsia="Times New Roman" w:hAnsi="Arial" w:cs="Arial"/>
                <w:b/>
                <w:sz w:val="16"/>
                <w:szCs w:val="16"/>
              </w:rPr>
              <w:t>(2 x 3)</w:t>
            </w:r>
          </w:p>
        </w:tc>
        <w:tc>
          <w:tcPr>
            <w:tcW w:w="426" w:type="pct"/>
          </w:tcPr>
          <w:p w14:paraId="2C17E548" w14:textId="77777777" w:rsidR="0081206F" w:rsidRPr="0081206F" w:rsidRDefault="0081206F" w:rsidP="003D7C36">
            <w:pPr>
              <w:tabs>
                <w:tab w:val="left" w:pos="-720"/>
                <w:tab w:val="left" w:pos="0"/>
              </w:tabs>
              <w:suppressAutoHyphens/>
              <w:spacing w:after="0" w:line="240" w:lineRule="auto"/>
              <w:jc w:val="center"/>
              <w:rPr>
                <w:rFonts w:ascii="Arial" w:eastAsia="Times New Roman" w:hAnsi="Arial" w:cs="Arial"/>
                <w:b/>
                <w:sz w:val="16"/>
                <w:szCs w:val="16"/>
              </w:rPr>
            </w:pPr>
            <w:r w:rsidRPr="0081206F">
              <w:rPr>
                <w:rFonts w:ascii="Arial" w:eastAsia="Times New Roman" w:hAnsi="Arial" w:cs="Arial"/>
                <w:b/>
                <w:sz w:val="16"/>
                <w:szCs w:val="16"/>
              </w:rPr>
              <w:t>9.</w:t>
            </w:r>
          </w:p>
          <w:p w14:paraId="2BC3C5C9" w14:textId="77777777" w:rsidR="0081206F" w:rsidRPr="0081206F" w:rsidRDefault="0081206F" w:rsidP="003D7C36">
            <w:pPr>
              <w:tabs>
                <w:tab w:val="left" w:pos="-720"/>
                <w:tab w:val="left" w:pos="0"/>
              </w:tabs>
              <w:suppressAutoHyphens/>
              <w:spacing w:after="0" w:line="240" w:lineRule="auto"/>
              <w:jc w:val="center"/>
              <w:rPr>
                <w:rFonts w:ascii="Arial" w:eastAsia="Times New Roman" w:hAnsi="Arial" w:cs="Arial"/>
                <w:b/>
                <w:sz w:val="16"/>
                <w:szCs w:val="16"/>
              </w:rPr>
            </w:pPr>
            <w:r w:rsidRPr="0081206F">
              <w:rPr>
                <w:rFonts w:ascii="Arial" w:eastAsia="Times New Roman" w:hAnsi="Arial" w:cs="Arial"/>
                <w:b/>
                <w:sz w:val="16"/>
                <w:szCs w:val="16"/>
              </w:rPr>
              <w:t>Total Annual Number of Burden Hours</w:t>
            </w:r>
          </w:p>
          <w:p w14:paraId="10878691" w14:textId="77777777" w:rsidR="0081206F" w:rsidRPr="0081206F" w:rsidRDefault="0081206F" w:rsidP="003D7C36">
            <w:pPr>
              <w:tabs>
                <w:tab w:val="left" w:pos="-720"/>
                <w:tab w:val="left" w:pos="0"/>
              </w:tabs>
              <w:suppressAutoHyphens/>
              <w:spacing w:after="0" w:line="240" w:lineRule="auto"/>
              <w:jc w:val="center"/>
              <w:rPr>
                <w:rFonts w:ascii="Arial" w:eastAsia="Times New Roman" w:hAnsi="Arial" w:cs="Arial"/>
                <w:b/>
                <w:sz w:val="16"/>
                <w:szCs w:val="16"/>
              </w:rPr>
            </w:pPr>
            <w:r w:rsidRPr="0081206F">
              <w:rPr>
                <w:rFonts w:ascii="Arial" w:eastAsia="Times New Roman" w:hAnsi="Arial" w:cs="Arial"/>
                <w:b/>
                <w:sz w:val="16"/>
                <w:szCs w:val="16"/>
              </w:rPr>
              <w:t>(2 x 5)</w:t>
            </w:r>
          </w:p>
        </w:tc>
        <w:tc>
          <w:tcPr>
            <w:tcW w:w="535" w:type="pct"/>
          </w:tcPr>
          <w:p w14:paraId="3A421449" w14:textId="77777777" w:rsidR="0081206F" w:rsidRPr="0081206F" w:rsidRDefault="0081206F" w:rsidP="003D7C36">
            <w:pPr>
              <w:tabs>
                <w:tab w:val="left" w:pos="-720"/>
                <w:tab w:val="left" w:pos="0"/>
              </w:tabs>
              <w:suppressAutoHyphens/>
              <w:spacing w:after="0" w:line="240" w:lineRule="auto"/>
              <w:jc w:val="center"/>
              <w:rPr>
                <w:rFonts w:ascii="Arial" w:eastAsia="Times New Roman" w:hAnsi="Arial" w:cs="Arial"/>
                <w:b/>
                <w:sz w:val="16"/>
                <w:szCs w:val="16"/>
              </w:rPr>
            </w:pPr>
            <w:r w:rsidRPr="0081206F">
              <w:rPr>
                <w:rFonts w:ascii="Arial" w:eastAsia="Times New Roman" w:hAnsi="Arial" w:cs="Arial"/>
                <w:b/>
                <w:sz w:val="16"/>
                <w:szCs w:val="16"/>
              </w:rPr>
              <w:t>10.</w:t>
            </w:r>
          </w:p>
          <w:p w14:paraId="1411036C" w14:textId="77777777" w:rsidR="0081206F" w:rsidRPr="0081206F" w:rsidRDefault="0081206F" w:rsidP="003D7C36">
            <w:pPr>
              <w:tabs>
                <w:tab w:val="left" w:pos="-720"/>
                <w:tab w:val="left" w:pos="0"/>
              </w:tabs>
              <w:suppressAutoHyphens/>
              <w:spacing w:after="0" w:line="240" w:lineRule="auto"/>
              <w:jc w:val="center"/>
              <w:rPr>
                <w:rFonts w:ascii="Arial" w:eastAsia="Times New Roman" w:hAnsi="Arial" w:cs="Arial"/>
                <w:b/>
                <w:sz w:val="16"/>
                <w:szCs w:val="16"/>
              </w:rPr>
            </w:pPr>
            <w:r w:rsidRPr="0081206F">
              <w:rPr>
                <w:rFonts w:ascii="Arial" w:eastAsia="Times New Roman" w:hAnsi="Arial" w:cs="Arial"/>
                <w:b/>
                <w:sz w:val="16"/>
                <w:szCs w:val="16"/>
              </w:rPr>
              <w:t>Total Annual Burden Hour Cost of All Responses</w:t>
            </w:r>
          </w:p>
          <w:p w14:paraId="6BBD03F9" w14:textId="77777777" w:rsidR="0081206F" w:rsidRPr="0081206F" w:rsidDel="009C6DB4" w:rsidRDefault="0081206F" w:rsidP="003D7C36">
            <w:pPr>
              <w:tabs>
                <w:tab w:val="left" w:pos="-720"/>
                <w:tab w:val="left" w:pos="0"/>
              </w:tabs>
              <w:suppressAutoHyphens/>
              <w:spacing w:after="0" w:line="240" w:lineRule="auto"/>
              <w:jc w:val="center"/>
              <w:rPr>
                <w:rFonts w:ascii="Arial" w:eastAsia="Times New Roman" w:hAnsi="Arial" w:cs="Arial"/>
                <w:b/>
                <w:sz w:val="16"/>
                <w:szCs w:val="16"/>
              </w:rPr>
            </w:pPr>
            <w:r w:rsidRPr="0081206F">
              <w:rPr>
                <w:rFonts w:ascii="Arial" w:eastAsia="Times New Roman" w:hAnsi="Arial" w:cs="Arial"/>
                <w:b/>
                <w:sz w:val="16"/>
                <w:szCs w:val="16"/>
              </w:rPr>
              <w:t>(2 x 7)</w:t>
            </w:r>
          </w:p>
        </w:tc>
      </w:tr>
      <w:tr w:rsidR="00A361AA" w:rsidRPr="0081206F" w14:paraId="084C40F9" w14:textId="77777777" w:rsidTr="009C6E11">
        <w:trPr>
          <w:trHeight w:val="404"/>
        </w:trPr>
        <w:tc>
          <w:tcPr>
            <w:tcW w:w="541" w:type="pct"/>
          </w:tcPr>
          <w:p w14:paraId="00B45246" w14:textId="70653CA9" w:rsidR="00A361AA" w:rsidRDefault="00A361AA" w:rsidP="003D7C36">
            <w:pPr>
              <w:tabs>
                <w:tab w:val="left" w:pos="-720"/>
                <w:tab w:val="left" w:pos="0"/>
              </w:tabs>
              <w:suppressAutoHyphens/>
              <w:spacing w:after="0" w:line="240" w:lineRule="auto"/>
              <w:jc w:val="center"/>
              <w:rPr>
                <w:rFonts w:ascii="Arial" w:eastAsia="Times New Roman" w:hAnsi="Arial" w:cs="Arial"/>
                <w:sz w:val="16"/>
                <w:szCs w:val="16"/>
              </w:rPr>
            </w:pPr>
            <w:r>
              <w:rPr>
                <w:rFonts w:ascii="Arial" w:eastAsia="Times New Roman" w:hAnsi="Arial" w:cs="Arial"/>
                <w:sz w:val="16"/>
                <w:szCs w:val="16"/>
              </w:rPr>
              <w:t>45.3</w:t>
            </w:r>
          </w:p>
        </w:tc>
        <w:tc>
          <w:tcPr>
            <w:tcW w:w="539" w:type="pct"/>
            <w:vAlign w:val="center"/>
          </w:tcPr>
          <w:p w14:paraId="20C4F417" w14:textId="71EB9158" w:rsidR="00A361AA" w:rsidRPr="0081206F" w:rsidRDefault="00A361AA" w:rsidP="003D7C36">
            <w:pPr>
              <w:tabs>
                <w:tab w:val="left" w:pos="-720"/>
                <w:tab w:val="left" w:pos="0"/>
              </w:tabs>
              <w:suppressAutoHyphens/>
              <w:spacing w:after="0" w:line="240" w:lineRule="auto"/>
              <w:jc w:val="center"/>
              <w:rPr>
                <w:rFonts w:ascii="Arial" w:eastAsia="Times New Roman" w:hAnsi="Arial" w:cs="Arial"/>
                <w:sz w:val="16"/>
                <w:szCs w:val="16"/>
              </w:rPr>
            </w:pPr>
            <w:r>
              <w:rPr>
                <w:rFonts w:ascii="Arial" w:hAnsi="Arial" w:cs="Arial"/>
                <w:color w:val="000000"/>
                <w:sz w:val="16"/>
                <w:szCs w:val="16"/>
              </w:rPr>
              <w:t>1,732</w:t>
            </w:r>
          </w:p>
        </w:tc>
        <w:tc>
          <w:tcPr>
            <w:tcW w:w="508" w:type="pct"/>
            <w:vAlign w:val="center"/>
          </w:tcPr>
          <w:p w14:paraId="3ED4D3B9" w14:textId="61E3D0DD" w:rsidR="00A361AA" w:rsidRPr="0081206F" w:rsidRDefault="00A361AA" w:rsidP="003D7C36">
            <w:pPr>
              <w:tabs>
                <w:tab w:val="left" w:pos="-720"/>
                <w:tab w:val="left" w:pos="0"/>
              </w:tabs>
              <w:suppressAutoHyphens/>
              <w:spacing w:after="0" w:line="240" w:lineRule="auto"/>
              <w:jc w:val="center"/>
              <w:rPr>
                <w:rFonts w:ascii="Arial" w:eastAsia="Times New Roman" w:hAnsi="Arial" w:cs="Arial"/>
                <w:sz w:val="16"/>
                <w:szCs w:val="16"/>
              </w:rPr>
            </w:pPr>
            <w:r>
              <w:rPr>
                <w:rFonts w:ascii="Arial" w:hAnsi="Arial" w:cs="Arial"/>
                <w:color w:val="000000"/>
                <w:sz w:val="16"/>
                <w:szCs w:val="16"/>
              </w:rPr>
              <w:t>10,000</w:t>
            </w:r>
          </w:p>
        </w:tc>
        <w:tc>
          <w:tcPr>
            <w:tcW w:w="501" w:type="pct"/>
            <w:vAlign w:val="center"/>
          </w:tcPr>
          <w:p w14:paraId="05CB3C7C" w14:textId="0E475428" w:rsidR="00A361AA" w:rsidRPr="0081206F" w:rsidRDefault="00A361AA" w:rsidP="003D7C36">
            <w:pPr>
              <w:tabs>
                <w:tab w:val="left" w:pos="-720"/>
                <w:tab w:val="left" w:pos="0"/>
              </w:tabs>
              <w:suppressAutoHyphens/>
              <w:spacing w:after="0" w:line="240" w:lineRule="auto"/>
              <w:jc w:val="center"/>
              <w:rPr>
                <w:rFonts w:ascii="Arial" w:eastAsia="Times New Roman" w:hAnsi="Arial" w:cs="Arial"/>
                <w:sz w:val="16"/>
                <w:szCs w:val="16"/>
              </w:rPr>
            </w:pPr>
            <w:r>
              <w:rPr>
                <w:rFonts w:ascii="Arial" w:hAnsi="Arial" w:cs="Arial"/>
                <w:color w:val="000000"/>
                <w:sz w:val="16"/>
                <w:szCs w:val="16"/>
              </w:rPr>
              <w:t>0.01</w:t>
            </w:r>
          </w:p>
        </w:tc>
        <w:tc>
          <w:tcPr>
            <w:tcW w:w="496" w:type="pct"/>
            <w:vAlign w:val="center"/>
          </w:tcPr>
          <w:p w14:paraId="60DC1BDD" w14:textId="4345B105" w:rsidR="00A361AA" w:rsidRPr="0081206F" w:rsidRDefault="00A361AA" w:rsidP="003D7C36">
            <w:pPr>
              <w:tabs>
                <w:tab w:val="left" w:pos="-720"/>
                <w:tab w:val="left" w:pos="0"/>
              </w:tabs>
              <w:suppressAutoHyphens/>
              <w:spacing w:after="0" w:line="240" w:lineRule="auto"/>
              <w:jc w:val="center"/>
              <w:rPr>
                <w:rFonts w:ascii="Arial" w:eastAsia="Times New Roman" w:hAnsi="Arial" w:cs="Arial"/>
                <w:sz w:val="16"/>
                <w:szCs w:val="16"/>
              </w:rPr>
            </w:pPr>
            <w:r>
              <w:rPr>
                <w:rFonts w:ascii="Arial" w:hAnsi="Arial" w:cs="Arial"/>
                <w:color w:val="000000"/>
                <w:sz w:val="16"/>
                <w:szCs w:val="16"/>
              </w:rPr>
              <w:t>100</w:t>
            </w:r>
          </w:p>
        </w:tc>
        <w:tc>
          <w:tcPr>
            <w:tcW w:w="533" w:type="pct"/>
            <w:vAlign w:val="center"/>
          </w:tcPr>
          <w:p w14:paraId="7725DDAD" w14:textId="45856B7C" w:rsidR="00A361AA" w:rsidRPr="0081206F" w:rsidRDefault="00A361AA" w:rsidP="003D7C36">
            <w:pPr>
              <w:tabs>
                <w:tab w:val="left" w:pos="-720"/>
                <w:tab w:val="left" w:pos="0"/>
              </w:tabs>
              <w:suppressAutoHyphens/>
              <w:spacing w:after="0" w:line="240" w:lineRule="auto"/>
              <w:jc w:val="center"/>
              <w:rPr>
                <w:rFonts w:ascii="Arial" w:eastAsia="Times New Roman" w:hAnsi="Arial" w:cs="Arial"/>
                <w:sz w:val="16"/>
                <w:szCs w:val="16"/>
              </w:rPr>
            </w:pPr>
            <w:r>
              <w:rPr>
                <w:rFonts w:ascii="Arial" w:hAnsi="Arial" w:cs="Arial"/>
                <w:color w:val="000000"/>
                <w:sz w:val="16"/>
                <w:szCs w:val="16"/>
              </w:rPr>
              <w:t xml:space="preserve">$72.48 </w:t>
            </w:r>
          </w:p>
        </w:tc>
        <w:tc>
          <w:tcPr>
            <w:tcW w:w="470" w:type="pct"/>
            <w:vAlign w:val="center"/>
          </w:tcPr>
          <w:p w14:paraId="02B62160" w14:textId="081E6CA0" w:rsidR="00A361AA" w:rsidRPr="0081206F" w:rsidRDefault="00A361AA" w:rsidP="003D7C36">
            <w:pPr>
              <w:spacing w:after="0" w:line="240" w:lineRule="auto"/>
              <w:jc w:val="center"/>
              <w:rPr>
                <w:rFonts w:ascii="Arial" w:hAnsi="Arial" w:cs="Arial"/>
                <w:sz w:val="16"/>
                <w:szCs w:val="16"/>
              </w:rPr>
            </w:pPr>
            <w:r>
              <w:rPr>
                <w:rFonts w:ascii="Arial" w:hAnsi="Arial" w:cs="Arial"/>
                <w:color w:val="000000"/>
                <w:sz w:val="16"/>
                <w:szCs w:val="16"/>
              </w:rPr>
              <w:t>7248</w:t>
            </w:r>
          </w:p>
        </w:tc>
        <w:tc>
          <w:tcPr>
            <w:tcW w:w="451" w:type="pct"/>
            <w:vAlign w:val="center"/>
          </w:tcPr>
          <w:p w14:paraId="202B062A" w14:textId="5586AACD" w:rsidR="00A361AA" w:rsidRPr="0081206F" w:rsidRDefault="00A361AA" w:rsidP="003D7C36">
            <w:pPr>
              <w:tabs>
                <w:tab w:val="left" w:pos="-720"/>
                <w:tab w:val="left" w:pos="0"/>
              </w:tabs>
              <w:suppressAutoHyphens/>
              <w:spacing w:after="0" w:line="240" w:lineRule="auto"/>
              <w:jc w:val="center"/>
              <w:rPr>
                <w:rFonts w:ascii="Arial" w:eastAsia="Times New Roman" w:hAnsi="Arial" w:cs="Arial"/>
                <w:sz w:val="16"/>
                <w:szCs w:val="16"/>
              </w:rPr>
            </w:pPr>
            <w:r>
              <w:rPr>
                <w:rFonts w:ascii="Arial" w:hAnsi="Arial" w:cs="Arial"/>
                <w:color w:val="000000"/>
                <w:sz w:val="16"/>
                <w:szCs w:val="16"/>
              </w:rPr>
              <w:t>17320000</w:t>
            </w:r>
          </w:p>
        </w:tc>
        <w:tc>
          <w:tcPr>
            <w:tcW w:w="426" w:type="pct"/>
            <w:vAlign w:val="center"/>
          </w:tcPr>
          <w:p w14:paraId="2D984C22" w14:textId="5D122D7D" w:rsidR="00A361AA" w:rsidRPr="0081206F" w:rsidRDefault="00A361AA" w:rsidP="003D7C36">
            <w:pPr>
              <w:tabs>
                <w:tab w:val="left" w:pos="-720"/>
                <w:tab w:val="left" w:pos="0"/>
              </w:tabs>
              <w:suppressAutoHyphens/>
              <w:spacing w:after="0" w:line="240" w:lineRule="auto"/>
              <w:jc w:val="center"/>
              <w:rPr>
                <w:rFonts w:ascii="Arial" w:eastAsia="Times New Roman" w:hAnsi="Arial" w:cs="Arial"/>
                <w:sz w:val="16"/>
                <w:szCs w:val="16"/>
              </w:rPr>
            </w:pPr>
            <w:r>
              <w:rPr>
                <w:rFonts w:ascii="Arial" w:hAnsi="Arial" w:cs="Arial"/>
                <w:color w:val="000000"/>
                <w:sz w:val="16"/>
                <w:szCs w:val="16"/>
              </w:rPr>
              <w:t>173200</w:t>
            </w:r>
          </w:p>
        </w:tc>
        <w:tc>
          <w:tcPr>
            <w:tcW w:w="535" w:type="pct"/>
            <w:vAlign w:val="center"/>
          </w:tcPr>
          <w:p w14:paraId="46AD7AC9" w14:textId="37769B8F" w:rsidR="00A361AA" w:rsidRPr="0081206F" w:rsidRDefault="00A361AA" w:rsidP="003D7C36">
            <w:pPr>
              <w:tabs>
                <w:tab w:val="left" w:pos="-720"/>
                <w:tab w:val="left" w:pos="0"/>
              </w:tabs>
              <w:suppressAutoHyphens/>
              <w:spacing w:after="0" w:line="240" w:lineRule="auto"/>
              <w:jc w:val="center"/>
              <w:rPr>
                <w:rFonts w:ascii="Arial" w:eastAsia="Times New Roman" w:hAnsi="Arial" w:cs="Arial"/>
                <w:sz w:val="16"/>
                <w:szCs w:val="16"/>
              </w:rPr>
            </w:pPr>
            <w:r>
              <w:rPr>
                <w:rFonts w:ascii="Arial" w:hAnsi="Arial" w:cs="Arial"/>
                <w:color w:val="000000"/>
                <w:sz w:val="16"/>
                <w:szCs w:val="16"/>
              </w:rPr>
              <w:t>7248</w:t>
            </w:r>
          </w:p>
        </w:tc>
      </w:tr>
      <w:tr w:rsidR="00A361AA" w:rsidRPr="0081206F" w14:paraId="00EE246D" w14:textId="77777777" w:rsidTr="009C6E11">
        <w:trPr>
          <w:trHeight w:val="440"/>
        </w:trPr>
        <w:tc>
          <w:tcPr>
            <w:tcW w:w="541" w:type="pct"/>
          </w:tcPr>
          <w:p w14:paraId="50121C2D" w14:textId="174FC38C" w:rsidR="00A361AA" w:rsidRPr="0081206F" w:rsidRDefault="00A361AA" w:rsidP="003D7C36">
            <w:pPr>
              <w:tabs>
                <w:tab w:val="left" w:pos="-720"/>
                <w:tab w:val="left" w:pos="0"/>
              </w:tabs>
              <w:suppressAutoHyphens/>
              <w:spacing w:after="0" w:line="240" w:lineRule="auto"/>
              <w:jc w:val="center"/>
              <w:rPr>
                <w:rFonts w:ascii="Arial" w:eastAsia="Times New Roman" w:hAnsi="Arial" w:cs="Arial"/>
                <w:sz w:val="16"/>
                <w:szCs w:val="16"/>
              </w:rPr>
            </w:pPr>
            <w:r>
              <w:rPr>
                <w:rFonts w:ascii="Arial" w:eastAsia="Times New Roman" w:hAnsi="Arial" w:cs="Arial"/>
                <w:sz w:val="16"/>
                <w:szCs w:val="16"/>
              </w:rPr>
              <w:t>45.4</w:t>
            </w:r>
          </w:p>
        </w:tc>
        <w:tc>
          <w:tcPr>
            <w:tcW w:w="539" w:type="pct"/>
            <w:vAlign w:val="center"/>
          </w:tcPr>
          <w:p w14:paraId="7C020775" w14:textId="4FD7081F" w:rsidR="00A361AA" w:rsidRPr="0081206F" w:rsidRDefault="00A361AA" w:rsidP="003D7C36">
            <w:pPr>
              <w:tabs>
                <w:tab w:val="left" w:pos="-720"/>
                <w:tab w:val="left" w:pos="0"/>
              </w:tabs>
              <w:suppressAutoHyphens/>
              <w:spacing w:after="0" w:line="240" w:lineRule="auto"/>
              <w:jc w:val="center"/>
              <w:rPr>
                <w:rFonts w:ascii="Arial" w:eastAsia="Times New Roman" w:hAnsi="Arial" w:cs="Arial"/>
                <w:sz w:val="16"/>
                <w:szCs w:val="16"/>
              </w:rPr>
            </w:pPr>
            <w:r>
              <w:rPr>
                <w:rFonts w:ascii="Arial" w:hAnsi="Arial" w:cs="Arial"/>
                <w:color w:val="000000"/>
                <w:sz w:val="16"/>
                <w:szCs w:val="16"/>
              </w:rPr>
              <w:t>1,732</w:t>
            </w:r>
          </w:p>
        </w:tc>
        <w:tc>
          <w:tcPr>
            <w:tcW w:w="508" w:type="pct"/>
            <w:vAlign w:val="center"/>
          </w:tcPr>
          <w:p w14:paraId="74E51354" w14:textId="736D51D2" w:rsidR="00A361AA" w:rsidRPr="0081206F" w:rsidRDefault="00A361AA" w:rsidP="00C278FC">
            <w:pPr>
              <w:tabs>
                <w:tab w:val="left" w:pos="-720"/>
                <w:tab w:val="left" w:pos="0"/>
              </w:tabs>
              <w:suppressAutoHyphens/>
              <w:spacing w:after="0" w:line="240" w:lineRule="auto"/>
              <w:jc w:val="center"/>
              <w:rPr>
                <w:rFonts w:ascii="Arial" w:eastAsia="Times New Roman" w:hAnsi="Arial" w:cs="Arial"/>
                <w:sz w:val="16"/>
                <w:szCs w:val="16"/>
              </w:rPr>
            </w:pPr>
            <w:r>
              <w:rPr>
                <w:rFonts w:ascii="Arial" w:hAnsi="Arial" w:cs="Arial"/>
                <w:color w:val="000000"/>
                <w:sz w:val="16"/>
                <w:szCs w:val="16"/>
              </w:rPr>
              <w:t>207,543</w:t>
            </w:r>
          </w:p>
        </w:tc>
        <w:tc>
          <w:tcPr>
            <w:tcW w:w="501" w:type="pct"/>
            <w:vAlign w:val="center"/>
          </w:tcPr>
          <w:p w14:paraId="13237913" w14:textId="559408BB" w:rsidR="00A361AA" w:rsidRPr="0081206F" w:rsidRDefault="00A361AA" w:rsidP="003D7C36">
            <w:pPr>
              <w:tabs>
                <w:tab w:val="left" w:pos="-720"/>
                <w:tab w:val="left" w:pos="0"/>
              </w:tabs>
              <w:suppressAutoHyphens/>
              <w:spacing w:after="0" w:line="240" w:lineRule="auto"/>
              <w:jc w:val="center"/>
              <w:rPr>
                <w:rFonts w:ascii="Arial" w:eastAsia="Times New Roman" w:hAnsi="Arial" w:cs="Arial"/>
                <w:sz w:val="16"/>
                <w:szCs w:val="16"/>
              </w:rPr>
            </w:pPr>
            <w:r>
              <w:rPr>
                <w:rFonts w:ascii="Arial" w:hAnsi="Arial" w:cs="Arial"/>
                <w:color w:val="000000"/>
                <w:sz w:val="16"/>
                <w:szCs w:val="16"/>
              </w:rPr>
              <w:t>0.003</w:t>
            </w:r>
          </w:p>
        </w:tc>
        <w:tc>
          <w:tcPr>
            <w:tcW w:w="496" w:type="pct"/>
            <w:vAlign w:val="center"/>
          </w:tcPr>
          <w:p w14:paraId="52E8959C" w14:textId="7EACD82C" w:rsidR="00A361AA" w:rsidRPr="0081206F" w:rsidRDefault="00A361AA" w:rsidP="003D7C36">
            <w:pPr>
              <w:tabs>
                <w:tab w:val="left" w:pos="-720"/>
                <w:tab w:val="left" w:pos="0"/>
              </w:tabs>
              <w:suppressAutoHyphens/>
              <w:spacing w:after="0" w:line="240" w:lineRule="auto"/>
              <w:jc w:val="center"/>
              <w:rPr>
                <w:rFonts w:ascii="Arial" w:eastAsia="Times New Roman" w:hAnsi="Arial" w:cs="Arial"/>
                <w:sz w:val="16"/>
                <w:szCs w:val="16"/>
              </w:rPr>
            </w:pPr>
            <w:r>
              <w:rPr>
                <w:rFonts w:ascii="Arial" w:hAnsi="Arial" w:cs="Arial"/>
                <w:color w:val="000000"/>
                <w:sz w:val="16"/>
                <w:szCs w:val="16"/>
              </w:rPr>
              <w:t>162</w:t>
            </w:r>
          </w:p>
        </w:tc>
        <w:tc>
          <w:tcPr>
            <w:tcW w:w="533" w:type="pct"/>
            <w:vAlign w:val="center"/>
          </w:tcPr>
          <w:p w14:paraId="3FC054FE" w14:textId="14EC9C39" w:rsidR="00A361AA" w:rsidRPr="0081206F" w:rsidRDefault="00A361AA" w:rsidP="003D7C36">
            <w:pPr>
              <w:tabs>
                <w:tab w:val="left" w:pos="-720"/>
                <w:tab w:val="left" w:pos="0"/>
              </w:tabs>
              <w:suppressAutoHyphens/>
              <w:spacing w:after="0" w:line="240" w:lineRule="auto"/>
              <w:jc w:val="center"/>
              <w:rPr>
                <w:rFonts w:ascii="Arial" w:eastAsia="Times New Roman" w:hAnsi="Arial" w:cs="Arial"/>
                <w:sz w:val="16"/>
                <w:szCs w:val="16"/>
              </w:rPr>
            </w:pPr>
            <w:r>
              <w:rPr>
                <w:rFonts w:ascii="Arial" w:hAnsi="Arial" w:cs="Arial"/>
                <w:color w:val="000000"/>
                <w:sz w:val="16"/>
                <w:szCs w:val="16"/>
              </w:rPr>
              <w:t xml:space="preserve">$72.48 </w:t>
            </w:r>
          </w:p>
        </w:tc>
        <w:tc>
          <w:tcPr>
            <w:tcW w:w="470" w:type="pct"/>
            <w:vAlign w:val="center"/>
          </w:tcPr>
          <w:p w14:paraId="50896D83" w14:textId="19CC806E" w:rsidR="00A361AA" w:rsidRPr="0081206F" w:rsidRDefault="00A361AA" w:rsidP="003D7C36">
            <w:pPr>
              <w:spacing w:after="0" w:line="240" w:lineRule="auto"/>
              <w:jc w:val="center"/>
              <w:rPr>
                <w:rFonts w:ascii="Arial" w:hAnsi="Arial" w:cs="Arial"/>
                <w:sz w:val="16"/>
                <w:szCs w:val="16"/>
              </w:rPr>
            </w:pPr>
            <w:r>
              <w:rPr>
                <w:rFonts w:ascii="Arial" w:hAnsi="Arial" w:cs="Arial"/>
                <w:color w:val="000000"/>
                <w:sz w:val="16"/>
                <w:szCs w:val="16"/>
              </w:rPr>
              <w:t>11741.76</w:t>
            </w:r>
          </w:p>
        </w:tc>
        <w:tc>
          <w:tcPr>
            <w:tcW w:w="451" w:type="pct"/>
            <w:vAlign w:val="center"/>
          </w:tcPr>
          <w:p w14:paraId="433B213E" w14:textId="07F873E3" w:rsidR="00A361AA" w:rsidRPr="0081206F" w:rsidRDefault="00A361AA" w:rsidP="003D7C36">
            <w:pPr>
              <w:tabs>
                <w:tab w:val="left" w:pos="-720"/>
                <w:tab w:val="left" w:pos="0"/>
              </w:tabs>
              <w:suppressAutoHyphens/>
              <w:spacing w:after="0" w:line="240" w:lineRule="auto"/>
              <w:jc w:val="center"/>
              <w:rPr>
                <w:rFonts w:ascii="Arial" w:eastAsia="Times New Roman" w:hAnsi="Arial" w:cs="Arial"/>
                <w:sz w:val="16"/>
                <w:szCs w:val="16"/>
              </w:rPr>
            </w:pPr>
            <w:r>
              <w:rPr>
                <w:rFonts w:ascii="Arial" w:hAnsi="Arial" w:cs="Arial"/>
                <w:color w:val="000000"/>
                <w:sz w:val="16"/>
                <w:szCs w:val="16"/>
              </w:rPr>
              <w:t>359464476</w:t>
            </w:r>
          </w:p>
        </w:tc>
        <w:tc>
          <w:tcPr>
            <w:tcW w:w="426" w:type="pct"/>
            <w:vAlign w:val="center"/>
          </w:tcPr>
          <w:p w14:paraId="4E771B84" w14:textId="654CE0BB" w:rsidR="00A361AA" w:rsidRPr="0081206F" w:rsidRDefault="00A361AA" w:rsidP="003D7C36">
            <w:pPr>
              <w:tabs>
                <w:tab w:val="left" w:pos="-720"/>
                <w:tab w:val="left" w:pos="0"/>
              </w:tabs>
              <w:suppressAutoHyphens/>
              <w:spacing w:after="0" w:line="240" w:lineRule="auto"/>
              <w:jc w:val="center"/>
              <w:rPr>
                <w:rFonts w:ascii="Arial" w:eastAsia="Times New Roman" w:hAnsi="Arial" w:cs="Arial"/>
                <w:sz w:val="16"/>
                <w:szCs w:val="16"/>
              </w:rPr>
            </w:pPr>
            <w:r>
              <w:rPr>
                <w:rFonts w:ascii="Arial" w:hAnsi="Arial" w:cs="Arial"/>
                <w:color w:val="000000"/>
                <w:sz w:val="16"/>
                <w:szCs w:val="16"/>
              </w:rPr>
              <w:t>280584</w:t>
            </w:r>
          </w:p>
        </w:tc>
        <w:tc>
          <w:tcPr>
            <w:tcW w:w="535" w:type="pct"/>
            <w:vAlign w:val="center"/>
          </w:tcPr>
          <w:p w14:paraId="4A67888B" w14:textId="78011C42" w:rsidR="00A361AA" w:rsidRPr="0081206F" w:rsidRDefault="00A361AA" w:rsidP="003D7C36">
            <w:pPr>
              <w:tabs>
                <w:tab w:val="left" w:pos="-720"/>
                <w:tab w:val="left" w:pos="0"/>
              </w:tabs>
              <w:suppressAutoHyphens/>
              <w:spacing w:after="0" w:line="240" w:lineRule="auto"/>
              <w:jc w:val="center"/>
              <w:rPr>
                <w:rFonts w:ascii="Arial" w:eastAsia="Times New Roman" w:hAnsi="Arial" w:cs="Arial"/>
                <w:sz w:val="16"/>
                <w:szCs w:val="16"/>
              </w:rPr>
            </w:pPr>
            <w:r>
              <w:rPr>
                <w:rFonts w:ascii="Arial" w:hAnsi="Arial" w:cs="Arial"/>
                <w:color w:val="000000"/>
                <w:sz w:val="16"/>
                <w:szCs w:val="16"/>
              </w:rPr>
              <w:t>11741.76</w:t>
            </w:r>
          </w:p>
        </w:tc>
      </w:tr>
      <w:tr w:rsidR="00A361AA" w:rsidRPr="0081206F" w14:paraId="7A2F1E7E" w14:textId="77777777" w:rsidTr="009C6E11">
        <w:trPr>
          <w:trHeight w:val="440"/>
        </w:trPr>
        <w:tc>
          <w:tcPr>
            <w:tcW w:w="541" w:type="pct"/>
          </w:tcPr>
          <w:p w14:paraId="4AF81A9A" w14:textId="1324332E" w:rsidR="00A361AA" w:rsidRPr="0081206F" w:rsidDel="00ED251F" w:rsidRDefault="00A361AA" w:rsidP="003D7C36">
            <w:pPr>
              <w:tabs>
                <w:tab w:val="left" w:pos="-720"/>
                <w:tab w:val="left" w:pos="0"/>
              </w:tabs>
              <w:suppressAutoHyphens/>
              <w:spacing w:after="0" w:line="240" w:lineRule="auto"/>
              <w:jc w:val="center"/>
              <w:rPr>
                <w:rFonts w:ascii="Arial" w:eastAsia="Times New Roman" w:hAnsi="Arial" w:cs="Arial"/>
                <w:sz w:val="16"/>
                <w:szCs w:val="16"/>
              </w:rPr>
            </w:pPr>
            <w:r>
              <w:rPr>
                <w:rFonts w:ascii="Arial" w:eastAsia="Times New Roman" w:hAnsi="Arial" w:cs="Arial"/>
                <w:sz w:val="16"/>
                <w:szCs w:val="16"/>
              </w:rPr>
              <w:t>45.5</w:t>
            </w:r>
          </w:p>
        </w:tc>
        <w:tc>
          <w:tcPr>
            <w:tcW w:w="539" w:type="pct"/>
            <w:vAlign w:val="center"/>
          </w:tcPr>
          <w:p w14:paraId="2B2157D8" w14:textId="45A53398" w:rsidR="00A361AA" w:rsidRPr="0081206F" w:rsidDel="00ED251F" w:rsidRDefault="00A361AA" w:rsidP="003D7C36">
            <w:pPr>
              <w:tabs>
                <w:tab w:val="left" w:pos="-720"/>
                <w:tab w:val="left" w:pos="0"/>
              </w:tabs>
              <w:suppressAutoHyphens/>
              <w:spacing w:after="0" w:line="240" w:lineRule="auto"/>
              <w:jc w:val="center"/>
              <w:rPr>
                <w:rFonts w:ascii="Arial" w:eastAsia="Times New Roman" w:hAnsi="Arial" w:cs="Arial"/>
                <w:sz w:val="16"/>
                <w:szCs w:val="16"/>
              </w:rPr>
            </w:pPr>
            <w:r>
              <w:rPr>
                <w:rFonts w:ascii="Arial" w:hAnsi="Arial" w:cs="Arial"/>
                <w:color w:val="000000"/>
                <w:sz w:val="16"/>
                <w:szCs w:val="16"/>
              </w:rPr>
              <w:t>1,732</w:t>
            </w:r>
          </w:p>
        </w:tc>
        <w:tc>
          <w:tcPr>
            <w:tcW w:w="508" w:type="pct"/>
            <w:vAlign w:val="center"/>
          </w:tcPr>
          <w:p w14:paraId="3933CCDD" w14:textId="746AABCC" w:rsidR="00A361AA" w:rsidRPr="0081206F" w:rsidDel="00ED251F" w:rsidRDefault="00A361AA" w:rsidP="00C278FC">
            <w:pPr>
              <w:tabs>
                <w:tab w:val="left" w:pos="-720"/>
                <w:tab w:val="left" w:pos="0"/>
              </w:tabs>
              <w:suppressAutoHyphens/>
              <w:spacing w:after="0" w:line="240" w:lineRule="auto"/>
              <w:jc w:val="center"/>
              <w:rPr>
                <w:rFonts w:ascii="Arial" w:hAnsi="Arial" w:cs="Arial"/>
                <w:sz w:val="16"/>
                <w:szCs w:val="16"/>
              </w:rPr>
            </w:pPr>
            <w:r>
              <w:rPr>
                <w:rFonts w:ascii="Arial" w:hAnsi="Arial" w:cs="Arial"/>
                <w:color w:val="000000"/>
                <w:sz w:val="16"/>
                <w:szCs w:val="16"/>
              </w:rPr>
              <w:t>10,000</w:t>
            </w:r>
          </w:p>
        </w:tc>
        <w:tc>
          <w:tcPr>
            <w:tcW w:w="501" w:type="pct"/>
            <w:vAlign w:val="center"/>
          </w:tcPr>
          <w:p w14:paraId="13471A7F" w14:textId="2E2AE0BA" w:rsidR="00A361AA" w:rsidRPr="0081206F" w:rsidDel="00ED251F" w:rsidRDefault="00A361AA" w:rsidP="003D7C36">
            <w:pPr>
              <w:tabs>
                <w:tab w:val="left" w:pos="-720"/>
                <w:tab w:val="left" w:pos="0"/>
              </w:tabs>
              <w:suppressAutoHyphens/>
              <w:spacing w:after="0" w:line="240" w:lineRule="auto"/>
              <w:jc w:val="center"/>
              <w:rPr>
                <w:rFonts w:ascii="Arial" w:eastAsia="Times New Roman" w:hAnsi="Arial" w:cs="Arial"/>
                <w:sz w:val="16"/>
                <w:szCs w:val="16"/>
              </w:rPr>
            </w:pPr>
            <w:r>
              <w:rPr>
                <w:rFonts w:ascii="Arial" w:hAnsi="Arial" w:cs="Arial"/>
                <w:color w:val="000000"/>
                <w:sz w:val="16"/>
                <w:szCs w:val="16"/>
              </w:rPr>
              <w:t>0.01</w:t>
            </w:r>
          </w:p>
        </w:tc>
        <w:tc>
          <w:tcPr>
            <w:tcW w:w="496" w:type="pct"/>
            <w:vAlign w:val="center"/>
          </w:tcPr>
          <w:p w14:paraId="29D0364E" w14:textId="071AB45A" w:rsidR="00A361AA" w:rsidRPr="0081206F" w:rsidDel="00ED251F" w:rsidRDefault="00A361AA" w:rsidP="003D7C36">
            <w:pPr>
              <w:tabs>
                <w:tab w:val="left" w:pos="-720"/>
                <w:tab w:val="left" w:pos="0"/>
              </w:tabs>
              <w:suppressAutoHyphens/>
              <w:spacing w:after="0" w:line="240" w:lineRule="auto"/>
              <w:jc w:val="center"/>
              <w:rPr>
                <w:rFonts w:ascii="Arial" w:eastAsia="Times New Roman" w:hAnsi="Arial" w:cs="Arial"/>
                <w:sz w:val="16"/>
                <w:szCs w:val="16"/>
              </w:rPr>
            </w:pPr>
            <w:r>
              <w:rPr>
                <w:rFonts w:ascii="Arial" w:hAnsi="Arial" w:cs="Arial"/>
                <w:color w:val="000000"/>
                <w:sz w:val="16"/>
                <w:szCs w:val="16"/>
              </w:rPr>
              <w:t>100</w:t>
            </w:r>
          </w:p>
        </w:tc>
        <w:tc>
          <w:tcPr>
            <w:tcW w:w="533" w:type="pct"/>
            <w:vAlign w:val="center"/>
          </w:tcPr>
          <w:p w14:paraId="33C022B5" w14:textId="6E52C4FD" w:rsidR="00A361AA" w:rsidRPr="0081206F" w:rsidDel="00ED251F" w:rsidRDefault="00A361AA" w:rsidP="003D7C36">
            <w:pPr>
              <w:tabs>
                <w:tab w:val="left" w:pos="-720"/>
                <w:tab w:val="left" w:pos="0"/>
              </w:tabs>
              <w:suppressAutoHyphens/>
              <w:spacing w:after="0" w:line="240" w:lineRule="auto"/>
              <w:jc w:val="center"/>
              <w:rPr>
                <w:rFonts w:ascii="Arial" w:eastAsia="Times New Roman" w:hAnsi="Arial" w:cs="Arial"/>
                <w:sz w:val="16"/>
                <w:szCs w:val="16"/>
              </w:rPr>
            </w:pPr>
            <w:r>
              <w:rPr>
                <w:rFonts w:ascii="Arial" w:hAnsi="Arial" w:cs="Arial"/>
                <w:color w:val="000000"/>
                <w:sz w:val="16"/>
                <w:szCs w:val="16"/>
              </w:rPr>
              <w:t xml:space="preserve">$72.48 </w:t>
            </w:r>
          </w:p>
        </w:tc>
        <w:tc>
          <w:tcPr>
            <w:tcW w:w="470" w:type="pct"/>
            <w:vAlign w:val="center"/>
          </w:tcPr>
          <w:p w14:paraId="6D004175" w14:textId="7FC87E0B" w:rsidR="00A361AA" w:rsidRPr="0081206F" w:rsidDel="00ED251F" w:rsidRDefault="00A361AA" w:rsidP="003D7C36">
            <w:pPr>
              <w:spacing w:after="0" w:line="240" w:lineRule="auto"/>
              <w:jc w:val="center"/>
              <w:rPr>
                <w:rFonts w:ascii="Arial" w:hAnsi="Arial" w:cs="Arial"/>
                <w:sz w:val="16"/>
                <w:szCs w:val="16"/>
              </w:rPr>
            </w:pPr>
            <w:r>
              <w:rPr>
                <w:rFonts w:ascii="Arial" w:hAnsi="Arial" w:cs="Arial"/>
                <w:color w:val="000000"/>
                <w:sz w:val="16"/>
                <w:szCs w:val="16"/>
              </w:rPr>
              <w:t>7248</w:t>
            </w:r>
          </w:p>
        </w:tc>
        <w:tc>
          <w:tcPr>
            <w:tcW w:w="451" w:type="pct"/>
            <w:vAlign w:val="center"/>
          </w:tcPr>
          <w:p w14:paraId="3DDC1F30" w14:textId="7484D46A" w:rsidR="00A361AA" w:rsidRPr="0081206F" w:rsidDel="00ED251F" w:rsidRDefault="00A361AA" w:rsidP="003D7C36">
            <w:pPr>
              <w:tabs>
                <w:tab w:val="left" w:pos="-720"/>
                <w:tab w:val="left" w:pos="0"/>
              </w:tabs>
              <w:suppressAutoHyphens/>
              <w:spacing w:after="0" w:line="240" w:lineRule="auto"/>
              <w:jc w:val="center"/>
              <w:rPr>
                <w:rFonts w:ascii="Arial" w:eastAsia="Times New Roman" w:hAnsi="Arial" w:cs="Arial"/>
                <w:sz w:val="16"/>
                <w:szCs w:val="16"/>
              </w:rPr>
            </w:pPr>
            <w:r>
              <w:rPr>
                <w:rFonts w:ascii="Arial" w:hAnsi="Arial" w:cs="Arial"/>
                <w:color w:val="000000"/>
                <w:sz w:val="16"/>
                <w:szCs w:val="16"/>
              </w:rPr>
              <w:t>17320000</w:t>
            </w:r>
          </w:p>
        </w:tc>
        <w:tc>
          <w:tcPr>
            <w:tcW w:w="426" w:type="pct"/>
            <w:vAlign w:val="center"/>
          </w:tcPr>
          <w:p w14:paraId="40A54DAD" w14:textId="744BE51B" w:rsidR="00A361AA" w:rsidRPr="0081206F" w:rsidDel="00ED251F" w:rsidRDefault="00A361AA" w:rsidP="003D7C36">
            <w:pPr>
              <w:tabs>
                <w:tab w:val="left" w:pos="-720"/>
                <w:tab w:val="left" w:pos="0"/>
              </w:tabs>
              <w:suppressAutoHyphens/>
              <w:spacing w:after="0" w:line="240" w:lineRule="auto"/>
              <w:jc w:val="center"/>
              <w:rPr>
                <w:rFonts w:ascii="Arial" w:eastAsia="Times New Roman" w:hAnsi="Arial" w:cs="Arial"/>
                <w:sz w:val="16"/>
                <w:szCs w:val="16"/>
              </w:rPr>
            </w:pPr>
            <w:r>
              <w:rPr>
                <w:rFonts w:ascii="Arial" w:hAnsi="Arial" w:cs="Arial"/>
                <w:color w:val="000000"/>
                <w:sz w:val="16"/>
                <w:szCs w:val="16"/>
              </w:rPr>
              <w:t>173200</w:t>
            </w:r>
          </w:p>
        </w:tc>
        <w:tc>
          <w:tcPr>
            <w:tcW w:w="535" w:type="pct"/>
            <w:vAlign w:val="center"/>
          </w:tcPr>
          <w:p w14:paraId="20A1CC80" w14:textId="26504039" w:rsidR="00A361AA" w:rsidRPr="0081206F" w:rsidDel="00ED251F" w:rsidRDefault="00A361AA" w:rsidP="003D7C36">
            <w:pPr>
              <w:tabs>
                <w:tab w:val="left" w:pos="-720"/>
                <w:tab w:val="left" w:pos="0"/>
              </w:tabs>
              <w:suppressAutoHyphens/>
              <w:spacing w:after="0" w:line="240" w:lineRule="auto"/>
              <w:jc w:val="center"/>
              <w:rPr>
                <w:rFonts w:ascii="Arial" w:eastAsia="Times New Roman" w:hAnsi="Arial" w:cs="Arial"/>
                <w:sz w:val="16"/>
                <w:szCs w:val="16"/>
              </w:rPr>
            </w:pPr>
            <w:r>
              <w:rPr>
                <w:rFonts w:ascii="Arial" w:hAnsi="Arial" w:cs="Arial"/>
                <w:color w:val="000000"/>
                <w:sz w:val="16"/>
                <w:szCs w:val="16"/>
              </w:rPr>
              <w:t>12553536</w:t>
            </w:r>
          </w:p>
        </w:tc>
      </w:tr>
      <w:tr w:rsidR="00A361AA" w:rsidRPr="0081206F" w14:paraId="7110B7F9" w14:textId="77777777" w:rsidTr="009C6E11">
        <w:trPr>
          <w:trHeight w:val="431"/>
        </w:trPr>
        <w:tc>
          <w:tcPr>
            <w:tcW w:w="541" w:type="pct"/>
          </w:tcPr>
          <w:p w14:paraId="7CB1B95D" w14:textId="75475B56" w:rsidR="00A361AA" w:rsidRPr="0081206F" w:rsidDel="00ED251F" w:rsidRDefault="00A361AA" w:rsidP="003D7C36">
            <w:pPr>
              <w:tabs>
                <w:tab w:val="left" w:pos="-720"/>
                <w:tab w:val="left" w:pos="0"/>
              </w:tabs>
              <w:suppressAutoHyphens/>
              <w:spacing w:after="0" w:line="240" w:lineRule="auto"/>
              <w:jc w:val="center"/>
              <w:rPr>
                <w:rFonts w:ascii="Arial" w:eastAsia="Times New Roman" w:hAnsi="Arial" w:cs="Arial"/>
                <w:sz w:val="16"/>
                <w:szCs w:val="16"/>
              </w:rPr>
            </w:pPr>
            <w:r>
              <w:rPr>
                <w:rFonts w:ascii="Arial" w:eastAsia="Times New Roman" w:hAnsi="Arial" w:cs="Arial"/>
                <w:sz w:val="16"/>
                <w:szCs w:val="16"/>
              </w:rPr>
              <w:t>45.6</w:t>
            </w:r>
          </w:p>
        </w:tc>
        <w:tc>
          <w:tcPr>
            <w:tcW w:w="539" w:type="pct"/>
            <w:vAlign w:val="center"/>
          </w:tcPr>
          <w:p w14:paraId="49210CB6" w14:textId="2E0DB991" w:rsidR="00A361AA" w:rsidRPr="0081206F" w:rsidDel="00ED251F" w:rsidRDefault="00A361AA" w:rsidP="003D7C36">
            <w:pPr>
              <w:tabs>
                <w:tab w:val="left" w:pos="-720"/>
                <w:tab w:val="left" w:pos="0"/>
              </w:tabs>
              <w:suppressAutoHyphens/>
              <w:spacing w:after="0" w:line="240" w:lineRule="auto"/>
              <w:jc w:val="center"/>
              <w:rPr>
                <w:rFonts w:ascii="Arial" w:eastAsia="Times New Roman" w:hAnsi="Arial" w:cs="Arial"/>
                <w:sz w:val="16"/>
                <w:szCs w:val="16"/>
              </w:rPr>
            </w:pPr>
            <w:r>
              <w:rPr>
                <w:rFonts w:ascii="Arial" w:hAnsi="Arial" w:cs="Arial"/>
                <w:color w:val="000000"/>
                <w:sz w:val="16"/>
                <w:szCs w:val="16"/>
              </w:rPr>
              <w:t>1,732</w:t>
            </w:r>
          </w:p>
        </w:tc>
        <w:tc>
          <w:tcPr>
            <w:tcW w:w="508" w:type="pct"/>
            <w:vAlign w:val="center"/>
          </w:tcPr>
          <w:p w14:paraId="13F17990" w14:textId="665A88C8" w:rsidR="00A361AA" w:rsidRPr="0081206F" w:rsidDel="00ED251F" w:rsidRDefault="00A361AA" w:rsidP="00C278FC">
            <w:pPr>
              <w:tabs>
                <w:tab w:val="left" w:pos="-720"/>
                <w:tab w:val="left" w:pos="0"/>
              </w:tabs>
              <w:suppressAutoHyphens/>
              <w:spacing w:after="0" w:line="240" w:lineRule="auto"/>
              <w:jc w:val="center"/>
              <w:rPr>
                <w:rFonts w:ascii="Arial" w:hAnsi="Arial" w:cs="Arial"/>
                <w:sz w:val="16"/>
                <w:szCs w:val="16"/>
              </w:rPr>
            </w:pPr>
            <w:r>
              <w:rPr>
                <w:rFonts w:ascii="Arial" w:hAnsi="Arial" w:cs="Arial"/>
                <w:color w:val="000000"/>
                <w:sz w:val="16"/>
                <w:szCs w:val="16"/>
              </w:rPr>
              <w:t>10,000</w:t>
            </w:r>
          </w:p>
        </w:tc>
        <w:tc>
          <w:tcPr>
            <w:tcW w:w="501" w:type="pct"/>
            <w:vAlign w:val="center"/>
          </w:tcPr>
          <w:p w14:paraId="31D13BD1" w14:textId="06222915" w:rsidR="00A361AA" w:rsidRPr="0081206F" w:rsidDel="00ED251F" w:rsidRDefault="00A361AA" w:rsidP="003D7C36">
            <w:pPr>
              <w:tabs>
                <w:tab w:val="left" w:pos="-720"/>
                <w:tab w:val="left" w:pos="0"/>
              </w:tabs>
              <w:suppressAutoHyphens/>
              <w:spacing w:after="0" w:line="240" w:lineRule="auto"/>
              <w:jc w:val="center"/>
              <w:rPr>
                <w:rFonts w:ascii="Arial" w:eastAsia="Times New Roman" w:hAnsi="Arial" w:cs="Arial"/>
                <w:sz w:val="16"/>
                <w:szCs w:val="16"/>
              </w:rPr>
            </w:pPr>
            <w:r>
              <w:rPr>
                <w:rFonts w:ascii="Arial" w:hAnsi="Arial" w:cs="Arial"/>
                <w:color w:val="000000"/>
                <w:sz w:val="16"/>
                <w:szCs w:val="16"/>
              </w:rPr>
              <w:t>0.01</w:t>
            </w:r>
          </w:p>
        </w:tc>
        <w:tc>
          <w:tcPr>
            <w:tcW w:w="496" w:type="pct"/>
            <w:vAlign w:val="center"/>
          </w:tcPr>
          <w:p w14:paraId="42F084BC" w14:textId="679640B5" w:rsidR="00A361AA" w:rsidRPr="0081206F" w:rsidDel="00ED251F" w:rsidRDefault="00A361AA" w:rsidP="003D7C36">
            <w:pPr>
              <w:tabs>
                <w:tab w:val="left" w:pos="-720"/>
                <w:tab w:val="left" w:pos="0"/>
              </w:tabs>
              <w:suppressAutoHyphens/>
              <w:spacing w:after="0" w:line="240" w:lineRule="auto"/>
              <w:jc w:val="center"/>
              <w:rPr>
                <w:rFonts w:ascii="Arial" w:eastAsia="Times New Roman" w:hAnsi="Arial" w:cs="Arial"/>
                <w:sz w:val="16"/>
                <w:szCs w:val="16"/>
              </w:rPr>
            </w:pPr>
            <w:r>
              <w:rPr>
                <w:rFonts w:ascii="Arial" w:hAnsi="Arial" w:cs="Arial"/>
                <w:color w:val="000000"/>
                <w:sz w:val="16"/>
                <w:szCs w:val="16"/>
              </w:rPr>
              <w:t>100</w:t>
            </w:r>
          </w:p>
        </w:tc>
        <w:tc>
          <w:tcPr>
            <w:tcW w:w="533" w:type="pct"/>
            <w:vAlign w:val="center"/>
          </w:tcPr>
          <w:p w14:paraId="202108E6" w14:textId="6B5E3C4D" w:rsidR="00A361AA" w:rsidRPr="0081206F" w:rsidDel="00ED251F" w:rsidRDefault="00A361AA" w:rsidP="003D7C36">
            <w:pPr>
              <w:tabs>
                <w:tab w:val="left" w:pos="-720"/>
                <w:tab w:val="left" w:pos="0"/>
              </w:tabs>
              <w:suppressAutoHyphens/>
              <w:spacing w:after="0" w:line="240" w:lineRule="auto"/>
              <w:jc w:val="center"/>
              <w:rPr>
                <w:rFonts w:ascii="Arial" w:eastAsia="Times New Roman" w:hAnsi="Arial" w:cs="Arial"/>
                <w:sz w:val="16"/>
                <w:szCs w:val="16"/>
              </w:rPr>
            </w:pPr>
            <w:r>
              <w:rPr>
                <w:rFonts w:ascii="Arial" w:hAnsi="Arial" w:cs="Arial"/>
                <w:color w:val="000000"/>
                <w:sz w:val="16"/>
                <w:szCs w:val="16"/>
              </w:rPr>
              <w:t xml:space="preserve">$72.48 </w:t>
            </w:r>
          </w:p>
        </w:tc>
        <w:tc>
          <w:tcPr>
            <w:tcW w:w="470" w:type="pct"/>
            <w:vAlign w:val="center"/>
          </w:tcPr>
          <w:p w14:paraId="2E5F28E9" w14:textId="3730B739" w:rsidR="00A361AA" w:rsidRPr="0081206F" w:rsidDel="00ED251F" w:rsidRDefault="00A361AA" w:rsidP="003D7C36">
            <w:pPr>
              <w:spacing w:after="0" w:line="240" w:lineRule="auto"/>
              <w:jc w:val="center"/>
              <w:rPr>
                <w:rFonts w:ascii="Arial" w:hAnsi="Arial" w:cs="Arial"/>
                <w:sz w:val="16"/>
                <w:szCs w:val="16"/>
              </w:rPr>
            </w:pPr>
            <w:r>
              <w:rPr>
                <w:rFonts w:ascii="Arial" w:hAnsi="Arial" w:cs="Arial"/>
                <w:color w:val="000000"/>
                <w:sz w:val="16"/>
                <w:szCs w:val="16"/>
              </w:rPr>
              <w:t>7248</w:t>
            </w:r>
          </w:p>
        </w:tc>
        <w:tc>
          <w:tcPr>
            <w:tcW w:w="451" w:type="pct"/>
            <w:vAlign w:val="center"/>
          </w:tcPr>
          <w:p w14:paraId="13B145D1" w14:textId="703FDBE3" w:rsidR="00A361AA" w:rsidRPr="0081206F" w:rsidDel="00ED251F" w:rsidRDefault="00A361AA" w:rsidP="003D7C36">
            <w:pPr>
              <w:tabs>
                <w:tab w:val="left" w:pos="-720"/>
                <w:tab w:val="left" w:pos="0"/>
              </w:tabs>
              <w:suppressAutoHyphens/>
              <w:spacing w:after="0" w:line="240" w:lineRule="auto"/>
              <w:jc w:val="center"/>
              <w:rPr>
                <w:rFonts w:ascii="Arial" w:eastAsia="Times New Roman" w:hAnsi="Arial" w:cs="Arial"/>
                <w:sz w:val="16"/>
                <w:szCs w:val="16"/>
              </w:rPr>
            </w:pPr>
            <w:r>
              <w:rPr>
                <w:rFonts w:ascii="Arial" w:hAnsi="Arial" w:cs="Arial"/>
                <w:color w:val="000000"/>
                <w:sz w:val="16"/>
                <w:szCs w:val="16"/>
              </w:rPr>
              <w:t>17320000</w:t>
            </w:r>
          </w:p>
        </w:tc>
        <w:tc>
          <w:tcPr>
            <w:tcW w:w="426" w:type="pct"/>
            <w:vAlign w:val="center"/>
          </w:tcPr>
          <w:p w14:paraId="12D02E3B" w14:textId="20B083F0" w:rsidR="00A361AA" w:rsidRPr="0081206F" w:rsidDel="00ED251F" w:rsidRDefault="00A361AA" w:rsidP="003D7C36">
            <w:pPr>
              <w:tabs>
                <w:tab w:val="left" w:pos="-720"/>
                <w:tab w:val="left" w:pos="0"/>
              </w:tabs>
              <w:suppressAutoHyphens/>
              <w:spacing w:after="0" w:line="240" w:lineRule="auto"/>
              <w:jc w:val="center"/>
              <w:rPr>
                <w:rFonts w:ascii="Arial" w:eastAsia="Times New Roman" w:hAnsi="Arial" w:cs="Arial"/>
                <w:sz w:val="16"/>
                <w:szCs w:val="16"/>
              </w:rPr>
            </w:pPr>
            <w:r>
              <w:rPr>
                <w:rFonts w:ascii="Arial" w:hAnsi="Arial" w:cs="Arial"/>
                <w:color w:val="000000"/>
                <w:sz w:val="16"/>
                <w:szCs w:val="16"/>
              </w:rPr>
              <w:t>173200</w:t>
            </w:r>
          </w:p>
        </w:tc>
        <w:tc>
          <w:tcPr>
            <w:tcW w:w="535" w:type="pct"/>
            <w:vAlign w:val="center"/>
          </w:tcPr>
          <w:p w14:paraId="578A55F7" w14:textId="7023E87C" w:rsidR="00A361AA" w:rsidRPr="0081206F" w:rsidDel="00ED251F" w:rsidRDefault="00A361AA" w:rsidP="003D7C36">
            <w:pPr>
              <w:tabs>
                <w:tab w:val="left" w:pos="-720"/>
                <w:tab w:val="left" w:pos="0"/>
              </w:tabs>
              <w:suppressAutoHyphens/>
              <w:spacing w:after="0" w:line="240" w:lineRule="auto"/>
              <w:jc w:val="center"/>
              <w:rPr>
                <w:rFonts w:ascii="Arial" w:eastAsia="Times New Roman" w:hAnsi="Arial" w:cs="Arial"/>
                <w:sz w:val="16"/>
                <w:szCs w:val="16"/>
              </w:rPr>
            </w:pPr>
            <w:r>
              <w:rPr>
                <w:rFonts w:ascii="Arial" w:hAnsi="Arial" w:cs="Arial"/>
                <w:color w:val="000000"/>
                <w:sz w:val="16"/>
                <w:szCs w:val="16"/>
              </w:rPr>
              <w:t>12553536</w:t>
            </w:r>
          </w:p>
        </w:tc>
      </w:tr>
      <w:tr w:rsidR="00A361AA" w:rsidRPr="0081206F" w14:paraId="1B1F7591" w14:textId="77777777" w:rsidTr="009C6E11">
        <w:trPr>
          <w:trHeight w:val="431"/>
        </w:trPr>
        <w:tc>
          <w:tcPr>
            <w:tcW w:w="541" w:type="pct"/>
          </w:tcPr>
          <w:p w14:paraId="35ECBA41" w14:textId="4D87DDFD" w:rsidR="00A361AA" w:rsidRPr="0081206F" w:rsidRDefault="00A361AA" w:rsidP="003D7C36">
            <w:pPr>
              <w:tabs>
                <w:tab w:val="left" w:pos="-720"/>
                <w:tab w:val="left" w:pos="0"/>
              </w:tabs>
              <w:suppressAutoHyphens/>
              <w:spacing w:after="0" w:line="240" w:lineRule="auto"/>
              <w:jc w:val="center"/>
              <w:rPr>
                <w:rFonts w:ascii="Arial" w:eastAsia="Times New Roman" w:hAnsi="Arial" w:cs="Arial"/>
                <w:sz w:val="16"/>
                <w:szCs w:val="16"/>
              </w:rPr>
            </w:pPr>
            <w:r>
              <w:rPr>
                <w:rFonts w:ascii="Arial" w:eastAsia="Times New Roman" w:hAnsi="Arial" w:cs="Arial"/>
                <w:sz w:val="16"/>
                <w:szCs w:val="16"/>
              </w:rPr>
              <w:t>45.7</w:t>
            </w:r>
          </w:p>
        </w:tc>
        <w:tc>
          <w:tcPr>
            <w:tcW w:w="539" w:type="pct"/>
            <w:vAlign w:val="center"/>
          </w:tcPr>
          <w:p w14:paraId="55B228B4" w14:textId="4904B601" w:rsidR="00A361AA" w:rsidRPr="0081206F" w:rsidRDefault="00A361AA" w:rsidP="003D7C36">
            <w:pPr>
              <w:tabs>
                <w:tab w:val="left" w:pos="-720"/>
                <w:tab w:val="left" w:pos="0"/>
              </w:tabs>
              <w:suppressAutoHyphens/>
              <w:spacing w:after="0" w:line="240" w:lineRule="auto"/>
              <w:jc w:val="center"/>
              <w:rPr>
                <w:rFonts w:ascii="Arial" w:eastAsia="Times New Roman" w:hAnsi="Arial" w:cs="Arial"/>
                <w:sz w:val="16"/>
                <w:szCs w:val="16"/>
              </w:rPr>
            </w:pPr>
            <w:r>
              <w:rPr>
                <w:rFonts w:ascii="Arial" w:hAnsi="Arial" w:cs="Arial"/>
                <w:color w:val="000000"/>
                <w:sz w:val="16"/>
                <w:szCs w:val="16"/>
              </w:rPr>
              <w:t>1,732</w:t>
            </w:r>
          </w:p>
        </w:tc>
        <w:tc>
          <w:tcPr>
            <w:tcW w:w="508" w:type="pct"/>
            <w:vAlign w:val="center"/>
          </w:tcPr>
          <w:p w14:paraId="2ED05A1B" w14:textId="75A22546" w:rsidR="00A361AA" w:rsidRPr="0081206F" w:rsidRDefault="00A361AA" w:rsidP="003D7C36">
            <w:pPr>
              <w:tabs>
                <w:tab w:val="left" w:pos="-720"/>
                <w:tab w:val="left" w:pos="0"/>
              </w:tabs>
              <w:suppressAutoHyphens/>
              <w:spacing w:after="0" w:line="240" w:lineRule="auto"/>
              <w:ind w:left="405"/>
              <w:rPr>
                <w:rFonts w:ascii="Arial" w:hAnsi="Arial" w:cs="Arial"/>
                <w:sz w:val="16"/>
                <w:szCs w:val="16"/>
              </w:rPr>
            </w:pPr>
            <w:r>
              <w:rPr>
                <w:rFonts w:ascii="Arial" w:hAnsi="Arial" w:cs="Arial"/>
                <w:color w:val="000000"/>
                <w:sz w:val="16"/>
                <w:szCs w:val="16"/>
              </w:rPr>
              <w:t>10,000</w:t>
            </w:r>
          </w:p>
        </w:tc>
        <w:tc>
          <w:tcPr>
            <w:tcW w:w="501" w:type="pct"/>
            <w:vAlign w:val="center"/>
          </w:tcPr>
          <w:p w14:paraId="0A1D9A0D" w14:textId="1D42DE5C" w:rsidR="00A361AA" w:rsidRPr="0081206F" w:rsidRDefault="00A361AA" w:rsidP="003D7C36">
            <w:pPr>
              <w:tabs>
                <w:tab w:val="left" w:pos="-720"/>
                <w:tab w:val="left" w:pos="0"/>
              </w:tabs>
              <w:suppressAutoHyphens/>
              <w:spacing w:after="0" w:line="240" w:lineRule="auto"/>
              <w:jc w:val="center"/>
              <w:rPr>
                <w:rFonts w:ascii="Arial" w:eastAsia="Times New Roman" w:hAnsi="Arial" w:cs="Arial"/>
                <w:sz w:val="16"/>
                <w:szCs w:val="16"/>
              </w:rPr>
            </w:pPr>
            <w:r>
              <w:rPr>
                <w:rFonts w:ascii="Arial" w:hAnsi="Arial" w:cs="Arial"/>
                <w:color w:val="000000"/>
                <w:sz w:val="16"/>
                <w:szCs w:val="16"/>
              </w:rPr>
              <w:t>0.01</w:t>
            </w:r>
          </w:p>
        </w:tc>
        <w:tc>
          <w:tcPr>
            <w:tcW w:w="496" w:type="pct"/>
            <w:vAlign w:val="center"/>
          </w:tcPr>
          <w:p w14:paraId="2CAB88D7" w14:textId="5ED59E1C" w:rsidR="00A361AA" w:rsidRPr="0081206F" w:rsidRDefault="00A361AA" w:rsidP="003D7C36">
            <w:pPr>
              <w:tabs>
                <w:tab w:val="left" w:pos="-720"/>
                <w:tab w:val="left" w:pos="0"/>
              </w:tabs>
              <w:suppressAutoHyphens/>
              <w:spacing w:after="0" w:line="240" w:lineRule="auto"/>
              <w:jc w:val="center"/>
              <w:rPr>
                <w:rFonts w:ascii="Arial" w:eastAsia="Times New Roman" w:hAnsi="Arial" w:cs="Arial"/>
                <w:sz w:val="16"/>
                <w:szCs w:val="16"/>
              </w:rPr>
            </w:pPr>
            <w:r>
              <w:rPr>
                <w:rFonts w:ascii="Arial" w:hAnsi="Arial" w:cs="Arial"/>
                <w:color w:val="000000"/>
                <w:sz w:val="16"/>
                <w:szCs w:val="16"/>
              </w:rPr>
              <w:t>100</w:t>
            </w:r>
          </w:p>
        </w:tc>
        <w:tc>
          <w:tcPr>
            <w:tcW w:w="533" w:type="pct"/>
            <w:vAlign w:val="center"/>
          </w:tcPr>
          <w:p w14:paraId="4BAD68B6" w14:textId="064E844A" w:rsidR="00A361AA" w:rsidRPr="0081206F" w:rsidRDefault="00A361AA" w:rsidP="003D7C36">
            <w:pPr>
              <w:tabs>
                <w:tab w:val="left" w:pos="-720"/>
                <w:tab w:val="left" w:pos="0"/>
              </w:tabs>
              <w:suppressAutoHyphens/>
              <w:spacing w:after="0" w:line="240" w:lineRule="auto"/>
              <w:jc w:val="center"/>
              <w:rPr>
                <w:rFonts w:ascii="Arial" w:eastAsia="Times New Roman" w:hAnsi="Arial" w:cs="Arial"/>
                <w:sz w:val="16"/>
                <w:szCs w:val="16"/>
              </w:rPr>
            </w:pPr>
            <w:r>
              <w:rPr>
                <w:rFonts w:ascii="Arial" w:hAnsi="Arial" w:cs="Arial"/>
                <w:color w:val="000000"/>
                <w:sz w:val="16"/>
                <w:szCs w:val="16"/>
              </w:rPr>
              <w:t xml:space="preserve">$72.48 </w:t>
            </w:r>
          </w:p>
        </w:tc>
        <w:tc>
          <w:tcPr>
            <w:tcW w:w="470" w:type="pct"/>
            <w:vAlign w:val="center"/>
          </w:tcPr>
          <w:p w14:paraId="5696E854" w14:textId="637B2E15" w:rsidR="00A361AA" w:rsidRPr="0081206F" w:rsidRDefault="00A361AA" w:rsidP="003D7C36">
            <w:pPr>
              <w:spacing w:after="0" w:line="240" w:lineRule="auto"/>
              <w:jc w:val="center"/>
              <w:rPr>
                <w:rFonts w:ascii="Arial" w:hAnsi="Arial" w:cs="Arial"/>
                <w:sz w:val="16"/>
                <w:szCs w:val="16"/>
              </w:rPr>
            </w:pPr>
            <w:r>
              <w:rPr>
                <w:rFonts w:ascii="Arial" w:hAnsi="Arial" w:cs="Arial"/>
                <w:color w:val="000000"/>
                <w:sz w:val="16"/>
                <w:szCs w:val="16"/>
              </w:rPr>
              <w:t>7248</w:t>
            </w:r>
          </w:p>
        </w:tc>
        <w:tc>
          <w:tcPr>
            <w:tcW w:w="451" w:type="pct"/>
            <w:vAlign w:val="center"/>
          </w:tcPr>
          <w:p w14:paraId="765BD307" w14:textId="2F97E134" w:rsidR="00A361AA" w:rsidRPr="0081206F" w:rsidRDefault="00A361AA" w:rsidP="003D7C36">
            <w:pPr>
              <w:tabs>
                <w:tab w:val="left" w:pos="-720"/>
                <w:tab w:val="left" w:pos="0"/>
              </w:tabs>
              <w:suppressAutoHyphens/>
              <w:spacing w:after="0" w:line="240" w:lineRule="auto"/>
              <w:jc w:val="center"/>
              <w:rPr>
                <w:rFonts w:ascii="Arial" w:eastAsia="Times New Roman" w:hAnsi="Arial" w:cs="Arial"/>
                <w:sz w:val="16"/>
                <w:szCs w:val="16"/>
              </w:rPr>
            </w:pPr>
            <w:r>
              <w:rPr>
                <w:rFonts w:ascii="Arial" w:hAnsi="Arial" w:cs="Arial"/>
                <w:color w:val="000000"/>
                <w:sz w:val="16"/>
                <w:szCs w:val="16"/>
              </w:rPr>
              <w:t>17320000</w:t>
            </w:r>
          </w:p>
        </w:tc>
        <w:tc>
          <w:tcPr>
            <w:tcW w:w="426" w:type="pct"/>
            <w:vAlign w:val="center"/>
          </w:tcPr>
          <w:p w14:paraId="3BBB9EB1" w14:textId="61292B6C" w:rsidR="00A361AA" w:rsidRPr="0081206F" w:rsidRDefault="00A361AA" w:rsidP="003D7C36">
            <w:pPr>
              <w:tabs>
                <w:tab w:val="left" w:pos="-720"/>
                <w:tab w:val="left" w:pos="0"/>
              </w:tabs>
              <w:suppressAutoHyphens/>
              <w:spacing w:after="0" w:line="240" w:lineRule="auto"/>
              <w:jc w:val="center"/>
              <w:rPr>
                <w:rFonts w:ascii="Arial" w:eastAsia="Times New Roman" w:hAnsi="Arial" w:cs="Arial"/>
                <w:sz w:val="16"/>
                <w:szCs w:val="16"/>
              </w:rPr>
            </w:pPr>
            <w:r>
              <w:rPr>
                <w:rFonts w:ascii="Arial" w:hAnsi="Arial" w:cs="Arial"/>
                <w:color w:val="000000"/>
                <w:sz w:val="16"/>
                <w:szCs w:val="16"/>
              </w:rPr>
              <w:t>173200</w:t>
            </w:r>
          </w:p>
        </w:tc>
        <w:tc>
          <w:tcPr>
            <w:tcW w:w="535" w:type="pct"/>
            <w:vAlign w:val="center"/>
          </w:tcPr>
          <w:p w14:paraId="27C3BC67" w14:textId="091A5A86" w:rsidR="00A361AA" w:rsidRPr="0081206F" w:rsidRDefault="00A361AA" w:rsidP="003D7C36">
            <w:pPr>
              <w:tabs>
                <w:tab w:val="left" w:pos="-720"/>
                <w:tab w:val="left" w:pos="0"/>
              </w:tabs>
              <w:suppressAutoHyphens/>
              <w:spacing w:after="0" w:line="240" w:lineRule="auto"/>
              <w:jc w:val="center"/>
              <w:rPr>
                <w:rFonts w:ascii="Arial" w:eastAsia="Times New Roman" w:hAnsi="Arial" w:cs="Arial"/>
                <w:sz w:val="16"/>
                <w:szCs w:val="16"/>
              </w:rPr>
            </w:pPr>
            <w:r>
              <w:rPr>
                <w:rFonts w:ascii="Arial" w:hAnsi="Arial" w:cs="Arial"/>
                <w:color w:val="000000"/>
                <w:sz w:val="16"/>
                <w:szCs w:val="16"/>
              </w:rPr>
              <w:t>12553536</w:t>
            </w:r>
          </w:p>
        </w:tc>
      </w:tr>
      <w:tr w:rsidR="00A361AA" w:rsidRPr="0081206F" w14:paraId="2FCD5B8A" w14:textId="77777777" w:rsidTr="009C6E11">
        <w:trPr>
          <w:trHeight w:val="431"/>
        </w:trPr>
        <w:tc>
          <w:tcPr>
            <w:tcW w:w="541" w:type="pct"/>
          </w:tcPr>
          <w:p w14:paraId="2240BB7C" w14:textId="705C1464" w:rsidR="00A361AA" w:rsidRPr="0081206F" w:rsidRDefault="00A361AA" w:rsidP="003D7C36">
            <w:pPr>
              <w:tabs>
                <w:tab w:val="left" w:pos="-720"/>
                <w:tab w:val="left" w:pos="0"/>
              </w:tabs>
              <w:suppressAutoHyphens/>
              <w:spacing w:after="0" w:line="240" w:lineRule="auto"/>
              <w:jc w:val="center"/>
              <w:rPr>
                <w:rFonts w:ascii="Arial" w:eastAsia="Times New Roman" w:hAnsi="Arial" w:cs="Arial"/>
                <w:sz w:val="16"/>
                <w:szCs w:val="16"/>
              </w:rPr>
            </w:pPr>
            <w:r>
              <w:rPr>
                <w:rFonts w:ascii="Arial" w:eastAsia="Times New Roman" w:hAnsi="Arial" w:cs="Arial"/>
                <w:sz w:val="16"/>
                <w:szCs w:val="16"/>
              </w:rPr>
              <w:t>45.14</w:t>
            </w:r>
          </w:p>
        </w:tc>
        <w:tc>
          <w:tcPr>
            <w:tcW w:w="539" w:type="pct"/>
            <w:vAlign w:val="center"/>
          </w:tcPr>
          <w:p w14:paraId="286549BB" w14:textId="13D9A1B0" w:rsidR="00A361AA" w:rsidRPr="0081206F" w:rsidRDefault="00A361AA" w:rsidP="003D7C36">
            <w:pPr>
              <w:tabs>
                <w:tab w:val="left" w:pos="-720"/>
                <w:tab w:val="left" w:pos="0"/>
              </w:tabs>
              <w:suppressAutoHyphens/>
              <w:spacing w:after="0" w:line="240" w:lineRule="auto"/>
              <w:jc w:val="center"/>
              <w:rPr>
                <w:rFonts w:ascii="Arial" w:eastAsia="Times New Roman" w:hAnsi="Arial" w:cs="Arial"/>
                <w:sz w:val="16"/>
                <w:szCs w:val="16"/>
              </w:rPr>
            </w:pPr>
            <w:r>
              <w:rPr>
                <w:rFonts w:ascii="Arial" w:hAnsi="Arial" w:cs="Arial"/>
                <w:color w:val="000000"/>
                <w:sz w:val="16"/>
                <w:szCs w:val="16"/>
              </w:rPr>
              <w:t>1,732</w:t>
            </w:r>
          </w:p>
        </w:tc>
        <w:tc>
          <w:tcPr>
            <w:tcW w:w="508" w:type="pct"/>
            <w:vAlign w:val="center"/>
          </w:tcPr>
          <w:p w14:paraId="50CA61ED" w14:textId="29131F32" w:rsidR="00A361AA" w:rsidRPr="0081206F" w:rsidRDefault="00A361AA" w:rsidP="003D7C36">
            <w:pPr>
              <w:tabs>
                <w:tab w:val="left" w:pos="-720"/>
                <w:tab w:val="left" w:pos="0"/>
              </w:tabs>
              <w:suppressAutoHyphens/>
              <w:spacing w:after="0" w:line="240" w:lineRule="auto"/>
              <w:ind w:left="405"/>
              <w:rPr>
                <w:rFonts w:ascii="Arial" w:hAnsi="Arial" w:cs="Arial"/>
                <w:sz w:val="16"/>
                <w:szCs w:val="16"/>
              </w:rPr>
            </w:pPr>
            <w:r>
              <w:rPr>
                <w:rFonts w:ascii="Arial" w:hAnsi="Arial" w:cs="Arial"/>
                <w:color w:val="000000"/>
                <w:sz w:val="16"/>
                <w:szCs w:val="16"/>
              </w:rPr>
              <w:t>52</w:t>
            </w:r>
          </w:p>
        </w:tc>
        <w:tc>
          <w:tcPr>
            <w:tcW w:w="501" w:type="pct"/>
            <w:vAlign w:val="center"/>
          </w:tcPr>
          <w:p w14:paraId="7F1B9683" w14:textId="712E77A9" w:rsidR="00A361AA" w:rsidRPr="0081206F" w:rsidRDefault="00A361AA" w:rsidP="003D7C36">
            <w:pPr>
              <w:tabs>
                <w:tab w:val="left" w:pos="-720"/>
                <w:tab w:val="left" w:pos="0"/>
              </w:tabs>
              <w:suppressAutoHyphens/>
              <w:spacing w:after="0" w:line="240" w:lineRule="auto"/>
              <w:jc w:val="center"/>
              <w:rPr>
                <w:rFonts w:ascii="Arial" w:eastAsia="Times New Roman" w:hAnsi="Arial" w:cs="Arial"/>
                <w:sz w:val="16"/>
                <w:szCs w:val="16"/>
              </w:rPr>
            </w:pPr>
            <w:r>
              <w:rPr>
                <w:rFonts w:ascii="Arial" w:hAnsi="Arial" w:cs="Arial"/>
                <w:color w:val="000000"/>
                <w:sz w:val="16"/>
                <w:szCs w:val="16"/>
              </w:rPr>
              <w:t>2</w:t>
            </w:r>
          </w:p>
        </w:tc>
        <w:tc>
          <w:tcPr>
            <w:tcW w:w="496" w:type="pct"/>
            <w:vAlign w:val="center"/>
          </w:tcPr>
          <w:p w14:paraId="606A227D" w14:textId="19263E75" w:rsidR="00A361AA" w:rsidRPr="0081206F" w:rsidRDefault="00A361AA" w:rsidP="003D7C36">
            <w:pPr>
              <w:tabs>
                <w:tab w:val="left" w:pos="-720"/>
                <w:tab w:val="left" w:pos="0"/>
              </w:tabs>
              <w:suppressAutoHyphens/>
              <w:spacing w:after="0" w:line="240" w:lineRule="auto"/>
              <w:jc w:val="center"/>
              <w:rPr>
                <w:rFonts w:ascii="Arial" w:eastAsia="Times New Roman" w:hAnsi="Arial" w:cs="Arial"/>
                <w:sz w:val="16"/>
                <w:szCs w:val="16"/>
              </w:rPr>
            </w:pPr>
            <w:r>
              <w:rPr>
                <w:rFonts w:ascii="Arial" w:hAnsi="Arial" w:cs="Arial"/>
                <w:color w:val="000000"/>
                <w:sz w:val="16"/>
                <w:szCs w:val="16"/>
              </w:rPr>
              <w:t>104</w:t>
            </w:r>
          </w:p>
        </w:tc>
        <w:tc>
          <w:tcPr>
            <w:tcW w:w="533" w:type="pct"/>
            <w:vAlign w:val="center"/>
          </w:tcPr>
          <w:p w14:paraId="62B9FBD6" w14:textId="30A25600" w:rsidR="00A361AA" w:rsidRPr="0081206F" w:rsidRDefault="00A361AA" w:rsidP="003D7C36">
            <w:pPr>
              <w:tabs>
                <w:tab w:val="left" w:pos="-720"/>
                <w:tab w:val="left" w:pos="0"/>
              </w:tabs>
              <w:suppressAutoHyphens/>
              <w:spacing w:after="0" w:line="240" w:lineRule="auto"/>
              <w:jc w:val="center"/>
              <w:rPr>
                <w:rFonts w:ascii="Arial" w:eastAsia="Times New Roman" w:hAnsi="Arial" w:cs="Arial"/>
                <w:sz w:val="16"/>
                <w:szCs w:val="16"/>
              </w:rPr>
            </w:pPr>
            <w:r>
              <w:rPr>
                <w:rFonts w:ascii="Arial" w:hAnsi="Arial" w:cs="Arial"/>
                <w:color w:val="000000"/>
                <w:sz w:val="16"/>
                <w:szCs w:val="16"/>
              </w:rPr>
              <w:t xml:space="preserve">$72.48 </w:t>
            </w:r>
          </w:p>
        </w:tc>
        <w:tc>
          <w:tcPr>
            <w:tcW w:w="470" w:type="pct"/>
            <w:vAlign w:val="center"/>
          </w:tcPr>
          <w:p w14:paraId="13FF2633" w14:textId="090FEFA5" w:rsidR="00A361AA" w:rsidRPr="0081206F" w:rsidRDefault="00A361AA" w:rsidP="003D7C36">
            <w:pPr>
              <w:spacing w:after="0" w:line="240" w:lineRule="auto"/>
              <w:jc w:val="center"/>
              <w:rPr>
                <w:rFonts w:ascii="Arial" w:hAnsi="Arial" w:cs="Arial"/>
                <w:sz w:val="16"/>
                <w:szCs w:val="16"/>
              </w:rPr>
            </w:pPr>
            <w:r>
              <w:rPr>
                <w:rFonts w:ascii="Arial" w:hAnsi="Arial" w:cs="Arial"/>
                <w:color w:val="000000"/>
                <w:sz w:val="16"/>
                <w:szCs w:val="16"/>
              </w:rPr>
              <w:t>7537.92</w:t>
            </w:r>
          </w:p>
        </w:tc>
        <w:tc>
          <w:tcPr>
            <w:tcW w:w="451" w:type="pct"/>
            <w:vAlign w:val="center"/>
          </w:tcPr>
          <w:p w14:paraId="3E6923C1" w14:textId="37EA59C5" w:rsidR="00A361AA" w:rsidRPr="0081206F" w:rsidRDefault="00A361AA" w:rsidP="003D7C36">
            <w:pPr>
              <w:tabs>
                <w:tab w:val="left" w:pos="-720"/>
                <w:tab w:val="left" w:pos="0"/>
              </w:tabs>
              <w:suppressAutoHyphens/>
              <w:spacing w:after="0" w:line="240" w:lineRule="auto"/>
              <w:jc w:val="center"/>
              <w:rPr>
                <w:rFonts w:ascii="Arial" w:eastAsia="Times New Roman" w:hAnsi="Arial" w:cs="Arial"/>
                <w:sz w:val="16"/>
                <w:szCs w:val="16"/>
              </w:rPr>
            </w:pPr>
            <w:r>
              <w:rPr>
                <w:rFonts w:ascii="Arial" w:hAnsi="Arial" w:cs="Arial"/>
                <w:color w:val="000000"/>
                <w:sz w:val="16"/>
                <w:szCs w:val="16"/>
              </w:rPr>
              <w:t>90064</w:t>
            </w:r>
          </w:p>
        </w:tc>
        <w:tc>
          <w:tcPr>
            <w:tcW w:w="426" w:type="pct"/>
            <w:vAlign w:val="center"/>
          </w:tcPr>
          <w:p w14:paraId="628D89EA" w14:textId="1189F6E9" w:rsidR="00A361AA" w:rsidRPr="0081206F" w:rsidRDefault="00A361AA" w:rsidP="003D7C36">
            <w:pPr>
              <w:tabs>
                <w:tab w:val="left" w:pos="-720"/>
                <w:tab w:val="left" w:pos="0"/>
              </w:tabs>
              <w:suppressAutoHyphens/>
              <w:spacing w:after="0" w:line="240" w:lineRule="auto"/>
              <w:jc w:val="center"/>
              <w:rPr>
                <w:rFonts w:ascii="Arial" w:eastAsia="Times New Roman" w:hAnsi="Arial" w:cs="Arial"/>
                <w:sz w:val="16"/>
                <w:szCs w:val="16"/>
              </w:rPr>
            </w:pPr>
            <w:r>
              <w:rPr>
                <w:rFonts w:ascii="Arial" w:hAnsi="Arial" w:cs="Arial"/>
                <w:color w:val="000000"/>
                <w:sz w:val="16"/>
                <w:szCs w:val="16"/>
              </w:rPr>
              <w:t>180128</w:t>
            </w:r>
          </w:p>
        </w:tc>
        <w:tc>
          <w:tcPr>
            <w:tcW w:w="535" w:type="pct"/>
            <w:vAlign w:val="center"/>
          </w:tcPr>
          <w:p w14:paraId="6AF0B7F0" w14:textId="373ABD81" w:rsidR="00A361AA" w:rsidRPr="0081206F" w:rsidRDefault="00A361AA" w:rsidP="003D7C36">
            <w:pPr>
              <w:tabs>
                <w:tab w:val="left" w:pos="-720"/>
                <w:tab w:val="left" w:pos="0"/>
              </w:tabs>
              <w:suppressAutoHyphens/>
              <w:spacing w:after="0" w:line="240" w:lineRule="auto"/>
              <w:jc w:val="center"/>
              <w:rPr>
                <w:rFonts w:ascii="Arial" w:eastAsia="Times New Roman" w:hAnsi="Arial" w:cs="Arial"/>
                <w:sz w:val="16"/>
                <w:szCs w:val="16"/>
              </w:rPr>
            </w:pPr>
            <w:r>
              <w:rPr>
                <w:rFonts w:ascii="Arial" w:hAnsi="Arial" w:cs="Arial"/>
                <w:color w:val="000000"/>
                <w:sz w:val="16"/>
                <w:szCs w:val="16"/>
              </w:rPr>
              <w:t>13055677.4</w:t>
            </w:r>
          </w:p>
        </w:tc>
      </w:tr>
      <w:tr w:rsidR="00117005" w:rsidRPr="0081206F" w14:paraId="4A7C2088" w14:textId="77777777" w:rsidTr="00F7189B">
        <w:trPr>
          <w:trHeight w:val="377"/>
        </w:trPr>
        <w:tc>
          <w:tcPr>
            <w:tcW w:w="541" w:type="pct"/>
          </w:tcPr>
          <w:p w14:paraId="296EC418" w14:textId="1787263C" w:rsidR="00117005" w:rsidRPr="0081206F" w:rsidRDefault="00117005" w:rsidP="003D7C36">
            <w:pPr>
              <w:tabs>
                <w:tab w:val="left" w:pos="-720"/>
                <w:tab w:val="left" w:pos="0"/>
              </w:tabs>
              <w:suppressAutoHyphens/>
              <w:spacing w:after="0" w:line="240" w:lineRule="auto"/>
              <w:jc w:val="center"/>
              <w:rPr>
                <w:rFonts w:ascii="Arial" w:eastAsia="Times New Roman" w:hAnsi="Arial" w:cs="Arial"/>
                <w:sz w:val="16"/>
                <w:szCs w:val="16"/>
              </w:rPr>
            </w:pPr>
          </w:p>
        </w:tc>
        <w:tc>
          <w:tcPr>
            <w:tcW w:w="539" w:type="pct"/>
          </w:tcPr>
          <w:p w14:paraId="19659122" w14:textId="77777777" w:rsidR="00117005" w:rsidRPr="0081206F" w:rsidRDefault="00117005" w:rsidP="003D7C36">
            <w:pPr>
              <w:tabs>
                <w:tab w:val="left" w:pos="-720"/>
                <w:tab w:val="left" w:pos="0"/>
              </w:tabs>
              <w:suppressAutoHyphens/>
              <w:spacing w:after="0" w:line="240" w:lineRule="auto"/>
              <w:jc w:val="center"/>
              <w:rPr>
                <w:rFonts w:ascii="Arial" w:eastAsia="Times New Roman" w:hAnsi="Arial" w:cs="Arial"/>
                <w:sz w:val="16"/>
                <w:szCs w:val="16"/>
              </w:rPr>
            </w:pPr>
          </w:p>
        </w:tc>
        <w:tc>
          <w:tcPr>
            <w:tcW w:w="508" w:type="pct"/>
          </w:tcPr>
          <w:p w14:paraId="687D729B" w14:textId="77777777" w:rsidR="00117005" w:rsidRPr="0081206F" w:rsidRDefault="00117005" w:rsidP="003D7C36">
            <w:pPr>
              <w:tabs>
                <w:tab w:val="left" w:pos="-720"/>
                <w:tab w:val="left" w:pos="0"/>
              </w:tabs>
              <w:suppressAutoHyphens/>
              <w:spacing w:after="0" w:line="240" w:lineRule="auto"/>
              <w:ind w:left="405"/>
              <w:rPr>
                <w:rFonts w:ascii="Arial" w:hAnsi="Arial" w:cs="Arial"/>
                <w:sz w:val="16"/>
                <w:szCs w:val="16"/>
              </w:rPr>
            </w:pPr>
          </w:p>
        </w:tc>
        <w:tc>
          <w:tcPr>
            <w:tcW w:w="501" w:type="pct"/>
          </w:tcPr>
          <w:p w14:paraId="2FA2996C" w14:textId="77777777" w:rsidR="00117005" w:rsidRPr="0081206F" w:rsidRDefault="00117005" w:rsidP="003D7C36">
            <w:pPr>
              <w:tabs>
                <w:tab w:val="left" w:pos="-720"/>
                <w:tab w:val="left" w:pos="0"/>
              </w:tabs>
              <w:suppressAutoHyphens/>
              <w:spacing w:after="0" w:line="240" w:lineRule="auto"/>
              <w:jc w:val="center"/>
              <w:rPr>
                <w:rFonts w:ascii="Arial" w:eastAsia="Times New Roman" w:hAnsi="Arial" w:cs="Arial"/>
                <w:sz w:val="16"/>
                <w:szCs w:val="16"/>
              </w:rPr>
            </w:pPr>
          </w:p>
        </w:tc>
        <w:tc>
          <w:tcPr>
            <w:tcW w:w="496" w:type="pct"/>
          </w:tcPr>
          <w:p w14:paraId="0BE49A68" w14:textId="77777777" w:rsidR="00117005" w:rsidRPr="0081206F" w:rsidRDefault="00117005" w:rsidP="003D7C36">
            <w:pPr>
              <w:tabs>
                <w:tab w:val="left" w:pos="-720"/>
                <w:tab w:val="left" w:pos="0"/>
              </w:tabs>
              <w:suppressAutoHyphens/>
              <w:spacing w:after="0" w:line="240" w:lineRule="auto"/>
              <w:jc w:val="center"/>
              <w:rPr>
                <w:rFonts w:ascii="Arial" w:eastAsia="Times New Roman" w:hAnsi="Arial" w:cs="Arial"/>
                <w:sz w:val="16"/>
                <w:szCs w:val="16"/>
              </w:rPr>
            </w:pPr>
          </w:p>
        </w:tc>
        <w:tc>
          <w:tcPr>
            <w:tcW w:w="533" w:type="pct"/>
          </w:tcPr>
          <w:p w14:paraId="5C0436E9" w14:textId="77777777" w:rsidR="00117005" w:rsidRPr="0081206F" w:rsidRDefault="00117005" w:rsidP="003D7C36">
            <w:pPr>
              <w:tabs>
                <w:tab w:val="left" w:pos="-720"/>
                <w:tab w:val="left" w:pos="0"/>
              </w:tabs>
              <w:suppressAutoHyphens/>
              <w:spacing w:after="0" w:line="240" w:lineRule="auto"/>
              <w:jc w:val="center"/>
              <w:rPr>
                <w:rFonts w:ascii="Arial" w:eastAsia="Times New Roman" w:hAnsi="Arial" w:cs="Arial"/>
                <w:sz w:val="16"/>
                <w:szCs w:val="16"/>
              </w:rPr>
            </w:pPr>
          </w:p>
        </w:tc>
        <w:tc>
          <w:tcPr>
            <w:tcW w:w="470" w:type="pct"/>
          </w:tcPr>
          <w:p w14:paraId="28BB6C27" w14:textId="77777777" w:rsidR="00117005" w:rsidRPr="0081206F" w:rsidRDefault="00117005" w:rsidP="003D7C36">
            <w:pPr>
              <w:spacing w:after="0" w:line="240" w:lineRule="auto"/>
              <w:jc w:val="center"/>
              <w:rPr>
                <w:rFonts w:ascii="Arial" w:hAnsi="Arial" w:cs="Arial"/>
                <w:sz w:val="16"/>
                <w:szCs w:val="16"/>
              </w:rPr>
            </w:pPr>
          </w:p>
        </w:tc>
        <w:tc>
          <w:tcPr>
            <w:tcW w:w="451" w:type="pct"/>
            <w:vAlign w:val="center"/>
          </w:tcPr>
          <w:p w14:paraId="3930D009" w14:textId="3882C444" w:rsidR="00117005" w:rsidRPr="0081206F" w:rsidRDefault="00A361AA" w:rsidP="003D7C36">
            <w:pPr>
              <w:tabs>
                <w:tab w:val="left" w:pos="-720"/>
                <w:tab w:val="left" w:pos="0"/>
              </w:tabs>
              <w:suppressAutoHyphens/>
              <w:spacing w:after="0" w:line="240" w:lineRule="auto"/>
              <w:jc w:val="center"/>
              <w:rPr>
                <w:rFonts w:ascii="Arial" w:eastAsia="Times New Roman" w:hAnsi="Arial" w:cs="Arial"/>
                <w:sz w:val="16"/>
                <w:szCs w:val="16"/>
              </w:rPr>
            </w:pPr>
            <w:r w:rsidRPr="00A361AA">
              <w:rPr>
                <w:rFonts w:ascii="Arial" w:hAnsi="Arial" w:cs="Arial"/>
                <w:color w:val="000000"/>
                <w:sz w:val="16"/>
                <w:szCs w:val="16"/>
              </w:rPr>
              <w:t>428,834,540</w:t>
            </w:r>
          </w:p>
        </w:tc>
        <w:tc>
          <w:tcPr>
            <w:tcW w:w="426" w:type="pct"/>
            <w:vAlign w:val="center"/>
          </w:tcPr>
          <w:p w14:paraId="20A9C822" w14:textId="0FE43046" w:rsidR="00117005" w:rsidRPr="0081206F" w:rsidRDefault="00117005" w:rsidP="003D7C36">
            <w:pPr>
              <w:tabs>
                <w:tab w:val="left" w:pos="-720"/>
                <w:tab w:val="left" w:pos="0"/>
              </w:tabs>
              <w:suppressAutoHyphens/>
              <w:spacing w:after="0" w:line="240" w:lineRule="auto"/>
              <w:jc w:val="center"/>
              <w:rPr>
                <w:rFonts w:ascii="Arial" w:eastAsia="Times New Roman" w:hAnsi="Arial" w:cs="Arial"/>
                <w:sz w:val="16"/>
                <w:szCs w:val="16"/>
              </w:rPr>
            </w:pPr>
            <w:r>
              <w:rPr>
                <w:rFonts w:ascii="Arial" w:hAnsi="Arial" w:cs="Arial"/>
                <w:color w:val="000000"/>
                <w:sz w:val="16"/>
                <w:szCs w:val="16"/>
              </w:rPr>
              <w:t>1,153,402</w:t>
            </w:r>
          </w:p>
        </w:tc>
        <w:tc>
          <w:tcPr>
            <w:tcW w:w="535" w:type="pct"/>
          </w:tcPr>
          <w:p w14:paraId="2C6F722E" w14:textId="083EB876" w:rsidR="00117005" w:rsidRPr="0081206F" w:rsidRDefault="00117005" w:rsidP="003D7C36">
            <w:pPr>
              <w:tabs>
                <w:tab w:val="left" w:pos="-720"/>
                <w:tab w:val="left" w:pos="0"/>
              </w:tabs>
              <w:suppressAutoHyphens/>
              <w:spacing w:after="0" w:line="240" w:lineRule="auto"/>
              <w:jc w:val="center"/>
              <w:rPr>
                <w:rFonts w:ascii="Arial" w:eastAsia="Times New Roman" w:hAnsi="Arial" w:cs="Arial"/>
                <w:sz w:val="16"/>
                <w:szCs w:val="16"/>
              </w:rPr>
            </w:pPr>
          </w:p>
        </w:tc>
      </w:tr>
    </w:tbl>
    <w:p w14:paraId="16F8E8BC" w14:textId="77777777" w:rsidR="0081206F" w:rsidRPr="0081206F" w:rsidRDefault="0081206F" w:rsidP="0081206F">
      <w:pPr>
        <w:tabs>
          <w:tab w:val="left" w:pos="-720"/>
          <w:tab w:val="left" w:pos="0"/>
        </w:tabs>
        <w:suppressAutoHyphens/>
        <w:ind w:left="720" w:hanging="720"/>
        <w:jc w:val="center"/>
        <w:rPr>
          <w:rFonts w:ascii="Times New Roman" w:hAnsi="Times New Roman" w:cs="Times New Roman"/>
        </w:rPr>
      </w:pPr>
    </w:p>
    <w:p w14:paraId="57D3806D" w14:textId="3A10BD72" w:rsidR="00EA7C82" w:rsidRDefault="005034A3" w:rsidP="005034A3">
      <w:pPr>
        <w:jc w:val="center"/>
        <w:rPr>
          <w:rFonts w:ascii="Times New Roman" w:hAnsi="Times New Roman" w:cs="Times New Roman"/>
        </w:rPr>
      </w:pPr>
      <w:r>
        <w:rPr>
          <w:rFonts w:ascii="Times New Roman" w:hAnsi="Times New Roman" w:cs="Times New Roman"/>
        </w:rPr>
        <w:t>Recordkeeping</w:t>
      </w:r>
      <w:r w:rsidRPr="005034A3">
        <w:rPr>
          <w:rFonts w:ascii="Times New Roman" w:hAnsi="Times New Roman" w:cs="Times New Roman"/>
        </w:rPr>
        <w:t xml:space="preserve"> Burden</w:t>
      </w:r>
    </w:p>
    <w:tbl>
      <w:tblPr>
        <w:tblW w:w="5968" w:type="pct"/>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3"/>
        <w:gridCol w:w="1258"/>
        <w:gridCol w:w="1182"/>
        <w:gridCol w:w="1170"/>
        <w:gridCol w:w="1159"/>
        <w:gridCol w:w="1260"/>
        <w:gridCol w:w="1079"/>
        <w:gridCol w:w="1079"/>
        <w:gridCol w:w="990"/>
        <w:gridCol w:w="990"/>
      </w:tblGrid>
      <w:tr w:rsidR="005034A3" w:rsidRPr="0081206F" w:rsidDel="009C6DB4" w14:paraId="40A545D5" w14:textId="77777777" w:rsidTr="003D0186">
        <w:trPr>
          <w:trHeight w:val="1427"/>
        </w:trPr>
        <w:tc>
          <w:tcPr>
            <w:tcW w:w="552" w:type="pct"/>
          </w:tcPr>
          <w:p w14:paraId="02DC8F78" w14:textId="77777777" w:rsidR="005034A3" w:rsidRPr="0081206F" w:rsidRDefault="005034A3" w:rsidP="0017431F">
            <w:pPr>
              <w:tabs>
                <w:tab w:val="left" w:pos="-720"/>
                <w:tab w:val="left" w:pos="0"/>
              </w:tabs>
              <w:suppressAutoHyphens/>
              <w:spacing w:after="0" w:line="240" w:lineRule="auto"/>
              <w:jc w:val="center"/>
              <w:rPr>
                <w:rFonts w:ascii="Arial" w:eastAsia="Times New Roman" w:hAnsi="Arial" w:cs="Arial"/>
                <w:b/>
                <w:sz w:val="16"/>
                <w:szCs w:val="16"/>
              </w:rPr>
            </w:pPr>
            <w:r w:rsidRPr="0081206F">
              <w:rPr>
                <w:rFonts w:ascii="Arial" w:eastAsia="Times New Roman" w:hAnsi="Arial" w:cs="Arial"/>
                <w:b/>
                <w:sz w:val="16"/>
                <w:szCs w:val="16"/>
              </w:rPr>
              <w:t>1.</w:t>
            </w:r>
          </w:p>
          <w:p w14:paraId="62788EA9" w14:textId="77777777" w:rsidR="005034A3" w:rsidRPr="0081206F" w:rsidRDefault="005034A3" w:rsidP="0017431F">
            <w:pPr>
              <w:tabs>
                <w:tab w:val="left" w:pos="-720"/>
                <w:tab w:val="left" w:pos="0"/>
              </w:tabs>
              <w:suppressAutoHyphens/>
              <w:spacing w:after="0" w:line="240" w:lineRule="auto"/>
              <w:jc w:val="center"/>
              <w:rPr>
                <w:rFonts w:ascii="Arial" w:eastAsia="Times New Roman" w:hAnsi="Arial" w:cs="Arial"/>
                <w:b/>
                <w:sz w:val="16"/>
                <w:szCs w:val="16"/>
              </w:rPr>
            </w:pPr>
            <w:r w:rsidRPr="0081206F">
              <w:rPr>
                <w:rFonts w:ascii="Arial" w:eastAsia="Times New Roman" w:hAnsi="Arial" w:cs="Arial"/>
                <w:b/>
                <w:sz w:val="16"/>
                <w:szCs w:val="16"/>
              </w:rPr>
              <w:t>Regulation(s)</w:t>
            </w:r>
          </w:p>
        </w:tc>
        <w:tc>
          <w:tcPr>
            <w:tcW w:w="550" w:type="pct"/>
          </w:tcPr>
          <w:p w14:paraId="4605DFB5" w14:textId="77777777" w:rsidR="005034A3" w:rsidRPr="0081206F" w:rsidRDefault="005034A3" w:rsidP="0017431F">
            <w:pPr>
              <w:tabs>
                <w:tab w:val="left" w:pos="-720"/>
                <w:tab w:val="left" w:pos="0"/>
              </w:tabs>
              <w:suppressAutoHyphens/>
              <w:spacing w:after="0" w:line="240" w:lineRule="auto"/>
              <w:jc w:val="center"/>
              <w:rPr>
                <w:rFonts w:ascii="Arial" w:eastAsia="Times New Roman" w:hAnsi="Arial" w:cs="Arial"/>
                <w:b/>
                <w:sz w:val="16"/>
                <w:szCs w:val="16"/>
              </w:rPr>
            </w:pPr>
            <w:r w:rsidRPr="0081206F">
              <w:rPr>
                <w:rFonts w:ascii="Arial" w:eastAsia="Times New Roman" w:hAnsi="Arial" w:cs="Arial"/>
                <w:b/>
                <w:sz w:val="16"/>
                <w:szCs w:val="16"/>
              </w:rPr>
              <w:t>2.</w:t>
            </w:r>
          </w:p>
          <w:p w14:paraId="6A640C53" w14:textId="77777777" w:rsidR="005034A3" w:rsidRPr="0081206F" w:rsidRDefault="005034A3" w:rsidP="0017431F">
            <w:pPr>
              <w:tabs>
                <w:tab w:val="left" w:pos="-720"/>
                <w:tab w:val="left" w:pos="0"/>
              </w:tabs>
              <w:suppressAutoHyphens/>
              <w:spacing w:after="0" w:line="240" w:lineRule="auto"/>
              <w:jc w:val="center"/>
              <w:rPr>
                <w:rFonts w:ascii="Arial" w:eastAsia="Times New Roman" w:hAnsi="Arial" w:cs="Arial"/>
                <w:b/>
                <w:sz w:val="16"/>
                <w:szCs w:val="16"/>
              </w:rPr>
            </w:pPr>
            <w:r w:rsidRPr="0081206F">
              <w:rPr>
                <w:rFonts w:ascii="Arial" w:eastAsia="Times New Roman" w:hAnsi="Arial" w:cs="Arial"/>
                <w:b/>
                <w:sz w:val="16"/>
                <w:szCs w:val="16"/>
              </w:rPr>
              <w:t xml:space="preserve">Estimated Number of Respondents </w:t>
            </w:r>
          </w:p>
          <w:p w14:paraId="1B39C9BC" w14:textId="77777777" w:rsidR="005034A3" w:rsidRPr="0081206F" w:rsidRDefault="005034A3" w:rsidP="0017431F">
            <w:pPr>
              <w:tabs>
                <w:tab w:val="left" w:pos="-720"/>
                <w:tab w:val="left" w:pos="0"/>
              </w:tabs>
              <w:suppressAutoHyphens/>
              <w:spacing w:after="0" w:line="240" w:lineRule="auto"/>
              <w:jc w:val="center"/>
              <w:rPr>
                <w:rFonts w:ascii="Arial" w:eastAsia="Times New Roman" w:hAnsi="Arial" w:cs="Arial"/>
                <w:b/>
                <w:sz w:val="16"/>
                <w:szCs w:val="16"/>
              </w:rPr>
            </w:pPr>
          </w:p>
        </w:tc>
        <w:tc>
          <w:tcPr>
            <w:tcW w:w="517" w:type="pct"/>
          </w:tcPr>
          <w:p w14:paraId="12FCF543" w14:textId="77777777" w:rsidR="005034A3" w:rsidRPr="0081206F" w:rsidRDefault="005034A3" w:rsidP="0017431F">
            <w:pPr>
              <w:tabs>
                <w:tab w:val="left" w:pos="-720"/>
                <w:tab w:val="left" w:pos="0"/>
              </w:tabs>
              <w:suppressAutoHyphens/>
              <w:spacing w:after="0" w:line="240" w:lineRule="auto"/>
              <w:jc w:val="center"/>
              <w:rPr>
                <w:rFonts w:ascii="Arial" w:eastAsia="Times New Roman" w:hAnsi="Arial" w:cs="Arial"/>
                <w:b/>
                <w:sz w:val="16"/>
                <w:szCs w:val="16"/>
              </w:rPr>
            </w:pPr>
            <w:r w:rsidRPr="0081206F">
              <w:rPr>
                <w:rFonts w:ascii="Arial" w:eastAsia="Times New Roman" w:hAnsi="Arial" w:cs="Arial"/>
                <w:b/>
                <w:sz w:val="16"/>
                <w:szCs w:val="16"/>
              </w:rPr>
              <w:t>3.</w:t>
            </w:r>
          </w:p>
          <w:p w14:paraId="0D59B527" w14:textId="77777777" w:rsidR="005034A3" w:rsidRPr="0081206F" w:rsidRDefault="005034A3" w:rsidP="0017431F">
            <w:pPr>
              <w:tabs>
                <w:tab w:val="left" w:pos="-720"/>
                <w:tab w:val="left" w:pos="0"/>
              </w:tabs>
              <w:suppressAutoHyphens/>
              <w:spacing w:after="0" w:line="240" w:lineRule="auto"/>
              <w:jc w:val="center"/>
              <w:rPr>
                <w:rFonts w:ascii="Arial" w:eastAsia="Times New Roman" w:hAnsi="Arial" w:cs="Arial"/>
                <w:b/>
                <w:sz w:val="16"/>
                <w:szCs w:val="16"/>
              </w:rPr>
            </w:pPr>
            <w:r w:rsidRPr="0081206F">
              <w:rPr>
                <w:rFonts w:ascii="Arial" w:eastAsia="Times New Roman" w:hAnsi="Arial" w:cs="Arial"/>
                <w:b/>
                <w:sz w:val="16"/>
                <w:szCs w:val="16"/>
              </w:rPr>
              <w:t>Estimated Number of Reports</w:t>
            </w:r>
          </w:p>
          <w:p w14:paraId="45875A48" w14:textId="77777777" w:rsidR="005034A3" w:rsidRPr="0081206F" w:rsidRDefault="005034A3" w:rsidP="0017431F">
            <w:pPr>
              <w:tabs>
                <w:tab w:val="left" w:pos="-720"/>
                <w:tab w:val="left" w:pos="0"/>
              </w:tabs>
              <w:suppressAutoHyphens/>
              <w:spacing w:after="0" w:line="240" w:lineRule="auto"/>
              <w:jc w:val="center"/>
              <w:rPr>
                <w:rFonts w:ascii="Arial" w:eastAsia="Times New Roman" w:hAnsi="Arial" w:cs="Arial"/>
                <w:b/>
                <w:sz w:val="16"/>
                <w:szCs w:val="16"/>
              </w:rPr>
            </w:pPr>
            <w:r w:rsidRPr="0081206F">
              <w:rPr>
                <w:rFonts w:ascii="Arial" w:eastAsia="Times New Roman" w:hAnsi="Arial" w:cs="Arial"/>
                <w:b/>
                <w:sz w:val="16"/>
                <w:szCs w:val="16"/>
              </w:rPr>
              <w:t>by Each Respondent</w:t>
            </w:r>
          </w:p>
        </w:tc>
        <w:tc>
          <w:tcPr>
            <w:tcW w:w="512" w:type="pct"/>
          </w:tcPr>
          <w:p w14:paraId="749F5013" w14:textId="77777777" w:rsidR="005034A3" w:rsidRPr="0081206F" w:rsidRDefault="005034A3" w:rsidP="0017431F">
            <w:pPr>
              <w:tabs>
                <w:tab w:val="left" w:pos="-720"/>
                <w:tab w:val="left" w:pos="0"/>
              </w:tabs>
              <w:suppressAutoHyphens/>
              <w:spacing w:after="0" w:line="240" w:lineRule="auto"/>
              <w:jc w:val="center"/>
              <w:rPr>
                <w:rFonts w:ascii="Arial" w:eastAsia="Times New Roman" w:hAnsi="Arial" w:cs="Arial"/>
                <w:b/>
                <w:sz w:val="16"/>
                <w:szCs w:val="16"/>
              </w:rPr>
            </w:pPr>
            <w:r w:rsidRPr="0081206F">
              <w:rPr>
                <w:rFonts w:ascii="Arial" w:eastAsia="Times New Roman" w:hAnsi="Arial" w:cs="Arial"/>
                <w:b/>
                <w:sz w:val="16"/>
                <w:szCs w:val="16"/>
              </w:rPr>
              <w:t>4.</w:t>
            </w:r>
          </w:p>
          <w:p w14:paraId="1ECFD387" w14:textId="77777777" w:rsidR="005034A3" w:rsidRPr="0081206F" w:rsidRDefault="005034A3" w:rsidP="0017431F">
            <w:pPr>
              <w:tabs>
                <w:tab w:val="left" w:pos="-720"/>
                <w:tab w:val="left" w:pos="0"/>
              </w:tabs>
              <w:suppressAutoHyphens/>
              <w:spacing w:after="0" w:line="240" w:lineRule="auto"/>
              <w:jc w:val="center"/>
              <w:rPr>
                <w:rFonts w:ascii="Arial" w:eastAsia="Times New Roman" w:hAnsi="Arial" w:cs="Arial"/>
                <w:b/>
                <w:sz w:val="16"/>
                <w:szCs w:val="16"/>
              </w:rPr>
            </w:pPr>
            <w:r w:rsidRPr="0081206F">
              <w:rPr>
                <w:rFonts w:ascii="Arial" w:eastAsia="Times New Roman" w:hAnsi="Arial" w:cs="Arial"/>
                <w:b/>
                <w:sz w:val="16"/>
                <w:szCs w:val="16"/>
              </w:rPr>
              <w:t>Estimated Average Number of Burden Hours per Response</w:t>
            </w:r>
          </w:p>
        </w:tc>
        <w:tc>
          <w:tcPr>
            <w:tcW w:w="507" w:type="pct"/>
          </w:tcPr>
          <w:p w14:paraId="25F2A7CE" w14:textId="77777777" w:rsidR="005034A3" w:rsidRPr="0081206F" w:rsidRDefault="005034A3" w:rsidP="0017431F">
            <w:pPr>
              <w:tabs>
                <w:tab w:val="left" w:pos="-720"/>
                <w:tab w:val="left" w:pos="0"/>
              </w:tabs>
              <w:suppressAutoHyphens/>
              <w:spacing w:after="0" w:line="240" w:lineRule="auto"/>
              <w:jc w:val="center"/>
              <w:rPr>
                <w:rFonts w:ascii="Arial" w:eastAsia="Times New Roman" w:hAnsi="Arial" w:cs="Arial"/>
                <w:b/>
                <w:sz w:val="16"/>
                <w:szCs w:val="16"/>
              </w:rPr>
            </w:pPr>
            <w:r w:rsidRPr="0081206F">
              <w:rPr>
                <w:rFonts w:ascii="Arial" w:eastAsia="Times New Roman" w:hAnsi="Arial" w:cs="Arial"/>
                <w:b/>
                <w:sz w:val="16"/>
                <w:szCs w:val="16"/>
              </w:rPr>
              <w:t>5.</w:t>
            </w:r>
          </w:p>
          <w:p w14:paraId="691C416E" w14:textId="77777777" w:rsidR="005034A3" w:rsidRPr="0081206F" w:rsidRDefault="005034A3" w:rsidP="0017431F">
            <w:pPr>
              <w:tabs>
                <w:tab w:val="left" w:pos="-720"/>
                <w:tab w:val="left" w:pos="0"/>
              </w:tabs>
              <w:suppressAutoHyphens/>
              <w:spacing w:after="0" w:line="240" w:lineRule="auto"/>
              <w:jc w:val="center"/>
              <w:rPr>
                <w:rFonts w:ascii="Arial" w:eastAsia="Times New Roman" w:hAnsi="Arial" w:cs="Arial"/>
                <w:b/>
                <w:sz w:val="16"/>
                <w:szCs w:val="16"/>
              </w:rPr>
            </w:pPr>
            <w:r w:rsidRPr="0081206F">
              <w:rPr>
                <w:rFonts w:ascii="Arial" w:eastAsia="Times New Roman" w:hAnsi="Arial" w:cs="Arial"/>
                <w:b/>
                <w:sz w:val="16"/>
                <w:szCs w:val="16"/>
              </w:rPr>
              <w:t>Annual Number of Burden Hours per Respondent</w:t>
            </w:r>
          </w:p>
          <w:p w14:paraId="7C07109E" w14:textId="77777777" w:rsidR="005034A3" w:rsidRPr="0081206F" w:rsidRDefault="005034A3" w:rsidP="0017431F">
            <w:pPr>
              <w:tabs>
                <w:tab w:val="left" w:pos="-720"/>
                <w:tab w:val="left" w:pos="0"/>
              </w:tabs>
              <w:suppressAutoHyphens/>
              <w:spacing w:after="0" w:line="240" w:lineRule="auto"/>
              <w:jc w:val="center"/>
              <w:rPr>
                <w:rFonts w:ascii="Arial" w:eastAsia="Times New Roman" w:hAnsi="Arial" w:cs="Arial"/>
                <w:b/>
                <w:sz w:val="16"/>
                <w:szCs w:val="16"/>
              </w:rPr>
            </w:pPr>
            <w:r w:rsidRPr="0081206F">
              <w:rPr>
                <w:rFonts w:ascii="Arial" w:eastAsia="Times New Roman" w:hAnsi="Arial" w:cs="Arial"/>
                <w:b/>
                <w:sz w:val="16"/>
                <w:szCs w:val="16"/>
              </w:rPr>
              <w:t>(3 x 4)</w:t>
            </w:r>
          </w:p>
        </w:tc>
        <w:tc>
          <w:tcPr>
            <w:tcW w:w="551" w:type="pct"/>
          </w:tcPr>
          <w:p w14:paraId="361580AC" w14:textId="77777777" w:rsidR="005034A3" w:rsidRPr="0081206F" w:rsidRDefault="005034A3" w:rsidP="0017431F">
            <w:pPr>
              <w:tabs>
                <w:tab w:val="left" w:pos="-720"/>
                <w:tab w:val="left" w:pos="0"/>
              </w:tabs>
              <w:suppressAutoHyphens/>
              <w:spacing w:after="0" w:line="240" w:lineRule="auto"/>
              <w:jc w:val="center"/>
              <w:rPr>
                <w:rFonts w:ascii="Arial" w:eastAsia="Times New Roman" w:hAnsi="Arial" w:cs="Arial"/>
                <w:b/>
                <w:sz w:val="16"/>
                <w:szCs w:val="16"/>
              </w:rPr>
            </w:pPr>
            <w:r w:rsidRPr="0081206F">
              <w:rPr>
                <w:rFonts w:ascii="Arial" w:eastAsia="Times New Roman" w:hAnsi="Arial" w:cs="Arial"/>
                <w:b/>
                <w:sz w:val="16"/>
                <w:szCs w:val="16"/>
              </w:rPr>
              <w:t xml:space="preserve">6. </w:t>
            </w:r>
          </w:p>
          <w:p w14:paraId="71F62950" w14:textId="77777777" w:rsidR="005034A3" w:rsidRPr="0081206F" w:rsidRDefault="005034A3" w:rsidP="0017431F">
            <w:pPr>
              <w:tabs>
                <w:tab w:val="left" w:pos="-720"/>
                <w:tab w:val="left" w:pos="0"/>
              </w:tabs>
              <w:suppressAutoHyphens/>
              <w:spacing w:after="0" w:line="240" w:lineRule="auto"/>
              <w:jc w:val="center"/>
              <w:rPr>
                <w:rFonts w:ascii="Arial" w:eastAsia="Times New Roman" w:hAnsi="Arial" w:cs="Arial"/>
                <w:b/>
                <w:sz w:val="16"/>
                <w:szCs w:val="16"/>
              </w:rPr>
            </w:pPr>
            <w:r w:rsidRPr="0081206F">
              <w:rPr>
                <w:rFonts w:ascii="Arial" w:eastAsia="Times New Roman" w:hAnsi="Arial" w:cs="Arial"/>
                <w:b/>
                <w:sz w:val="16"/>
                <w:szCs w:val="16"/>
              </w:rPr>
              <w:t>Estimated Average Burden Hour Cost</w:t>
            </w:r>
            <w:r w:rsidRPr="0081206F">
              <w:rPr>
                <w:rFonts w:ascii="Arial" w:eastAsia="Times New Roman" w:hAnsi="Arial" w:cs="Arial"/>
                <w:b/>
                <w:sz w:val="16"/>
                <w:szCs w:val="16"/>
                <w:vertAlign w:val="superscript"/>
              </w:rPr>
              <w:footnoteReference w:id="5"/>
            </w:r>
          </w:p>
          <w:p w14:paraId="0B9BD24F" w14:textId="77777777" w:rsidR="005034A3" w:rsidRPr="0081206F" w:rsidRDefault="005034A3" w:rsidP="0017431F">
            <w:pPr>
              <w:tabs>
                <w:tab w:val="left" w:pos="-720"/>
                <w:tab w:val="left" w:pos="0"/>
              </w:tabs>
              <w:suppressAutoHyphens/>
              <w:spacing w:after="0" w:line="240" w:lineRule="auto"/>
              <w:jc w:val="center"/>
              <w:rPr>
                <w:rFonts w:ascii="Arial" w:eastAsia="Times New Roman" w:hAnsi="Arial" w:cs="Arial"/>
                <w:b/>
                <w:sz w:val="16"/>
                <w:szCs w:val="16"/>
              </w:rPr>
            </w:pPr>
          </w:p>
        </w:tc>
        <w:tc>
          <w:tcPr>
            <w:tcW w:w="472" w:type="pct"/>
          </w:tcPr>
          <w:p w14:paraId="73DFD7EB" w14:textId="77777777" w:rsidR="005034A3" w:rsidRPr="0081206F" w:rsidRDefault="005034A3" w:rsidP="0017431F">
            <w:pPr>
              <w:spacing w:after="0" w:line="240" w:lineRule="auto"/>
              <w:jc w:val="center"/>
              <w:rPr>
                <w:rFonts w:ascii="Arial" w:hAnsi="Arial" w:cs="Arial"/>
                <w:b/>
                <w:sz w:val="16"/>
                <w:szCs w:val="16"/>
              </w:rPr>
            </w:pPr>
            <w:r w:rsidRPr="0081206F">
              <w:rPr>
                <w:rFonts w:ascii="Arial" w:hAnsi="Arial" w:cs="Arial"/>
                <w:b/>
                <w:sz w:val="16"/>
                <w:szCs w:val="16"/>
              </w:rPr>
              <w:t>7.</w:t>
            </w:r>
          </w:p>
          <w:p w14:paraId="6D6B4D8D" w14:textId="77777777" w:rsidR="005034A3" w:rsidRPr="0081206F" w:rsidRDefault="005034A3" w:rsidP="0017431F">
            <w:pPr>
              <w:spacing w:after="0" w:line="240" w:lineRule="auto"/>
              <w:jc w:val="center"/>
              <w:rPr>
                <w:rFonts w:ascii="Arial" w:hAnsi="Arial" w:cs="Arial"/>
                <w:b/>
                <w:sz w:val="16"/>
                <w:szCs w:val="16"/>
              </w:rPr>
            </w:pPr>
            <w:r w:rsidRPr="0081206F">
              <w:rPr>
                <w:rFonts w:ascii="Arial" w:hAnsi="Arial" w:cs="Arial"/>
                <w:b/>
                <w:sz w:val="16"/>
                <w:szCs w:val="16"/>
              </w:rPr>
              <w:t>Total Average Hour Burden Cost Per Respondent</w:t>
            </w:r>
          </w:p>
          <w:p w14:paraId="488B0BBD" w14:textId="77777777" w:rsidR="005034A3" w:rsidRPr="0081206F" w:rsidRDefault="005034A3" w:rsidP="0017431F">
            <w:pPr>
              <w:spacing w:after="0" w:line="240" w:lineRule="auto"/>
              <w:jc w:val="center"/>
              <w:rPr>
                <w:rFonts w:ascii="Arial" w:hAnsi="Arial" w:cs="Arial"/>
                <w:b/>
                <w:sz w:val="16"/>
                <w:szCs w:val="16"/>
              </w:rPr>
            </w:pPr>
            <w:r w:rsidRPr="0081206F">
              <w:rPr>
                <w:rFonts w:ascii="Arial" w:hAnsi="Arial" w:cs="Arial"/>
                <w:b/>
                <w:sz w:val="16"/>
                <w:szCs w:val="16"/>
              </w:rPr>
              <w:t>(5 x 6)</w:t>
            </w:r>
          </w:p>
        </w:tc>
        <w:tc>
          <w:tcPr>
            <w:tcW w:w="472" w:type="pct"/>
          </w:tcPr>
          <w:p w14:paraId="194E32B2" w14:textId="77777777" w:rsidR="005034A3" w:rsidRPr="0081206F" w:rsidRDefault="005034A3" w:rsidP="0017431F">
            <w:pPr>
              <w:tabs>
                <w:tab w:val="left" w:pos="-720"/>
                <w:tab w:val="left" w:pos="0"/>
              </w:tabs>
              <w:suppressAutoHyphens/>
              <w:spacing w:after="0" w:line="240" w:lineRule="auto"/>
              <w:jc w:val="center"/>
              <w:rPr>
                <w:rFonts w:ascii="Arial" w:eastAsia="Times New Roman" w:hAnsi="Arial" w:cs="Arial"/>
                <w:b/>
                <w:sz w:val="16"/>
                <w:szCs w:val="16"/>
              </w:rPr>
            </w:pPr>
            <w:r w:rsidRPr="0081206F">
              <w:rPr>
                <w:rFonts w:ascii="Arial" w:eastAsia="Times New Roman" w:hAnsi="Arial" w:cs="Arial"/>
                <w:b/>
                <w:sz w:val="16"/>
                <w:szCs w:val="16"/>
              </w:rPr>
              <w:t>8.</w:t>
            </w:r>
          </w:p>
          <w:p w14:paraId="67FB92C1" w14:textId="77777777" w:rsidR="005034A3" w:rsidRPr="0081206F" w:rsidRDefault="005034A3" w:rsidP="0017431F">
            <w:pPr>
              <w:tabs>
                <w:tab w:val="left" w:pos="-720"/>
                <w:tab w:val="left" w:pos="0"/>
              </w:tabs>
              <w:suppressAutoHyphens/>
              <w:spacing w:after="0" w:line="240" w:lineRule="auto"/>
              <w:jc w:val="center"/>
              <w:rPr>
                <w:rFonts w:ascii="Arial" w:eastAsia="Times New Roman" w:hAnsi="Arial" w:cs="Arial"/>
                <w:b/>
                <w:sz w:val="16"/>
                <w:szCs w:val="16"/>
              </w:rPr>
            </w:pPr>
            <w:r w:rsidRPr="0081206F">
              <w:rPr>
                <w:rFonts w:ascii="Arial" w:eastAsia="Times New Roman" w:hAnsi="Arial" w:cs="Arial"/>
                <w:b/>
                <w:sz w:val="16"/>
                <w:szCs w:val="16"/>
              </w:rPr>
              <w:t>Total Annual</w:t>
            </w:r>
          </w:p>
          <w:p w14:paraId="3939E9E1" w14:textId="77777777" w:rsidR="005034A3" w:rsidRPr="0081206F" w:rsidRDefault="005034A3" w:rsidP="0017431F">
            <w:pPr>
              <w:tabs>
                <w:tab w:val="left" w:pos="-720"/>
                <w:tab w:val="left" w:pos="0"/>
              </w:tabs>
              <w:suppressAutoHyphens/>
              <w:spacing w:after="0" w:line="240" w:lineRule="auto"/>
              <w:jc w:val="center"/>
              <w:rPr>
                <w:rFonts w:ascii="Arial" w:eastAsia="Times New Roman" w:hAnsi="Arial" w:cs="Arial"/>
                <w:b/>
                <w:sz w:val="16"/>
                <w:szCs w:val="16"/>
              </w:rPr>
            </w:pPr>
            <w:r w:rsidRPr="0081206F">
              <w:rPr>
                <w:rFonts w:ascii="Arial" w:eastAsia="Times New Roman" w:hAnsi="Arial" w:cs="Arial"/>
                <w:b/>
                <w:sz w:val="16"/>
                <w:szCs w:val="16"/>
              </w:rPr>
              <w:t>Responses</w:t>
            </w:r>
          </w:p>
          <w:p w14:paraId="7DCE2890" w14:textId="77777777" w:rsidR="005034A3" w:rsidRPr="0081206F" w:rsidRDefault="005034A3" w:rsidP="0017431F">
            <w:pPr>
              <w:tabs>
                <w:tab w:val="left" w:pos="-720"/>
                <w:tab w:val="left" w:pos="0"/>
              </w:tabs>
              <w:suppressAutoHyphens/>
              <w:spacing w:after="0" w:line="240" w:lineRule="auto"/>
              <w:jc w:val="center"/>
              <w:rPr>
                <w:rFonts w:ascii="Arial" w:eastAsia="Times New Roman" w:hAnsi="Arial" w:cs="Arial"/>
                <w:b/>
                <w:sz w:val="16"/>
                <w:szCs w:val="16"/>
              </w:rPr>
            </w:pPr>
            <w:r w:rsidRPr="0081206F">
              <w:rPr>
                <w:rFonts w:ascii="Arial" w:eastAsia="Times New Roman" w:hAnsi="Arial" w:cs="Arial"/>
                <w:b/>
                <w:sz w:val="16"/>
                <w:szCs w:val="16"/>
              </w:rPr>
              <w:t>(2 x 3)</w:t>
            </w:r>
          </w:p>
        </w:tc>
        <w:tc>
          <w:tcPr>
            <w:tcW w:w="433" w:type="pct"/>
          </w:tcPr>
          <w:p w14:paraId="68F7159F" w14:textId="77777777" w:rsidR="005034A3" w:rsidRPr="0081206F" w:rsidRDefault="005034A3" w:rsidP="0017431F">
            <w:pPr>
              <w:tabs>
                <w:tab w:val="left" w:pos="-720"/>
                <w:tab w:val="left" w:pos="0"/>
              </w:tabs>
              <w:suppressAutoHyphens/>
              <w:spacing w:after="0" w:line="240" w:lineRule="auto"/>
              <w:jc w:val="center"/>
              <w:rPr>
                <w:rFonts w:ascii="Arial" w:eastAsia="Times New Roman" w:hAnsi="Arial" w:cs="Arial"/>
                <w:b/>
                <w:sz w:val="16"/>
                <w:szCs w:val="16"/>
              </w:rPr>
            </w:pPr>
            <w:r w:rsidRPr="0081206F">
              <w:rPr>
                <w:rFonts w:ascii="Arial" w:eastAsia="Times New Roman" w:hAnsi="Arial" w:cs="Arial"/>
                <w:b/>
                <w:sz w:val="16"/>
                <w:szCs w:val="16"/>
              </w:rPr>
              <w:t>9.</w:t>
            </w:r>
          </w:p>
          <w:p w14:paraId="6A055198" w14:textId="77777777" w:rsidR="005034A3" w:rsidRPr="0081206F" w:rsidRDefault="005034A3" w:rsidP="0017431F">
            <w:pPr>
              <w:tabs>
                <w:tab w:val="left" w:pos="-720"/>
                <w:tab w:val="left" w:pos="0"/>
              </w:tabs>
              <w:suppressAutoHyphens/>
              <w:spacing w:after="0" w:line="240" w:lineRule="auto"/>
              <w:jc w:val="center"/>
              <w:rPr>
                <w:rFonts w:ascii="Arial" w:eastAsia="Times New Roman" w:hAnsi="Arial" w:cs="Arial"/>
                <w:b/>
                <w:sz w:val="16"/>
                <w:szCs w:val="16"/>
              </w:rPr>
            </w:pPr>
            <w:r w:rsidRPr="0081206F">
              <w:rPr>
                <w:rFonts w:ascii="Arial" w:eastAsia="Times New Roman" w:hAnsi="Arial" w:cs="Arial"/>
                <w:b/>
                <w:sz w:val="16"/>
                <w:szCs w:val="16"/>
              </w:rPr>
              <w:t>Total Annual Number of Burden Hours</w:t>
            </w:r>
          </w:p>
          <w:p w14:paraId="69183671" w14:textId="77777777" w:rsidR="005034A3" w:rsidRPr="0081206F" w:rsidRDefault="005034A3" w:rsidP="0017431F">
            <w:pPr>
              <w:tabs>
                <w:tab w:val="left" w:pos="-720"/>
                <w:tab w:val="left" w:pos="0"/>
              </w:tabs>
              <w:suppressAutoHyphens/>
              <w:spacing w:after="0" w:line="240" w:lineRule="auto"/>
              <w:jc w:val="center"/>
              <w:rPr>
                <w:rFonts w:ascii="Arial" w:eastAsia="Times New Roman" w:hAnsi="Arial" w:cs="Arial"/>
                <w:b/>
                <w:sz w:val="16"/>
                <w:szCs w:val="16"/>
              </w:rPr>
            </w:pPr>
            <w:r w:rsidRPr="0081206F">
              <w:rPr>
                <w:rFonts w:ascii="Arial" w:eastAsia="Times New Roman" w:hAnsi="Arial" w:cs="Arial"/>
                <w:b/>
                <w:sz w:val="16"/>
                <w:szCs w:val="16"/>
              </w:rPr>
              <w:t>(2 x 5)</w:t>
            </w:r>
          </w:p>
        </w:tc>
        <w:tc>
          <w:tcPr>
            <w:tcW w:w="433" w:type="pct"/>
          </w:tcPr>
          <w:p w14:paraId="60ED816A" w14:textId="77777777" w:rsidR="005034A3" w:rsidRPr="0081206F" w:rsidRDefault="005034A3" w:rsidP="0017431F">
            <w:pPr>
              <w:tabs>
                <w:tab w:val="left" w:pos="-720"/>
                <w:tab w:val="left" w:pos="0"/>
              </w:tabs>
              <w:suppressAutoHyphens/>
              <w:spacing w:after="0" w:line="240" w:lineRule="auto"/>
              <w:jc w:val="center"/>
              <w:rPr>
                <w:rFonts w:ascii="Arial" w:eastAsia="Times New Roman" w:hAnsi="Arial" w:cs="Arial"/>
                <w:b/>
                <w:sz w:val="16"/>
                <w:szCs w:val="16"/>
              </w:rPr>
            </w:pPr>
            <w:r w:rsidRPr="0081206F">
              <w:rPr>
                <w:rFonts w:ascii="Arial" w:eastAsia="Times New Roman" w:hAnsi="Arial" w:cs="Arial"/>
                <w:b/>
                <w:sz w:val="16"/>
                <w:szCs w:val="16"/>
              </w:rPr>
              <w:t>10.</w:t>
            </w:r>
          </w:p>
          <w:p w14:paraId="128A9CB9" w14:textId="77777777" w:rsidR="005034A3" w:rsidRPr="0081206F" w:rsidRDefault="005034A3" w:rsidP="0017431F">
            <w:pPr>
              <w:tabs>
                <w:tab w:val="left" w:pos="-720"/>
                <w:tab w:val="left" w:pos="0"/>
              </w:tabs>
              <w:suppressAutoHyphens/>
              <w:spacing w:after="0" w:line="240" w:lineRule="auto"/>
              <w:jc w:val="center"/>
              <w:rPr>
                <w:rFonts w:ascii="Arial" w:eastAsia="Times New Roman" w:hAnsi="Arial" w:cs="Arial"/>
                <w:b/>
                <w:sz w:val="16"/>
                <w:szCs w:val="16"/>
              </w:rPr>
            </w:pPr>
            <w:r w:rsidRPr="0081206F">
              <w:rPr>
                <w:rFonts w:ascii="Arial" w:eastAsia="Times New Roman" w:hAnsi="Arial" w:cs="Arial"/>
                <w:b/>
                <w:sz w:val="16"/>
                <w:szCs w:val="16"/>
              </w:rPr>
              <w:t>Total Annual Burden Hour Cost of All Responses</w:t>
            </w:r>
          </w:p>
          <w:p w14:paraId="6AAB172F" w14:textId="77777777" w:rsidR="005034A3" w:rsidRPr="0081206F" w:rsidDel="009C6DB4" w:rsidRDefault="005034A3" w:rsidP="0017431F">
            <w:pPr>
              <w:tabs>
                <w:tab w:val="left" w:pos="-720"/>
                <w:tab w:val="left" w:pos="0"/>
              </w:tabs>
              <w:suppressAutoHyphens/>
              <w:spacing w:after="0" w:line="240" w:lineRule="auto"/>
              <w:jc w:val="center"/>
              <w:rPr>
                <w:rFonts w:ascii="Arial" w:eastAsia="Times New Roman" w:hAnsi="Arial" w:cs="Arial"/>
                <w:b/>
                <w:sz w:val="16"/>
                <w:szCs w:val="16"/>
              </w:rPr>
            </w:pPr>
            <w:r w:rsidRPr="0081206F">
              <w:rPr>
                <w:rFonts w:ascii="Arial" w:eastAsia="Times New Roman" w:hAnsi="Arial" w:cs="Arial"/>
                <w:b/>
                <w:sz w:val="16"/>
                <w:szCs w:val="16"/>
              </w:rPr>
              <w:t>(2 x 7)</w:t>
            </w:r>
          </w:p>
        </w:tc>
      </w:tr>
      <w:tr w:rsidR="00A361AA" w:rsidRPr="0081206F" w14:paraId="1C30A63D" w14:textId="77777777" w:rsidTr="003D0186">
        <w:trPr>
          <w:trHeight w:val="404"/>
        </w:trPr>
        <w:tc>
          <w:tcPr>
            <w:tcW w:w="552" w:type="pct"/>
          </w:tcPr>
          <w:p w14:paraId="1F74DB77" w14:textId="77777777" w:rsidR="00A361AA" w:rsidRPr="00A361AA" w:rsidRDefault="00A361AA" w:rsidP="0017431F">
            <w:pPr>
              <w:tabs>
                <w:tab w:val="left" w:pos="-720"/>
                <w:tab w:val="left" w:pos="0"/>
              </w:tabs>
              <w:suppressAutoHyphens/>
              <w:spacing w:after="0" w:line="240" w:lineRule="auto"/>
              <w:jc w:val="center"/>
              <w:rPr>
                <w:rFonts w:ascii="Arial" w:eastAsia="Times New Roman" w:hAnsi="Arial" w:cs="Arial"/>
                <w:sz w:val="16"/>
                <w:szCs w:val="16"/>
              </w:rPr>
            </w:pPr>
            <w:r w:rsidRPr="00A361AA">
              <w:rPr>
                <w:rFonts w:ascii="Arial" w:eastAsia="Times New Roman" w:hAnsi="Arial" w:cs="Arial"/>
                <w:sz w:val="16"/>
                <w:szCs w:val="16"/>
              </w:rPr>
              <w:t>45.2</w:t>
            </w:r>
          </w:p>
        </w:tc>
        <w:tc>
          <w:tcPr>
            <w:tcW w:w="550" w:type="pct"/>
            <w:vAlign w:val="center"/>
          </w:tcPr>
          <w:p w14:paraId="61142AF6" w14:textId="1DECE820" w:rsidR="00A361AA" w:rsidRPr="00A361AA" w:rsidRDefault="00A361AA" w:rsidP="0017431F">
            <w:pPr>
              <w:tabs>
                <w:tab w:val="left" w:pos="-720"/>
                <w:tab w:val="left" w:pos="0"/>
              </w:tabs>
              <w:suppressAutoHyphens/>
              <w:spacing w:after="0" w:line="240" w:lineRule="auto"/>
              <w:jc w:val="center"/>
              <w:rPr>
                <w:rFonts w:ascii="Arial" w:eastAsia="Times New Roman" w:hAnsi="Arial" w:cs="Arial"/>
                <w:sz w:val="16"/>
                <w:szCs w:val="16"/>
              </w:rPr>
            </w:pPr>
            <w:r w:rsidRPr="00A361AA">
              <w:rPr>
                <w:rFonts w:ascii="Arial" w:hAnsi="Arial" w:cs="Arial"/>
                <w:color w:val="000000"/>
                <w:sz w:val="16"/>
                <w:szCs w:val="16"/>
              </w:rPr>
              <w:t>1,732</w:t>
            </w:r>
          </w:p>
        </w:tc>
        <w:tc>
          <w:tcPr>
            <w:tcW w:w="517" w:type="pct"/>
            <w:vAlign w:val="center"/>
          </w:tcPr>
          <w:p w14:paraId="5DC10B30" w14:textId="08E612BB" w:rsidR="00A361AA" w:rsidRPr="00A361AA" w:rsidRDefault="00A361AA" w:rsidP="0017431F">
            <w:pPr>
              <w:tabs>
                <w:tab w:val="left" w:pos="-720"/>
                <w:tab w:val="left" w:pos="0"/>
              </w:tabs>
              <w:suppressAutoHyphens/>
              <w:spacing w:after="0" w:line="240" w:lineRule="auto"/>
              <w:jc w:val="center"/>
              <w:rPr>
                <w:rFonts w:ascii="Arial" w:eastAsia="Times New Roman" w:hAnsi="Arial" w:cs="Arial"/>
                <w:sz w:val="16"/>
                <w:szCs w:val="16"/>
              </w:rPr>
            </w:pPr>
            <w:r w:rsidRPr="00A361AA">
              <w:rPr>
                <w:rFonts w:ascii="Arial" w:hAnsi="Arial" w:cs="Arial"/>
                <w:color w:val="000000"/>
                <w:sz w:val="16"/>
                <w:szCs w:val="16"/>
              </w:rPr>
              <w:t>10,000</w:t>
            </w:r>
          </w:p>
        </w:tc>
        <w:tc>
          <w:tcPr>
            <w:tcW w:w="512" w:type="pct"/>
            <w:vAlign w:val="center"/>
          </w:tcPr>
          <w:p w14:paraId="51D718E3" w14:textId="4B79B73D" w:rsidR="00A361AA" w:rsidRPr="00A361AA" w:rsidRDefault="00A361AA" w:rsidP="0017431F">
            <w:pPr>
              <w:tabs>
                <w:tab w:val="left" w:pos="-720"/>
                <w:tab w:val="left" w:pos="0"/>
              </w:tabs>
              <w:suppressAutoHyphens/>
              <w:spacing w:after="0" w:line="240" w:lineRule="auto"/>
              <w:jc w:val="center"/>
              <w:rPr>
                <w:rFonts w:ascii="Arial" w:eastAsia="Times New Roman" w:hAnsi="Arial" w:cs="Arial"/>
                <w:sz w:val="16"/>
                <w:szCs w:val="16"/>
              </w:rPr>
            </w:pPr>
            <w:r w:rsidRPr="00A361AA">
              <w:rPr>
                <w:rFonts w:ascii="Arial" w:hAnsi="Arial" w:cs="Arial"/>
                <w:color w:val="000000"/>
                <w:sz w:val="16"/>
                <w:szCs w:val="16"/>
              </w:rPr>
              <w:t>0.01</w:t>
            </w:r>
          </w:p>
        </w:tc>
        <w:tc>
          <w:tcPr>
            <w:tcW w:w="507" w:type="pct"/>
            <w:vAlign w:val="center"/>
          </w:tcPr>
          <w:p w14:paraId="43E29E3F" w14:textId="4288BDCD" w:rsidR="00A361AA" w:rsidRPr="00A361AA" w:rsidRDefault="003D0186" w:rsidP="0017431F">
            <w:pPr>
              <w:tabs>
                <w:tab w:val="left" w:pos="-720"/>
                <w:tab w:val="left" w:pos="0"/>
              </w:tabs>
              <w:suppressAutoHyphens/>
              <w:spacing w:after="0" w:line="240" w:lineRule="auto"/>
              <w:jc w:val="center"/>
              <w:rPr>
                <w:rFonts w:ascii="Arial" w:eastAsia="Times New Roman" w:hAnsi="Arial" w:cs="Arial"/>
                <w:sz w:val="16"/>
                <w:szCs w:val="16"/>
              </w:rPr>
            </w:pPr>
            <w:r>
              <w:rPr>
                <w:rFonts w:ascii="Arial" w:hAnsi="Arial" w:cs="Arial"/>
                <w:color w:val="000000"/>
                <w:sz w:val="16"/>
                <w:szCs w:val="16"/>
              </w:rPr>
              <w:t>650</w:t>
            </w:r>
          </w:p>
        </w:tc>
        <w:tc>
          <w:tcPr>
            <w:tcW w:w="551" w:type="pct"/>
            <w:vAlign w:val="center"/>
          </w:tcPr>
          <w:p w14:paraId="67DDB24C" w14:textId="74EC3A96" w:rsidR="00A361AA" w:rsidRPr="00A361AA" w:rsidRDefault="00A361AA" w:rsidP="0017431F">
            <w:pPr>
              <w:tabs>
                <w:tab w:val="left" w:pos="-720"/>
                <w:tab w:val="left" w:pos="0"/>
              </w:tabs>
              <w:suppressAutoHyphens/>
              <w:spacing w:after="0" w:line="240" w:lineRule="auto"/>
              <w:jc w:val="center"/>
              <w:rPr>
                <w:rFonts w:ascii="Arial" w:eastAsia="Times New Roman" w:hAnsi="Arial" w:cs="Arial"/>
                <w:sz w:val="16"/>
                <w:szCs w:val="16"/>
              </w:rPr>
            </w:pPr>
            <w:r w:rsidRPr="00A361AA">
              <w:rPr>
                <w:rFonts w:ascii="Arial" w:hAnsi="Arial" w:cs="Arial"/>
                <w:color w:val="000000"/>
                <w:sz w:val="16"/>
                <w:szCs w:val="16"/>
              </w:rPr>
              <w:t xml:space="preserve">$72.48 </w:t>
            </w:r>
          </w:p>
        </w:tc>
        <w:tc>
          <w:tcPr>
            <w:tcW w:w="472" w:type="pct"/>
            <w:vAlign w:val="center"/>
          </w:tcPr>
          <w:p w14:paraId="3F0DFE87" w14:textId="0C50CA18" w:rsidR="00A361AA" w:rsidRPr="00A361AA" w:rsidRDefault="003D0186" w:rsidP="0017431F">
            <w:pPr>
              <w:spacing w:after="0" w:line="240" w:lineRule="auto"/>
              <w:jc w:val="center"/>
              <w:rPr>
                <w:rFonts w:ascii="Arial" w:hAnsi="Arial" w:cs="Arial"/>
                <w:sz w:val="16"/>
                <w:szCs w:val="16"/>
              </w:rPr>
            </w:pPr>
            <w:r>
              <w:rPr>
                <w:rFonts w:ascii="Arial" w:hAnsi="Arial" w:cs="Arial"/>
                <w:color w:val="000000"/>
                <w:sz w:val="16"/>
                <w:szCs w:val="16"/>
              </w:rPr>
              <w:t>47112</w:t>
            </w:r>
          </w:p>
        </w:tc>
        <w:tc>
          <w:tcPr>
            <w:tcW w:w="472" w:type="pct"/>
            <w:vAlign w:val="center"/>
          </w:tcPr>
          <w:p w14:paraId="16EA509F" w14:textId="2E4A8BAE" w:rsidR="00A361AA" w:rsidRPr="00A361AA" w:rsidRDefault="00A361AA" w:rsidP="0017431F">
            <w:pPr>
              <w:tabs>
                <w:tab w:val="left" w:pos="-720"/>
                <w:tab w:val="left" w:pos="0"/>
              </w:tabs>
              <w:suppressAutoHyphens/>
              <w:spacing w:after="0" w:line="240" w:lineRule="auto"/>
              <w:jc w:val="center"/>
              <w:rPr>
                <w:rFonts w:ascii="Arial" w:eastAsia="Times New Roman" w:hAnsi="Arial" w:cs="Arial"/>
                <w:sz w:val="16"/>
                <w:szCs w:val="16"/>
              </w:rPr>
            </w:pPr>
            <w:r w:rsidRPr="00A361AA">
              <w:rPr>
                <w:rFonts w:ascii="Arial" w:hAnsi="Arial" w:cs="Arial"/>
                <w:color w:val="000000"/>
                <w:sz w:val="16"/>
                <w:szCs w:val="16"/>
              </w:rPr>
              <w:t>17320000</w:t>
            </w:r>
          </w:p>
        </w:tc>
        <w:tc>
          <w:tcPr>
            <w:tcW w:w="433" w:type="pct"/>
            <w:vAlign w:val="bottom"/>
          </w:tcPr>
          <w:p w14:paraId="3623937E" w14:textId="57C35E7F" w:rsidR="00A361AA" w:rsidRPr="00A361AA" w:rsidRDefault="003D0186" w:rsidP="003D0186">
            <w:pPr>
              <w:tabs>
                <w:tab w:val="left" w:pos="-720"/>
                <w:tab w:val="left" w:pos="0"/>
              </w:tabs>
              <w:suppressAutoHyphens/>
              <w:spacing w:after="0" w:line="240" w:lineRule="auto"/>
              <w:jc w:val="center"/>
              <w:rPr>
                <w:rFonts w:ascii="Arial" w:eastAsia="Times New Roman" w:hAnsi="Arial" w:cs="Arial"/>
                <w:sz w:val="16"/>
                <w:szCs w:val="16"/>
              </w:rPr>
            </w:pPr>
            <w:r>
              <w:rPr>
                <w:rFonts w:ascii="Arial" w:hAnsi="Arial" w:cs="Arial"/>
                <w:sz w:val="16"/>
                <w:szCs w:val="16"/>
              </w:rPr>
              <w:t>1,125,800</w:t>
            </w:r>
            <w:r w:rsidR="00A361AA" w:rsidRPr="00A361AA">
              <w:rPr>
                <w:rFonts w:ascii="Arial" w:hAnsi="Arial" w:cs="Arial"/>
                <w:sz w:val="16"/>
                <w:szCs w:val="16"/>
              </w:rPr>
              <w:t xml:space="preserve"> </w:t>
            </w:r>
          </w:p>
        </w:tc>
        <w:tc>
          <w:tcPr>
            <w:tcW w:w="433" w:type="pct"/>
            <w:vAlign w:val="center"/>
          </w:tcPr>
          <w:p w14:paraId="0DDE174D" w14:textId="65B554D9" w:rsidR="00A361AA" w:rsidRPr="00A361AA" w:rsidRDefault="003D0186" w:rsidP="003D0186">
            <w:pPr>
              <w:tabs>
                <w:tab w:val="left" w:pos="-720"/>
                <w:tab w:val="left" w:pos="0"/>
              </w:tabs>
              <w:suppressAutoHyphens/>
              <w:spacing w:after="0" w:line="240" w:lineRule="auto"/>
              <w:jc w:val="center"/>
              <w:rPr>
                <w:rFonts w:ascii="Arial" w:eastAsia="Times New Roman" w:hAnsi="Arial" w:cs="Arial"/>
                <w:sz w:val="16"/>
                <w:szCs w:val="16"/>
              </w:rPr>
            </w:pPr>
            <w:r>
              <w:rPr>
                <w:rFonts w:ascii="Arial" w:hAnsi="Arial" w:cs="Arial"/>
                <w:color w:val="000000"/>
                <w:sz w:val="16"/>
                <w:szCs w:val="16"/>
              </w:rPr>
              <w:t>81597984</w:t>
            </w:r>
          </w:p>
        </w:tc>
      </w:tr>
      <w:tr w:rsidR="005034A3" w:rsidRPr="0081206F" w14:paraId="2E1C9660" w14:textId="77777777" w:rsidTr="003D0186">
        <w:trPr>
          <w:trHeight w:val="404"/>
        </w:trPr>
        <w:tc>
          <w:tcPr>
            <w:tcW w:w="552" w:type="pct"/>
          </w:tcPr>
          <w:p w14:paraId="11662DA8" w14:textId="4E174CC2" w:rsidR="005034A3" w:rsidRPr="00A361AA" w:rsidRDefault="005034A3" w:rsidP="0017431F">
            <w:pPr>
              <w:tabs>
                <w:tab w:val="left" w:pos="-720"/>
                <w:tab w:val="left" w:pos="0"/>
              </w:tabs>
              <w:suppressAutoHyphens/>
              <w:spacing w:after="0" w:line="240" w:lineRule="auto"/>
              <w:jc w:val="center"/>
              <w:rPr>
                <w:rFonts w:ascii="Arial" w:eastAsia="Times New Roman" w:hAnsi="Arial" w:cs="Arial"/>
                <w:sz w:val="16"/>
                <w:szCs w:val="16"/>
              </w:rPr>
            </w:pPr>
          </w:p>
        </w:tc>
        <w:tc>
          <w:tcPr>
            <w:tcW w:w="550" w:type="pct"/>
          </w:tcPr>
          <w:p w14:paraId="17F2420D" w14:textId="628CC967" w:rsidR="005034A3" w:rsidRPr="00A361AA" w:rsidRDefault="005034A3" w:rsidP="0017431F">
            <w:pPr>
              <w:tabs>
                <w:tab w:val="left" w:pos="-720"/>
                <w:tab w:val="left" w:pos="0"/>
              </w:tabs>
              <w:suppressAutoHyphens/>
              <w:spacing w:after="0" w:line="240" w:lineRule="auto"/>
              <w:jc w:val="center"/>
              <w:rPr>
                <w:rFonts w:ascii="Arial" w:eastAsia="Times New Roman" w:hAnsi="Arial" w:cs="Arial"/>
                <w:sz w:val="16"/>
                <w:szCs w:val="16"/>
              </w:rPr>
            </w:pPr>
          </w:p>
        </w:tc>
        <w:tc>
          <w:tcPr>
            <w:tcW w:w="517" w:type="pct"/>
          </w:tcPr>
          <w:p w14:paraId="43DCB328" w14:textId="62E548DC" w:rsidR="005034A3" w:rsidRPr="00A361AA" w:rsidRDefault="00A151E1" w:rsidP="0017431F">
            <w:pPr>
              <w:tabs>
                <w:tab w:val="left" w:pos="-720"/>
                <w:tab w:val="left" w:pos="0"/>
              </w:tabs>
              <w:suppressAutoHyphens/>
              <w:spacing w:after="0" w:line="240" w:lineRule="auto"/>
              <w:jc w:val="center"/>
              <w:rPr>
                <w:rFonts w:ascii="Arial" w:eastAsia="Times New Roman" w:hAnsi="Arial" w:cs="Arial"/>
                <w:b/>
                <w:sz w:val="16"/>
                <w:szCs w:val="16"/>
                <w:u w:val="single"/>
              </w:rPr>
            </w:pPr>
            <w:r w:rsidRPr="00A361AA">
              <w:rPr>
                <w:rFonts w:ascii="Arial" w:eastAsia="Times New Roman" w:hAnsi="Arial" w:cs="Arial"/>
                <w:b/>
                <w:sz w:val="16"/>
                <w:szCs w:val="16"/>
                <w:u w:val="single"/>
              </w:rPr>
              <w:t>257,595</w:t>
            </w:r>
          </w:p>
        </w:tc>
        <w:tc>
          <w:tcPr>
            <w:tcW w:w="512" w:type="pct"/>
          </w:tcPr>
          <w:p w14:paraId="04D1D57C" w14:textId="77777777" w:rsidR="005034A3" w:rsidRPr="00A361AA" w:rsidRDefault="005034A3" w:rsidP="0017431F">
            <w:pPr>
              <w:tabs>
                <w:tab w:val="left" w:pos="-720"/>
                <w:tab w:val="left" w:pos="0"/>
              </w:tabs>
              <w:suppressAutoHyphens/>
              <w:spacing w:after="0" w:line="240" w:lineRule="auto"/>
              <w:jc w:val="center"/>
              <w:rPr>
                <w:rFonts w:ascii="Arial" w:eastAsia="Times New Roman" w:hAnsi="Arial" w:cs="Arial"/>
                <w:sz w:val="16"/>
                <w:szCs w:val="16"/>
              </w:rPr>
            </w:pPr>
          </w:p>
        </w:tc>
        <w:tc>
          <w:tcPr>
            <w:tcW w:w="507" w:type="pct"/>
          </w:tcPr>
          <w:p w14:paraId="00F7A242" w14:textId="6950E37F" w:rsidR="005034A3" w:rsidRPr="00A361AA" w:rsidRDefault="00752FA6" w:rsidP="0017431F">
            <w:pPr>
              <w:tabs>
                <w:tab w:val="left" w:pos="-720"/>
                <w:tab w:val="left" w:pos="0"/>
              </w:tabs>
              <w:suppressAutoHyphens/>
              <w:spacing w:after="0" w:line="240" w:lineRule="auto"/>
              <w:jc w:val="center"/>
              <w:rPr>
                <w:rFonts w:ascii="Arial" w:eastAsia="Times New Roman" w:hAnsi="Arial" w:cs="Arial"/>
                <w:b/>
                <w:sz w:val="16"/>
                <w:szCs w:val="16"/>
                <w:u w:val="single"/>
              </w:rPr>
            </w:pPr>
            <w:r>
              <w:rPr>
                <w:rFonts w:ascii="Arial" w:eastAsia="Times New Roman" w:hAnsi="Arial" w:cs="Arial"/>
                <w:b/>
                <w:sz w:val="16"/>
                <w:szCs w:val="16"/>
                <w:u w:val="single"/>
              </w:rPr>
              <w:t>1,316</w:t>
            </w:r>
          </w:p>
        </w:tc>
        <w:tc>
          <w:tcPr>
            <w:tcW w:w="551" w:type="pct"/>
          </w:tcPr>
          <w:p w14:paraId="371877E6" w14:textId="566457E5" w:rsidR="005034A3" w:rsidRPr="00A361AA" w:rsidRDefault="005034A3" w:rsidP="0017431F">
            <w:pPr>
              <w:tabs>
                <w:tab w:val="left" w:pos="-720"/>
                <w:tab w:val="left" w:pos="0"/>
              </w:tabs>
              <w:suppressAutoHyphens/>
              <w:spacing w:after="0" w:line="240" w:lineRule="auto"/>
              <w:jc w:val="center"/>
              <w:rPr>
                <w:rFonts w:ascii="Arial" w:eastAsia="Times New Roman" w:hAnsi="Arial" w:cs="Arial"/>
                <w:sz w:val="16"/>
                <w:szCs w:val="16"/>
              </w:rPr>
            </w:pPr>
          </w:p>
        </w:tc>
        <w:tc>
          <w:tcPr>
            <w:tcW w:w="472" w:type="pct"/>
          </w:tcPr>
          <w:p w14:paraId="40BC75B1" w14:textId="77777777" w:rsidR="005034A3" w:rsidRPr="00A361AA" w:rsidRDefault="005034A3" w:rsidP="0017431F">
            <w:pPr>
              <w:spacing w:after="0" w:line="240" w:lineRule="auto"/>
              <w:jc w:val="center"/>
              <w:rPr>
                <w:rFonts w:ascii="Arial" w:hAnsi="Arial" w:cs="Arial"/>
                <w:sz w:val="16"/>
                <w:szCs w:val="16"/>
              </w:rPr>
            </w:pPr>
          </w:p>
        </w:tc>
        <w:tc>
          <w:tcPr>
            <w:tcW w:w="472" w:type="pct"/>
          </w:tcPr>
          <w:p w14:paraId="18FBE304" w14:textId="195AD740" w:rsidR="005034A3" w:rsidRPr="00A361AA" w:rsidRDefault="00397E40" w:rsidP="0017431F">
            <w:pPr>
              <w:tabs>
                <w:tab w:val="left" w:pos="-720"/>
                <w:tab w:val="left" w:pos="0"/>
              </w:tabs>
              <w:suppressAutoHyphens/>
              <w:spacing w:after="0" w:line="240" w:lineRule="auto"/>
              <w:jc w:val="center"/>
              <w:rPr>
                <w:rFonts w:ascii="Arial" w:eastAsia="Times New Roman" w:hAnsi="Arial" w:cs="Arial"/>
                <w:b/>
                <w:sz w:val="16"/>
                <w:szCs w:val="16"/>
                <w:u w:val="single"/>
              </w:rPr>
            </w:pPr>
            <w:r w:rsidRPr="00A361AA">
              <w:rPr>
                <w:rFonts w:ascii="Arial" w:eastAsia="Times New Roman" w:hAnsi="Arial" w:cs="Arial"/>
                <w:b/>
                <w:sz w:val="16"/>
                <w:szCs w:val="16"/>
                <w:u w:val="single"/>
              </w:rPr>
              <w:t>446,154,518</w:t>
            </w:r>
          </w:p>
        </w:tc>
        <w:tc>
          <w:tcPr>
            <w:tcW w:w="433" w:type="pct"/>
          </w:tcPr>
          <w:p w14:paraId="1240D085" w14:textId="51838910" w:rsidR="005034A3" w:rsidRPr="00A361AA" w:rsidRDefault="009935AC" w:rsidP="0017431F">
            <w:pPr>
              <w:tabs>
                <w:tab w:val="left" w:pos="-720"/>
                <w:tab w:val="left" w:pos="0"/>
              </w:tabs>
              <w:suppressAutoHyphens/>
              <w:spacing w:after="0" w:line="240" w:lineRule="auto"/>
              <w:jc w:val="center"/>
              <w:rPr>
                <w:rFonts w:ascii="Arial" w:eastAsia="Times New Roman" w:hAnsi="Arial" w:cs="Arial"/>
                <w:b/>
                <w:sz w:val="16"/>
                <w:szCs w:val="16"/>
                <w:u w:val="single"/>
              </w:rPr>
            </w:pPr>
            <w:r>
              <w:rPr>
                <w:rFonts w:ascii="Arial" w:eastAsia="Times New Roman" w:hAnsi="Arial" w:cs="Arial"/>
                <w:b/>
                <w:sz w:val="16"/>
                <w:szCs w:val="16"/>
                <w:u w:val="single"/>
              </w:rPr>
              <w:t>2,279,312</w:t>
            </w:r>
            <w:r w:rsidR="00397E40" w:rsidRPr="00A361AA">
              <w:rPr>
                <w:rFonts w:ascii="Arial" w:eastAsia="Times New Roman" w:hAnsi="Arial" w:cs="Arial"/>
                <w:b/>
                <w:sz w:val="16"/>
                <w:szCs w:val="16"/>
                <w:u w:val="single"/>
              </w:rPr>
              <w:t xml:space="preserve"> hours</w:t>
            </w:r>
          </w:p>
        </w:tc>
        <w:tc>
          <w:tcPr>
            <w:tcW w:w="433" w:type="pct"/>
          </w:tcPr>
          <w:p w14:paraId="5B8C3D68" w14:textId="77777777" w:rsidR="005034A3" w:rsidRPr="00A361AA" w:rsidRDefault="005034A3" w:rsidP="0017431F">
            <w:pPr>
              <w:tabs>
                <w:tab w:val="left" w:pos="-720"/>
                <w:tab w:val="left" w:pos="0"/>
              </w:tabs>
              <w:suppressAutoHyphens/>
              <w:spacing w:after="0" w:line="240" w:lineRule="auto"/>
              <w:jc w:val="center"/>
              <w:rPr>
                <w:rFonts w:ascii="Arial" w:eastAsia="Times New Roman" w:hAnsi="Arial" w:cs="Arial"/>
                <w:sz w:val="16"/>
                <w:szCs w:val="16"/>
              </w:rPr>
            </w:pPr>
          </w:p>
        </w:tc>
      </w:tr>
    </w:tbl>
    <w:p w14:paraId="4EAD3D2E" w14:textId="77777777" w:rsidR="005034A3" w:rsidRPr="0081206F" w:rsidRDefault="005034A3" w:rsidP="00007A3C">
      <w:pPr>
        <w:rPr>
          <w:rFonts w:ascii="Times New Roman" w:hAnsi="Times New Roman" w:cs="Times New Roman"/>
        </w:rPr>
      </w:pPr>
    </w:p>
    <w:sectPr w:rsidR="005034A3" w:rsidRPr="0081206F" w:rsidSect="00EF523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E3B579" w14:textId="77777777" w:rsidR="00E21E52" w:rsidRDefault="00E21E52" w:rsidP="00E21E52">
      <w:pPr>
        <w:spacing w:after="0" w:line="240" w:lineRule="auto"/>
      </w:pPr>
      <w:r>
        <w:separator/>
      </w:r>
    </w:p>
  </w:endnote>
  <w:endnote w:type="continuationSeparator" w:id="0">
    <w:p w14:paraId="5BE3B57A" w14:textId="77777777" w:rsidR="00E21E52" w:rsidRDefault="00E21E52" w:rsidP="00E21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Optimum">
    <w:altName w:val="Optimum"/>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E3B57D" w14:textId="77777777" w:rsidR="00270A65" w:rsidRDefault="00FA00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E3B57E" w14:textId="77777777" w:rsidR="00270A65" w:rsidRDefault="00E21E52">
    <w:pPr>
      <w:pStyle w:val="Footer"/>
      <w:jc w:val="center"/>
    </w:pPr>
    <w:r>
      <w:rPr>
        <w:noProof/>
      </w:rPr>
      <mc:AlternateContent>
        <mc:Choice Requires="wps">
          <w:drawing>
            <wp:inline distT="0" distB="0" distL="0" distR="0" wp14:anchorId="5BE3B583" wp14:editId="5BE3B584">
              <wp:extent cx="5467350" cy="45085"/>
              <wp:effectExtent l="0" t="0" r="0" b="0"/>
              <wp:docPr id="648" name="Flowchart: Decision 648"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Flowchart: Decision 648"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" fillcolor="black" stroked="f">
              <v:fill r:id="rId1" o:title="" type="pattern"/>
              <w10:anchorlock/>
            </v:shape>
          </w:pict>
        </mc:Fallback>
      </mc:AlternateContent>
    </w:r>
  </w:p>
  <w:p w14:paraId="5BE3B57F" w14:textId="77777777" w:rsidR="00270A65" w:rsidRDefault="00E21E52">
    <w:pPr>
      <w:pStyle w:val="Footer"/>
      <w:jc w:val="center"/>
    </w:pPr>
    <w:r>
      <w:fldChar w:fldCharType="begin"/>
    </w:r>
    <w:r>
      <w:instrText xml:space="preserve"> PAGE    \* MERGEFORMAT </w:instrText>
    </w:r>
    <w:r>
      <w:fldChar w:fldCharType="separate"/>
    </w:r>
    <w:r w:rsidR="00FA0027">
      <w:rPr>
        <w:noProof/>
      </w:rPr>
      <w:t>2</w:t>
    </w:r>
    <w:r>
      <w:rPr>
        <w:noProof/>
      </w:rPr>
      <w:fldChar w:fldCharType="end"/>
    </w:r>
  </w:p>
  <w:p w14:paraId="5BE3B580" w14:textId="77777777" w:rsidR="00270A65" w:rsidRDefault="00FA002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E3B582" w14:textId="77777777" w:rsidR="00270A65" w:rsidRDefault="00FA00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E3B577" w14:textId="77777777" w:rsidR="00E21E52" w:rsidRDefault="00E21E52" w:rsidP="00E21E52">
      <w:pPr>
        <w:spacing w:after="0" w:line="240" w:lineRule="auto"/>
      </w:pPr>
      <w:r>
        <w:separator/>
      </w:r>
    </w:p>
  </w:footnote>
  <w:footnote w:type="continuationSeparator" w:id="0">
    <w:p w14:paraId="5BE3B578" w14:textId="77777777" w:rsidR="00E21E52" w:rsidRDefault="00E21E52" w:rsidP="00E21E52">
      <w:pPr>
        <w:spacing w:after="0" w:line="240" w:lineRule="auto"/>
      </w:pPr>
      <w:r>
        <w:continuationSeparator/>
      </w:r>
    </w:p>
  </w:footnote>
  <w:footnote w:id="1">
    <w:p w14:paraId="5BE3B586" w14:textId="74E08B3D" w:rsidR="00E21E52" w:rsidRPr="00B72E39" w:rsidRDefault="00E21E52" w:rsidP="00E21E52">
      <w:pPr>
        <w:pStyle w:val="FootnoteText"/>
        <w:rPr>
          <w:rFonts w:ascii="Times New Roman" w:hAnsi="Times New Roman"/>
        </w:rPr>
      </w:pPr>
      <w:r w:rsidRPr="00B72E39">
        <w:rPr>
          <w:rStyle w:val="FootnoteReference"/>
          <w:rFonts w:ascii="Times New Roman" w:hAnsi="Times New Roman"/>
        </w:rPr>
        <w:footnoteRef/>
      </w:r>
      <w:r w:rsidRPr="00B72E39">
        <w:rPr>
          <w:rFonts w:ascii="Times New Roman" w:hAnsi="Times New Roman"/>
        </w:rPr>
        <w:t xml:space="preserve"> </w:t>
      </w:r>
      <w:r w:rsidRPr="00B72E39">
        <w:rPr>
          <w:rFonts w:ascii="Times New Roman" w:hAnsi="Times New Roman"/>
          <w:u w:val="single"/>
        </w:rPr>
        <w:t>See</w:t>
      </w:r>
      <w:r w:rsidRPr="00B72E39">
        <w:rPr>
          <w:rFonts w:ascii="Times New Roman" w:hAnsi="Times New Roman"/>
          <w:i/>
          <w:iCs/>
        </w:rPr>
        <w:t xml:space="preserve"> </w:t>
      </w:r>
      <w:r w:rsidRPr="00B72E39">
        <w:rPr>
          <w:rFonts w:ascii="Times New Roman" w:hAnsi="Times New Roman"/>
        </w:rPr>
        <w:t>respectively, Registration of Swap Dealers and Major Swap Participants, 77 FR 2613, 2620 (Jan. 19</w:t>
      </w:r>
      <w:r w:rsidR="000D010A">
        <w:rPr>
          <w:rFonts w:ascii="Times New Roman" w:hAnsi="Times New Roman"/>
        </w:rPr>
        <w:t>, 2012) and 75 FR 71379, 71385 (</w:t>
      </w:r>
      <w:r w:rsidRPr="00B72E39">
        <w:rPr>
          <w:rFonts w:ascii="Times New Roman" w:hAnsi="Times New Roman"/>
        </w:rPr>
        <w:t>Nov. 23, 2010) (swap deale</w:t>
      </w:r>
      <w:r>
        <w:rPr>
          <w:rFonts w:ascii="Times New Roman" w:hAnsi="Times New Roman"/>
        </w:rPr>
        <w:t>rs and major swap participants).</w:t>
      </w:r>
    </w:p>
  </w:footnote>
  <w:footnote w:id="2">
    <w:p w14:paraId="5BE3B587" w14:textId="77777777" w:rsidR="00E21E52" w:rsidRDefault="00E21E52" w:rsidP="00E21E52">
      <w:pPr>
        <w:pStyle w:val="FootnoteText"/>
      </w:pPr>
      <w:r>
        <w:rPr>
          <w:rStyle w:val="FootnoteReference"/>
        </w:rPr>
        <w:footnoteRef/>
      </w:r>
      <w:r>
        <w:t xml:space="preserve"> </w:t>
      </w:r>
      <w:r w:rsidRPr="008D087B">
        <w:rPr>
          <w:rFonts w:ascii="Times New Roman" w:hAnsi="Times New Roman"/>
        </w:rPr>
        <w:t>See 17 CFR 145</w:t>
      </w:r>
    </w:p>
  </w:footnote>
  <w:footnote w:id="3">
    <w:p w14:paraId="42FCED16" w14:textId="77777777" w:rsidR="005034A3" w:rsidRPr="00882021" w:rsidRDefault="005034A3" w:rsidP="005034A3">
      <w:pPr>
        <w:pStyle w:val="FootnoteText"/>
        <w:rPr>
          <w:rFonts w:ascii="Times New Roman" w:hAnsi="Times New Roman" w:cs="Times New Roman"/>
        </w:rPr>
      </w:pPr>
      <w:r w:rsidRPr="00882021">
        <w:rPr>
          <w:rStyle w:val="FootnoteReference"/>
          <w:rFonts w:ascii="Times New Roman" w:hAnsi="Times New Roman" w:cs="Times New Roman"/>
        </w:rPr>
        <w:footnoteRef/>
      </w:r>
      <w:r w:rsidRPr="00882021">
        <w:rPr>
          <w:rFonts w:ascii="Times New Roman" w:hAnsi="Times New Roman" w:cs="Times New Roman"/>
        </w:rPr>
        <w:t xml:space="preserve"> The BLS Occupational Employment and Wages Report is available at https://www.bls.gov/oes/current/naics4_523000.htm.</w:t>
      </w:r>
    </w:p>
  </w:footnote>
  <w:footnote w:id="4">
    <w:p w14:paraId="66053A47" w14:textId="63B7C2B5" w:rsidR="0081206F" w:rsidRPr="0081206F" w:rsidRDefault="0081206F" w:rsidP="0081206F">
      <w:pPr>
        <w:pStyle w:val="FootnoteText"/>
        <w:rPr>
          <w:rFonts w:ascii="Times New Roman" w:hAnsi="Times New Roman" w:cs="Times New Roman"/>
          <w:sz w:val="16"/>
          <w:szCs w:val="16"/>
        </w:rPr>
      </w:pPr>
      <w:r w:rsidRPr="0081206F">
        <w:rPr>
          <w:rStyle w:val="FootnoteReference"/>
          <w:rFonts w:ascii="Times New Roman" w:hAnsi="Times New Roman" w:cs="Times New Roman"/>
        </w:rPr>
        <w:footnoteRef/>
      </w:r>
      <w:r w:rsidRPr="0081206F">
        <w:rPr>
          <w:rFonts w:ascii="Times New Roman" w:hAnsi="Times New Roman" w:cs="Times New Roman"/>
        </w:rPr>
        <w:t xml:space="preserve"> </w:t>
      </w:r>
      <w:r w:rsidRPr="0081206F">
        <w:rPr>
          <w:rFonts w:ascii="Times New Roman" w:hAnsi="Times New Roman" w:cs="Times New Roman"/>
          <w:sz w:val="16"/>
          <w:szCs w:val="16"/>
        </w:rPr>
        <w:t>As described above in the answer to question 13, the Commission calculated the average wage rate to $</w:t>
      </w:r>
      <w:r w:rsidR="00007A3C" w:rsidRPr="00007A3C">
        <w:rPr>
          <w:rFonts w:ascii="Times New Roman" w:hAnsi="Times New Roman" w:cs="Times New Roman"/>
          <w:sz w:val="16"/>
          <w:szCs w:val="16"/>
        </w:rPr>
        <w:t>72.48</w:t>
      </w:r>
      <w:r w:rsidRPr="0081206F">
        <w:rPr>
          <w:rFonts w:ascii="Times New Roman" w:hAnsi="Times New Roman" w:cs="Times New Roman"/>
          <w:sz w:val="16"/>
          <w:szCs w:val="16"/>
        </w:rPr>
        <w:t>.</w:t>
      </w:r>
    </w:p>
  </w:footnote>
  <w:footnote w:id="5">
    <w:p w14:paraId="1334EA69" w14:textId="039C294C" w:rsidR="005034A3" w:rsidRPr="0081206F" w:rsidRDefault="005034A3" w:rsidP="005034A3">
      <w:pPr>
        <w:pStyle w:val="FootnoteText"/>
        <w:rPr>
          <w:rFonts w:ascii="Times New Roman" w:hAnsi="Times New Roman" w:cs="Times New Roman"/>
          <w:sz w:val="16"/>
          <w:szCs w:val="16"/>
        </w:rPr>
      </w:pPr>
      <w:r w:rsidRPr="0081206F">
        <w:rPr>
          <w:rStyle w:val="FootnoteReference"/>
          <w:rFonts w:ascii="Times New Roman" w:hAnsi="Times New Roman" w:cs="Times New Roman"/>
        </w:rPr>
        <w:footnoteRef/>
      </w:r>
      <w:r w:rsidRPr="0081206F">
        <w:rPr>
          <w:rFonts w:ascii="Times New Roman" w:hAnsi="Times New Roman" w:cs="Times New Roman"/>
        </w:rPr>
        <w:t xml:space="preserve"> </w:t>
      </w:r>
      <w:r w:rsidRPr="0081206F">
        <w:rPr>
          <w:rFonts w:ascii="Times New Roman" w:hAnsi="Times New Roman" w:cs="Times New Roman"/>
          <w:sz w:val="16"/>
          <w:szCs w:val="16"/>
        </w:rPr>
        <w:t>As described above in the answer to question 13, the Commission calculated the average wage rate to $</w:t>
      </w:r>
      <w:r w:rsidR="00007A3C" w:rsidRPr="00007A3C">
        <w:rPr>
          <w:rFonts w:ascii="Times New Roman" w:hAnsi="Times New Roman" w:cs="Times New Roman"/>
          <w:sz w:val="16"/>
          <w:szCs w:val="16"/>
        </w:rPr>
        <w:t>72.48</w:t>
      </w:r>
      <w:r w:rsidRPr="0081206F">
        <w:rPr>
          <w:rFonts w:ascii="Times New Roman" w:hAnsi="Times New Roman" w:cs="Times New Roman"/>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E3B57B" w14:textId="77777777" w:rsidR="00270A65" w:rsidRDefault="00FA00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E3B57C" w14:textId="77777777" w:rsidR="00270A65" w:rsidRDefault="00FA002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E3B581" w14:textId="77777777" w:rsidR="00270A65" w:rsidRDefault="00FA00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E52"/>
    <w:rsid w:val="00007A3C"/>
    <w:rsid w:val="000101E4"/>
    <w:rsid w:val="00013325"/>
    <w:rsid w:val="000D010A"/>
    <w:rsid w:val="00117005"/>
    <w:rsid w:val="0021339F"/>
    <w:rsid w:val="00361590"/>
    <w:rsid w:val="00397E40"/>
    <w:rsid w:val="003D0186"/>
    <w:rsid w:val="003D7C36"/>
    <w:rsid w:val="00421069"/>
    <w:rsid w:val="00457F9E"/>
    <w:rsid w:val="004B6F89"/>
    <w:rsid w:val="005034A3"/>
    <w:rsid w:val="00562207"/>
    <w:rsid w:val="0063179E"/>
    <w:rsid w:val="006717F1"/>
    <w:rsid w:val="00734A59"/>
    <w:rsid w:val="00752FA6"/>
    <w:rsid w:val="007C689A"/>
    <w:rsid w:val="0081206F"/>
    <w:rsid w:val="0082292B"/>
    <w:rsid w:val="00882021"/>
    <w:rsid w:val="00947595"/>
    <w:rsid w:val="009935AC"/>
    <w:rsid w:val="00A151E1"/>
    <w:rsid w:val="00A361AA"/>
    <w:rsid w:val="00A5365A"/>
    <w:rsid w:val="00B42DA1"/>
    <w:rsid w:val="00B85227"/>
    <w:rsid w:val="00BE5E29"/>
    <w:rsid w:val="00C278FC"/>
    <w:rsid w:val="00C46753"/>
    <w:rsid w:val="00C57813"/>
    <w:rsid w:val="00C95B2C"/>
    <w:rsid w:val="00CD35AB"/>
    <w:rsid w:val="00CF0FC6"/>
    <w:rsid w:val="00E21E52"/>
    <w:rsid w:val="00EA7C82"/>
    <w:rsid w:val="00ED19F6"/>
    <w:rsid w:val="00F10EBB"/>
    <w:rsid w:val="00F15676"/>
    <w:rsid w:val="00F7292C"/>
    <w:rsid w:val="00F865EF"/>
    <w:rsid w:val="00FA0027"/>
    <w:rsid w:val="00FD1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E3B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Footnote Text Char1,ft,fn"/>
    <w:basedOn w:val="Normal"/>
    <w:link w:val="FootnoteTextChar"/>
    <w:uiPriority w:val="99"/>
    <w:unhideWhenUsed/>
    <w:rsid w:val="00E21E52"/>
    <w:pPr>
      <w:spacing w:after="0" w:line="240" w:lineRule="auto"/>
    </w:pPr>
    <w:rPr>
      <w:sz w:val="20"/>
      <w:szCs w:val="20"/>
    </w:rPr>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t Char"/>
    <w:basedOn w:val="DefaultParagraphFont"/>
    <w:link w:val="FootnoteText"/>
    <w:uiPriority w:val="99"/>
    <w:rsid w:val="00E21E52"/>
    <w:rPr>
      <w:sz w:val="20"/>
      <w:szCs w:val="20"/>
    </w:rPr>
  </w:style>
  <w:style w:type="character" w:styleId="FootnoteReference">
    <w:name w:val="footnote reference"/>
    <w:aliases w:val="fr,Style 19,Style 16,Style 35,12,Style 39,Style 14,16 Point,Superscript 6 Point,Footnote Reference Number,Footnote Reference_LVL6,Footnote Reference_LVL61,Footnote Reference_LVL62,Footnote Reference_LVL63,Footnote Reference_LVL64"/>
    <w:uiPriority w:val="99"/>
    <w:qFormat/>
    <w:rsid w:val="00E21E52"/>
    <w:rPr>
      <w:vertAlign w:val="superscript"/>
    </w:rPr>
  </w:style>
  <w:style w:type="paragraph" w:styleId="Header">
    <w:name w:val="header"/>
    <w:basedOn w:val="Normal"/>
    <w:link w:val="HeaderChar"/>
    <w:uiPriority w:val="99"/>
    <w:unhideWhenUsed/>
    <w:rsid w:val="00E21E52"/>
    <w:pPr>
      <w:tabs>
        <w:tab w:val="center" w:pos="4680"/>
        <w:tab w:val="right" w:pos="9360"/>
      </w:tabs>
      <w:spacing w:after="0" w:line="240" w:lineRule="auto"/>
    </w:pPr>
    <w:rPr>
      <w:rFonts w:ascii="Courier" w:eastAsia="Times New Roman" w:hAnsi="Courier" w:cs="Times New Roman"/>
      <w:sz w:val="24"/>
      <w:szCs w:val="20"/>
    </w:rPr>
  </w:style>
  <w:style w:type="character" w:customStyle="1" w:styleId="HeaderChar">
    <w:name w:val="Header Char"/>
    <w:basedOn w:val="DefaultParagraphFont"/>
    <w:link w:val="Header"/>
    <w:uiPriority w:val="99"/>
    <w:rsid w:val="00E21E52"/>
    <w:rPr>
      <w:rFonts w:ascii="Courier" w:eastAsia="Times New Roman" w:hAnsi="Courier" w:cs="Times New Roman"/>
      <w:sz w:val="24"/>
      <w:szCs w:val="20"/>
    </w:rPr>
  </w:style>
  <w:style w:type="paragraph" w:styleId="Footer">
    <w:name w:val="footer"/>
    <w:basedOn w:val="Normal"/>
    <w:link w:val="FooterChar"/>
    <w:uiPriority w:val="99"/>
    <w:unhideWhenUsed/>
    <w:rsid w:val="00E21E52"/>
    <w:pPr>
      <w:tabs>
        <w:tab w:val="center" w:pos="4680"/>
        <w:tab w:val="right" w:pos="9360"/>
      </w:tabs>
      <w:spacing w:after="0" w:line="240" w:lineRule="auto"/>
    </w:pPr>
    <w:rPr>
      <w:rFonts w:ascii="Courier" w:eastAsia="Times New Roman" w:hAnsi="Courier" w:cs="Times New Roman"/>
      <w:sz w:val="24"/>
      <w:szCs w:val="20"/>
    </w:rPr>
  </w:style>
  <w:style w:type="character" w:customStyle="1" w:styleId="FooterChar">
    <w:name w:val="Footer Char"/>
    <w:basedOn w:val="DefaultParagraphFont"/>
    <w:link w:val="Footer"/>
    <w:uiPriority w:val="99"/>
    <w:rsid w:val="00E21E52"/>
    <w:rPr>
      <w:rFonts w:ascii="Courier" w:eastAsia="Times New Roman" w:hAnsi="Courier" w:cs="Times New Roman"/>
      <w:sz w:val="24"/>
      <w:szCs w:val="20"/>
    </w:rPr>
  </w:style>
  <w:style w:type="paragraph" w:styleId="BalloonText">
    <w:name w:val="Balloon Text"/>
    <w:basedOn w:val="Normal"/>
    <w:link w:val="BalloonTextChar"/>
    <w:uiPriority w:val="99"/>
    <w:semiHidden/>
    <w:unhideWhenUsed/>
    <w:rsid w:val="008820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0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Footnote Text Char1,ft,fn"/>
    <w:basedOn w:val="Normal"/>
    <w:link w:val="FootnoteTextChar"/>
    <w:uiPriority w:val="99"/>
    <w:unhideWhenUsed/>
    <w:rsid w:val="00E21E52"/>
    <w:pPr>
      <w:spacing w:after="0" w:line="240" w:lineRule="auto"/>
    </w:pPr>
    <w:rPr>
      <w:sz w:val="20"/>
      <w:szCs w:val="20"/>
    </w:rPr>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t Char"/>
    <w:basedOn w:val="DefaultParagraphFont"/>
    <w:link w:val="FootnoteText"/>
    <w:uiPriority w:val="99"/>
    <w:rsid w:val="00E21E52"/>
    <w:rPr>
      <w:sz w:val="20"/>
      <w:szCs w:val="20"/>
    </w:rPr>
  </w:style>
  <w:style w:type="character" w:styleId="FootnoteReference">
    <w:name w:val="footnote reference"/>
    <w:aliases w:val="fr,Style 19,Style 16,Style 35,12,Style 39,Style 14,16 Point,Superscript 6 Point,Footnote Reference Number,Footnote Reference_LVL6,Footnote Reference_LVL61,Footnote Reference_LVL62,Footnote Reference_LVL63,Footnote Reference_LVL64"/>
    <w:uiPriority w:val="99"/>
    <w:qFormat/>
    <w:rsid w:val="00E21E52"/>
    <w:rPr>
      <w:vertAlign w:val="superscript"/>
    </w:rPr>
  </w:style>
  <w:style w:type="paragraph" w:styleId="Header">
    <w:name w:val="header"/>
    <w:basedOn w:val="Normal"/>
    <w:link w:val="HeaderChar"/>
    <w:uiPriority w:val="99"/>
    <w:unhideWhenUsed/>
    <w:rsid w:val="00E21E52"/>
    <w:pPr>
      <w:tabs>
        <w:tab w:val="center" w:pos="4680"/>
        <w:tab w:val="right" w:pos="9360"/>
      </w:tabs>
      <w:spacing w:after="0" w:line="240" w:lineRule="auto"/>
    </w:pPr>
    <w:rPr>
      <w:rFonts w:ascii="Courier" w:eastAsia="Times New Roman" w:hAnsi="Courier" w:cs="Times New Roman"/>
      <w:sz w:val="24"/>
      <w:szCs w:val="20"/>
    </w:rPr>
  </w:style>
  <w:style w:type="character" w:customStyle="1" w:styleId="HeaderChar">
    <w:name w:val="Header Char"/>
    <w:basedOn w:val="DefaultParagraphFont"/>
    <w:link w:val="Header"/>
    <w:uiPriority w:val="99"/>
    <w:rsid w:val="00E21E52"/>
    <w:rPr>
      <w:rFonts w:ascii="Courier" w:eastAsia="Times New Roman" w:hAnsi="Courier" w:cs="Times New Roman"/>
      <w:sz w:val="24"/>
      <w:szCs w:val="20"/>
    </w:rPr>
  </w:style>
  <w:style w:type="paragraph" w:styleId="Footer">
    <w:name w:val="footer"/>
    <w:basedOn w:val="Normal"/>
    <w:link w:val="FooterChar"/>
    <w:uiPriority w:val="99"/>
    <w:unhideWhenUsed/>
    <w:rsid w:val="00E21E52"/>
    <w:pPr>
      <w:tabs>
        <w:tab w:val="center" w:pos="4680"/>
        <w:tab w:val="right" w:pos="9360"/>
      </w:tabs>
      <w:spacing w:after="0" w:line="240" w:lineRule="auto"/>
    </w:pPr>
    <w:rPr>
      <w:rFonts w:ascii="Courier" w:eastAsia="Times New Roman" w:hAnsi="Courier" w:cs="Times New Roman"/>
      <w:sz w:val="24"/>
      <w:szCs w:val="20"/>
    </w:rPr>
  </w:style>
  <w:style w:type="character" w:customStyle="1" w:styleId="FooterChar">
    <w:name w:val="Footer Char"/>
    <w:basedOn w:val="DefaultParagraphFont"/>
    <w:link w:val="Footer"/>
    <w:uiPriority w:val="99"/>
    <w:rsid w:val="00E21E52"/>
    <w:rPr>
      <w:rFonts w:ascii="Courier" w:eastAsia="Times New Roman" w:hAnsi="Courier" w:cs="Times New Roman"/>
      <w:sz w:val="24"/>
      <w:szCs w:val="20"/>
    </w:rPr>
  </w:style>
  <w:style w:type="paragraph" w:styleId="BalloonText">
    <w:name w:val="Balloon Text"/>
    <w:basedOn w:val="Normal"/>
    <w:link w:val="BalloonTextChar"/>
    <w:uiPriority w:val="99"/>
    <w:semiHidden/>
    <w:unhideWhenUsed/>
    <w:rsid w:val="008820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0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831853">
      <w:bodyDiv w:val="1"/>
      <w:marLeft w:val="0"/>
      <w:marRight w:val="0"/>
      <w:marTop w:val="0"/>
      <w:marBottom w:val="0"/>
      <w:divBdr>
        <w:top w:val="none" w:sz="0" w:space="0" w:color="auto"/>
        <w:left w:val="none" w:sz="0" w:space="0" w:color="auto"/>
        <w:bottom w:val="none" w:sz="0" w:space="0" w:color="auto"/>
        <w:right w:val="none" w:sz="0" w:space="0" w:color="auto"/>
      </w:divBdr>
    </w:div>
    <w:div w:id="39474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8F8C64E8EF5D4F838F827AA9BAC992" ma:contentTypeVersion="0" ma:contentTypeDescription="Create a new document." ma:contentTypeScope="" ma:versionID="58eccbbde2b8734d5698cba15988f96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C4DCA-837E-445F-9955-A728FD1044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C42BDC7-F1E4-400F-9BFC-9A5495CF72C4}">
  <ds:schemaRefs>
    <ds:schemaRef ds:uri="http://schemas.microsoft.com/sharepoint/v3/contenttype/forms"/>
  </ds:schemaRefs>
</ds:datastoreItem>
</file>

<file path=customXml/itemProps3.xml><?xml version="1.0" encoding="utf-8"?>
<ds:datastoreItem xmlns:ds="http://schemas.openxmlformats.org/officeDocument/2006/customXml" ds:itemID="{8D375FEC-12C2-4875-B26C-2E8C77DD2E7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792D8FAF-5DAC-4CB0-8E7C-23277F67B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2993</Words>
  <Characters>17064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20017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MTente</dc:creator>
  <cp:lastModifiedBy>SYSTEM</cp:lastModifiedBy>
  <cp:revision>2</cp:revision>
  <cp:lastPrinted>2019-04-08T17:34:00Z</cp:lastPrinted>
  <dcterms:created xsi:type="dcterms:W3CDTF">2019-12-19T20:21:00Z</dcterms:created>
  <dcterms:modified xsi:type="dcterms:W3CDTF">2019-12-19T20:21:00Z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0x0101004A8F8C64E8EF5D4F838F827AA9BAC992</vt:lpwstr>
  </property>
</Properties>
</file>