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2E" w:rsidRDefault="00BF402E"/>
    <w:p w:rsidRPr="00EF4558" w:rsidR="00EF4558" w:rsidP="00EF4558" w:rsidRDefault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97235A">
        <w:rPr>
          <w:rFonts w:eastAsia="Times New Roman"/>
          <w:color w:val="auto"/>
          <w:szCs w:val="20"/>
        </w:rPr>
        <w:t>October 14</w:t>
      </w:r>
      <w:r w:rsidR="001F0C8F">
        <w:rPr>
          <w:rFonts w:eastAsia="Times New Roman"/>
          <w:color w:val="auto"/>
          <w:szCs w:val="20"/>
        </w:rPr>
        <w:t>, 20</w:t>
      </w:r>
      <w:r w:rsidR="00B1277A">
        <w:rPr>
          <w:rFonts w:eastAsia="Times New Roman"/>
          <w:color w:val="auto"/>
          <w:szCs w:val="20"/>
        </w:rPr>
        <w:t>20</w:t>
      </w:r>
    </w:p>
    <w:p w:rsidRPr="00EF4558" w:rsidR="00EF4558" w:rsidP="00EF4558" w:rsidRDefault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101CFE">
        <w:rPr>
          <w:rFonts w:eastAsia="Times New Roman"/>
          <w:color w:val="auto"/>
          <w:szCs w:val="20"/>
        </w:rPr>
        <w:t>William E. Bestani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101CFE">
        <w:rPr>
          <w:rFonts w:eastAsia="Times New Roman"/>
          <w:color w:val="auto"/>
          <w:szCs w:val="20"/>
        </w:rPr>
        <w:t>Manny</w:t>
      </w:r>
      <w:r w:rsidR="00D24551">
        <w:rPr>
          <w:rFonts w:eastAsia="Times New Roman"/>
          <w:color w:val="auto"/>
          <w:szCs w:val="20"/>
        </w:rPr>
        <w:t xml:space="preserve"> Cabeza</w:t>
      </w:r>
    </w:p>
    <w:p w:rsidRPr="00EF4558" w:rsidR="00EF4558" w:rsidP="00EF4558" w:rsidRDefault="00101CFE">
      <w:pPr>
        <w:ind w:left="1440" w:firstLine="72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Regulatory </w:t>
      </w:r>
      <w:r w:rsidRPr="00EF4558" w:rsidR="00EF4558">
        <w:rPr>
          <w:rFonts w:eastAsia="Times New Roman"/>
          <w:color w:val="auto"/>
          <w:szCs w:val="20"/>
        </w:rPr>
        <w:t>Counsel</w:t>
      </w:r>
    </w:p>
    <w:p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Pr="00EF4558" w:rsidR="00101CFE" w:rsidP="00EF4558" w:rsidRDefault="00101CFE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Legal Division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P="00EF4558" w:rsidRDefault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CD0E8C">
        <w:rPr>
          <w:rFonts w:eastAsia="Calibri"/>
          <w:color w:val="auto"/>
        </w:rPr>
        <w:t xml:space="preserve">FDIC </w:t>
      </w:r>
      <w:r w:rsidR="00101CFE">
        <w:rPr>
          <w:rFonts w:eastAsia="Calibri"/>
          <w:color w:val="auto"/>
        </w:rPr>
        <w:t>Ready Reserve</w:t>
      </w:r>
      <w:r w:rsidR="002151CA">
        <w:rPr>
          <w:rFonts w:eastAsia="Calibri"/>
          <w:color w:val="auto"/>
        </w:rPr>
        <w:t xml:space="preserve"> Survey</w:t>
      </w:r>
    </w:p>
    <w:p w:rsidR="006E7FC6" w:rsidP="006E7FC6" w:rsidRDefault="00EF4558">
      <w:r w:rsidRPr="00EF4558">
        <w:rPr>
          <w:rFonts w:eastAsia="Calibri"/>
          <w:color w:val="auto"/>
        </w:rPr>
        <w:t>Under the generic clearance entitled, “</w:t>
      </w:r>
      <w:r w:rsidR="001F0C8F">
        <w:rPr>
          <w:rFonts w:eastAsia="Calibri"/>
          <w:color w:val="auto"/>
        </w:rPr>
        <w:t>Information Collection for Qualitative Research</w:t>
      </w:r>
      <w:r w:rsidRPr="00EF4558">
        <w:rPr>
          <w:rFonts w:eastAsia="Calibri"/>
          <w:color w:val="auto"/>
        </w:rPr>
        <w:t>” (3064-01</w:t>
      </w:r>
      <w:r w:rsidR="001F0C8F">
        <w:rPr>
          <w:rFonts w:eastAsia="Calibri"/>
          <w:color w:val="auto"/>
        </w:rPr>
        <w:t>98</w:t>
      </w:r>
      <w:r w:rsidRPr="00EF4558">
        <w:rPr>
          <w:rFonts w:eastAsia="Calibri"/>
          <w:color w:val="auto"/>
        </w:rPr>
        <w:t xml:space="preserve">), the FDIC hereby submits for OMB review the </w:t>
      </w:r>
      <w:r w:rsidR="003A31E1">
        <w:rPr>
          <w:rFonts w:eastAsia="Calibri"/>
          <w:color w:val="auto"/>
        </w:rPr>
        <w:t xml:space="preserve">generic survey </w:t>
      </w:r>
      <w:r w:rsidR="00D24551">
        <w:rPr>
          <w:rFonts w:eastAsia="Calibri"/>
          <w:color w:val="auto"/>
        </w:rPr>
        <w:t>“</w:t>
      </w:r>
      <w:r w:rsidR="0097235A">
        <w:rPr>
          <w:rFonts w:eastAsia="Calibri"/>
          <w:color w:val="auto"/>
        </w:rPr>
        <w:t>Large Bank Working Groups to Increase Participation in 2022 Small Business Lending Survey</w:t>
      </w:r>
      <w:r w:rsidR="00CD0E8C">
        <w:rPr>
          <w:rFonts w:eastAsia="Calibri"/>
          <w:color w:val="auto"/>
        </w:rPr>
        <w:t>.</w:t>
      </w:r>
      <w:r w:rsidR="00D24551">
        <w:rPr>
          <w:rFonts w:eastAsia="Calibri"/>
          <w:color w:val="auto"/>
        </w:rPr>
        <w:t>”</w:t>
      </w:r>
      <w:r w:rsidR="00294C85">
        <w:rPr>
          <w:rFonts w:eastAsia="Calibri"/>
          <w:color w:val="auto"/>
        </w:rPr>
        <w:t xml:space="preserve">  </w:t>
      </w:r>
      <w:r w:rsidR="006E7FC6">
        <w:t>The FDIC’s Small Business Lending Survey (SBLS) is a nationally-representative survey of U.S. banks’ small business lending activities and practices</w:t>
      </w:r>
      <w:r w:rsidR="006E7FC6">
        <w:t xml:space="preserve"> conducted by the U.S. Census Bureau</w:t>
      </w:r>
      <w:r w:rsidR="006E7FC6">
        <w:t xml:space="preserve">. The first survey </w:t>
      </w:r>
      <w:r w:rsidR="006E7FC6">
        <w:t>was conducted in 2016; FDIC</w:t>
      </w:r>
      <w:r w:rsidR="006E7FC6">
        <w:t xml:space="preserve"> will have a second c</w:t>
      </w:r>
      <w:r w:rsidR="006E7FC6">
        <w:t>ollection in the field in 2022.</w:t>
      </w:r>
    </w:p>
    <w:p w:rsidR="006E7FC6" w:rsidP="006E7FC6" w:rsidRDefault="006E7FC6">
      <w:pPr>
        <w:spacing w:before="240"/>
      </w:pPr>
      <w:r>
        <w:t xml:space="preserve">The </w:t>
      </w:r>
      <w:r>
        <w:t>SBLS</w:t>
      </w:r>
      <w:r>
        <w:t xml:space="preserve"> contains a comprehensive set of both qualitative and quantitative questions. While the 2016 round of the SBLS had a high overall response rate across bank size (approximately 60 percent for each of our five different bank size groups), large banks—those with assets above $10 billion—often did not answer quantitative questions related to their volume of small business lending. This low qu</w:t>
      </w:r>
      <w:r>
        <w:t>estion response rate limited FDIC’s</w:t>
      </w:r>
      <w:r>
        <w:t xml:space="preserve"> ability to fully assess the true amount of small business lending conducted by the entire U.S. banking industry.</w:t>
      </w:r>
    </w:p>
    <w:p w:rsidR="006E7FC6" w:rsidP="006E7FC6" w:rsidRDefault="006E7FC6">
      <w:r>
        <w:t>FDIC wants</w:t>
      </w:r>
      <w:r>
        <w:t xml:space="preserve"> to boost participation and quantitative item response rates by large banks </w:t>
      </w:r>
      <w:r>
        <w:t>in the 2022 SBLS and</w:t>
      </w:r>
      <w:r>
        <w:t xml:space="preserve"> </w:t>
      </w:r>
      <w:r>
        <w:t>has</w:t>
      </w:r>
      <w:r>
        <w:t xml:space="preserve"> requested the assistance of the American Bankers Association</w:t>
      </w:r>
      <w:r w:rsidR="009E4568">
        <w:t xml:space="preserve"> (ABA)</w:t>
      </w:r>
      <w:r>
        <w:t xml:space="preserve"> to form a Working Group to solicit the feedback of staf</w:t>
      </w:r>
      <w:r>
        <w:t>f from large ABA member banks on</w:t>
      </w:r>
      <w:r>
        <w:t xml:space="preserve"> how to increase both survey participation, and quantitative </w:t>
      </w:r>
      <w:r>
        <w:t>question response rate.</w:t>
      </w:r>
    </w:p>
    <w:p w:rsidR="006E7FC6" w:rsidP="006E7FC6" w:rsidRDefault="006E7FC6"/>
    <w:p w:rsidR="006E7FC6" w:rsidP="006E7FC6" w:rsidRDefault="006E7FC6">
      <w:r>
        <w:t>The ABA has</w:t>
      </w:r>
      <w:r w:rsidRPr="005A5FFE">
        <w:t xml:space="preserve"> over 200 issue and peer based groups</w:t>
      </w:r>
      <w:r>
        <w:t xml:space="preserve">; we hope to approach 7 of these 200 groups that would contain participants relevant to our achieving our goal of increasing large bank participation, to ask them </w:t>
      </w:r>
      <w:r w:rsidRPr="001E1C11">
        <w:t>to join the Working Group:</w:t>
      </w:r>
    </w:p>
    <w:p w:rsidRPr="001E1C11" w:rsidR="009E4568" w:rsidP="006E7FC6" w:rsidRDefault="009E4568"/>
    <w:p w:rsidRPr="001E1C11" w:rsidR="006E7FC6" w:rsidP="006E7FC6" w:rsidRDefault="006E7FC6">
      <w:pPr>
        <w:pStyle w:val="ListParagraph"/>
        <w:numPr>
          <w:ilvl w:val="0"/>
          <w:numId w:val="1"/>
        </w:numPr>
      </w:pPr>
      <w:r w:rsidRPr="001E1C11">
        <w:t xml:space="preserve">A mid-sized CEO group (covers banks with $10B to $50B in assets) </w:t>
      </w:r>
    </w:p>
    <w:p w:rsidRPr="001E1C11" w:rsidR="006E7FC6" w:rsidP="006E7FC6" w:rsidRDefault="006E7FC6">
      <w:pPr>
        <w:pStyle w:val="ListParagraph"/>
        <w:numPr>
          <w:ilvl w:val="0"/>
          <w:numId w:val="1"/>
        </w:numPr>
      </w:pPr>
      <w:r w:rsidRPr="001E1C11">
        <w:t>A large bank group</w:t>
      </w:r>
    </w:p>
    <w:p w:rsidRPr="001E1C11" w:rsidR="006E7FC6" w:rsidP="006E7FC6" w:rsidRDefault="006E7FC6">
      <w:pPr>
        <w:pStyle w:val="ListParagraph"/>
        <w:numPr>
          <w:ilvl w:val="0"/>
          <w:numId w:val="1"/>
        </w:numPr>
      </w:pPr>
      <w:r w:rsidRPr="001E1C11">
        <w:t xml:space="preserve">An accounting group </w:t>
      </w:r>
    </w:p>
    <w:p w:rsidRPr="001E1C11" w:rsidR="006E7FC6" w:rsidP="006E7FC6" w:rsidRDefault="006E7FC6">
      <w:pPr>
        <w:pStyle w:val="ListParagraph"/>
        <w:numPr>
          <w:ilvl w:val="0"/>
          <w:numId w:val="1"/>
        </w:numPr>
      </w:pPr>
      <w:r w:rsidRPr="001E1C11">
        <w:t>A Call Report group</w:t>
      </w:r>
    </w:p>
    <w:p w:rsidRPr="001E1C11" w:rsidR="006E7FC6" w:rsidP="006E7FC6" w:rsidRDefault="006E7FC6">
      <w:pPr>
        <w:pStyle w:val="ListParagraph"/>
        <w:numPr>
          <w:ilvl w:val="0"/>
          <w:numId w:val="1"/>
        </w:numPr>
      </w:pPr>
      <w:r w:rsidRPr="001E1C11">
        <w:t xml:space="preserve">A reporting groups that includes reporting/systems staff </w:t>
      </w:r>
    </w:p>
    <w:p w:rsidRPr="001E1C11" w:rsidR="006E7FC6" w:rsidP="006E7FC6" w:rsidRDefault="006E7FC6">
      <w:pPr>
        <w:pStyle w:val="ListParagraph"/>
        <w:numPr>
          <w:ilvl w:val="0"/>
          <w:numId w:val="1"/>
        </w:numPr>
      </w:pPr>
      <w:r w:rsidRPr="001E1C11">
        <w:t>The economists research group, and</w:t>
      </w:r>
    </w:p>
    <w:p w:rsidR="006E7FC6" w:rsidP="006E7FC6" w:rsidRDefault="006E7FC6">
      <w:pPr>
        <w:pStyle w:val="ListParagraph"/>
        <w:numPr>
          <w:ilvl w:val="0"/>
          <w:numId w:val="1"/>
        </w:numPr>
      </w:pPr>
      <w:r w:rsidRPr="001E1C11">
        <w:t>The 1071 group (with interest in the Dodd Frank reporting requirement</w:t>
      </w:r>
      <w:r w:rsidR="009E4568">
        <w:t>s</w:t>
      </w:r>
      <w:r w:rsidRPr="001E1C11">
        <w:t>)</w:t>
      </w:r>
    </w:p>
    <w:p w:rsidR="006E7FC6" w:rsidP="006E7FC6" w:rsidRDefault="006E7FC6"/>
    <w:p w:rsidR="006E7FC6" w:rsidP="006E7FC6" w:rsidRDefault="006E7FC6">
      <w:r>
        <w:t xml:space="preserve">As of </w:t>
      </w:r>
      <w:r w:rsidR="009E4568">
        <w:t xml:space="preserve">the fourth quarter of </w:t>
      </w:r>
      <w:r>
        <w:t>2019, there are 132 institutions with over $10 Billion in assets. The ABA expects a 20 percent response rate from these institutions, which would imply the participation of approximately 26 institutions.</w:t>
      </w:r>
    </w:p>
    <w:p w:rsidR="00EF4558" w:rsidP="00762C11" w:rsidRDefault="006E7FC6">
      <w:pPr>
        <w:spacing w:before="240"/>
      </w:pPr>
      <w:r>
        <w:t>In order to solicit their specialized knowledge, we hope to meet with participants who represent these 132 banks, separately for each of these 7 groups, up to fou</w:t>
      </w:r>
      <w:r w:rsidR="009E4568">
        <w:t xml:space="preserve">r times. Each meeting would </w:t>
      </w:r>
      <w:r>
        <w:t>take</w:t>
      </w:r>
      <w:r w:rsidR="009E4568">
        <w:t xml:space="preserve"> approximately 1</w:t>
      </w:r>
      <w:bookmarkStart w:name="_GoBack" w:id="0"/>
      <w:bookmarkEnd w:id="0"/>
      <w:r>
        <w:t xml:space="preserve"> hour.</w:t>
      </w:r>
    </w:p>
    <w:p w:rsidR="009E4568" w:rsidP="009E4568" w:rsidRDefault="009E4568">
      <w:pPr>
        <w:rPr>
          <w:b/>
        </w:rPr>
      </w:pPr>
    </w:p>
    <w:p w:rsidR="00FC1FBC" w:rsidP="00EF4558" w:rsidRDefault="009E4568">
      <w:pPr>
        <w:rPr>
          <w:b/>
        </w:rPr>
      </w:pPr>
      <w:r w:rsidRPr="009122B4">
        <w:rPr>
          <w:b/>
        </w:rPr>
        <w:t>Estimated Burden</w:t>
      </w:r>
    </w:p>
    <w:p w:rsidR="009E4568" w:rsidP="00EF4558" w:rsidRDefault="009E456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4568" w:rsidTr="009E4DE5">
        <w:tc>
          <w:tcPr>
            <w:tcW w:w="4675" w:type="dxa"/>
          </w:tcPr>
          <w:p w:rsidRPr="00027335" w:rsidR="009E4568" w:rsidP="009E4DE5" w:rsidRDefault="009E4568">
            <w:pPr>
              <w:jc w:val="center"/>
              <w:rPr>
                <w:b/>
              </w:rPr>
            </w:pPr>
            <w:r w:rsidRPr="00027335">
              <w:rPr>
                <w:b/>
              </w:rPr>
              <w:t>Metric</w:t>
            </w:r>
          </w:p>
        </w:tc>
        <w:tc>
          <w:tcPr>
            <w:tcW w:w="4675" w:type="dxa"/>
          </w:tcPr>
          <w:p w:rsidR="009E4568" w:rsidP="009E4DE5" w:rsidRDefault="009E4568">
            <w:pPr>
              <w:jc w:val="center"/>
              <w:rPr>
                <w:b/>
              </w:rPr>
            </w:pPr>
            <w:r>
              <w:rPr>
                <w:b/>
              </w:rPr>
              <w:t>Estimate</w:t>
            </w:r>
          </w:p>
        </w:tc>
      </w:tr>
      <w:tr w:rsidR="009E4568" w:rsidTr="009E4DE5">
        <w:tc>
          <w:tcPr>
            <w:tcW w:w="4675" w:type="dxa"/>
          </w:tcPr>
          <w:p w:rsidR="009E4568" w:rsidP="009E4DE5" w:rsidRDefault="009E4568">
            <w:r>
              <w:t>Institutions with $10B+ assets in universe</w:t>
            </w:r>
            <w:r>
              <w:tab/>
            </w:r>
          </w:p>
          <w:p w:rsidR="009E4568" w:rsidP="009E4DE5" w:rsidRDefault="009E4568">
            <w:r>
              <w:t xml:space="preserve">Estimated </w:t>
            </w:r>
            <w:r w:rsidRPr="005A5FFE">
              <w:t xml:space="preserve">20 percent </w:t>
            </w:r>
            <w:r>
              <w:t>participation</w:t>
            </w:r>
          </w:p>
          <w:p w:rsidR="009E4568" w:rsidP="009E4DE5" w:rsidRDefault="009E4568">
            <w:r>
              <w:t>7 issue/peer-based ABA groups approached</w:t>
            </w:r>
          </w:p>
          <w:p w:rsidR="009E4568" w:rsidP="009E4DE5" w:rsidRDefault="009E4568"/>
          <w:p w:rsidR="009E4568" w:rsidP="009E4DE5" w:rsidRDefault="009E4568">
            <w:r>
              <w:t>4 meetings maximum</w:t>
            </w:r>
          </w:p>
          <w:p w:rsidR="009E4568" w:rsidP="009E4DE5" w:rsidRDefault="009E4568"/>
          <w:p w:rsidR="009E4568" w:rsidP="009E4DE5" w:rsidRDefault="009E4568">
            <w:pPr>
              <w:rPr>
                <w:b/>
              </w:rPr>
            </w:pPr>
            <w:r>
              <w:t xml:space="preserve">1 hour </w:t>
            </w:r>
            <w:r>
              <w:t xml:space="preserve">meetings </w:t>
            </w:r>
          </w:p>
        </w:tc>
        <w:tc>
          <w:tcPr>
            <w:tcW w:w="4675" w:type="dxa"/>
          </w:tcPr>
          <w:p w:rsidRPr="00027335" w:rsidR="009E4568" w:rsidP="009E4DE5" w:rsidRDefault="009E4568">
            <w:r w:rsidRPr="00027335">
              <w:t>132 Total institutions</w:t>
            </w:r>
          </w:p>
          <w:p w:rsidRPr="00027335" w:rsidR="009E4568" w:rsidP="009E4DE5" w:rsidRDefault="009E4568">
            <w:r w:rsidRPr="00027335">
              <w:t>26 Expected Institutions</w:t>
            </w:r>
          </w:p>
          <w:p w:rsidRPr="00027335" w:rsidR="009E4568" w:rsidP="009E4DE5" w:rsidRDefault="009E4568">
            <w:r w:rsidRPr="00027335">
              <w:t>182 Points of engagement = 26 Expected Institutions x 7 Issue groups</w:t>
            </w:r>
          </w:p>
          <w:p w:rsidRPr="00027335" w:rsidR="009E4568" w:rsidP="009E4DE5" w:rsidRDefault="009E4568">
            <w:r w:rsidRPr="00027335">
              <w:t>728 Points of engagement, taking into account frequency of meetings = 182 x 4 meetings</w:t>
            </w:r>
          </w:p>
          <w:p w:rsidR="009E4568" w:rsidP="009E4DE5" w:rsidRDefault="009E4568">
            <w:pPr>
              <w:rPr>
                <w:b/>
              </w:rPr>
            </w:pPr>
            <w:r w:rsidRPr="00027335">
              <w:t>728 Hours = 728 x 1 hour meetings</w:t>
            </w:r>
          </w:p>
        </w:tc>
      </w:tr>
      <w:tr w:rsidR="009E4568" w:rsidTr="009E4DE5">
        <w:tc>
          <w:tcPr>
            <w:tcW w:w="4675" w:type="dxa"/>
          </w:tcPr>
          <w:p w:rsidR="009E4568" w:rsidP="009E4DE5" w:rsidRDefault="009E4568">
            <w:pPr>
              <w:jc w:val="center"/>
              <w:rPr>
                <w:b/>
              </w:rPr>
            </w:pPr>
            <w:r>
              <w:rPr>
                <w:b/>
              </w:rPr>
              <w:t>Total Estimated Burden</w:t>
            </w:r>
          </w:p>
        </w:tc>
        <w:tc>
          <w:tcPr>
            <w:tcW w:w="4675" w:type="dxa"/>
          </w:tcPr>
          <w:p w:rsidR="009E4568" w:rsidP="009E4DE5" w:rsidRDefault="009E4568">
            <w:pPr>
              <w:jc w:val="center"/>
              <w:rPr>
                <w:b/>
              </w:rPr>
            </w:pPr>
            <w:r>
              <w:rPr>
                <w:b/>
              </w:rPr>
              <w:t xml:space="preserve"> 728 hours</w:t>
            </w:r>
          </w:p>
        </w:tc>
      </w:tr>
    </w:tbl>
    <w:p w:rsidR="009E4568" w:rsidP="00EF4558" w:rsidRDefault="009E4568">
      <w:pPr>
        <w:rPr>
          <w:b/>
        </w:rPr>
      </w:pPr>
    </w:p>
    <w:p w:rsidR="009E4568" w:rsidP="009E4568" w:rsidRDefault="009E4568">
      <w:pPr>
        <w:pStyle w:val="ListParagraph"/>
        <w:numPr>
          <w:ilvl w:val="0"/>
          <w:numId w:val="3"/>
        </w:numPr>
      </w:pPr>
      <w:r>
        <w:t>Number of Respondents</w:t>
      </w:r>
      <w:r>
        <w:tab/>
      </w:r>
      <w:r>
        <w:tab/>
      </w:r>
      <w:r>
        <w:tab/>
        <w:t>182</w:t>
      </w:r>
    </w:p>
    <w:p w:rsidR="009E4568" w:rsidP="009E4568" w:rsidRDefault="009E4568">
      <w:pPr>
        <w:pStyle w:val="ListParagraph"/>
        <w:numPr>
          <w:ilvl w:val="0"/>
          <w:numId w:val="3"/>
        </w:numPr>
      </w:pPr>
      <w:r>
        <w:t>Frequency of Response</w:t>
      </w:r>
      <w:r>
        <w:tab/>
      </w:r>
      <w:r>
        <w:tab/>
      </w:r>
      <w:r>
        <w:tab/>
      </w:r>
      <w:r>
        <w:tab/>
        <w:t>4</w:t>
      </w:r>
    </w:p>
    <w:p w:rsidRPr="009E4568" w:rsidR="009E4568" w:rsidP="009E4568" w:rsidRDefault="009E4568">
      <w:pPr>
        <w:pStyle w:val="ListParagraph"/>
        <w:numPr>
          <w:ilvl w:val="0"/>
          <w:numId w:val="3"/>
        </w:numPr>
      </w:pPr>
      <w:r>
        <w:t>Time Per Response</w:t>
      </w:r>
      <w:r>
        <w:tab/>
      </w:r>
      <w:r>
        <w:tab/>
      </w:r>
      <w:r>
        <w:tab/>
      </w:r>
      <w:r>
        <w:tab/>
        <w:t>1 Hour</w:t>
      </w:r>
    </w:p>
    <w:p w:rsidR="009E4BF9" w:rsidP="00EF4558" w:rsidRDefault="004A2C97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T</w:t>
      </w:r>
      <w:r w:rsidR="005712A5">
        <w:rPr>
          <w:rFonts w:eastAsia="Times New Roman"/>
          <w:color w:val="auto"/>
          <w:szCs w:val="20"/>
        </w:rPr>
        <w:t xml:space="preserve">otal estimated </w:t>
      </w:r>
      <w:r w:rsidR="00A41B14">
        <w:rPr>
          <w:rFonts w:eastAsia="Times New Roman"/>
          <w:color w:val="auto"/>
          <w:szCs w:val="20"/>
        </w:rPr>
        <w:t xml:space="preserve">annual </w:t>
      </w:r>
      <w:r w:rsidR="005712A5">
        <w:rPr>
          <w:rFonts w:eastAsia="Times New Roman"/>
          <w:color w:val="auto"/>
          <w:szCs w:val="20"/>
        </w:rPr>
        <w:t xml:space="preserve">burden for </w:t>
      </w:r>
      <w:r w:rsidR="00A41B14">
        <w:rPr>
          <w:rFonts w:eastAsia="Times New Roman"/>
          <w:color w:val="auto"/>
          <w:szCs w:val="20"/>
        </w:rPr>
        <w:t>this</w:t>
      </w:r>
      <w:r>
        <w:rPr>
          <w:rFonts w:eastAsia="Times New Roman"/>
          <w:color w:val="auto"/>
          <w:szCs w:val="20"/>
        </w:rPr>
        <w:t xml:space="preserve"> colle</w:t>
      </w:r>
      <w:r w:rsidR="006C4B9B">
        <w:rPr>
          <w:rFonts w:eastAsia="Times New Roman"/>
          <w:color w:val="auto"/>
          <w:szCs w:val="20"/>
        </w:rPr>
        <w:t xml:space="preserve">ction of this information is </w:t>
      </w:r>
      <w:r w:rsidR="009E4568">
        <w:rPr>
          <w:rFonts w:eastAsia="Times New Roman"/>
          <w:color w:val="auto"/>
          <w:szCs w:val="20"/>
        </w:rPr>
        <w:t>728</w:t>
      </w:r>
      <w:r w:rsidR="00A41B14">
        <w:rPr>
          <w:rFonts w:eastAsia="Times New Roman"/>
          <w:color w:val="auto"/>
          <w:szCs w:val="20"/>
        </w:rPr>
        <w:t xml:space="preserve"> </w:t>
      </w:r>
      <w:r w:rsidR="005712A5">
        <w:rPr>
          <w:rFonts w:eastAsia="Times New Roman"/>
          <w:color w:val="auto"/>
          <w:szCs w:val="20"/>
        </w:rPr>
        <w:t>hours.</w:t>
      </w:r>
    </w:p>
    <w:p w:rsidR="00BF402E" w:rsidP="00D44276" w:rsidRDefault="00EF4558">
      <w:pPr>
        <w:spacing w:before="200"/>
        <w:rPr>
          <w:rFonts w:eastAsia="Times New Roman"/>
          <w:color w:val="auto"/>
          <w:sz w:val="20"/>
          <w:lang w:bidi="x-none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</w:t>
      </w:r>
    </w:p>
    <w:sectPr w:rsidR="00BF4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477" w:rsidRDefault="005D7477">
      <w:r>
        <w:separator/>
      </w:r>
    </w:p>
  </w:endnote>
  <w:endnote w:type="continuationSeparator" w:id="0">
    <w:p w:rsidR="005D7477" w:rsidRDefault="005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98" w:rsidRDefault="001A2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98" w:rsidRDefault="001A22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98" w:rsidRDefault="001A2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477" w:rsidRDefault="005D7477">
      <w:r>
        <w:separator/>
      </w:r>
    </w:p>
  </w:footnote>
  <w:footnote w:type="continuationSeparator" w:id="0">
    <w:p w:rsidR="005D7477" w:rsidRDefault="005D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701BF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2E57"/>
    <w:multiLevelType w:val="hybridMultilevel"/>
    <w:tmpl w:val="14A8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464A1"/>
    <w:multiLevelType w:val="hybridMultilevel"/>
    <w:tmpl w:val="78E2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758BA"/>
    <w:multiLevelType w:val="hybridMultilevel"/>
    <w:tmpl w:val="599AC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41821"/>
    <w:rsid w:val="00091AAF"/>
    <w:rsid w:val="000A1EA8"/>
    <w:rsid w:val="000B59D1"/>
    <w:rsid w:val="001011DA"/>
    <w:rsid w:val="00101CFE"/>
    <w:rsid w:val="00124D94"/>
    <w:rsid w:val="0018506F"/>
    <w:rsid w:val="001A2298"/>
    <w:rsid w:val="001B770C"/>
    <w:rsid w:val="001C77DF"/>
    <w:rsid w:val="001D1EF9"/>
    <w:rsid w:val="001F0C8F"/>
    <w:rsid w:val="002151CA"/>
    <w:rsid w:val="00217C61"/>
    <w:rsid w:val="00234034"/>
    <w:rsid w:val="00294C85"/>
    <w:rsid w:val="002969EF"/>
    <w:rsid w:val="00331FB8"/>
    <w:rsid w:val="00360D9B"/>
    <w:rsid w:val="003A31E1"/>
    <w:rsid w:val="003C01EF"/>
    <w:rsid w:val="003D321B"/>
    <w:rsid w:val="003E0A8A"/>
    <w:rsid w:val="00423511"/>
    <w:rsid w:val="00471558"/>
    <w:rsid w:val="00472F9F"/>
    <w:rsid w:val="004A2C97"/>
    <w:rsid w:val="004A3101"/>
    <w:rsid w:val="004A49E7"/>
    <w:rsid w:val="004D08A6"/>
    <w:rsid w:val="004D377C"/>
    <w:rsid w:val="00506AFA"/>
    <w:rsid w:val="005523B4"/>
    <w:rsid w:val="005712A5"/>
    <w:rsid w:val="00572D23"/>
    <w:rsid w:val="00592AE6"/>
    <w:rsid w:val="005B4878"/>
    <w:rsid w:val="005D7477"/>
    <w:rsid w:val="006135A6"/>
    <w:rsid w:val="0062607F"/>
    <w:rsid w:val="00634775"/>
    <w:rsid w:val="006C4B9B"/>
    <w:rsid w:val="006D7A10"/>
    <w:rsid w:val="006E7FC6"/>
    <w:rsid w:val="00737C13"/>
    <w:rsid w:val="00752659"/>
    <w:rsid w:val="00762C11"/>
    <w:rsid w:val="007C7CD8"/>
    <w:rsid w:val="007E6ADD"/>
    <w:rsid w:val="00810E39"/>
    <w:rsid w:val="008231A1"/>
    <w:rsid w:val="008D19B9"/>
    <w:rsid w:val="008D303D"/>
    <w:rsid w:val="00936FDF"/>
    <w:rsid w:val="0097235A"/>
    <w:rsid w:val="00995B1D"/>
    <w:rsid w:val="00997D46"/>
    <w:rsid w:val="009A28D8"/>
    <w:rsid w:val="009B2F12"/>
    <w:rsid w:val="009E4568"/>
    <w:rsid w:val="009E4BF9"/>
    <w:rsid w:val="009F7DE9"/>
    <w:rsid w:val="00A026B6"/>
    <w:rsid w:val="00A1338E"/>
    <w:rsid w:val="00A21AFE"/>
    <w:rsid w:val="00A31ED3"/>
    <w:rsid w:val="00A34542"/>
    <w:rsid w:val="00A35D28"/>
    <w:rsid w:val="00A41B14"/>
    <w:rsid w:val="00A53B73"/>
    <w:rsid w:val="00A55A74"/>
    <w:rsid w:val="00A566D2"/>
    <w:rsid w:val="00AA27E5"/>
    <w:rsid w:val="00B1277A"/>
    <w:rsid w:val="00B61B73"/>
    <w:rsid w:val="00BA4D29"/>
    <w:rsid w:val="00BC7FFB"/>
    <w:rsid w:val="00BF402E"/>
    <w:rsid w:val="00C33312"/>
    <w:rsid w:val="00C761A3"/>
    <w:rsid w:val="00CD0E8C"/>
    <w:rsid w:val="00D2432A"/>
    <w:rsid w:val="00D24551"/>
    <w:rsid w:val="00D43735"/>
    <w:rsid w:val="00D44276"/>
    <w:rsid w:val="00D4572A"/>
    <w:rsid w:val="00D91F61"/>
    <w:rsid w:val="00D9275F"/>
    <w:rsid w:val="00DC34BB"/>
    <w:rsid w:val="00DF0133"/>
    <w:rsid w:val="00E07CD5"/>
    <w:rsid w:val="00E21631"/>
    <w:rsid w:val="00E61C10"/>
    <w:rsid w:val="00E64FC7"/>
    <w:rsid w:val="00E770D0"/>
    <w:rsid w:val="00E82BEB"/>
    <w:rsid w:val="00EA4629"/>
    <w:rsid w:val="00EC7D3E"/>
    <w:rsid w:val="00ED2B9D"/>
    <w:rsid w:val="00EF4558"/>
    <w:rsid w:val="00EF5923"/>
    <w:rsid w:val="00F06A97"/>
    <w:rsid w:val="00F4210F"/>
    <w:rsid w:val="00F46D50"/>
    <w:rsid w:val="00F529DB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74CC6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7FC6"/>
    <w:pPr>
      <w:ind w:left="720"/>
      <w:contextualSpacing/>
    </w:pPr>
    <w:rPr>
      <w:rFonts w:ascii="Calibri" w:eastAsiaTheme="minorHAnsi" w:hAnsi="Calibri" w:cs="Calibri"/>
      <w:color w:val="auto"/>
      <w:sz w:val="22"/>
      <w:szCs w:val="22"/>
    </w:rPr>
  </w:style>
  <w:style w:type="table" w:styleId="TableGrid">
    <w:name w:val="Table Grid"/>
    <w:basedOn w:val="TableNormal"/>
    <w:uiPriority w:val="39"/>
    <w:locked/>
    <w:rsid w:val="009E45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5F301-7DE0-4CCF-B048-3ADFDE9D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2020-10-14T13:07:00Z</dcterms:created>
  <dcterms:modified xsi:type="dcterms:W3CDTF">2020-10-14T14:25:00Z</dcterms:modified>
</cp:coreProperties>
</file>