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F47" w:rsidRPr="00B33645" w:rsidRDefault="006A5F47" w:rsidP="006A5F47">
      <w:pPr>
        <w:ind w:left="720" w:hanging="720"/>
        <w:jc w:val="center"/>
        <w:rPr>
          <w:rFonts w:ascii="Times New Roman" w:hAnsi="Times New Roman"/>
          <w:sz w:val="24"/>
          <w:szCs w:val="24"/>
        </w:rPr>
      </w:pPr>
      <w:bookmarkStart w:id="0" w:name="_GoBack"/>
      <w:bookmarkEnd w:id="0"/>
      <w:r w:rsidRPr="00B33645">
        <w:rPr>
          <w:rFonts w:ascii="Times New Roman" w:hAnsi="Times New Roman"/>
          <w:sz w:val="24"/>
          <w:szCs w:val="24"/>
        </w:rPr>
        <w:t>National Credit Union Administration</w:t>
      </w:r>
    </w:p>
    <w:p w:rsidR="006A5F47" w:rsidRPr="00B33645" w:rsidRDefault="006A5F47" w:rsidP="006A5F47">
      <w:pPr>
        <w:ind w:left="720" w:hanging="720"/>
        <w:jc w:val="center"/>
        <w:rPr>
          <w:rFonts w:ascii="Times New Roman" w:hAnsi="Times New Roman"/>
          <w:b/>
          <w:sz w:val="24"/>
          <w:szCs w:val="24"/>
        </w:rPr>
      </w:pPr>
      <w:r w:rsidRPr="00B33645">
        <w:rPr>
          <w:rFonts w:ascii="Times New Roman" w:hAnsi="Times New Roman"/>
          <w:b/>
          <w:sz w:val="24"/>
          <w:szCs w:val="24"/>
        </w:rPr>
        <w:t>SUPPORTING STATEMENT</w:t>
      </w:r>
    </w:p>
    <w:p w:rsidR="006A5F47" w:rsidRPr="00B33645" w:rsidRDefault="006A5F47" w:rsidP="006A5F47">
      <w:pPr>
        <w:ind w:left="720" w:hanging="720"/>
        <w:jc w:val="center"/>
        <w:rPr>
          <w:rFonts w:ascii="Times New Roman" w:hAnsi="Times New Roman"/>
          <w:b/>
          <w:sz w:val="24"/>
          <w:szCs w:val="24"/>
        </w:rPr>
      </w:pPr>
    </w:p>
    <w:p w:rsidR="006A5F47" w:rsidRPr="00B33645" w:rsidRDefault="006A5F47" w:rsidP="006A5F47">
      <w:pPr>
        <w:ind w:left="720" w:hanging="720"/>
        <w:jc w:val="center"/>
        <w:rPr>
          <w:rFonts w:ascii="Times New Roman" w:hAnsi="Times New Roman"/>
          <w:sz w:val="24"/>
          <w:szCs w:val="24"/>
        </w:rPr>
      </w:pPr>
      <w:r w:rsidRPr="00B33645">
        <w:rPr>
          <w:rFonts w:ascii="Times New Roman" w:hAnsi="Times New Roman"/>
          <w:sz w:val="24"/>
          <w:szCs w:val="24"/>
        </w:rPr>
        <w:t>Written Reimbursement Policy, 12 CFR §701.33</w:t>
      </w:r>
    </w:p>
    <w:p w:rsidR="006A5F47" w:rsidRPr="00B33645" w:rsidRDefault="006A5F47" w:rsidP="006A5F47">
      <w:pPr>
        <w:ind w:left="720" w:hanging="720"/>
        <w:jc w:val="center"/>
        <w:rPr>
          <w:rFonts w:ascii="Times New Roman" w:hAnsi="Times New Roman"/>
          <w:sz w:val="24"/>
          <w:szCs w:val="24"/>
        </w:rPr>
      </w:pPr>
      <w:r w:rsidRPr="00B33645">
        <w:rPr>
          <w:rFonts w:ascii="Times New Roman" w:hAnsi="Times New Roman"/>
          <w:sz w:val="24"/>
          <w:szCs w:val="24"/>
        </w:rPr>
        <w:t>OMB No.  3133-0130</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b/>
          <w:sz w:val="24"/>
          <w:szCs w:val="24"/>
        </w:rPr>
        <w:t>A.</w:t>
      </w:r>
      <w:r w:rsidRPr="00B33645">
        <w:rPr>
          <w:rFonts w:ascii="Times New Roman" w:hAnsi="Times New Roman"/>
          <w:b/>
          <w:sz w:val="24"/>
          <w:szCs w:val="24"/>
        </w:rPr>
        <w:tab/>
        <w:t>JUSTIFICATION</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i/>
          <w:sz w:val="24"/>
          <w:szCs w:val="24"/>
        </w:rPr>
      </w:pPr>
      <w:r w:rsidRPr="00B33645">
        <w:rPr>
          <w:rFonts w:ascii="Times New Roman" w:hAnsi="Times New Roman"/>
          <w:b/>
          <w:sz w:val="24"/>
          <w:szCs w:val="24"/>
        </w:rPr>
        <w:t>1.</w:t>
      </w:r>
      <w:r w:rsidRPr="00B33645">
        <w:rPr>
          <w:rFonts w:ascii="Times New Roman" w:hAnsi="Times New Roman"/>
          <w:b/>
          <w:i/>
          <w:sz w:val="24"/>
          <w:szCs w:val="24"/>
        </w:rPr>
        <w:tab/>
      </w:r>
      <w:r w:rsidRPr="00B33645">
        <w:rPr>
          <w:rFonts w:ascii="Times New Roman" w:hAnsi="Times New Roman"/>
          <w:b/>
          <w:sz w:val="24"/>
          <w:szCs w:val="24"/>
        </w:rPr>
        <w:t>Circumstances that make the collection of information necessary.</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Federal Credit Unions (“FCU”) may reimburse its board members for reasonable and proper costs incurred in conducting their official responsibilities only if the reimbursement is in accordance with the written reimbursement policies and procedures established by the FCU’s board of directors. Access to this plan, and documentation related to its implementation is necessary for NCUA examiners to verify compliance with this requirement.</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 xml:space="preserve">The information collection is authorized under Section 120 of the Federal Credit Union ("FCU") Act, 12 U.S.C. § 1766(a) and section 701.33(b)(2)(1) of NCUA Regulations, 12 CFR §701.33(b)(2)(i).  </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pStyle w:val="BodyTextIndent2"/>
        <w:spacing w:after="0" w:line="240" w:lineRule="auto"/>
        <w:ind w:left="0"/>
        <w:rPr>
          <w:b/>
        </w:rPr>
      </w:pPr>
      <w:r w:rsidRPr="00B33645">
        <w:rPr>
          <w:b/>
        </w:rPr>
        <w:t>2.</w:t>
      </w:r>
      <w:r w:rsidRPr="00B33645">
        <w:rPr>
          <w:b/>
        </w:rPr>
        <w:tab/>
        <w:t>Purpose and use of the information collected.</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Each FCU must maintain and retain a written reimbursement policy to ensure that the FCU makes payments to its director within the guidelines that the FCU has established in advance and to enable examiners to easily verify compliance by comparing the policy to the actual reimbursements.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3.</w:t>
      </w:r>
      <w:r w:rsidRPr="00B33645">
        <w:rPr>
          <w:rFonts w:ascii="Times New Roman" w:hAnsi="Times New Roman"/>
          <w:b/>
          <w:sz w:val="24"/>
          <w:szCs w:val="24"/>
        </w:rPr>
        <w:tab/>
        <w:t>Use of information technology.</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Plans and documentation may be retained in any form, including electronically.</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4.</w:t>
      </w:r>
      <w:r w:rsidRPr="00B33645">
        <w:rPr>
          <w:rFonts w:ascii="Times New Roman" w:hAnsi="Times New Roman"/>
          <w:b/>
          <w:sz w:val="24"/>
          <w:szCs w:val="24"/>
        </w:rPr>
        <w:tab/>
        <w:t>Duplication of information.</w:t>
      </w:r>
    </w:p>
    <w:p w:rsidR="006A5F47" w:rsidRPr="00B33645" w:rsidRDefault="006A5F47" w:rsidP="006A5F47">
      <w:pPr>
        <w:ind w:left="720" w:hanging="720"/>
        <w:rPr>
          <w:rFonts w:ascii="Times New Roman" w:hAnsi="Times New Roman"/>
          <w:b/>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The information collection is unique to the FCU and is not duplicated anywhere.</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 xml:space="preserve">5. </w:t>
      </w:r>
      <w:r w:rsidRPr="00B33645">
        <w:rPr>
          <w:rFonts w:ascii="Times New Roman" w:hAnsi="Times New Roman"/>
          <w:b/>
          <w:sz w:val="24"/>
          <w:szCs w:val="24"/>
        </w:rPr>
        <w:tab/>
        <w:t>Efforts to reduce burden on small entities.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The requirement to have a written reimbursement plan represents the minimum information necessary to implement this provision.  All FCUs have the same recordkeeping requirement.</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6.</w:t>
      </w:r>
      <w:r w:rsidRPr="00B33645">
        <w:rPr>
          <w:rFonts w:ascii="Times New Roman" w:hAnsi="Times New Roman"/>
          <w:b/>
          <w:sz w:val="24"/>
          <w:szCs w:val="24"/>
        </w:rPr>
        <w:tab/>
        <w:t>Consequences of not conducting the collection.</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Less frequent collection would substantially impair the effectiveness of the program.</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7.</w:t>
      </w:r>
      <w:r w:rsidRPr="00B33645">
        <w:rPr>
          <w:rFonts w:ascii="Times New Roman" w:hAnsi="Times New Roman"/>
          <w:b/>
          <w:sz w:val="24"/>
          <w:szCs w:val="24"/>
        </w:rPr>
        <w:tab/>
        <w:t>Inconsistencies with guidelines in 5 CFR 1320.5(d)(2)</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This information collection is consistent with guidelines.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8.</w:t>
      </w:r>
      <w:r w:rsidRPr="00B33645">
        <w:rPr>
          <w:rFonts w:ascii="Times New Roman" w:hAnsi="Times New Roman"/>
          <w:b/>
          <w:sz w:val="24"/>
          <w:szCs w:val="24"/>
        </w:rPr>
        <w:tab/>
        <w:t>Efforts to consult with persons outside the agency.</w:t>
      </w:r>
    </w:p>
    <w:p w:rsidR="006A5F47" w:rsidRPr="00B33645" w:rsidRDefault="006A5F47" w:rsidP="006A5F47">
      <w:pPr>
        <w:ind w:left="720" w:hanging="720"/>
        <w:rPr>
          <w:rFonts w:ascii="Times New Roman" w:hAnsi="Times New Roman"/>
          <w:b/>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r>
      <w:r w:rsidR="00347609">
        <w:rPr>
          <w:rFonts w:ascii="Times New Roman" w:hAnsi="Times New Roman"/>
          <w:sz w:val="24"/>
          <w:szCs w:val="24"/>
        </w:rPr>
        <w:t>A 60-day n</w:t>
      </w:r>
      <w:r w:rsidRPr="00B33645">
        <w:rPr>
          <w:rFonts w:ascii="Times New Roman" w:hAnsi="Times New Roman"/>
          <w:sz w:val="24"/>
          <w:szCs w:val="24"/>
        </w:rPr>
        <w:t xml:space="preserve">otice </w:t>
      </w:r>
      <w:r w:rsidR="00347609">
        <w:rPr>
          <w:rFonts w:ascii="Times New Roman" w:hAnsi="Times New Roman"/>
          <w:sz w:val="24"/>
          <w:szCs w:val="24"/>
        </w:rPr>
        <w:t xml:space="preserve">was published in the </w:t>
      </w:r>
      <w:r w:rsidR="00347609" w:rsidRPr="00347609">
        <w:rPr>
          <w:rFonts w:ascii="Times New Roman" w:hAnsi="Times New Roman"/>
          <w:i/>
          <w:sz w:val="24"/>
          <w:szCs w:val="24"/>
        </w:rPr>
        <w:t>Federal Register</w:t>
      </w:r>
      <w:r w:rsidR="00347609">
        <w:rPr>
          <w:rFonts w:ascii="Times New Roman" w:hAnsi="Times New Roman"/>
          <w:sz w:val="24"/>
          <w:szCs w:val="24"/>
        </w:rPr>
        <w:t xml:space="preserve"> on October 16, 2019, at 84 FR 55338, soliciting comments from the public and </w:t>
      </w:r>
      <w:r w:rsidRPr="00B33645">
        <w:rPr>
          <w:rFonts w:ascii="Times New Roman" w:hAnsi="Times New Roman"/>
          <w:sz w:val="24"/>
          <w:szCs w:val="24"/>
        </w:rPr>
        <w:t>did not re</w:t>
      </w:r>
      <w:r w:rsidR="00347609">
        <w:rPr>
          <w:rFonts w:ascii="Times New Roman" w:hAnsi="Times New Roman"/>
          <w:sz w:val="24"/>
          <w:szCs w:val="24"/>
        </w:rPr>
        <w:t>ceive any comments regarding this</w:t>
      </w:r>
      <w:r w:rsidRPr="00B33645">
        <w:rPr>
          <w:rFonts w:ascii="Times New Roman" w:hAnsi="Times New Roman"/>
          <w:sz w:val="24"/>
          <w:szCs w:val="24"/>
        </w:rPr>
        <w:t xml:space="preserve"> collection.</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9.</w:t>
      </w:r>
      <w:r w:rsidRPr="00B33645">
        <w:rPr>
          <w:rFonts w:ascii="Times New Roman" w:hAnsi="Times New Roman"/>
          <w:b/>
          <w:sz w:val="24"/>
          <w:szCs w:val="24"/>
        </w:rPr>
        <w:tab/>
        <w:t>Payment or gifts to respondents.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 xml:space="preserve">There </w:t>
      </w:r>
      <w:r w:rsidR="00347609">
        <w:rPr>
          <w:rFonts w:ascii="Times New Roman" w:hAnsi="Times New Roman"/>
          <w:sz w:val="24"/>
          <w:szCs w:val="24"/>
        </w:rPr>
        <w:t xml:space="preserve">are no </w:t>
      </w:r>
      <w:r w:rsidRPr="00B33645">
        <w:rPr>
          <w:rFonts w:ascii="Times New Roman" w:hAnsi="Times New Roman"/>
          <w:sz w:val="24"/>
          <w:szCs w:val="24"/>
        </w:rPr>
        <w:t>payment</w:t>
      </w:r>
      <w:r w:rsidR="00347609">
        <w:rPr>
          <w:rFonts w:ascii="Times New Roman" w:hAnsi="Times New Roman"/>
          <w:sz w:val="24"/>
          <w:szCs w:val="24"/>
        </w:rPr>
        <w:t>s</w:t>
      </w:r>
      <w:r w:rsidRPr="00B33645">
        <w:rPr>
          <w:rFonts w:ascii="Times New Roman" w:hAnsi="Times New Roman"/>
          <w:sz w:val="24"/>
          <w:szCs w:val="24"/>
        </w:rPr>
        <w:t xml:space="preserve"> or gift</w:t>
      </w:r>
      <w:r w:rsidR="00347609">
        <w:rPr>
          <w:rFonts w:ascii="Times New Roman" w:hAnsi="Times New Roman"/>
          <w:sz w:val="24"/>
          <w:szCs w:val="24"/>
        </w:rPr>
        <w:t>s made</w:t>
      </w:r>
      <w:r w:rsidRPr="00B33645">
        <w:rPr>
          <w:rFonts w:ascii="Times New Roman" w:hAnsi="Times New Roman"/>
          <w:sz w:val="24"/>
          <w:szCs w:val="24"/>
        </w:rPr>
        <w:t xml:space="preserve"> to respondents.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b/>
          <w:sz w:val="24"/>
          <w:szCs w:val="24"/>
        </w:rPr>
        <w:t>10.</w:t>
      </w:r>
      <w:r w:rsidRPr="00B33645">
        <w:rPr>
          <w:rFonts w:ascii="Times New Roman" w:hAnsi="Times New Roman"/>
          <w:b/>
          <w:sz w:val="24"/>
          <w:szCs w:val="24"/>
        </w:rPr>
        <w:tab/>
        <w:t>Assurance of confidentiality.</w:t>
      </w:r>
    </w:p>
    <w:p w:rsidR="006A5F47" w:rsidRPr="00B33645" w:rsidRDefault="006A5F47" w:rsidP="006A5F47">
      <w:pPr>
        <w:ind w:left="720" w:hanging="720"/>
        <w:rPr>
          <w:rFonts w:ascii="Times New Roman" w:hAnsi="Times New Roman"/>
          <w:sz w:val="24"/>
          <w:szCs w:val="24"/>
        </w:rPr>
      </w:pPr>
    </w:p>
    <w:p w:rsidR="006A5F47" w:rsidRPr="00B33645" w:rsidRDefault="00347609" w:rsidP="006A5F47">
      <w:pPr>
        <w:ind w:left="720" w:hanging="720"/>
        <w:rPr>
          <w:rFonts w:ascii="Times New Roman" w:hAnsi="Times New Roman"/>
          <w:sz w:val="24"/>
          <w:szCs w:val="24"/>
        </w:rPr>
      </w:pPr>
      <w:r>
        <w:rPr>
          <w:rFonts w:ascii="Times New Roman" w:hAnsi="Times New Roman"/>
          <w:sz w:val="24"/>
          <w:szCs w:val="24"/>
        </w:rPr>
        <w:tab/>
      </w:r>
      <w:r w:rsidR="006A5F47" w:rsidRPr="00B33645">
        <w:rPr>
          <w:rFonts w:ascii="Times New Roman" w:hAnsi="Times New Roman"/>
          <w:sz w:val="24"/>
          <w:szCs w:val="24"/>
        </w:rPr>
        <w:t xml:space="preserve">There are no assurances of confidentiality other than those provided by law.  </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b/>
          <w:sz w:val="24"/>
          <w:szCs w:val="24"/>
        </w:rPr>
        <w:t>11.</w:t>
      </w:r>
      <w:r w:rsidRPr="00B33645">
        <w:rPr>
          <w:rFonts w:ascii="Times New Roman" w:hAnsi="Times New Roman"/>
          <w:b/>
          <w:sz w:val="24"/>
          <w:szCs w:val="24"/>
        </w:rPr>
        <w:tab/>
        <w:t>Questions of a sensitive nature.</w:t>
      </w:r>
    </w:p>
    <w:p w:rsidR="006A5F47" w:rsidRPr="00B33645" w:rsidRDefault="006A5F47" w:rsidP="006A5F47">
      <w:pPr>
        <w:ind w:left="720" w:hanging="720"/>
        <w:rPr>
          <w:rFonts w:ascii="Times New Roman" w:hAnsi="Times New Roman"/>
          <w:b/>
          <w:sz w:val="24"/>
          <w:szCs w:val="24"/>
        </w:rPr>
      </w:pPr>
    </w:p>
    <w:p w:rsidR="006A5F47" w:rsidRPr="00B33645" w:rsidRDefault="00347609" w:rsidP="006A5F47">
      <w:pPr>
        <w:ind w:left="720" w:hanging="720"/>
        <w:rPr>
          <w:rFonts w:ascii="Times New Roman" w:hAnsi="Times New Roman"/>
          <w:sz w:val="24"/>
          <w:szCs w:val="24"/>
        </w:rPr>
      </w:pPr>
      <w:r>
        <w:rPr>
          <w:rFonts w:ascii="Times New Roman" w:hAnsi="Times New Roman"/>
          <w:sz w:val="24"/>
          <w:szCs w:val="24"/>
        </w:rPr>
        <w:tab/>
      </w:r>
      <w:r w:rsidR="006A5F47" w:rsidRPr="00B33645">
        <w:rPr>
          <w:rFonts w:ascii="Times New Roman" w:hAnsi="Times New Roman"/>
          <w:sz w:val="24"/>
          <w:szCs w:val="24"/>
        </w:rPr>
        <w:t>No personally identifiable information (PII) is collected.</w:t>
      </w:r>
      <w:r>
        <w:rPr>
          <w:rFonts w:ascii="Times New Roman" w:hAnsi="Times New Roman"/>
          <w:sz w:val="24"/>
          <w:szCs w:val="24"/>
        </w:rPr>
        <w:t xml:space="preserve">  </w:t>
      </w:r>
      <w:r w:rsidRPr="00B33645">
        <w:rPr>
          <w:rFonts w:ascii="Times New Roman" w:hAnsi="Times New Roman"/>
          <w:sz w:val="24"/>
          <w:szCs w:val="24"/>
        </w:rPr>
        <w:t>There are no questions of a sensitive nature.</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b/>
          <w:sz w:val="24"/>
          <w:szCs w:val="24"/>
        </w:rPr>
        <w:t>12.</w:t>
      </w:r>
      <w:r w:rsidRPr="00B33645">
        <w:rPr>
          <w:rFonts w:ascii="Times New Roman" w:hAnsi="Times New Roman"/>
          <w:b/>
          <w:sz w:val="24"/>
          <w:szCs w:val="24"/>
        </w:rPr>
        <w:tab/>
        <w:t>Burden of information collection.</w:t>
      </w:r>
    </w:p>
    <w:p w:rsidR="006A5F47" w:rsidRPr="00B33645" w:rsidRDefault="006A5F47" w:rsidP="006A5F47">
      <w:pPr>
        <w:ind w:left="720" w:hanging="720"/>
        <w:rPr>
          <w:rFonts w:ascii="Times New Roman" w:hAnsi="Times New Roman"/>
          <w:sz w:val="24"/>
          <w:szCs w:val="24"/>
        </w:rPr>
      </w:pPr>
    </w:p>
    <w:p w:rsidR="006A5F47" w:rsidRDefault="00347609" w:rsidP="006A5F47">
      <w:pPr>
        <w:ind w:left="720" w:hanging="720"/>
        <w:rPr>
          <w:rFonts w:ascii="Times New Roman" w:hAnsi="Times New Roman"/>
          <w:sz w:val="24"/>
          <w:szCs w:val="24"/>
        </w:rPr>
      </w:pPr>
      <w:r>
        <w:rPr>
          <w:rFonts w:ascii="Times New Roman" w:hAnsi="Times New Roman"/>
          <w:sz w:val="24"/>
          <w:szCs w:val="24"/>
        </w:rPr>
        <w:tab/>
      </w:r>
      <w:r w:rsidR="006A5F47" w:rsidRPr="00B33645">
        <w:rPr>
          <w:rFonts w:ascii="Times New Roman" w:hAnsi="Times New Roman"/>
          <w:sz w:val="24"/>
          <w:szCs w:val="24"/>
        </w:rPr>
        <w:t xml:space="preserve">NCUA estimates that FCUs will incur an average of one-half hour each annually to </w:t>
      </w:r>
      <w:r>
        <w:rPr>
          <w:rFonts w:ascii="Times New Roman" w:hAnsi="Times New Roman"/>
          <w:sz w:val="24"/>
          <w:szCs w:val="24"/>
        </w:rPr>
        <w:t>maintain</w:t>
      </w:r>
      <w:r w:rsidR="006A5F47" w:rsidRPr="00B33645">
        <w:rPr>
          <w:rFonts w:ascii="Times New Roman" w:hAnsi="Times New Roman"/>
          <w:sz w:val="24"/>
          <w:szCs w:val="24"/>
        </w:rPr>
        <w:t xml:space="preserve"> their policies.  </w:t>
      </w:r>
      <w:r>
        <w:rPr>
          <w:rFonts w:ascii="Times New Roman" w:hAnsi="Times New Roman"/>
          <w:sz w:val="24"/>
          <w:szCs w:val="24"/>
        </w:rPr>
        <w:t>As of September 2019, there are 3</w:t>
      </w:r>
      <w:r w:rsidR="008353DD">
        <w:rPr>
          <w:rFonts w:ascii="Times New Roman" w:hAnsi="Times New Roman"/>
          <w:sz w:val="24"/>
          <w:szCs w:val="24"/>
        </w:rPr>
        <w:t>,</w:t>
      </w:r>
      <w:r>
        <w:rPr>
          <w:rFonts w:ascii="Times New Roman" w:hAnsi="Times New Roman"/>
          <w:sz w:val="24"/>
          <w:szCs w:val="24"/>
        </w:rPr>
        <w:t>321 FCU</w:t>
      </w:r>
      <w:r w:rsidR="00B001C8">
        <w:rPr>
          <w:rFonts w:ascii="Times New Roman" w:hAnsi="Times New Roman"/>
          <w:sz w:val="24"/>
          <w:szCs w:val="24"/>
        </w:rPr>
        <w:t>.</w:t>
      </w:r>
    </w:p>
    <w:p w:rsidR="00347609" w:rsidRDefault="00347609" w:rsidP="006A5F47">
      <w:pPr>
        <w:ind w:left="720" w:hanging="72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760"/>
        <w:gridCol w:w="1748"/>
        <w:gridCol w:w="1738"/>
        <w:gridCol w:w="1691"/>
        <w:gridCol w:w="1693"/>
      </w:tblGrid>
      <w:tr w:rsidR="008353DD" w:rsidTr="008353DD">
        <w:tc>
          <w:tcPr>
            <w:tcW w:w="1760" w:type="dxa"/>
            <w:vAlign w:val="center"/>
          </w:tcPr>
          <w:p w:rsidR="00347609" w:rsidRPr="008353DD" w:rsidRDefault="00347609" w:rsidP="008353DD">
            <w:pPr>
              <w:jc w:val="center"/>
              <w:rPr>
                <w:rFonts w:ascii="Arial Narrow" w:hAnsi="Arial Narrow" w:cs="Arial"/>
              </w:rPr>
            </w:pPr>
            <w:r w:rsidRPr="008353DD">
              <w:rPr>
                <w:rFonts w:ascii="Arial Narrow" w:hAnsi="Arial Narrow" w:cs="Arial"/>
              </w:rPr>
              <w:t>No. Respondents</w:t>
            </w:r>
          </w:p>
        </w:tc>
        <w:tc>
          <w:tcPr>
            <w:tcW w:w="1748" w:type="dxa"/>
            <w:vAlign w:val="center"/>
          </w:tcPr>
          <w:p w:rsidR="00347609" w:rsidRPr="008353DD" w:rsidRDefault="00347609" w:rsidP="008353DD">
            <w:pPr>
              <w:jc w:val="center"/>
              <w:rPr>
                <w:rFonts w:ascii="Arial Narrow" w:hAnsi="Arial Narrow" w:cs="Arial"/>
              </w:rPr>
            </w:pPr>
            <w:r w:rsidRPr="008353DD">
              <w:rPr>
                <w:rFonts w:ascii="Arial Narrow" w:hAnsi="Arial Narrow" w:cs="Arial"/>
              </w:rPr>
              <w:t>No. Responses per Respondent</w:t>
            </w:r>
          </w:p>
        </w:tc>
        <w:tc>
          <w:tcPr>
            <w:tcW w:w="1738" w:type="dxa"/>
            <w:vAlign w:val="center"/>
          </w:tcPr>
          <w:p w:rsidR="00347609" w:rsidRPr="008353DD" w:rsidRDefault="00347609" w:rsidP="008353DD">
            <w:pPr>
              <w:jc w:val="center"/>
              <w:rPr>
                <w:rFonts w:ascii="Arial Narrow" w:hAnsi="Arial Narrow" w:cs="Arial"/>
              </w:rPr>
            </w:pPr>
            <w:r w:rsidRPr="008353DD">
              <w:rPr>
                <w:rFonts w:ascii="Arial Narrow" w:hAnsi="Arial Narrow" w:cs="Arial"/>
              </w:rPr>
              <w:t>No. Annual Responses</w:t>
            </w:r>
          </w:p>
        </w:tc>
        <w:tc>
          <w:tcPr>
            <w:tcW w:w="1691" w:type="dxa"/>
            <w:vAlign w:val="center"/>
          </w:tcPr>
          <w:p w:rsidR="00347609" w:rsidRPr="008353DD" w:rsidRDefault="00347609" w:rsidP="008353DD">
            <w:pPr>
              <w:jc w:val="center"/>
              <w:rPr>
                <w:rFonts w:ascii="Arial Narrow" w:hAnsi="Arial Narrow" w:cs="Arial"/>
              </w:rPr>
            </w:pPr>
            <w:r w:rsidRPr="008353DD">
              <w:rPr>
                <w:rFonts w:ascii="Arial Narrow" w:hAnsi="Arial Narrow" w:cs="Arial"/>
              </w:rPr>
              <w:t>Hours per Record</w:t>
            </w:r>
          </w:p>
        </w:tc>
        <w:tc>
          <w:tcPr>
            <w:tcW w:w="1693" w:type="dxa"/>
            <w:vAlign w:val="center"/>
          </w:tcPr>
          <w:p w:rsidR="00347609" w:rsidRPr="008353DD" w:rsidRDefault="00347609" w:rsidP="008353DD">
            <w:pPr>
              <w:jc w:val="center"/>
              <w:rPr>
                <w:rFonts w:ascii="Arial Narrow" w:hAnsi="Arial Narrow" w:cs="Arial"/>
              </w:rPr>
            </w:pPr>
            <w:r w:rsidRPr="008353DD">
              <w:rPr>
                <w:rFonts w:ascii="Arial Narrow" w:hAnsi="Arial Narrow" w:cs="Arial"/>
              </w:rPr>
              <w:t>Total Burden Hours</w:t>
            </w:r>
          </w:p>
        </w:tc>
      </w:tr>
      <w:tr w:rsidR="008353DD" w:rsidTr="008353DD">
        <w:trPr>
          <w:trHeight w:val="512"/>
        </w:trPr>
        <w:tc>
          <w:tcPr>
            <w:tcW w:w="1760" w:type="dxa"/>
            <w:vAlign w:val="center"/>
          </w:tcPr>
          <w:p w:rsidR="00347609" w:rsidRDefault="008353DD" w:rsidP="008353DD">
            <w:pPr>
              <w:jc w:val="center"/>
              <w:rPr>
                <w:rFonts w:ascii="Times New Roman" w:hAnsi="Times New Roman"/>
                <w:sz w:val="24"/>
                <w:szCs w:val="24"/>
              </w:rPr>
            </w:pPr>
            <w:r>
              <w:rPr>
                <w:rFonts w:ascii="Times New Roman" w:hAnsi="Times New Roman"/>
                <w:sz w:val="24"/>
                <w:szCs w:val="24"/>
              </w:rPr>
              <w:t>3,321</w:t>
            </w:r>
          </w:p>
        </w:tc>
        <w:tc>
          <w:tcPr>
            <w:tcW w:w="1748" w:type="dxa"/>
            <w:vAlign w:val="center"/>
          </w:tcPr>
          <w:p w:rsidR="00347609" w:rsidRDefault="008353DD" w:rsidP="008353DD">
            <w:pPr>
              <w:jc w:val="center"/>
              <w:rPr>
                <w:rFonts w:ascii="Times New Roman" w:hAnsi="Times New Roman"/>
                <w:sz w:val="24"/>
                <w:szCs w:val="24"/>
              </w:rPr>
            </w:pPr>
            <w:r>
              <w:rPr>
                <w:rFonts w:ascii="Times New Roman" w:hAnsi="Times New Roman"/>
                <w:sz w:val="24"/>
                <w:szCs w:val="24"/>
              </w:rPr>
              <w:t>1</w:t>
            </w:r>
          </w:p>
        </w:tc>
        <w:tc>
          <w:tcPr>
            <w:tcW w:w="1738" w:type="dxa"/>
            <w:vAlign w:val="center"/>
          </w:tcPr>
          <w:p w:rsidR="00347609" w:rsidRDefault="008353DD" w:rsidP="008353DD">
            <w:pPr>
              <w:jc w:val="center"/>
              <w:rPr>
                <w:rFonts w:ascii="Times New Roman" w:hAnsi="Times New Roman"/>
                <w:sz w:val="24"/>
                <w:szCs w:val="24"/>
              </w:rPr>
            </w:pPr>
            <w:r>
              <w:rPr>
                <w:rFonts w:ascii="Times New Roman" w:hAnsi="Times New Roman"/>
                <w:sz w:val="24"/>
                <w:szCs w:val="24"/>
              </w:rPr>
              <w:t>3,321</w:t>
            </w:r>
          </w:p>
        </w:tc>
        <w:tc>
          <w:tcPr>
            <w:tcW w:w="1691" w:type="dxa"/>
            <w:vAlign w:val="center"/>
          </w:tcPr>
          <w:p w:rsidR="00347609" w:rsidRDefault="008353DD" w:rsidP="008353DD">
            <w:pPr>
              <w:jc w:val="center"/>
              <w:rPr>
                <w:rFonts w:ascii="Times New Roman" w:hAnsi="Times New Roman"/>
                <w:sz w:val="24"/>
                <w:szCs w:val="24"/>
              </w:rPr>
            </w:pPr>
            <w:r>
              <w:rPr>
                <w:rFonts w:ascii="Times New Roman" w:hAnsi="Times New Roman"/>
                <w:sz w:val="24"/>
                <w:szCs w:val="24"/>
              </w:rPr>
              <w:t>0.50</w:t>
            </w:r>
          </w:p>
        </w:tc>
        <w:tc>
          <w:tcPr>
            <w:tcW w:w="1693" w:type="dxa"/>
            <w:vAlign w:val="center"/>
          </w:tcPr>
          <w:p w:rsidR="00347609" w:rsidRDefault="008353DD" w:rsidP="008353DD">
            <w:pPr>
              <w:jc w:val="center"/>
              <w:rPr>
                <w:rFonts w:ascii="Times New Roman" w:hAnsi="Times New Roman"/>
                <w:sz w:val="24"/>
                <w:szCs w:val="24"/>
              </w:rPr>
            </w:pPr>
            <w:r>
              <w:rPr>
                <w:rFonts w:ascii="Times New Roman" w:hAnsi="Times New Roman"/>
                <w:sz w:val="24"/>
                <w:szCs w:val="24"/>
              </w:rPr>
              <w:t>1,661</w:t>
            </w:r>
          </w:p>
        </w:tc>
      </w:tr>
    </w:tbl>
    <w:p w:rsidR="00347609" w:rsidRPr="008353DD" w:rsidRDefault="008353DD" w:rsidP="008353DD">
      <w:pPr>
        <w:ind w:left="720"/>
        <w:rPr>
          <w:rFonts w:ascii="Times New Roman" w:hAnsi="Times New Roman"/>
          <w:sz w:val="24"/>
          <w:szCs w:val="24"/>
        </w:rPr>
      </w:pPr>
      <w:r w:rsidRPr="008353DD">
        <w:rPr>
          <w:rFonts w:ascii="Times New Roman" w:hAnsi="Times New Roman"/>
          <w:sz w:val="24"/>
          <w:szCs w:val="24"/>
        </w:rPr>
        <w:t>Based on the labor rate of $35 per hour, the total cost to respondents is $58,135.</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13.</w:t>
      </w:r>
      <w:r w:rsidRPr="00B33645">
        <w:rPr>
          <w:rFonts w:ascii="Times New Roman" w:hAnsi="Times New Roman"/>
          <w:b/>
          <w:sz w:val="24"/>
          <w:szCs w:val="24"/>
        </w:rPr>
        <w:tab/>
        <w:t>Capital start-up or on-going operation and maintenance costs.</w:t>
      </w:r>
    </w:p>
    <w:p w:rsidR="006A5F47" w:rsidRPr="00B33645" w:rsidRDefault="006A5F47" w:rsidP="006A5F47">
      <w:pPr>
        <w:ind w:left="720" w:hanging="720"/>
        <w:rPr>
          <w:rFonts w:ascii="Times New Roman" w:hAnsi="Times New Roman"/>
          <w:sz w:val="24"/>
          <w:szCs w:val="24"/>
        </w:rPr>
      </w:pPr>
    </w:p>
    <w:p w:rsidR="006A5F47" w:rsidRPr="00B33645" w:rsidRDefault="008353DD" w:rsidP="006A5F47">
      <w:pPr>
        <w:ind w:left="720" w:hanging="720"/>
        <w:rPr>
          <w:rFonts w:ascii="Times New Roman" w:hAnsi="Times New Roman"/>
          <w:sz w:val="24"/>
          <w:szCs w:val="24"/>
        </w:rPr>
      </w:pPr>
      <w:r>
        <w:rPr>
          <w:rFonts w:ascii="Times New Roman" w:hAnsi="Times New Roman"/>
          <w:sz w:val="24"/>
          <w:szCs w:val="24"/>
        </w:rPr>
        <w:tab/>
        <w:t>There are no capital start-up or maintenance costs.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b/>
          <w:sz w:val="24"/>
          <w:szCs w:val="24"/>
        </w:rPr>
        <w:t>14.</w:t>
      </w:r>
      <w:r w:rsidRPr="00B33645">
        <w:rPr>
          <w:rFonts w:ascii="Times New Roman" w:hAnsi="Times New Roman"/>
          <w:b/>
          <w:sz w:val="24"/>
          <w:szCs w:val="24"/>
        </w:rPr>
        <w:tab/>
        <w:t>Annualized cost to the Federal government.</w:t>
      </w:r>
    </w:p>
    <w:p w:rsidR="006A5F47" w:rsidRPr="00B33645" w:rsidRDefault="006A5F47" w:rsidP="006A5F47">
      <w:pPr>
        <w:ind w:left="720" w:hanging="720"/>
        <w:rPr>
          <w:rFonts w:ascii="Times New Roman" w:hAnsi="Times New Roman"/>
          <w:sz w:val="24"/>
          <w:szCs w:val="24"/>
        </w:rPr>
      </w:pPr>
    </w:p>
    <w:p w:rsidR="006A5F47" w:rsidRPr="00B33645" w:rsidRDefault="008353DD" w:rsidP="006A5F47">
      <w:pPr>
        <w:ind w:left="720" w:hanging="720"/>
        <w:rPr>
          <w:rFonts w:ascii="Times New Roman" w:hAnsi="Times New Roman"/>
          <w:sz w:val="24"/>
          <w:szCs w:val="24"/>
        </w:rPr>
      </w:pPr>
      <w:r>
        <w:rPr>
          <w:rFonts w:ascii="Times New Roman" w:hAnsi="Times New Roman"/>
          <w:sz w:val="24"/>
          <w:szCs w:val="24"/>
        </w:rPr>
        <w:tab/>
      </w:r>
      <w:r w:rsidR="006A5F47" w:rsidRPr="00B33645">
        <w:rPr>
          <w:rFonts w:ascii="Times New Roman" w:hAnsi="Times New Roman"/>
          <w:sz w:val="24"/>
          <w:szCs w:val="24"/>
        </w:rPr>
        <w:t>There is no cost to the Federal government</w:t>
      </w:r>
      <w:r w:rsidR="006A5F47" w:rsidRPr="00B33645">
        <w:rPr>
          <w:rFonts w:ascii="Times New Roman" w:hAnsi="Times New Roman"/>
          <w:b/>
          <w:sz w:val="24"/>
          <w:szCs w:val="24"/>
        </w:rPr>
        <w:t>.</w:t>
      </w:r>
      <w:r w:rsidR="006A5F47" w:rsidRPr="00B33645">
        <w:rPr>
          <w:rFonts w:ascii="Times New Roman" w:hAnsi="Times New Roman"/>
          <w:sz w:val="24"/>
          <w:szCs w:val="24"/>
        </w:rPr>
        <w:t xml:space="preserve"> </w:t>
      </w:r>
    </w:p>
    <w:p w:rsidR="006A5F47" w:rsidRPr="00B33645" w:rsidRDefault="006A5F47" w:rsidP="006A5F47">
      <w:pPr>
        <w:ind w:left="720" w:hanging="720"/>
        <w:rPr>
          <w:rFonts w:ascii="Times New Roman" w:hAnsi="Times New Roman"/>
          <w:i/>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b/>
          <w:sz w:val="24"/>
          <w:szCs w:val="24"/>
        </w:rPr>
        <w:t xml:space="preserve">15. </w:t>
      </w:r>
      <w:r w:rsidRPr="00B33645">
        <w:rPr>
          <w:rFonts w:ascii="Times New Roman" w:hAnsi="Times New Roman"/>
          <w:b/>
          <w:sz w:val="24"/>
          <w:szCs w:val="24"/>
        </w:rPr>
        <w:tab/>
        <w:t>Changes in burden.</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r>
      <w:r w:rsidR="005B0C7F">
        <w:rPr>
          <w:rFonts w:ascii="Times New Roman" w:hAnsi="Times New Roman"/>
          <w:sz w:val="24"/>
          <w:szCs w:val="24"/>
        </w:rPr>
        <w:t>The regulatory burden has been removed and the number of FCU’s have been updated to reflect current numbers.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16.</w:t>
      </w:r>
      <w:r w:rsidRPr="00B33645">
        <w:rPr>
          <w:rFonts w:ascii="Times New Roman" w:hAnsi="Times New Roman"/>
          <w:b/>
          <w:sz w:val="24"/>
          <w:szCs w:val="24"/>
        </w:rPr>
        <w:tab/>
        <w:t>Information collection planned for statistical purposes.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 information will not be published</w:t>
      </w:r>
      <w:r w:rsidR="00543776">
        <w:rPr>
          <w:rFonts w:ascii="Times New Roman" w:hAnsi="Times New Roman"/>
          <w:sz w:val="24"/>
          <w:szCs w:val="24"/>
        </w:rPr>
        <w:t>.</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17.</w:t>
      </w:r>
      <w:r w:rsidRPr="00B33645">
        <w:rPr>
          <w:rFonts w:ascii="Times New Roman" w:hAnsi="Times New Roman"/>
          <w:b/>
          <w:sz w:val="24"/>
          <w:szCs w:val="24"/>
        </w:rPr>
        <w:tab/>
        <w:t>Request non-display the expiration date of the OMB control number.</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 xml:space="preserve">There are no traditional collection instruments associated with this collection of information (e.g. forms).  The OMB control number and expiration date associated with this PRA submission will be displayed on the Federal government’s electronic PRA docket at </w:t>
      </w:r>
      <w:hyperlink r:id="rId7" w:history="1">
        <w:r w:rsidR="008353DD" w:rsidRPr="00A75A84">
          <w:rPr>
            <w:rStyle w:val="Hyperlink"/>
            <w:rFonts w:ascii="Times New Roman" w:hAnsi="Times New Roman"/>
            <w:sz w:val="24"/>
            <w:szCs w:val="24"/>
          </w:rPr>
          <w:t>www.reginfo.gov</w:t>
        </w:r>
      </w:hyperlink>
      <w:r w:rsidR="008353DD">
        <w:rPr>
          <w:rFonts w:ascii="Times New Roman" w:hAnsi="Times New Roman"/>
          <w:sz w:val="24"/>
          <w:szCs w:val="24"/>
        </w:rPr>
        <w:t xml:space="preserve">. </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B33645">
        <w:rPr>
          <w:rFonts w:ascii="Times New Roman" w:hAnsi="Times New Roman"/>
          <w:b/>
          <w:sz w:val="24"/>
          <w:szCs w:val="24"/>
        </w:rPr>
        <w:t>18.</w:t>
      </w:r>
      <w:r w:rsidRPr="00B33645">
        <w:rPr>
          <w:rFonts w:ascii="Times New Roman" w:hAnsi="Times New Roman"/>
          <w:b/>
          <w:sz w:val="24"/>
          <w:szCs w:val="24"/>
        </w:rPr>
        <w:tab/>
        <w:t>Exceptions to the Certification for Paperwork Reduction Act Submission.</w:t>
      </w:r>
    </w:p>
    <w:p w:rsidR="006A5F47" w:rsidRPr="00B33645" w:rsidRDefault="006A5F47" w:rsidP="006A5F47">
      <w:pPr>
        <w:ind w:left="720" w:hanging="720"/>
        <w:rPr>
          <w:rFonts w:ascii="Times New Roman" w:hAnsi="Times New Roman"/>
          <w:b/>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There are no exceptions to the certification statement</w:t>
      </w:r>
      <w:r w:rsidR="008808AE">
        <w:rPr>
          <w:rFonts w:ascii="Times New Roman" w:hAnsi="Times New Roman"/>
          <w:sz w:val="24"/>
          <w:szCs w:val="24"/>
        </w:rPr>
        <w:t>.</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b/>
          <w:sz w:val="24"/>
          <w:szCs w:val="24"/>
        </w:rPr>
      </w:pPr>
      <w:r w:rsidRPr="008353DD">
        <w:rPr>
          <w:rFonts w:ascii="Times New Roman" w:hAnsi="Times New Roman"/>
          <w:b/>
          <w:sz w:val="24"/>
          <w:szCs w:val="24"/>
        </w:rPr>
        <w:t>B</w:t>
      </w:r>
      <w:r w:rsidRPr="00B33645">
        <w:rPr>
          <w:rFonts w:ascii="Times New Roman" w:hAnsi="Times New Roman"/>
          <w:sz w:val="24"/>
          <w:szCs w:val="24"/>
        </w:rPr>
        <w:t>.</w:t>
      </w:r>
      <w:r w:rsidRPr="00B33645">
        <w:rPr>
          <w:rFonts w:ascii="Times New Roman" w:hAnsi="Times New Roman"/>
          <w:sz w:val="24"/>
          <w:szCs w:val="24"/>
        </w:rPr>
        <w:tab/>
      </w:r>
      <w:r w:rsidRPr="00B33645">
        <w:rPr>
          <w:rFonts w:ascii="Times New Roman" w:hAnsi="Times New Roman"/>
          <w:b/>
          <w:sz w:val="24"/>
          <w:szCs w:val="24"/>
        </w:rPr>
        <w:t>COLLECTIONS OF INFORMATION EMPLOYING STATISTICAL METHODS</w:t>
      </w:r>
    </w:p>
    <w:p w:rsidR="006A5F47" w:rsidRPr="00B33645" w:rsidRDefault="006A5F47" w:rsidP="006A5F47">
      <w:pPr>
        <w:ind w:left="720" w:hanging="720"/>
        <w:rPr>
          <w:rFonts w:ascii="Times New Roman" w:hAnsi="Times New Roman"/>
          <w:sz w:val="24"/>
          <w:szCs w:val="24"/>
        </w:rPr>
      </w:pPr>
    </w:p>
    <w:p w:rsidR="006A5F47" w:rsidRPr="00B33645" w:rsidRDefault="006A5F47" w:rsidP="006A5F47">
      <w:pPr>
        <w:ind w:left="720" w:hanging="720"/>
        <w:rPr>
          <w:rFonts w:ascii="Times New Roman" w:hAnsi="Times New Roman"/>
          <w:sz w:val="24"/>
          <w:szCs w:val="24"/>
        </w:rPr>
      </w:pPr>
      <w:r w:rsidRPr="00B33645">
        <w:rPr>
          <w:rFonts w:ascii="Times New Roman" w:hAnsi="Times New Roman"/>
          <w:sz w:val="24"/>
          <w:szCs w:val="24"/>
        </w:rPr>
        <w:tab/>
        <w:t xml:space="preserve">This collection does not involve statistical methods. </w:t>
      </w:r>
    </w:p>
    <w:p w:rsidR="006A5F47" w:rsidRPr="00B33645" w:rsidRDefault="006A5F47" w:rsidP="006A5F47">
      <w:pPr>
        <w:ind w:left="720" w:hanging="720"/>
        <w:rPr>
          <w:rFonts w:ascii="Times New Roman" w:hAnsi="Times New Roman"/>
          <w:sz w:val="24"/>
          <w:szCs w:val="24"/>
        </w:rPr>
      </w:pPr>
    </w:p>
    <w:p w:rsidR="00E32637" w:rsidRDefault="00E32637"/>
    <w:sectPr w:rsidR="00E32637" w:rsidSect="006A5F47">
      <w:footerReference w:type="default" r:id="rId8"/>
      <w:footerReference w:type="firs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39" w:rsidRDefault="008F3B39" w:rsidP="008F3B39">
      <w:r>
        <w:separator/>
      </w:r>
    </w:p>
  </w:endnote>
  <w:endnote w:type="continuationSeparator" w:id="0">
    <w:p w:rsidR="008F3B39" w:rsidRDefault="008F3B39" w:rsidP="008F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75" w:rsidRDefault="00B001C8" w:rsidP="00B33645">
    <w:pPr>
      <w:pStyle w:val="Footer"/>
      <w:tabs>
        <w:tab w:val="clear" w:pos="8640"/>
        <w:tab w:val="right" w:pos="9360"/>
      </w:tabs>
    </w:pPr>
    <w:r w:rsidRPr="00B33645">
      <w:rPr>
        <w:rFonts w:ascii="Times New Roman" w:hAnsi="Times New Roman"/>
        <w:i/>
      </w:rPr>
      <w:t>OMB No. 3133-0130; December 2019</w:t>
    </w:r>
    <w:r>
      <w:tab/>
    </w:r>
    <w:r>
      <w:tab/>
    </w:r>
    <w:r w:rsidRPr="00B33645">
      <w:rPr>
        <w:rStyle w:val="PageNumber"/>
        <w:rFonts w:ascii="Times New Roman" w:hAnsi="Times New Roman"/>
        <w:sz w:val="24"/>
        <w:szCs w:val="24"/>
      </w:rPr>
      <w:fldChar w:fldCharType="begin"/>
    </w:r>
    <w:r w:rsidRPr="00B33645">
      <w:rPr>
        <w:rStyle w:val="PageNumber"/>
        <w:rFonts w:ascii="Times New Roman" w:hAnsi="Times New Roman"/>
        <w:sz w:val="24"/>
        <w:szCs w:val="24"/>
      </w:rPr>
      <w:instrText xml:space="preserve"> PAGE </w:instrText>
    </w:r>
    <w:r w:rsidRPr="00B33645">
      <w:rPr>
        <w:rStyle w:val="PageNumber"/>
        <w:rFonts w:ascii="Times New Roman" w:hAnsi="Times New Roman"/>
        <w:sz w:val="24"/>
        <w:szCs w:val="24"/>
      </w:rPr>
      <w:fldChar w:fldCharType="separate"/>
    </w:r>
    <w:r w:rsidR="00A62594">
      <w:rPr>
        <w:rStyle w:val="PageNumber"/>
        <w:rFonts w:ascii="Times New Roman" w:hAnsi="Times New Roman"/>
        <w:noProof/>
        <w:sz w:val="24"/>
        <w:szCs w:val="24"/>
      </w:rPr>
      <w:t>2</w:t>
    </w:r>
    <w:r w:rsidRPr="00B33645">
      <w:rPr>
        <w:rStyle w:val="PageNumbe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45" w:rsidRDefault="008F3B39" w:rsidP="008F3B39">
    <w:pPr>
      <w:pStyle w:val="Footer"/>
      <w:tabs>
        <w:tab w:val="clear" w:pos="8640"/>
        <w:tab w:val="right" w:pos="9360"/>
      </w:tabs>
    </w:pPr>
    <w:r w:rsidRPr="008F3B39">
      <w:rPr>
        <w:rFonts w:ascii="Times New Roman" w:hAnsi="Times New Roman"/>
        <w:i/>
      </w:rPr>
      <w:t>OMB No. 3133-0130; December 2019</w:t>
    </w:r>
    <w:r>
      <w:tab/>
    </w:r>
    <w:r>
      <w:tab/>
    </w:r>
    <w:r w:rsidR="00B001C8" w:rsidRPr="008F3B39">
      <w:rPr>
        <w:rFonts w:ascii="Times New Roman" w:hAnsi="Times New Roman"/>
        <w:sz w:val="24"/>
        <w:szCs w:val="24"/>
      </w:rPr>
      <w:fldChar w:fldCharType="begin"/>
    </w:r>
    <w:r w:rsidR="00B001C8" w:rsidRPr="008F3B39">
      <w:rPr>
        <w:rFonts w:ascii="Times New Roman" w:hAnsi="Times New Roman"/>
        <w:sz w:val="24"/>
        <w:szCs w:val="24"/>
      </w:rPr>
      <w:instrText xml:space="preserve"> PAGE   \* MERGEFORMAT </w:instrText>
    </w:r>
    <w:r w:rsidR="00B001C8" w:rsidRPr="008F3B39">
      <w:rPr>
        <w:rFonts w:ascii="Times New Roman" w:hAnsi="Times New Roman"/>
        <w:sz w:val="24"/>
        <w:szCs w:val="24"/>
      </w:rPr>
      <w:fldChar w:fldCharType="separate"/>
    </w:r>
    <w:r w:rsidR="00A62594">
      <w:rPr>
        <w:rFonts w:ascii="Times New Roman" w:hAnsi="Times New Roman"/>
        <w:noProof/>
        <w:sz w:val="24"/>
        <w:szCs w:val="24"/>
      </w:rPr>
      <w:t>1</w:t>
    </w:r>
    <w:r w:rsidR="00B001C8" w:rsidRPr="008F3B39">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39" w:rsidRDefault="008F3B39" w:rsidP="008F3B39">
      <w:r>
        <w:separator/>
      </w:r>
    </w:p>
  </w:footnote>
  <w:footnote w:type="continuationSeparator" w:id="0">
    <w:p w:rsidR="008F3B39" w:rsidRDefault="008F3B39" w:rsidP="008F3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47"/>
    <w:rsid w:val="000C7E47"/>
    <w:rsid w:val="00347609"/>
    <w:rsid w:val="00543776"/>
    <w:rsid w:val="005B0C7F"/>
    <w:rsid w:val="006A5F47"/>
    <w:rsid w:val="008353DD"/>
    <w:rsid w:val="008808AE"/>
    <w:rsid w:val="008F3B39"/>
    <w:rsid w:val="00A62594"/>
    <w:rsid w:val="00B001C8"/>
    <w:rsid w:val="00E3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47"/>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F47"/>
    <w:pPr>
      <w:tabs>
        <w:tab w:val="center" w:pos="4320"/>
        <w:tab w:val="right" w:pos="8640"/>
      </w:tabs>
    </w:pPr>
  </w:style>
  <w:style w:type="character" w:customStyle="1" w:styleId="FooterChar">
    <w:name w:val="Footer Char"/>
    <w:basedOn w:val="DefaultParagraphFont"/>
    <w:link w:val="Footer"/>
    <w:uiPriority w:val="99"/>
    <w:rsid w:val="006A5F47"/>
    <w:rPr>
      <w:rFonts w:ascii="CG Times" w:eastAsia="Times New Roman" w:hAnsi="CG Times" w:cs="Times New Roman"/>
      <w:sz w:val="20"/>
      <w:szCs w:val="20"/>
    </w:rPr>
  </w:style>
  <w:style w:type="character" w:styleId="PageNumber">
    <w:name w:val="page number"/>
    <w:basedOn w:val="DefaultParagraphFont"/>
    <w:rsid w:val="006A5F47"/>
  </w:style>
  <w:style w:type="paragraph" w:styleId="BodyTextIndent2">
    <w:name w:val="Body Text Indent 2"/>
    <w:basedOn w:val="Normal"/>
    <w:link w:val="BodyTextIndent2Char"/>
    <w:uiPriority w:val="99"/>
    <w:unhideWhenUsed/>
    <w:rsid w:val="006A5F47"/>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5F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B39"/>
    <w:pPr>
      <w:tabs>
        <w:tab w:val="center" w:pos="4680"/>
        <w:tab w:val="right" w:pos="9360"/>
      </w:tabs>
    </w:pPr>
  </w:style>
  <w:style w:type="character" w:customStyle="1" w:styleId="HeaderChar">
    <w:name w:val="Header Char"/>
    <w:basedOn w:val="DefaultParagraphFont"/>
    <w:link w:val="Header"/>
    <w:uiPriority w:val="99"/>
    <w:rsid w:val="008F3B39"/>
    <w:rPr>
      <w:rFonts w:ascii="CG Times" w:eastAsia="Times New Roman" w:hAnsi="CG Times" w:cs="Times New Roman"/>
      <w:sz w:val="20"/>
      <w:szCs w:val="20"/>
    </w:rPr>
  </w:style>
  <w:style w:type="table" w:styleId="TableGrid">
    <w:name w:val="Table Grid"/>
    <w:basedOn w:val="TableNormal"/>
    <w:uiPriority w:val="39"/>
    <w:rsid w:val="0034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3DD"/>
    <w:rPr>
      <w:color w:val="0563C1" w:themeColor="hyperlink"/>
      <w:u w:val="single"/>
    </w:rPr>
  </w:style>
  <w:style w:type="paragraph" w:styleId="BalloonText">
    <w:name w:val="Balloon Text"/>
    <w:basedOn w:val="Normal"/>
    <w:link w:val="BalloonTextChar"/>
    <w:uiPriority w:val="99"/>
    <w:semiHidden/>
    <w:unhideWhenUsed/>
    <w:rsid w:val="00B00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C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47"/>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F47"/>
    <w:pPr>
      <w:tabs>
        <w:tab w:val="center" w:pos="4320"/>
        <w:tab w:val="right" w:pos="8640"/>
      </w:tabs>
    </w:pPr>
  </w:style>
  <w:style w:type="character" w:customStyle="1" w:styleId="FooterChar">
    <w:name w:val="Footer Char"/>
    <w:basedOn w:val="DefaultParagraphFont"/>
    <w:link w:val="Footer"/>
    <w:uiPriority w:val="99"/>
    <w:rsid w:val="006A5F47"/>
    <w:rPr>
      <w:rFonts w:ascii="CG Times" w:eastAsia="Times New Roman" w:hAnsi="CG Times" w:cs="Times New Roman"/>
      <w:sz w:val="20"/>
      <w:szCs w:val="20"/>
    </w:rPr>
  </w:style>
  <w:style w:type="character" w:styleId="PageNumber">
    <w:name w:val="page number"/>
    <w:basedOn w:val="DefaultParagraphFont"/>
    <w:rsid w:val="006A5F47"/>
  </w:style>
  <w:style w:type="paragraph" w:styleId="BodyTextIndent2">
    <w:name w:val="Body Text Indent 2"/>
    <w:basedOn w:val="Normal"/>
    <w:link w:val="BodyTextIndent2Char"/>
    <w:uiPriority w:val="99"/>
    <w:unhideWhenUsed/>
    <w:rsid w:val="006A5F47"/>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5F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B39"/>
    <w:pPr>
      <w:tabs>
        <w:tab w:val="center" w:pos="4680"/>
        <w:tab w:val="right" w:pos="9360"/>
      </w:tabs>
    </w:pPr>
  </w:style>
  <w:style w:type="character" w:customStyle="1" w:styleId="HeaderChar">
    <w:name w:val="Header Char"/>
    <w:basedOn w:val="DefaultParagraphFont"/>
    <w:link w:val="Header"/>
    <w:uiPriority w:val="99"/>
    <w:rsid w:val="008F3B39"/>
    <w:rPr>
      <w:rFonts w:ascii="CG Times" w:eastAsia="Times New Roman" w:hAnsi="CG Times" w:cs="Times New Roman"/>
      <w:sz w:val="20"/>
      <w:szCs w:val="20"/>
    </w:rPr>
  </w:style>
  <w:style w:type="table" w:styleId="TableGrid">
    <w:name w:val="Table Grid"/>
    <w:basedOn w:val="TableNormal"/>
    <w:uiPriority w:val="39"/>
    <w:rsid w:val="0034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3DD"/>
    <w:rPr>
      <w:color w:val="0563C1" w:themeColor="hyperlink"/>
      <w:u w:val="single"/>
    </w:rPr>
  </w:style>
  <w:style w:type="paragraph" w:styleId="BalloonText">
    <w:name w:val="Balloon Text"/>
    <w:basedOn w:val="Normal"/>
    <w:link w:val="BalloonTextChar"/>
    <w:uiPriority w:val="99"/>
    <w:semiHidden/>
    <w:unhideWhenUsed/>
    <w:rsid w:val="00B00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inf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2019-12-26T13:41:00Z</cp:lastPrinted>
  <dcterms:created xsi:type="dcterms:W3CDTF">2019-12-26T14:03:00Z</dcterms:created>
  <dcterms:modified xsi:type="dcterms:W3CDTF">2019-12-26T14:03:00Z</dcterms:modified>
</cp:coreProperties>
</file>