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0302" w:rsidR="00463576" w:rsidP="002E4EB6" w:rsidRDefault="00463576">
      <w:pPr>
        <w:keepNext/>
        <w:widowControl/>
        <w:jc w:val="center"/>
        <w:rPr>
          <w:rFonts w:cs="Arial"/>
          <w:szCs w:val="22"/>
        </w:rPr>
      </w:pPr>
      <w:r w:rsidRPr="00000302">
        <w:rPr>
          <w:rFonts w:cs="Arial"/>
          <w:szCs w:val="22"/>
        </w:rPr>
        <w:t>Justification</w:t>
      </w:r>
    </w:p>
    <w:p w:rsidRPr="00000302" w:rsidR="00463576" w:rsidP="002E4EB6" w:rsidRDefault="00463576">
      <w:pPr>
        <w:keepNext/>
        <w:widowControl/>
        <w:jc w:val="center"/>
        <w:rPr>
          <w:rFonts w:cs="Arial"/>
          <w:szCs w:val="22"/>
        </w:rPr>
      </w:pPr>
      <w:r w:rsidRPr="00000302">
        <w:rPr>
          <w:rFonts w:cs="Arial"/>
          <w:b/>
          <w:bCs/>
          <w:szCs w:val="22"/>
        </w:rPr>
        <w:t>Repayment of Debt</w:t>
      </w:r>
    </w:p>
    <w:p w:rsidRPr="00000302" w:rsidR="00463576" w:rsidP="002E4EB6" w:rsidRDefault="00463576">
      <w:pPr>
        <w:keepNext/>
        <w:widowControl/>
        <w:jc w:val="center"/>
        <w:rPr>
          <w:rFonts w:cs="Arial"/>
          <w:szCs w:val="22"/>
        </w:rPr>
      </w:pPr>
      <w:r w:rsidRPr="00000302">
        <w:rPr>
          <w:rFonts w:cs="Arial"/>
          <w:szCs w:val="22"/>
        </w:rPr>
        <w:t>Form G-421</w:t>
      </w:r>
      <w:r w:rsidRPr="00000302" w:rsidR="00FC6D37">
        <w:rPr>
          <w:rFonts w:cs="Arial"/>
          <w:szCs w:val="22"/>
        </w:rPr>
        <w:t>F</w:t>
      </w:r>
    </w:p>
    <w:p w:rsidRPr="00000302" w:rsidR="00463576" w:rsidP="002E4EB6" w:rsidRDefault="00463576">
      <w:pPr>
        <w:keepNext/>
        <w:widowControl/>
        <w:tabs>
          <w:tab w:val="center" w:pos="5400"/>
        </w:tabs>
        <w:jc w:val="both"/>
        <w:rPr>
          <w:rFonts w:cs="Arial"/>
          <w:szCs w:val="22"/>
        </w:rPr>
      </w:pPr>
    </w:p>
    <w:p w:rsidRPr="00000302" w:rsidR="002E4EB6" w:rsidP="002E4EB6" w:rsidRDefault="002E4EB6">
      <w:pPr>
        <w:keepNext/>
        <w:widowControl/>
        <w:jc w:val="both"/>
        <w:rPr>
          <w:rFonts w:cs="Arial"/>
          <w:szCs w:val="22"/>
        </w:rPr>
      </w:pPr>
    </w:p>
    <w:p w:rsidRPr="00000302" w:rsidR="00463576" w:rsidP="002E4EB6" w:rsidRDefault="00463576">
      <w:pPr>
        <w:numPr>
          <w:ilvl w:val="0"/>
          <w:numId w:val="2"/>
        </w:numPr>
        <w:tabs>
          <w:tab w:val="left" w:pos="360"/>
        </w:tabs>
        <w:ind w:left="360"/>
        <w:jc w:val="both"/>
      </w:pPr>
      <w:r w:rsidRPr="00000302">
        <w:rPr>
          <w:u w:val="single"/>
        </w:rPr>
        <w:t>Circumstances of information collection</w:t>
      </w:r>
      <w:r w:rsidRPr="00000302">
        <w:t xml:space="preserve"> - Section 2 of the Railroad Retirement Act (RRA) (45 USC 231a) provides for payment of annuities to railroad employees who are retired due to age or disability and annuities or benefits to their eligible spouses, divorced spouses</w:t>
      </w:r>
      <w:r w:rsidRPr="00000302" w:rsidR="002E4EB6">
        <w:t>,</w:t>
      </w:r>
      <w:r w:rsidRPr="00000302">
        <w:t xml:space="preserve"> and survivors.</w:t>
      </w:r>
    </w:p>
    <w:p w:rsidRPr="00000302" w:rsidR="00463576" w:rsidP="002E4EB6" w:rsidRDefault="00463576">
      <w:pPr>
        <w:jc w:val="both"/>
      </w:pPr>
    </w:p>
    <w:p w:rsidRPr="00000302" w:rsidR="00463576" w:rsidP="002E4EB6" w:rsidRDefault="00463576">
      <w:pPr>
        <w:ind w:left="360"/>
        <w:jc w:val="both"/>
      </w:pPr>
      <w:r w:rsidRPr="00000302">
        <w:t xml:space="preserve">Section 2 of the Railroad Unemployment Insurance Act (RUIA) (45 USC 352) provides for the payment of benefits to qualified railroad employees who are </w:t>
      </w:r>
      <w:r w:rsidRPr="00000302" w:rsidR="0076371C">
        <w:rPr>
          <w:rFonts w:cs="Arial"/>
          <w:szCs w:val="22"/>
        </w:rPr>
        <w:t>unemployed, but willing and able to work, and railroad employees who are unable to work due to sickness or injury</w:t>
      </w:r>
      <w:r w:rsidRPr="00000302">
        <w:t>.</w:t>
      </w:r>
    </w:p>
    <w:p w:rsidRPr="00000302" w:rsidR="00463576" w:rsidP="002E4EB6" w:rsidRDefault="00463576">
      <w:pPr>
        <w:ind w:left="360"/>
        <w:jc w:val="both"/>
      </w:pPr>
    </w:p>
    <w:p w:rsidRPr="00000302" w:rsidR="00463576" w:rsidP="002E4EB6" w:rsidRDefault="00463576">
      <w:pPr>
        <w:ind w:left="360"/>
        <w:jc w:val="both"/>
      </w:pPr>
      <w:r w:rsidRPr="00000302">
        <w:t xml:space="preserve">When an overpayment of RRA or RUIA benefits has occurred, prompt action </w:t>
      </w:r>
      <w:proofErr w:type="gramStart"/>
      <w:r w:rsidRPr="00000302">
        <w:t>is initiated</w:t>
      </w:r>
      <w:proofErr w:type="gramEnd"/>
      <w:r w:rsidRPr="00000302">
        <w:t xml:space="preserve"> to notify the annuitant </w:t>
      </w:r>
      <w:r w:rsidRPr="00000302" w:rsidR="0076371C">
        <w:rPr>
          <w:rFonts w:cs="Arial"/>
          <w:szCs w:val="22"/>
        </w:rPr>
        <w:t>or beneficiary</w:t>
      </w:r>
      <w:r w:rsidRPr="00000302" w:rsidR="0076371C">
        <w:t xml:space="preserve"> </w:t>
      </w:r>
      <w:r w:rsidRPr="00000302">
        <w:t xml:space="preserve">of the overpayment and the method by which the debt may be liquidated. </w:t>
      </w:r>
      <w:r w:rsidRPr="00000302" w:rsidR="002E4EB6">
        <w:t xml:space="preserve"> </w:t>
      </w:r>
      <w:r w:rsidRPr="00000302">
        <w:t xml:space="preserve">The overpayment recovery methods available are cash refund by check, money order, </w:t>
      </w:r>
      <w:r w:rsidRPr="00000302" w:rsidR="005963BA">
        <w:t>debit</w:t>
      </w:r>
      <w:r w:rsidRPr="00000302">
        <w:t xml:space="preserve"> card and withholding </w:t>
      </w:r>
      <w:r w:rsidRPr="00000302" w:rsidR="0076371C">
        <w:rPr>
          <w:rFonts w:cs="Arial"/>
          <w:szCs w:val="22"/>
        </w:rPr>
        <w:t>of annuities or</w:t>
      </w:r>
      <w:r w:rsidRPr="00000302" w:rsidR="0076371C">
        <w:t xml:space="preserve"> </w:t>
      </w:r>
      <w:r w:rsidRPr="00000302">
        <w:t>benefits due.</w:t>
      </w:r>
    </w:p>
    <w:p w:rsidRPr="00000302" w:rsidR="00463576" w:rsidP="002E4EB6" w:rsidRDefault="00463576">
      <w:pPr>
        <w:ind w:left="360"/>
        <w:jc w:val="both"/>
      </w:pPr>
    </w:p>
    <w:p w:rsidRPr="00000302" w:rsidR="00463576" w:rsidP="002E4EB6" w:rsidRDefault="002E4EB6">
      <w:pPr>
        <w:ind w:left="360"/>
        <w:jc w:val="both"/>
      </w:pPr>
      <w:r w:rsidRPr="00000302">
        <w:t>Railroad Retirement Board (RRB)</w:t>
      </w:r>
      <w:r w:rsidRPr="00000302" w:rsidR="00463576">
        <w:t xml:space="preserve"> procedures pertaining to RRA </w:t>
      </w:r>
      <w:r w:rsidRPr="00000302">
        <w:t xml:space="preserve">annuity and </w:t>
      </w:r>
      <w:r w:rsidRPr="00000302" w:rsidR="00463576">
        <w:t xml:space="preserve">benefit overpayment determinations and recovery </w:t>
      </w:r>
      <w:proofErr w:type="gramStart"/>
      <w:r w:rsidRPr="00000302" w:rsidR="00463576">
        <w:t>are prescribed</w:t>
      </w:r>
      <w:proofErr w:type="gramEnd"/>
      <w:r w:rsidRPr="00000302" w:rsidR="00463576">
        <w:t xml:space="preserve"> in 20 CFR Part 255.  RUIA procedures pertaining to benefit overpayment determinations </w:t>
      </w:r>
      <w:proofErr w:type="gramStart"/>
      <w:r w:rsidRPr="00000302" w:rsidR="00463576">
        <w:t>are prescribed</w:t>
      </w:r>
      <w:proofErr w:type="gramEnd"/>
      <w:r w:rsidRPr="00000302" w:rsidR="00463576">
        <w:t xml:space="preserve"> in 20 CFR Part 340.</w:t>
      </w:r>
    </w:p>
    <w:p w:rsidRPr="00000302" w:rsidR="00634335" w:rsidP="002E4EB6" w:rsidRDefault="00634335">
      <w:pPr>
        <w:ind w:left="360"/>
        <w:jc w:val="both"/>
      </w:pPr>
    </w:p>
    <w:p w:rsidRPr="00424489" w:rsidR="007367E5" w:rsidP="007367E5" w:rsidRDefault="00463576">
      <w:pPr>
        <w:tabs>
          <w:tab w:val="left" w:pos="360"/>
        </w:tabs>
        <w:ind w:left="360"/>
        <w:jc w:val="both"/>
      </w:pPr>
      <w:r w:rsidRPr="00000302">
        <w:rPr>
          <w:u w:val="single"/>
        </w:rPr>
        <w:t>Purposes of collecting/consequences of not collecting the information</w:t>
      </w:r>
      <w:r w:rsidRPr="00000302" w:rsidR="00C277A6">
        <w:t xml:space="preserve"> -</w:t>
      </w:r>
      <w:r w:rsidRPr="00000302">
        <w:t xml:space="preserve"> The </w:t>
      </w:r>
      <w:r w:rsidRPr="00000302" w:rsidR="00A94119">
        <w:t xml:space="preserve">customary </w:t>
      </w:r>
      <w:r w:rsidRPr="00000302" w:rsidR="00900C80">
        <w:t xml:space="preserve">options for </w:t>
      </w:r>
      <w:r w:rsidRPr="00000302" w:rsidR="00A94119">
        <w:t xml:space="preserve">repaying a debt </w:t>
      </w:r>
      <w:r w:rsidRPr="00000302" w:rsidR="00900C80">
        <w:t>ha</w:t>
      </w:r>
      <w:r w:rsidRPr="00000302" w:rsidR="00B16E3D">
        <w:t>ve</w:t>
      </w:r>
      <w:r w:rsidRPr="00000302" w:rsidR="00900C80">
        <w:t xml:space="preserve"> been </w:t>
      </w:r>
      <w:r w:rsidRPr="00000302" w:rsidR="00A94119">
        <w:t xml:space="preserve">by personal check </w:t>
      </w:r>
      <w:r w:rsidRPr="00000302" w:rsidR="00B16E3D">
        <w:t>and</w:t>
      </w:r>
      <w:r w:rsidRPr="00000302" w:rsidR="00A94119">
        <w:t xml:space="preserve"> money order.  In 1989, the </w:t>
      </w:r>
      <w:r w:rsidRPr="00000302">
        <w:t xml:space="preserve">RRB </w:t>
      </w:r>
      <w:r w:rsidRPr="00000302" w:rsidR="00900C80">
        <w:t xml:space="preserve">included </w:t>
      </w:r>
      <w:r w:rsidRPr="00000302">
        <w:t>the option of debt repayment by credit card.</w:t>
      </w:r>
      <w:r w:rsidRPr="006D5B0A" w:rsidR="008A12F1">
        <w:t xml:space="preserve"> </w:t>
      </w:r>
      <w:r w:rsidRPr="006D5B0A" w:rsidR="007367E5">
        <w:t xml:space="preserve"> In 2017, Treasury announced that they would no longer accept debt repayment by credit card.  In 2018, the RRB replaced the credit card option with the option to repay by </w:t>
      </w:r>
      <w:proofErr w:type="gramStart"/>
      <w:r w:rsidRPr="006D5B0A" w:rsidR="007367E5">
        <w:t>debit</w:t>
      </w:r>
      <w:proofErr w:type="gramEnd"/>
      <w:r w:rsidRPr="006D5B0A" w:rsidR="007367E5">
        <w:t xml:space="preserve"> card.</w:t>
      </w:r>
    </w:p>
    <w:p w:rsidR="007367E5" w:rsidP="007367E5" w:rsidRDefault="007367E5">
      <w:pPr>
        <w:tabs>
          <w:tab w:val="left" w:pos="360"/>
        </w:tabs>
        <w:ind w:left="360"/>
        <w:jc w:val="both"/>
        <w:rPr>
          <w:rFonts w:cs="Arial"/>
          <w:szCs w:val="22"/>
        </w:rPr>
      </w:pPr>
    </w:p>
    <w:p w:rsidRPr="00000302" w:rsidR="00463576" w:rsidP="00C277A6" w:rsidRDefault="00463576">
      <w:pPr>
        <w:widowControl/>
        <w:tabs>
          <w:tab w:val="left" w:pos="360"/>
        </w:tabs>
        <w:ind w:left="360"/>
        <w:jc w:val="both"/>
        <w:rPr>
          <w:rFonts w:cs="Arial"/>
          <w:szCs w:val="22"/>
        </w:rPr>
      </w:pPr>
      <w:r w:rsidRPr="00000302">
        <w:rPr>
          <w:rFonts w:cs="Arial"/>
          <w:b/>
          <w:szCs w:val="22"/>
        </w:rPr>
        <w:t>Form G-421</w:t>
      </w:r>
      <w:r w:rsidRPr="00000302" w:rsidR="00545004">
        <w:rPr>
          <w:rFonts w:cs="Arial"/>
          <w:b/>
          <w:szCs w:val="22"/>
        </w:rPr>
        <w:t>F</w:t>
      </w:r>
      <w:r w:rsidRPr="00000302">
        <w:rPr>
          <w:rFonts w:cs="Arial"/>
          <w:b/>
          <w:szCs w:val="22"/>
        </w:rPr>
        <w:t xml:space="preserve">, Repayment by </w:t>
      </w:r>
      <w:r w:rsidRPr="00000302" w:rsidR="008A12F1">
        <w:rPr>
          <w:rFonts w:cs="Arial"/>
          <w:b/>
          <w:szCs w:val="22"/>
        </w:rPr>
        <w:t>Debi</w:t>
      </w:r>
      <w:r w:rsidRPr="00000302">
        <w:rPr>
          <w:rFonts w:cs="Arial"/>
          <w:b/>
          <w:szCs w:val="22"/>
        </w:rPr>
        <w:t>t Card</w:t>
      </w:r>
      <w:r w:rsidRPr="00000302" w:rsidR="00C277A6">
        <w:rPr>
          <w:rFonts w:cs="Arial"/>
          <w:szCs w:val="22"/>
        </w:rPr>
        <w:t>,</w:t>
      </w:r>
      <w:r w:rsidRPr="00000302">
        <w:rPr>
          <w:rFonts w:cs="Arial"/>
          <w:szCs w:val="22"/>
        </w:rPr>
        <w:t xml:space="preserve"> </w:t>
      </w:r>
      <w:r w:rsidRPr="00000302" w:rsidR="00C277A6">
        <w:rPr>
          <w:rFonts w:cs="Arial"/>
          <w:szCs w:val="22"/>
        </w:rPr>
        <w:t xml:space="preserve">is used by the RRB </w:t>
      </w:r>
      <w:r w:rsidRPr="00000302">
        <w:rPr>
          <w:rFonts w:cs="Arial"/>
          <w:szCs w:val="22"/>
        </w:rPr>
        <w:t xml:space="preserve">to obtain </w:t>
      </w:r>
      <w:r w:rsidRPr="00000302" w:rsidR="0046619E">
        <w:rPr>
          <w:rFonts w:cs="Arial"/>
          <w:szCs w:val="22"/>
        </w:rPr>
        <w:t xml:space="preserve">the </w:t>
      </w:r>
      <w:r w:rsidRPr="00000302">
        <w:rPr>
          <w:rFonts w:cs="Arial"/>
          <w:szCs w:val="22"/>
        </w:rPr>
        <w:t xml:space="preserve">information needed for repayment of </w:t>
      </w:r>
      <w:r w:rsidRPr="00000302" w:rsidR="00C277A6">
        <w:rPr>
          <w:rFonts w:cs="Arial"/>
          <w:szCs w:val="22"/>
        </w:rPr>
        <w:t xml:space="preserve">a </w:t>
      </w:r>
      <w:r w:rsidRPr="00000302">
        <w:rPr>
          <w:rFonts w:cs="Arial"/>
          <w:szCs w:val="22"/>
        </w:rPr>
        <w:t xml:space="preserve">debt by </w:t>
      </w:r>
      <w:r w:rsidRPr="00000302" w:rsidR="008A12F1">
        <w:rPr>
          <w:rFonts w:cs="Arial"/>
          <w:szCs w:val="22"/>
        </w:rPr>
        <w:t>debit</w:t>
      </w:r>
      <w:r w:rsidRPr="00000302">
        <w:rPr>
          <w:rFonts w:cs="Arial"/>
          <w:szCs w:val="22"/>
        </w:rPr>
        <w:t xml:space="preserve"> card.</w:t>
      </w:r>
      <w:r w:rsidRPr="00000302" w:rsidR="005963BA">
        <w:rPr>
          <w:rFonts w:cs="Arial"/>
          <w:szCs w:val="22"/>
        </w:rPr>
        <w:t xml:space="preserve"> </w:t>
      </w:r>
    </w:p>
    <w:p w:rsidRPr="00000302" w:rsidR="008A12F1" w:rsidP="00C277A6" w:rsidRDefault="008A12F1">
      <w:pPr>
        <w:widowControl/>
        <w:tabs>
          <w:tab w:val="left" w:pos="360"/>
        </w:tabs>
        <w:ind w:left="360"/>
        <w:jc w:val="both"/>
        <w:rPr>
          <w:rFonts w:cs="Arial"/>
          <w:szCs w:val="22"/>
        </w:rPr>
      </w:pPr>
    </w:p>
    <w:p w:rsidRPr="00000302" w:rsidR="00A936E3" w:rsidP="00C277A6" w:rsidRDefault="00A936E3">
      <w:pPr>
        <w:widowControl/>
        <w:tabs>
          <w:tab w:val="left" w:pos="360"/>
        </w:tabs>
        <w:ind w:left="360"/>
        <w:jc w:val="both"/>
        <w:rPr>
          <w:rFonts w:cs="Arial"/>
          <w:szCs w:val="22"/>
        </w:rPr>
      </w:pPr>
      <w:r w:rsidRPr="00000302">
        <w:rPr>
          <w:rFonts w:cs="Arial"/>
          <w:szCs w:val="22"/>
        </w:rPr>
        <w:t xml:space="preserve">When a debt is owed on an RRA or RUIA-related debt, the RRB </w:t>
      </w:r>
      <w:r w:rsidRPr="00000302" w:rsidR="00BF3835">
        <w:rPr>
          <w:rFonts w:cs="Arial"/>
          <w:szCs w:val="22"/>
        </w:rPr>
        <w:t>m</w:t>
      </w:r>
      <w:r w:rsidRPr="00000302" w:rsidR="005600D5">
        <w:rPr>
          <w:rFonts w:cs="Arial"/>
          <w:szCs w:val="22"/>
        </w:rPr>
        <w:t>ail</w:t>
      </w:r>
      <w:r w:rsidRPr="00000302" w:rsidR="00BF3835">
        <w:rPr>
          <w:rFonts w:cs="Arial"/>
          <w:szCs w:val="22"/>
        </w:rPr>
        <w:t>s</w:t>
      </w:r>
      <w:r w:rsidRPr="00000302" w:rsidR="005600D5">
        <w:rPr>
          <w:rFonts w:cs="Arial"/>
          <w:szCs w:val="22"/>
        </w:rPr>
        <w:t xml:space="preserve"> </w:t>
      </w:r>
      <w:r w:rsidRPr="00000302" w:rsidR="00D93FB3">
        <w:rPr>
          <w:rFonts w:cs="Arial"/>
          <w:szCs w:val="22"/>
        </w:rPr>
        <w:t xml:space="preserve">Form DRL-145, Debt Notice, </w:t>
      </w:r>
      <w:r w:rsidRPr="00000302" w:rsidR="00CC3736">
        <w:rPr>
          <w:rFonts w:cs="Arial"/>
          <w:szCs w:val="22"/>
        </w:rPr>
        <w:t>to the debtor</w:t>
      </w:r>
      <w:r w:rsidRPr="00000302" w:rsidR="004C7EA3">
        <w:rPr>
          <w:rFonts w:cs="Arial"/>
          <w:szCs w:val="22"/>
        </w:rPr>
        <w:t>;</w:t>
      </w:r>
      <w:r w:rsidRPr="00000302" w:rsidR="00CC3736">
        <w:rPr>
          <w:rFonts w:cs="Arial"/>
          <w:szCs w:val="22"/>
        </w:rPr>
        <w:t xml:space="preserve"> </w:t>
      </w:r>
      <w:r w:rsidRPr="00000302" w:rsidR="004C7EA3">
        <w:rPr>
          <w:rFonts w:cs="Arial"/>
          <w:szCs w:val="22"/>
        </w:rPr>
        <w:t xml:space="preserve">a </w:t>
      </w:r>
      <w:r w:rsidRPr="00000302" w:rsidR="00243B09">
        <w:rPr>
          <w:rFonts w:cs="Arial"/>
          <w:szCs w:val="22"/>
        </w:rPr>
        <w:t>Form</w:t>
      </w:r>
      <w:r w:rsidRPr="00000302" w:rsidR="007D29B7">
        <w:rPr>
          <w:rFonts w:cs="Arial"/>
          <w:szCs w:val="22"/>
        </w:rPr>
        <w:t xml:space="preserve"> </w:t>
      </w:r>
      <w:r w:rsidRPr="00000302" w:rsidR="00243B09">
        <w:rPr>
          <w:rFonts w:cs="Arial"/>
          <w:szCs w:val="22"/>
        </w:rPr>
        <w:t>G-421</w:t>
      </w:r>
      <w:r w:rsidRPr="00000302" w:rsidR="00E746FB">
        <w:rPr>
          <w:rFonts w:cs="Arial"/>
          <w:szCs w:val="22"/>
        </w:rPr>
        <w:t xml:space="preserve">, </w:t>
      </w:r>
      <w:r w:rsidRPr="00000302" w:rsidR="00E746FB">
        <w:rPr>
          <w:rFonts w:cs="Arial"/>
          <w:i/>
          <w:szCs w:val="22"/>
        </w:rPr>
        <w:t>Repayment Method Form</w:t>
      </w:r>
      <w:r w:rsidRPr="00000302" w:rsidR="00E746FB">
        <w:rPr>
          <w:rFonts w:cs="Arial"/>
          <w:szCs w:val="22"/>
        </w:rPr>
        <w:t xml:space="preserve">, </w:t>
      </w:r>
      <w:r w:rsidRPr="00000302" w:rsidR="004C7EA3">
        <w:rPr>
          <w:rFonts w:cs="Arial"/>
          <w:szCs w:val="22"/>
        </w:rPr>
        <w:t xml:space="preserve">for the debtor to indicate </w:t>
      </w:r>
      <w:r w:rsidRPr="00000302" w:rsidR="00243B09">
        <w:rPr>
          <w:rFonts w:cs="Arial"/>
          <w:szCs w:val="22"/>
        </w:rPr>
        <w:t xml:space="preserve">how they will </w:t>
      </w:r>
      <w:r w:rsidRPr="00000302" w:rsidR="004C7EA3">
        <w:rPr>
          <w:rFonts w:cs="Arial"/>
          <w:szCs w:val="22"/>
        </w:rPr>
        <w:t xml:space="preserve">repay </w:t>
      </w:r>
      <w:r w:rsidRPr="00000302" w:rsidR="00243B09">
        <w:rPr>
          <w:rFonts w:cs="Arial"/>
          <w:szCs w:val="22"/>
        </w:rPr>
        <w:t>the debt</w:t>
      </w:r>
      <w:r w:rsidRPr="00000302" w:rsidR="004C7EA3">
        <w:rPr>
          <w:rFonts w:cs="Arial"/>
          <w:szCs w:val="22"/>
        </w:rPr>
        <w:t xml:space="preserve">; a </w:t>
      </w:r>
      <w:r w:rsidRPr="00000302" w:rsidR="00243B09">
        <w:rPr>
          <w:rFonts w:cs="Arial"/>
          <w:szCs w:val="22"/>
        </w:rPr>
        <w:t>Form G-66 or G-66B</w:t>
      </w:r>
      <w:r w:rsidRPr="00000302" w:rsidR="00E746FB">
        <w:rPr>
          <w:rFonts w:cs="Arial"/>
          <w:szCs w:val="22"/>
        </w:rPr>
        <w:t>,</w:t>
      </w:r>
      <w:r w:rsidRPr="00000302" w:rsidR="00E746FB">
        <w:rPr>
          <w:rFonts w:cs="Arial"/>
          <w:i/>
          <w:szCs w:val="22"/>
        </w:rPr>
        <w:t xml:space="preserve"> Your Rights to Review and/or Waiver, </w:t>
      </w:r>
      <w:r w:rsidRPr="00000302" w:rsidR="00E746FB">
        <w:rPr>
          <w:rFonts w:cs="Arial"/>
          <w:szCs w:val="22"/>
        </w:rPr>
        <w:t xml:space="preserve">which </w:t>
      </w:r>
      <w:r w:rsidRPr="00000302" w:rsidR="004C7EA3">
        <w:rPr>
          <w:rFonts w:cs="Arial"/>
          <w:szCs w:val="22"/>
        </w:rPr>
        <w:t>explain</w:t>
      </w:r>
      <w:r w:rsidRPr="00000302" w:rsidR="00E746FB">
        <w:rPr>
          <w:rFonts w:cs="Arial"/>
          <w:szCs w:val="22"/>
        </w:rPr>
        <w:t>s</w:t>
      </w:r>
      <w:r w:rsidRPr="00000302" w:rsidR="004C7EA3">
        <w:rPr>
          <w:rFonts w:cs="Arial"/>
          <w:szCs w:val="22"/>
        </w:rPr>
        <w:t xml:space="preserve"> </w:t>
      </w:r>
      <w:r w:rsidRPr="00000302" w:rsidR="00376431">
        <w:rPr>
          <w:rFonts w:cs="Arial"/>
          <w:szCs w:val="22"/>
        </w:rPr>
        <w:t>what they can do if they disagree with the amount of the debt</w:t>
      </w:r>
      <w:r w:rsidRPr="00000302" w:rsidR="00E746FB">
        <w:rPr>
          <w:rFonts w:cs="Arial"/>
          <w:szCs w:val="22"/>
        </w:rPr>
        <w:t xml:space="preserve">; </w:t>
      </w:r>
      <w:r w:rsidRPr="00000302" w:rsidR="004C7EA3">
        <w:rPr>
          <w:rFonts w:cs="Arial"/>
          <w:szCs w:val="22"/>
        </w:rPr>
        <w:t xml:space="preserve">and a </w:t>
      </w:r>
      <w:r w:rsidRPr="00000302" w:rsidR="00243B09">
        <w:rPr>
          <w:rFonts w:cs="Arial"/>
          <w:szCs w:val="22"/>
        </w:rPr>
        <w:t>Form G</w:t>
      </w:r>
      <w:r w:rsidRPr="00000302" w:rsidR="00243B09">
        <w:rPr>
          <w:rFonts w:cs="Arial"/>
          <w:szCs w:val="22"/>
        </w:rPr>
        <w:noBreakHyphen/>
        <w:t>66A or G</w:t>
      </w:r>
      <w:r w:rsidRPr="00000302" w:rsidR="00243B09">
        <w:rPr>
          <w:rFonts w:cs="Arial"/>
          <w:szCs w:val="22"/>
        </w:rPr>
        <w:noBreakHyphen/>
        <w:t>66BA</w:t>
      </w:r>
      <w:r w:rsidRPr="00000302" w:rsidR="00E746FB">
        <w:rPr>
          <w:rFonts w:cs="Arial"/>
          <w:szCs w:val="22"/>
        </w:rPr>
        <w:t>,</w:t>
      </w:r>
      <w:r w:rsidRPr="00000302" w:rsidR="00E746FB">
        <w:rPr>
          <w:rFonts w:cs="Arial"/>
          <w:i/>
          <w:szCs w:val="22"/>
        </w:rPr>
        <w:t xml:space="preserve"> Rights Request Form, </w:t>
      </w:r>
      <w:r w:rsidRPr="00000302" w:rsidR="004C7EA3">
        <w:rPr>
          <w:rFonts w:cs="Arial"/>
          <w:szCs w:val="22"/>
        </w:rPr>
        <w:t>to request th</w:t>
      </w:r>
      <w:r w:rsidRPr="00000302" w:rsidR="00E746FB">
        <w:rPr>
          <w:rFonts w:cs="Arial"/>
          <w:szCs w:val="22"/>
        </w:rPr>
        <w:t xml:space="preserve">eir </w:t>
      </w:r>
      <w:r w:rsidRPr="00000302" w:rsidR="004C7EA3">
        <w:rPr>
          <w:rFonts w:cs="Arial"/>
          <w:szCs w:val="22"/>
        </w:rPr>
        <w:t>right</w:t>
      </w:r>
      <w:r w:rsidRPr="00000302" w:rsidR="00E746FB">
        <w:rPr>
          <w:rFonts w:cs="Arial"/>
          <w:szCs w:val="22"/>
        </w:rPr>
        <w:t xml:space="preserve"> to </w:t>
      </w:r>
      <w:r w:rsidRPr="00000302" w:rsidR="00376431">
        <w:rPr>
          <w:rFonts w:cs="Arial"/>
          <w:szCs w:val="22"/>
        </w:rPr>
        <w:t xml:space="preserve">have us </w:t>
      </w:r>
      <w:r w:rsidRPr="00000302" w:rsidR="00E746FB">
        <w:rPr>
          <w:rFonts w:cs="Arial"/>
          <w:szCs w:val="22"/>
        </w:rPr>
        <w:t>review and/or waiver the debt.</w:t>
      </w:r>
      <w:r w:rsidRPr="00000302" w:rsidR="004C7EA3">
        <w:rPr>
          <w:rFonts w:cs="Arial"/>
          <w:szCs w:val="22"/>
        </w:rPr>
        <w:t xml:space="preserve"> </w:t>
      </w:r>
      <w:r w:rsidRPr="00000302" w:rsidR="00E746FB">
        <w:rPr>
          <w:rFonts w:cs="Arial"/>
          <w:szCs w:val="22"/>
        </w:rPr>
        <w:t xml:space="preserve"> </w:t>
      </w:r>
      <w:r w:rsidRPr="00000302">
        <w:rPr>
          <w:rFonts w:cs="Arial"/>
          <w:szCs w:val="22"/>
        </w:rPr>
        <w:t xml:space="preserve">When </w:t>
      </w:r>
      <w:r w:rsidRPr="00000302" w:rsidR="00376431">
        <w:rPr>
          <w:rFonts w:cs="Arial"/>
          <w:szCs w:val="22"/>
        </w:rPr>
        <w:t xml:space="preserve">the debtor does not respond to the initial debt notice, </w:t>
      </w:r>
      <w:r w:rsidRPr="00000302">
        <w:rPr>
          <w:rFonts w:cs="Arial"/>
          <w:szCs w:val="22"/>
        </w:rPr>
        <w:t xml:space="preserve">RRB Debt Recovery staff </w:t>
      </w:r>
      <w:r w:rsidRPr="00000302" w:rsidR="00376431">
        <w:rPr>
          <w:rFonts w:cs="Arial"/>
          <w:szCs w:val="22"/>
        </w:rPr>
        <w:t xml:space="preserve">release </w:t>
      </w:r>
      <w:r w:rsidRPr="00000302">
        <w:rPr>
          <w:rFonts w:cs="Arial"/>
          <w:szCs w:val="22"/>
        </w:rPr>
        <w:t>Form G</w:t>
      </w:r>
      <w:r w:rsidRPr="00000302" w:rsidR="00A06710">
        <w:rPr>
          <w:rFonts w:cs="Arial"/>
          <w:szCs w:val="22"/>
        </w:rPr>
        <w:noBreakHyphen/>
      </w:r>
      <w:r w:rsidRPr="00000302">
        <w:rPr>
          <w:rFonts w:cs="Arial"/>
          <w:szCs w:val="22"/>
        </w:rPr>
        <w:t>421F a</w:t>
      </w:r>
      <w:r w:rsidRPr="00000302" w:rsidR="00376431">
        <w:rPr>
          <w:rFonts w:cs="Arial"/>
          <w:szCs w:val="22"/>
        </w:rPr>
        <w:t xml:space="preserve">long with </w:t>
      </w:r>
      <w:r w:rsidRPr="00000302">
        <w:rPr>
          <w:rFonts w:cs="Arial"/>
          <w:szCs w:val="22"/>
        </w:rPr>
        <w:t>any one of a series of notices, such as</w:t>
      </w:r>
      <w:r w:rsidRPr="00000302" w:rsidR="00CC3736">
        <w:rPr>
          <w:rFonts w:cs="Arial"/>
          <w:szCs w:val="22"/>
        </w:rPr>
        <w:t xml:space="preserve"> the</w:t>
      </w:r>
      <w:r w:rsidRPr="00000302">
        <w:rPr>
          <w:rFonts w:cs="Arial"/>
          <w:szCs w:val="22"/>
        </w:rPr>
        <w:t xml:space="preserve"> </w:t>
      </w:r>
      <w:r w:rsidRPr="00000302" w:rsidR="00243B09">
        <w:rPr>
          <w:rFonts w:cs="Arial"/>
          <w:szCs w:val="22"/>
        </w:rPr>
        <w:t>DR-422A or DR-422</w:t>
      </w:r>
      <w:r w:rsidRPr="00000302" w:rsidR="007D29B7">
        <w:rPr>
          <w:rFonts w:cs="Arial"/>
          <w:szCs w:val="22"/>
        </w:rPr>
        <w:t>B</w:t>
      </w:r>
      <w:r w:rsidRPr="00000302" w:rsidR="00243B09">
        <w:rPr>
          <w:rFonts w:cs="Arial"/>
          <w:szCs w:val="22"/>
        </w:rPr>
        <w:t xml:space="preserve">, </w:t>
      </w:r>
      <w:r w:rsidRPr="00000302">
        <w:rPr>
          <w:rFonts w:cs="Arial"/>
          <w:i/>
          <w:szCs w:val="22"/>
        </w:rPr>
        <w:t>Response to Debt Notice</w:t>
      </w:r>
      <w:r w:rsidRPr="00000302" w:rsidR="0079247E">
        <w:rPr>
          <w:rFonts w:cs="Arial"/>
          <w:i/>
          <w:szCs w:val="22"/>
        </w:rPr>
        <w:t xml:space="preserve"> Form</w:t>
      </w:r>
      <w:r w:rsidRPr="00000302">
        <w:rPr>
          <w:rFonts w:cs="Arial"/>
          <w:szCs w:val="22"/>
        </w:rPr>
        <w:t>.  Forms G</w:t>
      </w:r>
      <w:r w:rsidRPr="00000302">
        <w:rPr>
          <w:rFonts w:cs="Arial"/>
          <w:szCs w:val="22"/>
        </w:rPr>
        <w:noBreakHyphen/>
        <w:t>421, DR</w:t>
      </w:r>
      <w:r w:rsidRPr="00000302">
        <w:rPr>
          <w:rFonts w:cs="Arial"/>
          <w:szCs w:val="22"/>
        </w:rPr>
        <w:noBreakHyphen/>
        <w:t>422A, and DR-422</w:t>
      </w:r>
      <w:r w:rsidRPr="00000302" w:rsidR="007D29B7">
        <w:rPr>
          <w:rFonts w:cs="Arial"/>
          <w:szCs w:val="22"/>
        </w:rPr>
        <w:t>B</w:t>
      </w:r>
      <w:r w:rsidRPr="00000302">
        <w:rPr>
          <w:rFonts w:cs="Arial"/>
          <w:szCs w:val="22"/>
        </w:rPr>
        <w:t xml:space="preserve"> each provide repayment options of check, money order, and </w:t>
      </w:r>
      <w:r w:rsidRPr="00000302" w:rsidR="008A12F1">
        <w:rPr>
          <w:rFonts w:cs="Arial"/>
          <w:szCs w:val="22"/>
        </w:rPr>
        <w:t>debit</w:t>
      </w:r>
      <w:r w:rsidRPr="00000302">
        <w:rPr>
          <w:rFonts w:cs="Arial"/>
          <w:szCs w:val="22"/>
        </w:rPr>
        <w:t xml:space="preserve"> card.  Form G-421F is only completed </w:t>
      </w:r>
      <w:r w:rsidRPr="00000302" w:rsidR="00CC3736">
        <w:rPr>
          <w:rFonts w:cs="Arial"/>
          <w:szCs w:val="22"/>
        </w:rPr>
        <w:t xml:space="preserve">and returned </w:t>
      </w:r>
      <w:r w:rsidRPr="00000302">
        <w:rPr>
          <w:rFonts w:cs="Arial"/>
          <w:szCs w:val="22"/>
        </w:rPr>
        <w:t xml:space="preserve">when the debtor selects the </w:t>
      </w:r>
      <w:r w:rsidRPr="00000302" w:rsidR="008A12F1">
        <w:rPr>
          <w:rFonts w:cs="Arial"/>
          <w:szCs w:val="22"/>
        </w:rPr>
        <w:t>debit</w:t>
      </w:r>
      <w:r w:rsidRPr="00000302">
        <w:rPr>
          <w:rFonts w:cs="Arial"/>
          <w:szCs w:val="22"/>
        </w:rPr>
        <w:t xml:space="preserve"> card repayment option.</w:t>
      </w:r>
    </w:p>
    <w:p w:rsidRPr="00000302" w:rsidR="00A936E3" w:rsidP="00C277A6" w:rsidRDefault="00A936E3">
      <w:pPr>
        <w:widowControl/>
        <w:tabs>
          <w:tab w:val="left" w:pos="360"/>
        </w:tabs>
        <w:ind w:left="360"/>
        <w:jc w:val="both"/>
        <w:rPr>
          <w:rFonts w:cs="Arial"/>
          <w:szCs w:val="22"/>
        </w:rPr>
      </w:pPr>
    </w:p>
    <w:p w:rsidRPr="00000302" w:rsidR="00463576" w:rsidP="00C277A6" w:rsidRDefault="00C66DFD">
      <w:pPr>
        <w:widowControl/>
        <w:tabs>
          <w:tab w:val="left" w:pos="360"/>
        </w:tabs>
        <w:ind w:left="360"/>
        <w:jc w:val="both"/>
        <w:rPr>
          <w:rFonts w:cs="Arial"/>
          <w:szCs w:val="22"/>
        </w:rPr>
      </w:pPr>
      <w:r w:rsidRPr="00000302">
        <w:rPr>
          <w:rFonts w:cs="Arial"/>
          <w:szCs w:val="22"/>
        </w:rPr>
        <w:t xml:space="preserve">The RRB prefills </w:t>
      </w:r>
      <w:r w:rsidRPr="00000302" w:rsidR="00B16E3D">
        <w:rPr>
          <w:rFonts w:cs="Arial"/>
          <w:szCs w:val="22"/>
        </w:rPr>
        <w:t xml:space="preserve">the </w:t>
      </w:r>
      <w:r w:rsidRPr="00000302" w:rsidR="00463576">
        <w:rPr>
          <w:rFonts w:cs="Arial"/>
          <w:szCs w:val="22"/>
        </w:rPr>
        <w:t>identifying information</w:t>
      </w:r>
      <w:r w:rsidRPr="00000302">
        <w:rPr>
          <w:rFonts w:cs="Arial"/>
          <w:szCs w:val="22"/>
        </w:rPr>
        <w:t xml:space="preserve"> at the top of the </w:t>
      </w:r>
      <w:r w:rsidRPr="00000302" w:rsidR="0074060A">
        <w:rPr>
          <w:rFonts w:cs="Arial"/>
          <w:szCs w:val="22"/>
        </w:rPr>
        <w:t>G-421F</w:t>
      </w:r>
      <w:r w:rsidRPr="00000302" w:rsidR="00B16E3D">
        <w:rPr>
          <w:rFonts w:cs="Arial"/>
          <w:szCs w:val="22"/>
        </w:rPr>
        <w:t>.  T</w:t>
      </w:r>
      <w:r w:rsidRPr="00000302" w:rsidR="00463576">
        <w:rPr>
          <w:rFonts w:cs="Arial"/>
          <w:szCs w:val="22"/>
        </w:rPr>
        <w:t xml:space="preserve">he respondent completes the </w:t>
      </w:r>
      <w:r w:rsidRPr="00000302" w:rsidR="008A12F1">
        <w:rPr>
          <w:rFonts w:cs="Arial"/>
          <w:szCs w:val="22"/>
        </w:rPr>
        <w:t xml:space="preserve">debit </w:t>
      </w:r>
      <w:r w:rsidRPr="00000302" w:rsidR="00463576">
        <w:rPr>
          <w:rFonts w:cs="Arial"/>
          <w:szCs w:val="22"/>
        </w:rPr>
        <w:t xml:space="preserve">card authorization portion to designate which of the four </w:t>
      </w:r>
      <w:r w:rsidRPr="00000302" w:rsidR="002A7444">
        <w:rPr>
          <w:rFonts w:cs="Arial"/>
          <w:szCs w:val="22"/>
        </w:rPr>
        <w:t xml:space="preserve">types of </w:t>
      </w:r>
      <w:r w:rsidRPr="00000302" w:rsidR="00463576">
        <w:rPr>
          <w:rFonts w:cs="Arial"/>
          <w:szCs w:val="22"/>
        </w:rPr>
        <w:t xml:space="preserve">authorized </w:t>
      </w:r>
      <w:r w:rsidRPr="00000302" w:rsidR="008A12F1">
        <w:rPr>
          <w:rFonts w:cs="Arial"/>
          <w:szCs w:val="22"/>
        </w:rPr>
        <w:t>debit</w:t>
      </w:r>
      <w:r w:rsidRPr="00000302" w:rsidR="00463576">
        <w:rPr>
          <w:rFonts w:cs="Arial"/>
          <w:szCs w:val="22"/>
        </w:rPr>
        <w:t xml:space="preserve"> cards is being used, </w:t>
      </w:r>
      <w:r w:rsidRPr="00000302" w:rsidR="00DD1EE1">
        <w:rPr>
          <w:rFonts w:cs="Arial"/>
          <w:szCs w:val="22"/>
        </w:rPr>
        <w:t xml:space="preserve">supplies </w:t>
      </w:r>
      <w:r w:rsidRPr="00000302" w:rsidR="00463576">
        <w:rPr>
          <w:rFonts w:cs="Arial"/>
          <w:szCs w:val="22"/>
        </w:rPr>
        <w:t xml:space="preserve">the </w:t>
      </w:r>
      <w:r w:rsidRPr="00000302" w:rsidR="008A12F1">
        <w:rPr>
          <w:rFonts w:cs="Arial"/>
          <w:szCs w:val="22"/>
        </w:rPr>
        <w:t>debit</w:t>
      </w:r>
      <w:r w:rsidRPr="00000302" w:rsidR="00463576">
        <w:rPr>
          <w:rFonts w:cs="Arial"/>
          <w:szCs w:val="22"/>
        </w:rPr>
        <w:t xml:space="preserve"> card number and expiration date</w:t>
      </w:r>
      <w:r w:rsidRPr="00000302" w:rsidR="00DD1EE1">
        <w:rPr>
          <w:rFonts w:cs="Arial"/>
          <w:szCs w:val="22"/>
        </w:rPr>
        <w:t>, then signs and dates the form.</w:t>
      </w:r>
    </w:p>
    <w:p w:rsidRPr="00000302" w:rsidR="00C277A6" w:rsidP="00C277A6" w:rsidRDefault="00C277A6">
      <w:pPr>
        <w:widowControl/>
        <w:tabs>
          <w:tab w:val="left" w:pos="360"/>
        </w:tabs>
        <w:ind w:left="360"/>
        <w:jc w:val="both"/>
        <w:rPr>
          <w:rFonts w:cs="Arial"/>
          <w:szCs w:val="22"/>
        </w:rPr>
      </w:pPr>
    </w:p>
    <w:p w:rsidRPr="00000302" w:rsidR="00463576" w:rsidP="00C277A6" w:rsidRDefault="00463576">
      <w:pPr>
        <w:widowControl/>
        <w:tabs>
          <w:tab w:val="left" w:pos="360"/>
        </w:tabs>
        <w:ind w:left="360"/>
        <w:jc w:val="both"/>
        <w:rPr>
          <w:rFonts w:cs="Arial"/>
          <w:szCs w:val="22"/>
        </w:rPr>
      </w:pPr>
      <w:r w:rsidRPr="00000302">
        <w:rPr>
          <w:rFonts w:cs="Arial"/>
          <w:szCs w:val="22"/>
        </w:rPr>
        <w:t xml:space="preserve">A pre-addressed envelope is furnished for </w:t>
      </w:r>
      <w:r w:rsidRPr="00000302" w:rsidR="00B67539">
        <w:rPr>
          <w:rFonts w:cs="Arial"/>
          <w:szCs w:val="22"/>
        </w:rPr>
        <w:t xml:space="preserve">returning </w:t>
      </w:r>
      <w:r w:rsidRPr="00000302">
        <w:rPr>
          <w:rFonts w:cs="Arial"/>
          <w:szCs w:val="22"/>
        </w:rPr>
        <w:t xml:space="preserve">the </w:t>
      </w:r>
      <w:r w:rsidRPr="00000302" w:rsidR="00B16E3D">
        <w:rPr>
          <w:rFonts w:cs="Arial"/>
          <w:i/>
          <w:szCs w:val="22"/>
        </w:rPr>
        <w:t>R</w:t>
      </w:r>
      <w:r w:rsidRPr="00000302" w:rsidR="002A7444">
        <w:rPr>
          <w:rFonts w:cs="Arial"/>
          <w:i/>
          <w:szCs w:val="22"/>
        </w:rPr>
        <w:t xml:space="preserve">epayment </w:t>
      </w:r>
      <w:r w:rsidRPr="00000302" w:rsidR="00B16E3D">
        <w:rPr>
          <w:rFonts w:cs="Arial"/>
          <w:i/>
          <w:szCs w:val="22"/>
        </w:rPr>
        <w:t>M</w:t>
      </w:r>
      <w:r w:rsidRPr="00000302" w:rsidR="0079247E">
        <w:rPr>
          <w:rFonts w:cs="Arial"/>
          <w:i/>
          <w:szCs w:val="22"/>
        </w:rPr>
        <w:t>ethod</w:t>
      </w:r>
      <w:r w:rsidRPr="00000302">
        <w:rPr>
          <w:rFonts w:cs="Arial"/>
          <w:i/>
          <w:szCs w:val="22"/>
        </w:rPr>
        <w:t xml:space="preserve"> </w:t>
      </w:r>
      <w:r w:rsidRPr="00000302" w:rsidR="00B16E3D">
        <w:rPr>
          <w:rFonts w:cs="Arial"/>
          <w:i/>
          <w:szCs w:val="22"/>
        </w:rPr>
        <w:t>F</w:t>
      </w:r>
      <w:r w:rsidRPr="00000302">
        <w:rPr>
          <w:rFonts w:cs="Arial"/>
          <w:i/>
          <w:szCs w:val="22"/>
        </w:rPr>
        <w:t>orm</w:t>
      </w:r>
      <w:r w:rsidRPr="00000302">
        <w:rPr>
          <w:rFonts w:cs="Arial"/>
          <w:szCs w:val="22"/>
        </w:rPr>
        <w:t xml:space="preserve"> </w:t>
      </w:r>
      <w:r w:rsidRPr="00000302" w:rsidR="00424489">
        <w:rPr>
          <w:rFonts w:cs="Arial"/>
          <w:szCs w:val="22"/>
        </w:rPr>
        <w:t xml:space="preserve">and </w:t>
      </w:r>
      <w:r w:rsidRPr="00000302">
        <w:rPr>
          <w:rFonts w:cs="Arial"/>
          <w:szCs w:val="22"/>
        </w:rPr>
        <w:t>Form G-421</w:t>
      </w:r>
      <w:r w:rsidRPr="00000302" w:rsidR="007C5B96">
        <w:rPr>
          <w:rFonts w:cs="Arial"/>
          <w:szCs w:val="22"/>
        </w:rPr>
        <w:t>F</w:t>
      </w:r>
      <w:r w:rsidRPr="00000302">
        <w:rPr>
          <w:rFonts w:cs="Arial"/>
          <w:szCs w:val="22"/>
        </w:rPr>
        <w:t xml:space="preserve">, if the </w:t>
      </w:r>
      <w:r w:rsidRPr="00000302" w:rsidR="008A12F1">
        <w:rPr>
          <w:rFonts w:cs="Arial"/>
          <w:szCs w:val="22"/>
        </w:rPr>
        <w:t>debit</w:t>
      </w:r>
      <w:r w:rsidRPr="00000302">
        <w:rPr>
          <w:rFonts w:cs="Arial"/>
          <w:szCs w:val="22"/>
        </w:rPr>
        <w:t xml:space="preserve"> card option is selected</w:t>
      </w:r>
      <w:r w:rsidRPr="00000302" w:rsidR="0074060A">
        <w:rPr>
          <w:rFonts w:cs="Arial"/>
          <w:szCs w:val="22"/>
        </w:rPr>
        <w:t>.  Upon receipt, an RRB D</w:t>
      </w:r>
      <w:r w:rsidRPr="00000302">
        <w:rPr>
          <w:rFonts w:cs="Arial"/>
          <w:szCs w:val="22"/>
        </w:rPr>
        <w:t xml:space="preserve">ebt </w:t>
      </w:r>
      <w:r w:rsidRPr="00000302" w:rsidR="0074060A">
        <w:rPr>
          <w:rFonts w:cs="Arial"/>
          <w:szCs w:val="22"/>
        </w:rPr>
        <w:t>R</w:t>
      </w:r>
      <w:r w:rsidRPr="00000302">
        <w:rPr>
          <w:rFonts w:cs="Arial"/>
          <w:szCs w:val="22"/>
        </w:rPr>
        <w:t xml:space="preserve">ecovery </w:t>
      </w:r>
      <w:r w:rsidRPr="00000302" w:rsidR="0074060A">
        <w:rPr>
          <w:rFonts w:cs="Arial"/>
          <w:szCs w:val="22"/>
        </w:rPr>
        <w:t>S</w:t>
      </w:r>
      <w:r w:rsidRPr="00000302">
        <w:rPr>
          <w:rFonts w:cs="Arial"/>
          <w:szCs w:val="22"/>
        </w:rPr>
        <w:t>pecialist enters the information into the Pay.gov system for processing.</w:t>
      </w:r>
    </w:p>
    <w:p w:rsidRPr="00000302" w:rsidR="00463576" w:rsidP="002E4EB6" w:rsidRDefault="00463576">
      <w:pPr>
        <w:widowControl/>
        <w:tabs>
          <w:tab w:val="left" w:pos="450"/>
        </w:tabs>
        <w:ind w:left="450"/>
        <w:jc w:val="both"/>
        <w:rPr>
          <w:rFonts w:cs="Arial"/>
          <w:szCs w:val="22"/>
        </w:rPr>
      </w:pPr>
    </w:p>
    <w:p w:rsidRPr="00000302" w:rsidR="00463576" w:rsidP="002A7444" w:rsidRDefault="00463576">
      <w:pPr>
        <w:widowControl/>
        <w:tabs>
          <w:tab w:val="left" w:pos="360"/>
        </w:tabs>
        <w:ind w:left="360"/>
        <w:jc w:val="both"/>
        <w:rPr>
          <w:rFonts w:cs="Arial"/>
          <w:szCs w:val="22"/>
        </w:rPr>
      </w:pPr>
      <w:r w:rsidRPr="00000302">
        <w:rPr>
          <w:rFonts w:cs="Arial"/>
          <w:szCs w:val="22"/>
        </w:rPr>
        <w:t>Completio</w:t>
      </w:r>
      <w:r w:rsidRPr="00000302" w:rsidR="00634335">
        <w:rPr>
          <w:rFonts w:cs="Arial"/>
          <w:szCs w:val="22"/>
        </w:rPr>
        <w:t>n of Form G-421</w:t>
      </w:r>
      <w:r w:rsidRPr="00000302" w:rsidR="007C5B96">
        <w:rPr>
          <w:rFonts w:cs="Arial"/>
          <w:szCs w:val="22"/>
        </w:rPr>
        <w:t xml:space="preserve">F </w:t>
      </w:r>
      <w:r w:rsidRPr="00000302" w:rsidR="00634335">
        <w:rPr>
          <w:rFonts w:cs="Arial"/>
          <w:szCs w:val="22"/>
        </w:rPr>
        <w:t>is voluntary.</w:t>
      </w:r>
    </w:p>
    <w:p w:rsidRPr="00000302" w:rsidR="002A7444" w:rsidP="002A7444" w:rsidRDefault="002A7444">
      <w:pPr>
        <w:widowControl/>
        <w:tabs>
          <w:tab w:val="left" w:pos="360"/>
        </w:tabs>
        <w:ind w:left="360"/>
        <w:jc w:val="both"/>
        <w:rPr>
          <w:rFonts w:cs="Arial"/>
          <w:bCs/>
          <w:szCs w:val="22"/>
        </w:rPr>
      </w:pPr>
    </w:p>
    <w:p w:rsidRPr="00000302" w:rsidR="002A7444" w:rsidP="002A7444" w:rsidRDefault="002A7444">
      <w:pPr>
        <w:ind w:left="360"/>
        <w:rPr>
          <w:rFonts w:cs="Arial"/>
          <w:szCs w:val="22"/>
        </w:rPr>
      </w:pPr>
      <w:r w:rsidRPr="00000302">
        <w:rPr>
          <w:rFonts w:cs="Arial"/>
          <w:szCs w:val="22"/>
        </w:rPr>
        <w:t xml:space="preserve">This form is similar to the SSA-714, </w:t>
      </w:r>
      <w:r w:rsidRPr="00000302" w:rsidR="0043186E">
        <w:rPr>
          <w:rStyle w:val="st1"/>
          <w:rFonts w:cs="Arial"/>
          <w:color w:val="222222"/>
          <w:szCs w:val="22"/>
        </w:rPr>
        <w:t xml:space="preserve">You Can Make Your Payment by </w:t>
      </w:r>
      <w:r w:rsidRPr="00000302" w:rsidR="008A12F1">
        <w:rPr>
          <w:rStyle w:val="st1"/>
          <w:rFonts w:cs="Arial"/>
          <w:color w:val="222222"/>
          <w:szCs w:val="22"/>
        </w:rPr>
        <w:t>Debit</w:t>
      </w:r>
      <w:r w:rsidRPr="00000302" w:rsidR="0043186E">
        <w:rPr>
          <w:rStyle w:val="st1"/>
          <w:rFonts w:cs="Arial"/>
          <w:color w:val="222222"/>
          <w:szCs w:val="22"/>
        </w:rPr>
        <w:t xml:space="preserve"> Card</w:t>
      </w:r>
      <w:r w:rsidRPr="00000302">
        <w:rPr>
          <w:rFonts w:cs="Arial"/>
          <w:szCs w:val="22"/>
        </w:rPr>
        <w:t>.</w:t>
      </w:r>
    </w:p>
    <w:p w:rsidRPr="00000302" w:rsidR="002A7444" w:rsidP="002A7444" w:rsidRDefault="002A7444">
      <w:pPr>
        <w:widowControl/>
        <w:tabs>
          <w:tab w:val="left" w:pos="360"/>
        </w:tabs>
        <w:ind w:left="360"/>
        <w:jc w:val="both"/>
        <w:rPr>
          <w:rFonts w:cs="Arial"/>
          <w:bCs/>
          <w:szCs w:val="22"/>
        </w:rPr>
      </w:pPr>
    </w:p>
    <w:p w:rsidR="00891F36" w:rsidP="002A7444" w:rsidRDefault="00463576">
      <w:pPr>
        <w:widowControl/>
        <w:tabs>
          <w:tab w:val="left" w:pos="360"/>
        </w:tabs>
        <w:ind w:left="360"/>
        <w:jc w:val="both"/>
        <w:rPr>
          <w:rFonts w:cs="Arial"/>
          <w:b/>
          <w:bCs/>
          <w:dstrike/>
          <w:szCs w:val="22"/>
        </w:rPr>
      </w:pPr>
      <w:r w:rsidRPr="00000302">
        <w:rPr>
          <w:rFonts w:cs="Arial"/>
          <w:b/>
          <w:bCs/>
          <w:szCs w:val="22"/>
        </w:rPr>
        <w:t xml:space="preserve">The RRB proposes </w:t>
      </w:r>
      <w:r w:rsidRPr="00000302" w:rsidR="008A12F1">
        <w:rPr>
          <w:rFonts w:cs="Arial"/>
          <w:b/>
          <w:bCs/>
          <w:szCs w:val="22"/>
        </w:rPr>
        <w:t>minor non-burden changes to Form G-421F, primarily by removing the word “debit” throughout the</w:t>
      </w:r>
      <w:r w:rsidRPr="00000302" w:rsidR="00284A9D">
        <w:rPr>
          <w:rFonts w:cs="Arial"/>
          <w:b/>
          <w:bCs/>
          <w:szCs w:val="22"/>
        </w:rPr>
        <w:t xml:space="preserve"> body of the</w:t>
      </w:r>
      <w:r w:rsidRPr="00000302" w:rsidR="008A12F1">
        <w:rPr>
          <w:rFonts w:cs="Arial"/>
          <w:b/>
          <w:bCs/>
          <w:szCs w:val="22"/>
        </w:rPr>
        <w:t xml:space="preserve"> form </w:t>
      </w:r>
      <w:r w:rsidRPr="00000302" w:rsidR="00284A9D">
        <w:rPr>
          <w:rFonts w:cs="Arial"/>
          <w:b/>
          <w:bCs/>
          <w:szCs w:val="22"/>
        </w:rPr>
        <w:t xml:space="preserve">and </w:t>
      </w:r>
      <w:r w:rsidRPr="00000302" w:rsidR="00BE565F">
        <w:rPr>
          <w:rFonts w:cs="Arial"/>
          <w:b/>
          <w:bCs/>
          <w:szCs w:val="22"/>
        </w:rPr>
        <w:t xml:space="preserve">instead use the word “card”. </w:t>
      </w:r>
      <w:r w:rsidRPr="00000302" w:rsidR="00284A9D">
        <w:rPr>
          <w:rFonts w:cs="Arial"/>
          <w:b/>
          <w:bCs/>
          <w:szCs w:val="22"/>
        </w:rPr>
        <w:t xml:space="preserve"> </w:t>
      </w:r>
    </w:p>
    <w:p w:rsidR="006D5B0A" w:rsidP="002A7444" w:rsidRDefault="006D5B0A">
      <w:pPr>
        <w:widowControl/>
        <w:tabs>
          <w:tab w:val="left" w:pos="360"/>
        </w:tabs>
        <w:ind w:left="360"/>
        <w:jc w:val="both"/>
        <w:rPr>
          <w:rFonts w:cs="Arial"/>
          <w:b/>
          <w:bCs/>
          <w:dstrike/>
          <w:szCs w:val="22"/>
        </w:rPr>
      </w:pPr>
    </w:p>
    <w:p w:rsidRPr="006D5B0A" w:rsidR="006D5B0A" w:rsidP="006D5B0A" w:rsidRDefault="006D5B0A">
      <w:pPr>
        <w:widowControl/>
        <w:tabs>
          <w:tab w:val="left" w:pos="360"/>
        </w:tabs>
        <w:ind w:left="360"/>
        <w:jc w:val="both"/>
        <w:rPr>
          <w:rFonts w:cs="Arial"/>
          <w:b/>
          <w:bCs/>
          <w:szCs w:val="22"/>
        </w:rPr>
      </w:pPr>
      <w:proofErr w:type="gramStart"/>
      <w:r w:rsidRPr="006D5B0A">
        <w:rPr>
          <w:rFonts w:cs="Arial"/>
          <w:b/>
          <w:bCs/>
          <w:szCs w:val="22"/>
        </w:rPr>
        <w:t>Also</w:t>
      </w:r>
      <w:proofErr w:type="gramEnd"/>
      <w:r w:rsidRPr="006D5B0A">
        <w:rPr>
          <w:rFonts w:cs="Arial"/>
          <w:b/>
          <w:bCs/>
          <w:szCs w:val="22"/>
        </w:rPr>
        <w:t xml:space="preserve">, in 2017, the RRB submitted an information collection for a "No material or nonsubstantive change to a currently approved collection," which OMB approved, to immediately update the G-421F for use starting in 2018. </w:t>
      </w:r>
      <w:r w:rsidR="00DF0EDA">
        <w:rPr>
          <w:rFonts w:cs="Arial"/>
          <w:b/>
          <w:bCs/>
          <w:szCs w:val="22"/>
        </w:rPr>
        <w:t xml:space="preserve"> See “</w:t>
      </w:r>
      <w:r w:rsidRPr="00DF0EDA" w:rsidR="00DF0EDA">
        <w:rPr>
          <w:rFonts w:cs="Arial"/>
          <w:b/>
          <w:bCs/>
          <w:i/>
          <w:szCs w:val="22"/>
        </w:rPr>
        <w:t>Justification for No Material_NonSubstatative Change</w:t>
      </w:r>
      <w:r w:rsidR="00DF0EDA">
        <w:rPr>
          <w:rFonts w:cs="Arial"/>
          <w:b/>
          <w:bCs/>
          <w:szCs w:val="22"/>
        </w:rPr>
        <w:t xml:space="preserve">” Memo in Supplementary Documents on ROCIS. </w:t>
      </w:r>
    </w:p>
    <w:p w:rsidRPr="00000302" w:rsidR="006D5B0A" w:rsidP="002A7444" w:rsidRDefault="006D5B0A">
      <w:pPr>
        <w:widowControl/>
        <w:tabs>
          <w:tab w:val="left" w:pos="360"/>
        </w:tabs>
        <w:ind w:left="360"/>
        <w:jc w:val="both"/>
        <w:rPr>
          <w:rFonts w:cs="Arial"/>
          <w:b/>
          <w:bCs/>
          <w:szCs w:val="22"/>
        </w:rPr>
      </w:pPr>
    </w:p>
    <w:p w:rsidRPr="007C0A46" w:rsidR="007C0A46" w:rsidP="007C0A46" w:rsidRDefault="00463576">
      <w:pPr>
        <w:tabs>
          <w:tab w:val="left" w:pos="360"/>
        </w:tabs>
        <w:ind w:left="360" w:hanging="360"/>
        <w:jc w:val="both"/>
        <w:rPr>
          <w:rFonts w:cs="Arial"/>
          <w:szCs w:val="22"/>
        </w:rPr>
      </w:pPr>
      <w:r w:rsidRPr="00000302">
        <w:t>3.</w:t>
      </w:r>
      <w:r w:rsidRPr="00000302">
        <w:tab/>
      </w:r>
      <w:r w:rsidRPr="00000302">
        <w:rPr>
          <w:u w:val="single"/>
        </w:rPr>
        <w:t>Planned use of improved information technology or technical/legal impediments to further burden reduction</w:t>
      </w:r>
      <w:r w:rsidRPr="00000302">
        <w:t xml:space="preserve"> -</w:t>
      </w:r>
      <w:r w:rsidR="007C0A46">
        <w:rPr>
          <w:rFonts w:cs="Arial"/>
          <w:szCs w:val="22"/>
        </w:rPr>
        <w:t>B</w:t>
      </w:r>
      <w:r w:rsidRPr="007C0A46" w:rsidR="007C0A46">
        <w:rPr>
          <w:rFonts w:cs="Arial"/>
          <w:szCs w:val="22"/>
        </w:rPr>
        <w:t>enefici</w:t>
      </w:r>
      <w:r w:rsidR="007C0A46">
        <w:rPr>
          <w:rFonts w:cs="Arial"/>
          <w:szCs w:val="22"/>
        </w:rPr>
        <w:t>aries are able to complete</w:t>
      </w:r>
      <w:r w:rsidRPr="007C0A46" w:rsidR="007C0A46">
        <w:rPr>
          <w:rFonts w:cs="Arial"/>
          <w:szCs w:val="22"/>
        </w:rPr>
        <w:t xml:space="preserve"> payments electronically through Pay.gov</w:t>
      </w:r>
      <w:r w:rsidR="007C0A46">
        <w:rPr>
          <w:rFonts w:cs="Arial"/>
          <w:szCs w:val="22"/>
        </w:rPr>
        <w:t>, which is a U.S. Treasury IT System.  O</w:t>
      </w:r>
      <w:r w:rsidRPr="007C0A46" w:rsidR="007C0A46">
        <w:rPr>
          <w:rFonts w:cs="Arial"/>
          <w:szCs w:val="22"/>
        </w:rPr>
        <w:t>nly a small subset chose to provide their payment information on paper utilizing this form.</w:t>
      </w:r>
    </w:p>
    <w:p w:rsidRPr="0018327C" w:rsidR="00463576" w:rsidP="002E4EB6" w:rsidRDefault="00463576">
      <w:pPr>
        <w:tabs>
          <w:tab w:val="left" w:pos="360"/>
        </w:tabs>
        <w:ind w:left="360" w:hanging="360"/>
        <w:jc w:val="both"/>
      </w:pPr>
    </w:p>
    <w:p w:rsidRPr="0018327C" w:rsidR="00463576" w:rsidP="002E4EB6" w:rsidRDefault="00463576">
      <w:pPr>
        <w:tabs>
          <w:tab w:val="left" w:pos="360"/>
        </w:tabs>
        <w:ind w:left="360" w:hanging="360"/>
        <w:jc w:val="both"/>
      </w:pPr>
    </w:p>
    <w:p w:rsidRPr="0018327C" w:rsidR="00463576" w:rsidP="002E4EB6" w:rsidRDefault="00463576">
      <w:pPr>
        <w:tabs>
          <w:tab w:val="left" w:pos="360"/>
        </w:tabs>
        <w:ind w:left="360" w:hanging="360"/>
        <w:jc w:val="both"/>
      </w:pPr>
      <w:r w:rsidRPr="0018327C">
        <w:t>4.</w:t>
      </w:r>
      <w:r w:rsidRPr="0018327C">
        <w:tab/>
      </w:r>
      <w:r w:rsidRPr="0018327C">
        <w:rPr>
          <w:u w:val="single"/>
        </w:rPr>
        <w:t>Efforts to identify duplication</w:t>
      </w:r>
      <w:r w:rsidRPr="0018327C">
        <w:t xml:space="preserve"> - This information collection does not duplicate any other information collection.</w:t>
      </w:r>
    </w:p>
    <w:p w:rsidRPr="00733E36" w:rsidR="00463576" w:rsidP="002E4EB6" w:rsidRDefault="00463576">
      <w:pPr>
        <w:tabs>
          <w:tab w:val="left" w:pos="360"/>
        </w:tabs>
        <w:ind w:left="360" w:hanging="360"/>
        <w:jc w:val="both"/>
      </w:pPr>
    </w:p>
    <w:p w:rsidRPr="00733E36" w:rsidR="00463576" w:rsidP="002E4EB6" w:rsidRDefault="00463576">
      <w:pPr>
        <w:tabs>
          <w:tab w:val="left" w:pos="360"/>
        </w:tabs>
        <w:ind w:left="360" w:hanging="360"/>
        <w:jc w:val="both"/>
      </w:pPr>
      <w:r w:rsidRPr="00733E36">
        <w:t>5.</w:t>
      </w:r>
      <w:r w:rsidRPr="00733E36">
        <w:tab/>
      </w:r>
      <w:r w:rsidRPr="00733E36">
        <w:rPr>
          <w:u w:val="single"/>
        </w:rPr>
        <w:t>Small business respondents</w:t>
      </w:r>
      <w:r w:rsidRPr="00733E36">
        <w:t xml:space="preserve"> </w:t>
      </w:r>
      <w:r w:rsidRPr="00733E36">
        <w:noBreakHyphen/>
        <w:t xml:space="preserve"> N.A.</w:t>
      </w:r>
    </w:p>
    <w:p w:rsidRPr="00733E36" w:rsidR="00463576" w:rsidP="002E4EB6" w:rsidRDefault="00463576">
      <w:pPr>
        <w:tabs>
          <w:tab w:val="left" w:pos="360"/>
        </w:tabs>
        <w:ind w:left="360" w:hanging="360"/>
        <w:jc w:val="both"/>
      </w:pPr>
    </w:p>
    <w:p w:rsidRPr="00733E36" w:rsidR="00463576" w:rsidP="002E4EB6" w:rsidRDefault="00463576">
      <w:pPr>
        <w:tabs>
          <w:tab w:val="left" w:pos="360"/>
        </w:tabs>
        <w:ind w:left="360" w:hanging="360"/>
        <w:jc w:val="both"/>
      </w:pPr>
      <w:r w:rsidRPr="00733E36">
        <w:t>6.</w:t>
      </w:r>
      <w:r w:rsidRPr="00733E36">
        <w:tab/>
      </w:r>
      <w:r w:rsidRPr="00733E36">
        <w:rPr>
          <w:u w:val="single"/>
        </w:rPr>
        <w:t>Consequences of less frequent collection</w:t>
      </w:r>
      <w:r w:rsidRPr="00733E36">
        <w:t xml:space="preserve"> - Less frequent collection of the information would adversely affect recovery of amounts owed to the RRB due to benefit overpayments under the RRA and RUIA.</w:t>
      </w:r>
    </w:p>
    <w:p w:rsidRPr="00733E36" w:rsidR="00463576" w:rsidP="002E4EB6" w:rsidRDefault="00463576">
      <w:pPr>
        <w:tabs>
          <w:tab w:val="left" w:pos="360"/>
        </w:tabs>
        <w:ind w:left="360" w:hanging="360"/>
        <w:jc w:val="both"/>
      </w:pPr>
    </w:p>
    <w:p w:rsidRPr="00733E36" w:rsidR="00463576" w:rsidP="002E4EB6" w:rsidRDefault="00463576">
      <w:pPr>
        <w:tabs>
          <w:tab w:val="left" w:pos="360"/>
        </w:tabs>
        <w:ind w:left="360" w:hanging="360"/>
        <w:jc w:val="both"/>
      </w:pPr>
      <w:r w:rsidRPr="00733E36">
        <w:t>7.</w:t>
      </w:r>
      <w:r w:rsidRPr="00733E36">
        <w:tab/>
      </w:r>
      <w:r w:rsidRPr="00733E36">
        <w:rPr>
          <w:u w:val="single"/>
        </w:rPr>
        <w:t>Special Circumstances</w:t>
      </w:r>
      <w:r w:rsidRPr="00733E36">
        <w:t xml:space="preserve"> - None</w:t>
      </w:r>
    </w:p>
    <w:p w:rsidRPr="00733E36" w:rsidR="00463576" w:rsidP="002E4EB6" w:rsidRDefault="00463576">
      <w:pPr>
        <w:tabs>
          <w:tab w:val="left" w:pos="360"/>
        </w:tabs>
        <w:ind w:left="360" w:hanging="360"/>
        <w:jc w:val="both"/>
      </w:pPr>
    </w:p>
    <w:p w:rsidRPr="00696FFD" w:rsidR="0018327C" w:rsidP="0018327C" w:rsidRDefault="00463576">
      <w:pPr>
        <w:tabs>
          <w:tab w:val="left" w:pos="360"/>
        </w:tabs>
        <w:ind w:left="360" w:hanging="360"/>
        <w:jc w:val="both"/>
      </w:pPr>
      <w:r w:rsidRPr="00733E36">
        <w:t>8.</w:t>
      </w:r>
      <w:r w:rsidRPr="00733E36">
        <w:tab/>
      </w:r>
      <w:r w:rsidRPr="00733E36">
        <w:rPr>
          <w:u w:val="single"/>
        </w:rPr>
        <w:t>Public comments/consultations outside the agency</w:t>
      </w:r>
      <w:r w:rsidRPr="00733E36">
        <w:t xml:space="preserve"> - In </w:t>
      </w:r>
      <w:r w:rsidRPr="00696FFD" w:rsidR="0018327C">
        <w:t xml:space="preserve">accordance with </w:t>
      </w:r>
      <w:proofErr w:type="gramStart"/>
      <w:r w:rsidRPr="00696FFD" w:rsidR="0018327C">
        <w:t>5</w:t>
      </w:r>
      <w:proofErr w:type="gramEnd"/>
      <w:r w:rsidRPr="00696FFD" w:rsidR="0018327C">
        <w:t xml:space="preserve"> CFR 1320.8(d), comments were invited from the public regarding the information collection.  The notice to the public was pub</w:t>
      </w:r>
      <w:bookmarkStart w:name="_GoBack" w:id="0"/>
      <w:bookmarkEnd w:id="0"/>
      <w:r w:rsidRPr="00696FFD" w:rsidR="0018327C">
        <w:t xml:space="preserve">lished on page </w:t>
      </w:r>
      <w:r w:rsidR="0018327C">
        <w:t>48383</w:t>
      </w:r>
      <w:r w:rsidRPr="00696FFD" w:rsidR="0018327C">
        <w:t xml:space="preserve"> of the </w:t>
      </w:r>
      <w:r w:rsidR="0018327C">
        <w:t xml:space="preserve">September 13, </w:t>
      </w:r>
      <w:r w:rsidRPr="00696FFD" w:rsidR="0018327C">
        <w:t>201</w:t>
      </w:r>
      <w:r w:rsidR="0018327C">
        <w:t>9</w:t>
      </w:r>
      <w:r w:rsidRPr="00696FFD" w:rsidR="0018327C">
        <w:t xml:space="preserve">, </w:t>
      </w:r>
      <w:r w:rsidRPr="00696FFD" w:rsidR="0018327C">
        <w:rPr>
          <w:u w:val="single"/>
        </w:rPr>
        <w:t>Federal Register</w:t>
      </w:r>
      <w:r w:rsidRPr="00696FFD" w:rsidR="0018327C">
        <w:t>.  No requests for information or comments were received. RRB personnel consult with Department of Treasury (Financial Management Service).</w:t>
      </w:r>
    </w:p>
    <w:p w:rsidRPr="0018327C" w:rsidR="00463576" w:rsidP="002E4EB6" w:rsidRDefault="00463576">
      <w:pPr>
        <w:tabs>
          <w:tab w:val="left" w:pos="360"/>
        </w:tabs>
        <w:ind w:left="360" w:hanging="360"/>
        <w:jc w:val="both"/>
      </w:pPr>
    </w:p>
    <w:p w:rsidRPr="00733E36" w:rsidR="00463576" w:rsidP="002E4EB6" w:rsidRDefault="00463576">
      <w:pPr>
        <w:tabs>
          <w:tab w:val="left" w:pos="360"/>
        </w:tabs>
        <w:ind w:left="360" w:hanging="360"/>
        <w:jc w:val="both"/>
      </w:pPr>
      <w:r w:rsidRPr="00733E36">
        <w:t>9.</w:t>
      </w:r>
      <w:r w:rsidRPr="00733E36">
        <w:tab/>
      </w:r>
      <w:r w:rsidRPr="00733E36">
        <w:rPr>
          <w:u w:val="single"/>
        </w:rPr>
        <w:t>Payments or Gifts to Respondents</w:t>
      </w:r>
      <w:r w:rsidRPr="00733E36">
        <w:t xml:space="preserve"> - N.A.</w:t>
      </w:r>
    </w:p>
    <w:p w:rsidRPr="00733E36" w:rsidR="00463576" w:rsidP="002E4EB6" w:rsidRDefault="00463576">
      <w:pPr>
        <w:tabs>
          <w:tab w:val="left" w:pos="360"/>
        </w:tabs>
        <w:ind w:left="360" w:hanging="360"/>
        <w:jc w:val="both"/>
      </w:pPr>
    </w:p>
    <w:p w:rsidRPr="00733E36" w:rsidR="00463576" w:rsidP="00D87ECA" w:rsidRDefault="00463576">
      <w:pPr>
        <w:tabs>
          <w:tab w:val="left" w:pos="360"/>
        </w:tabs>
        <w:ind w:left="360" w:hanging="450"/>
        <w:jc w:val="both"/>
        <w:rPr>
          <w:rFonts w:cs="Arial"/>
          <w:szCs w:val="22"/>
        </w:rPr>
      </w:pPr>
      <w:r w:rsidRPr="00733E36">
        <w:t>10.</w:t>
      </w:r>
      <w:r w:rsidRPr="00733E36">
        <w:tab/>
      </w:r>
      <w:r w:rsidRPr="00733E36">
        <w:rPr>
          <w:u w:val="single"/>
        </w:rPr>
        <w:t>Confidentiality</w:t>
      </w:r>
      <w:r w:rsidRPr="00733E36">
        <w:t xml:space="preserve"> – Privacy Act System of Record, RRB-21, Railroad Unemployment and Sickness Insurance Benefit System</w:t>
      </w:r>
      <w:r w:rsidRPr="00733E36" w:rsidR="00B67539">
        <w:t>,</w:t>
      </w:r>
      <w:r w:rsidRPr="00733E36">
        <w:t xml:space="preserve"> </w:t>
      </w:r>
      <w:r w:rsidRPr="00733E36" w:rsidR="00C30D50">
        <w:t xml:space="preserve">and </w:t>
      </w:r>
      <w:r w:rsidRPr="00733E36">
        <w:rPr>
          <w:rFonts w:cs="Arial"/>
          <w:szCs w:val="22"/>
        </w:rPr>
        <w:t>RRB-22, Railroad Retirement Survivor and Pens</w:t>
      </w:r>
      <w:r w:rsidRPr="00733E36" w:rsidR="00C30D50">
        <w:rPr>
          <w:rFonts w:cs="Arial"/>
          <w:szCs w:val="22"/>
        </w:rPr>
        <w:t>ioner Benefit System.</w:t>
      </w:r>
      <w:r w:rsidRPr="00733E36">
        <w:rPr>
          <w:rFonts w:cs="Arial"/>
          <w:szCs w:val="22"/>
        </w:rPr>
        <w:t xml:space="preserve">  A Privacy Threshold Analysis for </w:t>
      </w:r>
      <w:r w:rsidRPr="00733E36" w:rsidR="008A77E2">
        <w:rPr>
          <w:rFonts w:cs="Arial"/>
          <w:szCs w:val="22"/>
        </w:rPr>
        <w:t xml:space="preserve">this collection </w:t>
      </w:r>
      <w:r w:rsidRPr="00733E36">
        <w:rPr>
          <w:rFonts w:cs="Arial"/>
          <w:szCs w:val="22"/>
        </w:rPr>
        <w:t>has been completed by the RRB’s Chief Privacy Officer.  There is no requirement for a Privacy Impact Analysis as this is a paper-based form.  Electronic processing is through Pay.gov, which is a U.S. Treasury IT System.</w:t>
      </w:r>
    </w:p>
    <w:p w:rsidRPr="00733E36" w:rsidR="00463576" w:rsidP="002E4EB6" w:rsidRDefault="00463576">
      <w:pPr>
        <w:widowControl/>
        <w:tabs>
          <w:tab w:val="left" w:pos="450"/>
        </w:tabs>
        <w:ind w:left="450" w:hanging="450"/>
        <w:jc w:val="both"/>
        <w:rPr>
          <w:rFonts w:cs="Arial"/>
          <w:szCs w:val="22"/>
        </w:rPr>
      </w:pPr>
    </w:p>
    <w:p w:rsidRPr="00733E36" w:rsidR="00463576" w:rsidP="00D87ECA" w:rsidRDefault="00463576">
      <w:pPr>
        <w:tabs>
          <w:tab w:val="left" w:pos="360"/>
        </w:tabs>
        <w:ind w:left="360" w:hanging="450"/>
        <w:jc w:val="both"/>
      </w:pPr>
      <w:r w:rsidRPr="00733E36">
        <w:t>11.</w:t>
      </w:r>
      <w:r w:rsidRPr="00733E36">
        <w:tab/>
      </w:r>
      <w:r w:rsidRPr="00733E36">
        <w:rPr>
          <w:u w:val="single"/>
        </w:rPr>
        <w:t>Sensitive questions</w:t>
      </w:r>
      <w:r w:rsidRPr="00733E36">
        <w:t xml:space="preserve"> - There are no questions of a sensitive nature.</w:t>
      </w:r>
    </w:p>
    <w:p w:rsidRPr="00733E36" w:rsidR="00463576" w:rsidP="002E4EB6" w:rsidRDefault="00463576">
      <w:pPr>
        <w:tabs>
          <w:tab w:val="left" w:pos="360"/>
        </w:tabs>
        <w:ind w:left="360" w:hanging="360"/>
        <w:jc w:val="both"/>
      </w:pPr>
    </w:p>
    <w:p w:rsidRPr="00733E36" w:rsidR="00463576" w:rsidP="00376B21" w:rsidRDefault="00463576">
      <w:pPr>
        <w:tabs>
          <w:tab w:val="left" w:pos="360"/>
        </w:tabs>
        <w:ind w:left="360" w:hanging="450"/>
        <w:jc w:val="both"/>
        <w:rPr>
          <w:rFonts w:cs="Arial"/>
          <w:szCs w:val="22"/>
        </w:rPr>
      </w:pPr>
      <w:r w:rsidRPr="00733E36">
        <w:t>12.</w:t>
      </w:r>
      <w:r w:rsidRPr="00733E36">
        <w:tab/>
      </w:r>
      <w:r w:rsidRPr="00733E36">
        <w:rPr>
          <w:u w:val="single"/>
        </w:rPr>
        <w:t>Estimate of respondent burden</w:t>
      </w:r>
      <w:r w:rsidRPr="00733E36" w:rsidR="00376B21">
        <w:t xml:space="preserve"> - T</w:t>
      </w:r>
      <w:r w:rsidRPr="00733E36" w:rsidR="00376B21">
        <w:rPr>
          <w:rFonts w:cs="Arial"/>
        </w:rPr>
        <w:t xml:space="preserve">he current estimated burden for this collection is </w:t>
      </w:r>
      <w:r w:rsidRPr="00733E36" w:rsidR="00696FFD">
        <w:rPr>
          <w:rFonts w:cs="Arial"/>
        </w:rPr>
        <w:t xml:space="preserve">unchanged as follows: </w:t>
      </w:r>
    </w:p>
    <w:p w:rsidRPr="00733E36" w:rsidR="00463576" w:rsidP="002E4EB6" w:rsidRDefault="00463576">
      <w:pPr>
        <w:widowControl/>
        <w:tabs>
          <w:tab w:val="left" w:pos="450"/>
        </w:tabs>
        <w:ind w:left="450" w:hanging="450"/>
        <w:jc w:val="both"/>
        <w:rPr>
          <w:rFonts w:cs="Arial"/>
          <w:szCs w:val="22"/>
        </w:rPr>
      </w:pPr>
    </w:p>
    <w:p w:rsidRPr="00733E36" w:rsidR="009D3C2E" w:rsidP="00F14EEA" w:rsidRDefault="00DF0EDA">
      <w:pPr>
        <w:keepNext/>
        <w:tabs>
          <w:tab w:val="left" w:pos="360"/>
        </w:tabs>
        <w:ind w:left="360" w:hanging="360"/>
        <w:jc w:val="center"/>
        <w:rPr>
          <w:u w:val="single"/>
        </w:rPr>
      </w:pPr>
      <w:r>
        <w:rPr>
          <w:u w:val="single"/>
        </w:rPr>
        <w:br w:type="page"/>
      </w:r>
      <w:r w:rsidRPr="00733E36" w:rsidR="00C82A91">
        <w:rPr>
          <w:u w:val="single"/>
        </w:rPr>
        <w:lastRenderedPageBreak/>
        <w:t xml:space="preserve">Current </w:t>
      </w:r>
      <w:r w:rsidRPr="00733E36" w:rsidR="00DF6CAC">
        <w:rPr>
          <w:u w:val="single"/>
        </w:rPr>
        <w:t>Burden</w:t>
      </w:r>
    </w:p>
    <w:p w:rsidRPr="00733E36" w:rsidR="009D3C2E" w:rsidP="00F14EEA" w:rsidRDefault="009D3C2E">
      <w:pPr>
        <w:keepNext/>
        <w:tabs>
          <w:tab w:val="left" w:pos="360"/>
        </w:tabs>
        <w:ind w:left="360" w:hanging="360"/>
        <w:jc w:val="center"/>
      </w:pPr>
    </w:p>
    <w:tbl>
      <w:tblPr>
        <w:tblW w:w="0" w:type="auto"/>
        <w:tblInd w:w="501"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1" w:type="dxa"/>
          <w:right w:w="141" w:type="dxa"/>
        </w:tblCellMar>
        <w:tblLook w:val="0000" w:firstRow="0" w:lastRow="0" w:firstColumn="0" w:lastColumn="0" w:noHBand="0" w:noVBand="0"/>
      </w:tblPr>
      <w:tblGrid>
        <w:gridCol w:w="3060"/>
        <w:gridCol w:w="2160"/>
        <w:gridCol w:w="2160"/>
        <w:gridCol w:w="2070"/>
      </w:tblGrid>
      <w:tr w:rsidRPr="00733E36" w:rsidR="009D3C2E" w:rsidTr="00733E36">
        <w:tblPrEx>
          <w:tblCellMar>
            <w:top w:w="0" w:type="dxa"/>
            <w:bottom w:w="0" w:type="dxa"/>
          </w:tblCellMar>
        </w:tblPrEx>
        <w:trPr>
          <w:trHeight w:val="400" w:hRule="exact"/>
        </w:trPr>
        <w:tc>
          <w:tcPr>
            <w:tcW w:w="3060" w:type="dxa"/>
            <w:vAlign w:val="center"/>
          </w:tcPr>
          <w:p w:rsidRPr="00733E36" w:rsidR="009D3C2E" w:rsidP="008A77E2" w:rsidRDefault="009D3C2E">
            <w:pPr>
              <w:widowControl/>
              <w:jc w:val="center"/>
              <w:rPr>
                <w:rFonts w:cs="Arial"/>
                <w:szCs w:val="22"/>
              </w:rPr>
            </w:pPr>
            <w:r w:rsidRPr="00733E36">
              <w:rPr>
                <w:rFonts w:cs="Arial"/>
                <w:szCs w:val="22"/>
              </w:rPr>
              <w:t>Form Number</w:t>
            </w:r>
          </w:p>
        </w:tc>
        <w:tc>
          <w:tcPr>
            <w:tcW w:w="2160" w:type="dxa"/>
            <w:vAlign w:val="center"/>
          </w:tcPr>
          <w:p w:rsidRPr="00733E36" w:rsidR="009D3C2E" w:rsidP="008A77E2" w:rsidRDefault="009D3C2E">
            <w:pPr>
              <w:widowControl/>
              <w:jc w:val="center"/>
              <w:rPr>
                <w:rFonts w:cs="Arial"/>
                <w:szCs w:val="22"/>
              </w:rPr>
            </w:pPr>
            <w:r w:rsidRPr="00733E36">
              <w:rPr>
                <w:rFonts w:cs="Arial"/>
                <w:szCs w:val="22"/>
              </w:rPr>
              <w:t>Annual Responses</w:t>
            </w:r>
          </w:p>
        </w:tc>
        <w:tc>
          <w:tcPr>
            <w:tcW w:w="2160" w:type="dxa"/>
            <w:vAlign w:val="center"/>
          </w:tcPr>
          <w:p w:rsidRPr="00733E36" w:rsidR="009D3C2E" w:rsidP="008A77E2" w:rsidRDefault="009D3C2E">
            <w:pPr>
              <w:widowControl/>
              <w:jc w:val="center"/>
              <w:rPr>
                <w:rFonts w:cs="Arial"/>
                <w:szCs w:val="22"/>
              </w:rPr>
            </w:pPr>
            <w:r w:rsidRPr="00733E36">
              <w:rPr>
                <w:rFonts w:cs="Arial"/>
                <w:szCs w:val="22"/>
              </w:rPr>
              <w:t>Time (Minutes)</w:t>
            </w:r>
            <w:r w:rsidRPr="00733E36" w:rsidR="001B4B22">
              <w:rPr>
                <w:rFonts w:cs="Arial"/>
                <w:szCs w:val="22"/>
              </w:rPr>
              <w:t xml:space="preserve"> 1/</w:t>
            </w:r>
          </w:p>
        </w:tc>
        <w:tc>
          <w:tcPr>
            <w:tcW w:w="2070" w:type="dxa"/>
            <w:vAlign w:val="center"/>
          </w:tcPr>
          <w:p w:rsidRPr="00733E36" w:rsidR="009D3C2E" w:rsidP="008A77E2" w:rsidRDefault="009D3C2E">
            <w:pPr>
              <w:widowControl/>
              <w:jc w:val="center"/>
              <w:rPr>
                <w:rFonts w:cs="Arial"/>
                <w:szCs w:val="22"/>
              </w:rPr>
            </w:pPr>
            <w:r w:rsidRPr="00733E36">
              <w:rPr>
                <w:rFonts w:cs="Arial"/>
                <w:szCs w:val="22"/>
              </w:rPr>
              <w:t>Burden (Hours)</w:t>
            </w:r>
          </w:p>
        </w:tc>
      </w:tr>
      <w:tr w:rsidRPr="00733E36" w:rsidR="009D3C2E" w:rsidTr="00733E36">
        <w:tblPrEx>
          <w:tblCellMar>
            <w:top w:w="0" w:type="dxa"/>
            <w:bottom w:w="0" w:type="dxa"/>
          </w:tblCellMar>
        </w:tblPrEx>
        <w:trPr>
          <w:trHeight w:val="400" w:hRule="exact"/>
        </w:trPr>
        <w:tc>
          <w:tcPr>
            <w:tcW w:w="3060" w:type="dxa"/>
            <w:vAlign w:val="center"/>
          </w:tcPr>
          <w:p w:rsidRPr="00733E36" w:rsidR="009D3C2E" w:rsidP="008A77E2" w:rsidRDefault="009D3C2E">
            <w:pPr>
              <w:widowControl/>
              <w:jc w:val="both"/>
              <w:rPr>
                <w:rFonts w:cs="Arial"/>
                <w:szCs w:val="22"/>
              </w:rPr>
            </w:pPr>
            <w:r w:rsidRPr="00733E36">
              <w:rPr>
                <w:rFonts w:cs="Arial"/>
                <w:szCs w:val="22"/>
              </w:rPr>
              <w:t>Form G-421f (RRA) activity</w:t>
            </w:r>
          </w:p>
        </w:tc>
        <w:tc>
          <w:tcPr>
            <w:tcW w:w="2160" w:type="dxa"/>
            <w:vAlign w:val="center"/>
          </w:tcPr>
          <w:p w:rsidRPr="00733E36" w:rsidR="009D3C2E" w:rsidP="00BE565F" w:rsidRDefault="009D3C2E">
            <w:pPr>
              <w:widowControl/>
              <w:tabs>
                <w:tab w:val="right" w:pos="1119"/>
              </w:tabs>
              <w:jc w:val="center"/>
              <w:rPr>
                <w:rFonts w:cs="Arial"/>
                <w:szCs w:val="22"/>
              </w:rPr>
            </w:pPr>
            <w:r w:rsidRPr="00733E36">
              <w:rPr>
                <w:rFonts w:cs="Arial"/>
                <w:szCs w:val="22"/>
              </w:rPr>
              <w:t>360</w:t>
            </w:r>
          </w:p>
        </w:tc>
        <w:tc>
          <w:tcPr>
            <w:tcW w:w="2160" w:type="dxa"/>
            <w:vAlign w:val="center"/>
          </w:tcPr>
          <w:p w:rsidRPr="00733E36" w:rsidR="009D3C2E" w:rsidP="00BE565F" w:rsidRDefault="009D3C2E">
            <w:pPr>
              <w:widowControl/>
              <w:jc w:val="center"/>
              <w:rPr>
                <w:rFonts w:cs="Arial"/>
                <w:szCs w:val="22"/>
              </w:rPr>
            </w:pPr>
            <w:r w:rsidRPr="00733E36">
              <w:rPr>
                <w:rFonts w:cs="Arial"/>
                <w:szCs w:val="22"/>
              </w:rPr>
              <w:t>5</w:t>
            </w:r>
          </w:p>
        </w:tc>
        <w:tc>
          <w:tcPr>
            <w:tcW w:w="2070" w:type="dxa"/>
            <w:vAlign w:val="center"/>
          </w:tcPr>
          <w:p w:rsidRPr="00733E36" w:rsidR="009D3C2E" w:rsidP="00BE565F" w:rsidRDefault="009D3C2E">
            <w:pPr>
              <w:widowControl/>
              <w:tabs>
                <w:tab w:val="right" w:pos="999"/>
              </w:tabs>
              <w:jc w:val="center"/>
              <w:rPr>
                <w:rFonts w:cs="Arial"/>
                <w:szCs w:val="22"/>
              </w:rPr>
            </w:pPr>
            <w:r w:rsidRPr="00733E36">
              <w:rPr>
                <w:rFonts w:cs="Arial"/>
                <w:szCs w:val="22"/>
              </w:rPr>
              <w:t>30</w:t>
            </w:r>
          </w:p>
        </w:tc>
      </w:tr>
      <w:tr w:rsidRPr="00733E36" w:rsidR="009D3C2E" w:rsidTr="00733E36">
        <w:tblPrEx>
          <w:tblCellMar>
            <w:top w:w="0" w:type="dxa"/>
            <w:bottom w:w="0" w:type="dxa"/>
          </w:tblCellMar>
        </w:tblPrEx>
        <w:trPr>
          <w:trHeight w:val="400" w:hRule="exact"/>
        </w:trPr>
        <w:tc>
          <w:tcPr>
            <w:tcW w:w="3060" w:type="dxa"/>
            <w:tcBorders>
              <w:bottom w:val="single" w:color="000000" w:sz="8" w:space="0"/>
            </w:tcBorders>
            <w:vAlign w:val="center"/>
          </w:tcPr>
          <w:p w:rsidRPr="00733E36" w:rsidR="009D3C2E" w:rsidP="008A77E2" w:rsidRDefault="009D3C2E">
            <w:pPr>
              <w:widowControl/>
              <w:jc w:val="both"/>
              <w:rPr>
                <w:rFonts w:cs="Arial"/>
                <w:szCs w:val="22"/>
              </w:rPr>
            </w:pPr>
            <w:r w:rsidRPr="00733E36">
              <w:rPr>
                <w:rFonts w:cs="Arial"/>
                <w:szCs w:val="22"/>
              </w:rPr>
              <w:t>Form G-421f (RUIA) activity</w:t>
            </w:r>
          </w:p>
        </w:tc>
        <w:tc>
          <w:tcPr>
            <w:tcW w:w="2160" w:type="dxa"/>
            <w:tcBorders>
              <w:bottom w:val="single" w:color="000000" w:sz="8" w:space="0"/>
            </w:tcBorders>
            <w:vAlign w:val="center"/>
          </w:tcPr>
          <w:p w:rsidRPr="00733E36" w:rsidR="009D3C2E" w:rsidP="00BE565F" w:rsidRDefault="009D3C2E">
            <w:pPr>
              <w:widowControl/>
              <w:tabs>
                <w:tab w:val="right" w:pos="1119"/>
              </w:tabs>
              <w:jc w:val="center"/>
              <w:rPr>
                <w:rFonts w:cs="Arial"/>
                <w:szCs w:val="22"/>
              </w:rPr>
            </w:pPr>
            <w:r w:rsidRPr="00733E36">
              <w:rPr>
                <w:rFonts w:cs="Arial"/>
                <w:szCs w:val="22"/>
              </w:rPr>
              <w:t>175</w:t>
            </w:r>
          </w:p>
        </w:tc>
        <w:tc>
          <w:tcPr>
            <w:tcW w:w="2160" w:type="dxa"/>
            <w:tcBorders>
              <w:bottom w:val="single" w:color="000000" w:sz="8" w:space="0"/>
            </w:tcBorders>
            <w:vAlign w:val="center"/>
          </w:tcPr>
          <w:p w:rsidRPr="00733E36" w:rsidR="009D3C2E" w:rsidP="00BE565F" w:rsidRDefault="009D3C2E">
            <w:pPr>
              <w:widowControl/>
              <w:jc w:val="center"/>
              <w:rPr>
                <w:rFonts w:cs="Arial"/>
                <w:szCs w:val="22"/>
              </w:rPr>
            </w:pPr>
            <w:r w:rsidRPr="00733E36">
              <w:rPr>
                <w:rFonts w:cs="Arial"/>
                <w:szCs w:val="22"/>
              </w:rPr>
              <w:t>5</w:t>
            </w:r>
          </w:p>
        </w:tc>
        <w:tc>
          <w:tcPr>
            <w:tcW w:w="2070" w:type="dxa"/>
            <w:tcBorders>
              <w:bottom w:val="single" w:color="000000" w:sz="8" w:space="0"/>
            </w:tcBorders>
            <w:vAlign w:val="center"/>
          </w:tcPr>
          <w:p w:rsidRPr="00733E36" w:rsidR="009D3C2E" w:rsidP="00BE565F" w:rsidRDefault="009D3C2E">
            <w:pPr>
              <w:widowControl/>
              <w:tabs>
                <w:tab w:val="right" w:pos="999"/>
              </w:tabs>
              <w:jc w:val="center"/>
              <w:rPr>
                <w:rFonts w:cs="Arial"/>
                <w:szCs w:val="22"/>
              </w:rPr>
            </w:pPr>
            <w:r w:rsidRPr="00733E36">
              <w:rPr>
                <w:rFonts w:cs="Arial"/>
                <w:szCs w:val="22"/>
              </w:rPr>
              <w:t>15</w:t>
            </w:r>
          </w:p>
        </w:tc>
      </w:tr>
      <w:tr w:rsidRPr="00733E36" w:rsidR="009D3C2E" w:rsidTr="00733E36">
        <w:tblPrEx>
          <w:tblCellMar>
            <w:top w:w="0" w:type="dxa"/>
            <w:bottom w:w="0" w:type="dxa"/>
          </w:tblCellMar>
        </w:tblPrEx>
        <w:trPr>
          <w:trHeight w:val="400" w:hRule="exact"/>
        </w:trPr>
        <w:tc>
          <w:tcPr>
            <w:tcW w:w="3060" w:type="dxa"/>
            <w:tcBorders>
              <w:top w:val="single" w:color="000000" w:sz="8" w:space="0"/>
              <w:bottom w:val="double" w:color="000000" w:sz="12" w:space="0"/>
            </w:tcBorders>
            <w:vAlign w:val="center"/>
          </w:tcPr>
          <w:p w:rsidRPr="00733E36" w:rsidR="009D3C2E" w:rsidP="008A77E2" w:rsidRDefault="009D3C2E">
            <w:pPr>
              <w:widowControl/>
              <w:jc w:val="center"/>
              <w:rPr>
                <w:rFonts w:cs="Arial"/>
                <w:szCs w:val="22"/>
              </w:rPr>
            </w:pPr>
            <w:r w:rsidRPr="00733E36">
              <w:rPr>
                <w:rFonts w:cs="Arial"/>
                <w:szCs w:val="22"/>
              </w:rPr>
              <w:t>Total</w:t>
            </w:r>
          </w:p>
        </w:tc>
        <w:tc>
          <w:tcPr>
            <w:tcW w:w="2160" w:type="dxa"/>
            <w:tcBorders>
              <w:top w:val="single" w:color="000000" w:sz="8" w:space="0"/>
              <w:bottom w:val="double" w:color="000000" w:sz="12" w:space="0"/>
            </w:tcBorders>
            <w:vAlign w:val="center"/>
          </w:tcPr>
          <w:p w:rsidRPr="00733E36" w:rsidR="009D3C2E" w:rsidP="00BE565F" w:rsidRDefault="009D3C2E">
            <w:pPr>
              <w:widowControl/>
              <w:tabs>
                <w:tab w:val="right" w:pos="1119"/>
              </w:tabs>
              <w:jc w:val="center"/>
              <w:rPr>
                <w:rFonts w:cs="Arial"/>
                <w:szCs w:val="22"/>
              </w:rPr>
            </w:pPr>
            <w:r w:rsidRPr="00733E36">
              <w:rPr>
                <w:rFonts w:cs="Arial"/>
                <w:szCs w:val="22"/>
              </w:rPr>
              <w:t>535</w:t>
            </w:r>
          </w:p>
        </w:tc>
        <w:tc>
          <w:tcPr>
            <w:tcW w:w="2160" w:type="dxa"/>
            <w:tcBorders>
              <w:top w:val="single" w:color="000000" w:sz="8" w:space="0"/>
              <w:bottom w:val="double" w:color="000000" w:sz="12" w:space="0"/>
            </w:tcBorders>
            <w:vAlign w:val="center"/>
          </w:tcPr>
          <w:p w:rsidRPr="00733E36" w:rsidR="009D3C2E" w:rsidP="00BE565F" w:rsidRDefault="009D3C2E">
            <w:pPr>
              <w:widowControl/>
              <w:tabs>
                <w:tab w:val="right" w:pos="1029"/>
              </w:tabs>
              <w:jc w:val="center"/>
              <w:rPr>
                <w:rFonts w:cs="Arial"/>
                <w:szCs w:val="22"/>
              </w:rPr>
            </w:pPr>
          </w:p>
        </w:tc>
        <w:tc>
          <w:tcPr>
            <w:tcW w:w="2070" w:type="dxa"/>
            <w:tcBorders>
              <w:top w:val="single" w:color="000000" w:sz="8" w:space="0"/>
              <w:bottom w:val="double" w:color="000000" w:sz="12" w:space="0"/>
            </w:tcBorders>
            <w:vAlign w:val="center"/>
          </w:tcPr>
          <w:p w:rsidRPr="00733E36" w:rsidR="009D3C2E" w:rsidP="00BE565F" w:rsidRDefault="009D3C2E">
            <w:pPr>
              <w:widowControl/>
              <w:tabs>
                <w:tab w:val="right" w:pos="999"/>
              </w:tabs>
              <w:jc w:val="center"/>
              <w:rPr>
                <w:rFonts w:cs="Arial"/>
                <w:szCs w:val="22"/>
              </w:rPr>
            </w:pPr>
            <w:r w:rsidRPr="00733E36">
              <w:rPr>
                <w:rFonts w:cs="Arial"/>
                <w:szCs w:val="22"/>
              </w:rPr>
              <w:t>45</w:t>
            </w:r>
          </w:p>
        </w:tc>
      </w:tr>
    </w:tbl>
    <w:p w:rsidRPr="00733E36" w:rsidR="001B4B22" w:rsidP="00733E36" w:rsidRDefault="001B4B22">
      <w:pPr>
        <w:spacing w:line="233" w:lineRule="auto"/>
        <w:ind w:left="360"/>
        <w:jc w:val="both"/>
        <w:rPr>
          <w:szCs w:val="22"/>
        </w:rPr>
      </w:pPr>
      <w:proofErr w:type="gramStart"/>
      <w:r w:rsidRPr="00733E36">
        <w:rPr>
          <w:szCs w:val="22"/>
          <w:u w:val="single"/>
        </w:rPr>
        <w:t>1</w:t>
      </w:r>
      <w:r w:rsidRPr="00733E36">
        <w:rPr>
          <w:szCs w:val="22"/>
        </w:rPr>
        <w:t>/</w:t>
      </w:r>
      <w:r w:rsidRPr="00733E36">
        <w:rPr>
          <w:rFonts w:cs="Arial"/>
          <w:szCs w:val="22"/>
        </w:rPr>
        <w:t>The</w:t>
      </w:r>
      <w:proofErr w:type="gramEnd"/>
      <w:r w:rsidRPr="00733E36">
        <w:rPr>
          <w:rFonts w:cs="Arial"/>
          <w:szCs w:val="22"/>
        </w:rPr>
        <w:t xml:space="preserve"> RRB has been collecting the information on these forms since OMB approved the information collection.  Based on a sampling done when the form </w:t>
      </w:r>
      <w:proofErr w:type="gramStart"/>
      <w:r w:rsidRPr="00733E36">
        <w:rPr>
          <w:rFonts w:cs="Arial"/>
          <w:szCs w:val="22"/>
        </w:rPr>
        <w:t>was originally created</w:t>
      </w:r>
      <w:proofErr w:type="gramEnd"/>
      <w:r w:rsidRPr="00733E36">
        <w:rPr>
          <w:rFonts w:cs="Arial"/>
          <w:szCs w:val="22"/>
        </w:rPr>
        <w:t xml:space="preserve">, the office calculated the estimated time, which </w:t>
      </w:r>
      <w:r w:rsidRPr="00733E36">
        <w:rPr>
          <w:rFonts w:cs="Arial"/>
        </w:rPr>
        <w:t>includes time for getting the needed data and reviewing the completed form.</w:t>
      </w:r>
    </w:p>
    <w:p w:rsidRPr="00733E36" w:rsidR="00C30D50" w:rsidP="00DF6CAC" w:rsidRDefault="00C30D50">
      <w:pPr>
        <w:ind w:left="270"/>
        <w:jc w:val="both"/>
        <w:rPr>
          <w:dstrike/>
        </w:rPr>
      </w:pPr>
    </w:p>
    <w:p w:rsidRPr="00733E36" w:rsidR="00463576" w:rsidP="00D87ECA" w:rsidRDefault="00C30D50">
      <w:pPr>
        <w:tabs>
          <w:tab w:val="left" w:pos="360"/>
        </w:tabs>
        <w:ind w:left="360" w:hanging="450"/>
        <w:jc w:val="both"/>
      </w:pPr>
      <w:r w:rsidRPr="00733E36">
        <w:t>13.</w:t>
      </w:r>
      <w:r w:rsidRPr="00733E36">
        <w:tab/>
      </w:r>
      <w:r w:rsidRPr="00733E36" w:rsidR="00463576">
        <w:rPr>
          <w:u w:val="single"/>
        </w:rPr>
        <w:t>Estimate of annual cost to respondents or record</w:t>
      </w:r>
      <w:r w:rsidRPr="00733E36" w:rsidR="002373EA">
        <w:rPr>
          <w:u w:val="single"/>
        </w:rPr>
        <w:t xml:space="preserve"> </w:t>
      </w:r>
      <w:r w:rsidRPr="00733E36" w:rsidR="00463576">
        <w:rPr>
          <w:u w:val="single"/>
        </w:rPr>
        <w:t>keepers</w:t>
      </w:r>
      <w:r w:rsidRPr="00733E36" w:rsidR="00463576">
        <w:t xml:space="preserve"> - N.A.</w:t>
      </w:r>
    </w:p>
    <w:p w:rsidRPr="00733E36" w:rsidR="00463576" w:rsidP="00D87ECA" w:rsidRDefault="00463576">
      <w:pPr>
        <w:tabs>
          <w:tab w:val="left" w:pos="360"/>
        </w:tabs>
        <w:ind w:left="360" w:hanging="450"/>
        <w:jc w:val="both"/>
      </w:pPr>
      <w:r w:rsidRPr="00733E36">
        <w:t xml:space="preserve"> </w:t>
      </w:r>
    </w:p>
    <w:p w:rsidRPr="00733E36" w:rsidR="00463576" w:rsidP="00D87ECA" w:rsidRDefault="00463576">
      <w:pPr>
        <w:tabs>
          <w:tab w:val="left" w:pos="360"/>
        </w:tabs>
        <w:ind w:left="360" w:hanging="450"/>
        <w:jc w:val="both"/>
      </w:pPr>
      <w:r w:rsidRPr="00733E36">
        <w:t>14.</w:t>
      </w:r>
      <w:r w:rsidRPr="00733E36">
        <w:tab/>
      </w:r>
      <w:r w:rsidRPr="00733E36">
        <w:rPr>
          <w:u w:val="single"/>
        </w:rPr>
        <w:t>Estimated cost to Federal Government</w:t>
      </w:r>
      <w:r w:rsidRPr="00733E36">
        <w:t xml:space="preserve"> </w:t>
      </w:r>
      <w:r w:rsidRPr="00733E36">
        <w:noBreakHyphen/>
        <w:t xml:space="preserve"> N.A. </w:t>
      </w:r>
    </w:p>
    <w:p w:rsidRPr="00733E36" w:rsidR="00463576" w:rsidP="00D87ECA" w:rsidRDefault="00463576">
      <w:pPr>
        <w:tabs>
          <w:tab w:val="left" w:pos="360"/>
        </w:tabs>
        <w:ind w:left="360" w:hanging="450"/>
        <w:jc w:val="both"/>
      </w:pPr>
    </w:p>
    <w:p w:rsidRPr="00733E36" w:rsidR="00F14EEA" w:rsidP="00D87ECA" w:rsidRDefault="00463576">
      <w:pPr>
        <w:tabs>
          <w:tab w:val="left" w:pos="360"/>
        </w:tabs>
        <w:ind w:left="360" w:hanging="450"/>
        <w:jc w:val="both"/>
      </w:pPr>
      <w:r w:rsidRPr="00733E36">
        <w:t>15.</w:t>
      </w:r>
      <w:r w:rsidRPr="00733E36">
        <w:tab/>
      </w:r>
      <w:r w:rsidRPr="00733E36">
        <w:rPr>
          <w:u w:val="single"/>
        </w:rPr>
        <w:t>Explanation for change in burden</w:t>
      </w:r>
      <w:r w:rsidRPr="00733E36" w:rsidR="00F14EEA">
        <w:t xml:space="preserve"> </w:t>
      </w:r>
      <w:r w:rsidRPr="00733E36" w:rsidR="005600D5">
        <w:t>–</w:t>
      </w:r>
      <w:r w:rsidRPr="00733E36" w:rsidR="00063A4B">
        <w:t xml:space="preserve"> </w:t>
      </w:r>
      <w:r w:rsidRPr="00733E36" w:rsidR="005600D5">
        <w:t xml:space="preserve">N.A. </w:t>
      </w:r>
    </w:p>
    <w:p w:rsidRPr="00733E36" w:rsidR="00696FFD" w:rsidP="00D87ECA" w:rsidRDefault="00696FFD">
      <w:pPr>
        <w:tabs>
          <w:tab w:val="left" w:pos="360"/>
        </w:tabs>
        <w:ind w:left="360" w:hanging="450"/>
        <w:jc w:val="both"/>
        <w:rPr>
          <w:dstrike/>
        </w:rPr>
      </w:pPr>
    </w:p>
    <w:p w:rsidRPr="00733E36" w:rsidR="00463576" w:rsidP="00D87ECA" w:rsidRDefault="00463576">
      <w:pPr>
        <w:tabs>
          <w:tab w:val="left" w:pos="360"/>
        </w:tabs>
        <w:ind w:left="360" w:hanging="450"/>
        <w:jc w:val="both"/>
      </w:pPr>
      <w:r w:rsidRPr="00733E36">
        <w:t>16.</w:t>
      </w:r>
      <w:r w:rsidRPr="00733E36">
        <w:tab/>
      </w:r>
      <w:r w:rsidRPr="00733E36">
        <w:rPr>
          <w:u w:val="single"/>
        </w:rPr>
        <w:t>Time schedule for data collections and publications</w:t>
      </w:r>
      <w:r w:rsidRPr="00733E36">
        <w:t xml:space="preserve"> - The results of this collection </w:t>
      </w:r>
      <w:proofErr w:type="gramStart"/>
      <w:r w:rsidRPr="00733E36">
        <w:t>will not be published</w:t>
      </w:r>
      <w:proofErr w:type="gramEnd"/>
      <w:r w:rsidRPr="00733E36">
        <w:t>.</w:t>
      </w:r>
    </w:p>
    <w:p w:rsidRPr="00733E36" w:rsidR="00463576" w:rsidP="00D87ECA" w:rsidRDefault="00463576">
      <w:pPr>
        <w:tabs>
          <w:tab w:val="left" w:pos="360"/>
        </w:tabs>
        <w:ind w:left="360" w:hanging="450"/>
        <w:jc w:val="both"/>
      </w:pPr>
    </w:p>
    <w:p w:rsidRPr="00733E36" w:rsidR="001B4B22" w:rsidP="00733E36" w:rsidRDefault="00463576">
      <w:pPr>
        <w:tabs>
          <w:tab w:val="left" w:pos="360"/>
        </w:tabs>
        <w:ind w:left="360" w:hanging="450"/>
        <w:jc w:val="both"/>
      </w:pPr>
      <w:r w:rsidRPr="00733E36">
        <w:t>17.</w:t>
      </w:r>
      <w:r w:rsidRPr="00733E36">
        <w:tab/>
      </w:r>
      <w:r w:rsidRPr="00733E36">
        <w:rPr>
          <w:u w:val="single"/>
        </w:rPr>
        <w:t>Request not to display OMB expiration date</w:t>
      </w:r>
      <w:r w:rsidRPr="00733E36" w:rsidR="001B4EEA">
        <w:t xml:space="preserve"> - </w:t>
      </w:r>
      <w:r w:rsidRPr="00733E36" w:rsidR="001B4B22">
        <w:rPr>
          <w:rFonts w:cs="Arial"/>
        </w:rPr>
        <w:t>The</w:t>
      </w:r>
      <w:r w:rsidRPr="00733E36" w:rsidR="001B4B22">
        <w:rPr>
          <w:rFonts w:cs="Arial"/>
          <w:szCs w:val="22"/>
        </w:rPr>
        <w:t xml:space="preserve"> RRB started an extensive multi-year IT Modernization Initiative at the beginning of Fiscal Year 2019 to transform our operations into the 21</w:t>
      </w:r>
      <w:r w:rsidRPr="00733E36" w:rsidR="001B4B22">
        <w:rPr>
          <w:rFonts w:cs="Arial"/>
          <w:szCs w:val="22"/>
          <w:vertAlign w:val="superscript"/>
        </w:rPr>
        <w:t>st</w:t>
      </w:r>
      <w:r w:rsidRPr="00733E36" w:rsidR="001B4B22">
        <w:rPr>
          <w:rFonts w:cs="Arial"/>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Once finalized, we will provide OMB with a consolidated project timeline. </w:t>
      </w:r>
    </w:p>
    <w:p w:rsidRPr="00733E36" w:rsidR="001B4B22" w:rsidP="00733E36" w:rsidRDefault="001B4B22">
      <w:pPr>
        <w:tabs>
          <w:tab w:val="left" w:pos="-1440"/>
          <w:tab w:val="left" w:pos="540"/>
        </w:tabs>
        <w:ind w:left="360"/>
        <w:jc w:val="both"/>
        <w:rPr>
          <w:rFonts w:cs="Arial"/>
          <w:szCs w:val="22"/>
        </w:rPr>
      </w:pPr>
    </w:p>
    <w:p w:rsidRPr="00733E36" w:rsidR="001B4B22" w:rsidP="00733E36" w:rsidRDefault="001B4B22">
      <w:pPr>
        <w:tabs>
          <w:tab w:val="left" w:pos="-1440"/>
          <w:tab w:val="left" w:pos="540"/>
        </w:tabs>
        <w:ind w:left="360"/>
        <w:jc w:val="both"/>
        <w:rPr>
          <w:rFonts w:cs="Arial"/>
        </w:rPr>
      </w:pPr>
      <w:r w:rsidRPr="00733E36">
        <w:rPr>
          <w:rFonts w:cs="Arial"/>
        </w:rPr>
        <w:t xml:space="preserve">Given that the forms in this collection </w:t>
      </w:r>
      <w:proofErr w:type="gramStart"/>
      <w:r w:rsidRPr="00733E36">
        <w:rPr>
          <w:rFonts w:cs="Arial"/>
        </w:rPr>
        <w:t>are seldom revised</w:t>
      </w:r>
      <w:proofErr w:type="gramEnd"/>
      <w:r w:rsidRPr="00733E36">
        <w:rPr>
          <w:rFonts w:cs="Arial"/>
        </w:rPr>
        <w:t>; the costs associated with redrafting, reprinting, and distributing forms in order to keep the appropriate OMB expiration date in place; and our plan to reevaluate after the completion of the modernization project,</w:t>
      </w:r>
      <w:r w:rsidRPr="00733E36">
        <w:rPr>
          <w:rFonts w:cs="Arial"/>
          <w:b/>
        </w:rPr>
        <w:t xml:space="preserve"> </w:t>
      </w:r>
      <w:r w:rsidRPr="00733E36">
        <w:rPr>
          <w:rFonts w:cs="Arial"/>
          <w:b/>
          <w:u w:val="single"/>
        </w:rPr>
        <w:t>the RRB requests the authority to not display the expiration date on the forms</w:t>
      </w:r>
      <w:r w:rsidRPr="00733E36">
        <w:rPr>
          <w:rFonts w:cs="Arial"/>
        </w:rPr>
        <w:t>.</w:t>
      </w:r>
    </w:p>
    <w:p w:rsidRPr="00733E36" w:rsidR="001B4B22" w:rsidP="00D87ECA" w:rsidRDefault="001B4B22">
      <w:pPr>
        <w:tabs>
          <w:tab w:val="left" w:pos="360"/>
        </w:tabs>
        <w:ind w:left="360" w:hanging="450"/>
        <w:jc w:val="both"/>
      </w:pPr>
    </w:p>
    <w:p w:rsidRPr="002E4EB6" w:rsidR="00463576" w:rsidP="00D87ECA" w:rsidRDefault="00463576">
      <w:pPr>
        <w:tabs>
          <w:tab w:val="left" w:pos="360"/>
        </w:tabs>
        <w:ind w:left="360" w:hanging="450"/>
        <w:jc w:val="both"/>
      </w:pPr>
      <w:r w:rsidRPr="00733E36">
        <w:t>18.</w:t>
      </w:r>
      <w:r w:rsidRPr="00733E36">
        <w:tab/>
      </w:r>
      <w:r w:rsidRPr="00733E36">
        <w:rPr>
          <w:u w:val="single"/>
        </w:rPr>
        <w:t>Exceptions to Certification Statement</w:t>
      </w:r>
      <w:r w:rsidRPr="00733E36">
        <w:t xml:space="preserve"> - None</w:t>
      </w:r>
    </w:p>
    <w:sectPr w:rsidRPr="002E4EB6" w:rsidR="00463576" w:rsidSect="008A77E2">
      <w:headerReference w:type="default" r:id="rId7"/>
      <w:footerReference w:type="default" r:id="rId8"/>
      <w:pgSz w:w="12240" w:h="15840" w:code="1"/>
      <w:pgMar w:top="1440" w:right="1152" w:bottom="144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CD5" w:rsidRDefault="00A36CD5">
      <w:r>
        <w:separator/>
      </w:r>
    </w:p>
  </w:endnote>
  <w:endnote w:type="continuationSeparator" w:id="0">
    <w:p w:rsidR="00A36CD5" w:rsidRDefault="00A3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AD" w:rsidRPr="00634335" w:rsidRDefault="000159AD" w:rsidP="00634335">
    <w:pPr>
      <w:pStyle w:val="Footer"/>
      <w:jc w:val="center"/>
      <w:rPr>
        <w:rFonts w:cs="Arial"/>
        <w:szCs w:val="22"/>
      </w:rPr>
    </w:pPr>
    <w:r w:rsidRPr="00634335">
      <w:rPr>
        <w:rFonts w:cs="Arial"/>
        <w:szCs w:val="22"/>
      </w:rPr>
      <w:t xml:space="preserve">~ </w:t>
    </w:r>
    <w:r w:rsidRPr="00634335">
      <w:rPr>
        <w:rFonts w:cs="Arial"/>
        <w:szCs w:val="22"/>
      </w:rPr>
      <w:fldChar w:fldCharType="begin"/>
    </w:r>
    <w:r w:rsidRPr="00634335">
      <w:rPr>
        <w:rFonts w:cs="Arial"/>
        <w:szCs w:val="22"/>
      </w:rPr>
      <w:instrText xml:space="preserve"> PAGE    \* MERGEFORMAT </w:instrText>
    </w:r>
    <w:r w:rsidRPr="00634335">
      <w:rPr>
        <w:rFonts w:cs="Arial"/>
        <w:szCs w:val="22"/>
      </w:rPr>
      <w:fldChar w:fldCharType="separate"/>
    </w:r>
    <w:r w:rsidR="001D3340">
      <w:rPr>
        <w:rFonts w:cs="Arial"/>
        <w:noProof/>
        <w:szCs w:val="22"/>
      </w:rPr>
      <w:t>3</w:t>
    </w:r>
    <w:r w:rsidRPr="00634335">
      <w:rPr>
        <w:rFonts w:cs="Arial"/>
        <w:szCs w:val="22"/>
      </w:rPr>
      <w:fldChar w:fldCharType="end"/>
    </w:r>
    <w:r w:rsidRPr="00634335">
      <w:rPr>
        <w:rFonts w:cs="Arial"/>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CD5" w:rsidRDefault="00A36CD5">
      <w:r>
        <w:separator/>
      </w:r>
    </w:p>
  </w:footnote>
  <w:footnote w:type="continuationSeparator" w:id="0">
    <w:p w:rsidR="00A36CD5" w:rsidRDefault="00A3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AD" w:rsidRDefault="000159AD" w:rsidP="00634335">
    <w:pPr>
      <w:pStyle w:val="Header"/>
      <w:jc w:val="right"/>
      <w:rPr>
        <w:rFonts w:cs="Arial"/>
        <w:szCs w:val="22"/>
      </w:rPr>
    </w:pPr>
    <w:r w:rsidRPr="00634335">
      <w:rPr>
        <w:rFonts w:cs="Arial"/>
        <w:szCs w:val="22"/>
      </w:rPr>
      <w:t xml:space="preserve">OMB </w:t>
    </w:r>
    <w:r>
      <w:rPr>
        <w:rFonts w:cs="Arial"/>
        <w:szCs w:val="22"/>
      </w:rPr>
      <w:t xml:space="preserve">NO. </w:t>
    </w:r>
    <w:r w:rsidRPr="00634335">
      <w:rPr>
        <w:rFonts w:cs="Arial"/>
        <w:szCs w:val="22"/>
      </w:rPr>
      <w:t>3220-0169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17052"/>
    <w:multiLevelType w:val="hybridMultilevel"/>
    <w:tmpl w:val="95D47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1A1F85"/>
    <w:multiLevelType w:val="hybridMultilevel"/>
    <w:tmpl w:val="8814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D39F2"/>
    <w:multiLevelType w:val="hybridMultilevel"/>
    <w:tmpl w:val="5CA6E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D94B53"/>
    <w:multiLevelType w:val="hybridMultilevel"/>
    <w:tmpl w:val="1F345D0A"/>
    <w:lvl w:ilvl="0" w:tplc="9C1AFA44">
      <w:start w:val="1"/>
      <w:numFmt w:val="decimal"/>
      <w:lvlText w:val="%1."/>
      <w:lvlJc w:val="left"/>
      <w:pPr>
        <w:tabs>
          <w:tab w:val="num" w:pos="435"/>
        </w:tabs>
        <w:ind w:left="435" w:hanging="360"/>
      </w:pPr>
      <w:rPr>
        <w:rFonts w:hint="default"/>
        <w:b w:val="0"/>
        <w:sz w:val="22"/>
        <w:szCs w:val="22"/>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76"/>
    <w:rsid w:val="00000302"/>
    <w:rsid w:val="000159AD"/>
    <w:rsid w:val="00022E42"/>
    <w:rsid w:val="00033EFB"/>
    <w:rsid w:val="0005716B"/>
    <w:rsid w:val="00063A4B"/>
    <w:rsid w:val="00076B15"/>
    <w:rsid w:val="000C12C1"/>
    <w:rsid w:val="000C32EE"/>
    <w:rsid w:val="000F39EE"/>
    <w:rsid w:val="00121701"/>
    <w:rsid w:val="00121718"/>
    <w:rsid w:val="00124D32"/>
    <w:rsid w:val="00176FE6"/>
    <w:rsid w:val="0018327C"/>
    <w:rsid w:val="00193ED9"/>
    <w:rsid w:val="001B4B22"/>
    <w:rsid w:val="001B4EEA"/>
    <w:rsid w:val="001D3340"/>
    <w:rsid w:val="001E7132"/>
    <w:rsid w:val="001F32BF"/>
    <w:rsid w:val="002373EA"/>
    <w:rsid w:val="00243B09"/>
    <w:rsid w:val="002710AA"/>
    <w:rsid w:val="00284A9D"/>
    <w:rsid w:val="002A7444"/>
    <w:rsid w:val="002E4EB6"/>
    <w:rsid w:val="002F11B4"/>
    <w:rsid w:val="00313F5C"/>
    <w:rsid w:val="00320DCF"/>
    <w:rsid w:val="00370E5A"/>
    <w:rsid w:val="00376431"/>
    <w:rsid w:val="00376B21"/>
    <w:rsid w:val="00387022"/>
    <w:rsid w:val="003B4283"/>
    <w:rsid w:val="003C7749"/>
    <w:rsid w:val="003F4DCD"/>
    <w:rsid w:val="004024A7"/>
    <w:rsid w:val="00411585"/>
    <w:rsid w:val="00424489"/>
    <w:rsid w:val="0043186E"/>
    <w:rsid w:val="00453E66"/>
    <w:rsid w:val="00463576"/>
    <w:rsid w:val="0046619E"/>
    <w:rsid w:val="00473563"/>
    <w:rsid w:val="00483B2E"/>
    <w:rsid w:val="004C7A3C"/>
    <w:rsid w:val="004C7EA3"/>
    <w:rsid w:val="00504BE8"/>
    <w:rsid w:val="0050575C"/>
    <w:rsid w:val="005166FC"/>
    <w:rsid w:val="005314F7"/>
    <w:rsid w:val="00545004"/>
    <w:rsid w:val="005571DE"/>
    <w:rsid w:val="005600D5"/>
    <w:rsid w:val="005963BA"/>
    <w:rsid w:val="005A7399"/>
    <w:rsid w:val="005D35AA"/>
    <w:rsid w:val="005E0DFF"/>
    <w:rsid w:val="00624D31"/>
    <w:rsid w:val="00630134"/>
    <w:rsid w:val="00634335"/>
    <w:rsid w:val="006353E1"/>
    <w:rsid w:val="006528ED"/>
    <w:rsid w:val="006548AA"/>
    <w:rsid w:val="006649E3"/>
    <w:rsid w:val="006720CF"/>
    <w:rsid w:val="006846CB"/>
    <w:rsid w:val="00696FFD"/>
    <w:rsid w:val="006B4FB8"/>
    <w:rsid w:val="006B77C1"/>
    <w:rsid w:val="006D5B0A"/>
    <w:rsid w:val="006E165E"/>
    <w:rsid w:val="006E4817"/>
    <w:rsid w:val="006F1A4D"/>
    <w:rsid w:val="00714F14"/>
    <w:rsid w:val="0073143A"/>
    <w:rsid w:val="00733E36"/>
    <w:rsid w:val="007367E5"/>
    <w:rsid w:val="0073749E"/>
    <w:rsid w:val="0074060A"/>
    <w:rsid w:val="00751AEA"/>
    <w:rsid w:val="00754097"/>
    <w:rsid w:val="0076371C"/>
    <w:rsid w:val="0079247E"/>
    <w:rsid w:val="007C0A46"/>
    <w:rsid w:val="007C5B96"/>
    <w:rsid w:val="007C62E6"/>
    <w:rsid w:val="007D29B7"/>
    <w:rsid w:val="007E2B06"/>
    <w:rsid w:val="007F4002"/>
    <w:rsid w:val="00815AB9"/>
    <w:rsid w:val="00833F7E"/>
    <w:rsid w:val="00851A77"/>
    <w:rsid w:val="00891F36"/>
    <w:rsid w:val="008A12F1"/>
    <w:rsid w:val="008A77E2"/>
    <w:rsid w:val="008C32B8"/>
    <w:rsid w:val="008D34F8"/>
    <w:rsid w:val="00900C80"/>
    <w:rsid w:val="00905D1F"/>
    <w:rsid w:val="00923675"/>
    <w:rsid w:val="00935DC3"/>
    <w:rsid w:val="00977D54"/>
    <w:rsid w:val="009A4B35"/>
    <w:rsid w:val="009C4DD4"/>
    <w:rsid w:val="009D223D"/>
    <w:rsid w:val="009D3C2E"/>
    <w:rsid w:val="00A06710"/>
    <w:rsid w:val="00A26250"/>
    <w:rsid w:val="00A36CD5"/>
    <w:rsid w:val="00A9351C"/>
    <w:rsid w:val="00A936E3"/>
    <w:rsid w:val="00A94119"/>
    <w:rsid w:val="00A967FD"/>
    <w:rsid w:val="00AA1639"/>
    <w:rsid w:val="00AB05FE"/>
    <w:rsid w:val="00AC74C1"/>
    <w:rsid w:val="00B02E4A"/>
    <w:rsid w:val="00B16E3D"/>
    <w:rsid w:val="00B67539"/>
    <w:rsid w:val="00B811F9"/>
    <w:rsid w:val="00B92E4E"/>
    <w:rsid w:val="00BE395F"/>
    <w:rsid w:val="00BE565F"/>
    <w:rsid w:val="00BF3835"/>
    <w:rsid w:val="00C240E3"/>
    <w:rsid w:val="00C277A6"/>
    <w:rsid w:val="00C30D50"/>
    <w:rsid w:val="00C479C5"/>
    <w:rsid w:val="00C66DFD"/>
    <w:rsid w:val="00C82A91"/>
    <w:rsid w:val="00C83539"/>
    <w:rsid w:val="00CA3A87"/>
    <w:rsid w:val="00CC3736"/>
    <w:rsid w:val="00CE2BDB"/>
    <w:rsid w:val="00D66F1E"/>
    <w:rsid w:val="00D71CBA"/>
    <w:rsid w:val="00D847FD"/>
    <w:rsid w:val="00D87ECA"/>
    <w:rsid w:val="00D90310"/>
    <w:rsid w:val="00D93FB3"/>
    <w:rsid w:val="00DA104B"/>
    <w:rsid w:val="00DC04D4"/>
    <w:rsid w:val="00DC32F9"/>
    <w:rsid w:val="00DD0841"/>
    <w:rsid w:val="00DD1EE1"/>
    <w:rsid w:val="00DF0EDA"/>
    <w:rsid w:val="00DF6CAC"/>
    <w:rsid w:val="00E34A10"/>
    <w:rsid w:val="00E3763A"/>
    <w:rsid w:val="00E56445"/>
    <w:rsid w:val="00E60B3F"/>
    <w:rsid w:val="00E746FB"/>
    <w:rsid w:val="00E81285"/>
    <w:rsid w:val="00E9102C"/>
    <w:rsid w:val="00EC79CE"/>
    <w:rsid w:val="00EE605F"/>
    <w:rsid w:val="00F14EEA"/>
    <w:rsid w:val="00F30CA3"/>
    <w:rsid w:val="00F711EC"/>
    <w:rsid w:val="00F93684"/>
    <w:rsid w:val="00FC2B84"/>
    <w:rsid w:val="00FC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E1B6E21C-6437-4E0D-9F3C-12911B83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335"/>
    <w:pPr>
      <w:widowControl w:val="0"/>
      <w:autoSpaceDE w:val="0"/>
      <w:autoSpaceDN w:val="0"/>
      <w:adjustRightInd w:val="0"/>
    </w:pPr>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ascii="Courier" w:hAnsi="Courier"/>
      <w:sz w:val="24"/>
      <w:lang w:val="x-none" w:eastAsia="x-non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customStyle="1" w:styleId="FooterChar">
    <w:name w:val="Footer Char"/>
    <w:link w:val="Footer"/>
    <w:uiPriority w:val="99"/>
    <w:rsid w:val="00463576"/>
    <w:rPr>
      <w:rFonts w:ascii="Courier" w:hAnsi="Courier"/>
      <w:sz w:val="24"/>
      <w:szCs w:val="24"/>
    </w:rPr>
  </w:style>
  <w:style w:type="character" w:styleId="Hyperlink">
    <w:name w:val="Hyperlink"/>
    <w:rsid w:val="00B67539"/>
    <w:rPr>
      <w:color w:val="0000FF"/>
      <w:u w:val="single"/>
    </w:rPr>
  </w:style>
  <w:style w:type="character" w:customStyle="1" w:styleId="st1">
    <w:name w:val="st1"/>
    <w:basedOn w:val="DefaultParagraphFont"/>
    <w:rsid w:val="0043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9380">
      <w:bodyDiv w:val="1"/>
      <w:marLeft w:val="0"/>
      <w:marRight w:val="0"/>
      <w:marTop w:val="0"/>
      <w:marBottom w:val="0"/>
      <w:divBdr>
        <w:top w:val="none" w:sz="0" w:space="0" w:color="auto"/>
        <w:left w:val="none" w:sz="0" w:space="0" w:color="auto"/>
        <w:bottom w:val="none" w:sz="0" w:space="0" w:color="auto"/>
        <w:right w:val="none" w:sz="0" w:space="0" w:color="auto"/>
      </w:divBdr>
    </w:div>
    <w:div w:id="21341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6062</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4</cp:revision>
  <cp:lastPrinted>2019-12-23T20:54:00Z</cp:lastPrinted>
  <dcterms:created xsi:type="dcterms:W3CDTF">2020-04-17T12:22:00Z</dcterms:created>
  <dcterms:modified xsi:type="dcterms:W3CDTF">2020-04-17T12:23:00Z</dcterms:modified>
</cp:coreProperties>
</file>