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83833" w:rsidR="00394819" w:rsidRDefault="00394819">
      <w:pPr>
        <w:widowControl/>
        <w:jc w:val="center"/>
        <w:rPr>
          <w:rFonts w:ascii="Arial" w:hAnsi="Arial" w:cs="Arial"/>
          <w:sz w:val="24"/>
          <w:szCs w:val="24"/>
        </w:rPr>
      </w:pPr>
      <w:r w:rsidRPr="00583833">
        <w:rPr>
          <w:rFonts w:ascii="Arial" w:hAnsi="Arial" w:cs="Arial"/>
          <w:sz w:val="24"/>
          <w:szCs w:val="24"/>
        </w:rPr>
        <w:t>SUPPORTING STATEMENT – Part A</w:t>
      </w:r>
    </w:p>
    <w:p w:rsidRPr="00583833" w:rsidR="00394819" w:rsidRDefault="00394819">
      <w:pPr>
        <w:widowControl/>
        <w:rPr>
          <w:rFonts w:ascii="Arial" w:hAnsi="Arial" w:cs="Arial"/>
          <w:sz w:val="24"/>
          <w:szCs w:val="24"/>
        </w:rPr>
      </w:pPr>
    </w:p>
    <w:p w:rsidRPr="00583833" w:rsidR="00394819" w:rsidRDefault="00394819">
      <w:pPr>
        <w:widowControl/>
        <w:jc w:val="center"/>
        <w:rPr>
          <w:rFonts w:ascii="Arial" w:hAnsi="Arial" w:cs="Arial"/>
          <w:sz w:val="24"/>
          <w:szCs w:val="24"/>
        </w:rPr>
      </w:pPr>
      <w:r w:rsidRPr="00583833">
        <w:rPr>
          <w:rFonts w:ascii="Arial" w:hAnsi="Arial" w:cs="Arial"/>
          <w:b/>
          <w:bCs/>
          <w:sz w:val="24"/>
          <w:szCs w:val="24"/>
        </w:rPr>
        <w:t>COTTON GINNINGS</w:t>
      </w:r>
    </w:p>
    <w:p w:rsidRPr="00583833" w:rsidR="00394819" w:rsidRDefault="00394819">
      <w:pPr>
        <w:widowControl/>
        <w:rPr>
          <w:rFonts w:ascii="Arial" w:hAnsi="Arial" w:cs="Arial"/>
          <w:sz w:val="24"/>
          <w:szCs w:val="24"/>
        </w:rPr>
      </w:pPr>
    </w:p>
    <w:p w:rsidRPr="00583833" w:rsidR="00394819" w:rsidP="008A262B" w:rsidRDefault="00394819">
      <w:pPr>
        <w:widowControl/>
        <w:jc w:val="center"/>
        <w:rPr>
          <w:rFonts w:ascii="Arial" w:hAnsi="Arial" w:cs="Arial"/>
          <w:sz w:val="24"/>
          <w:szCs w:val="24"/>
        </w:rPr>
      </w:pPr>
      <w:r w:rsidRPr="00583833">
        <w:rPr>
          <w:rFonts w:ascii="Arial" w:hAnsi="Arial" w:cs="Arial"/>
          <w:sz w:val="24"/>
          <w:szCs w:val="24"/>
        </w:rPr>
        <w:t>OMB No. 0535-0220</w:t>
      </w:r>
    </w:p>
    <w:p w:rsidRPr="00583833" w:rsidR="00394819" w:rsidRDefault="00394819">
      <w:pPr>
        <w:widowControl/>
        <w:rPr>
          <w:rFonts w:ascii="Arial" w:hAnsi="Arial" w:cs="Arial"/>
          <w:sz w:val="24"/>
          <w:szCs w:val="24"/>
        </w:rPr>
      </w:pPr>
    </w:p>
    <w:p w:rsidRPr="00583833" w:rsidR="0051763F" w:rsidP="001475F6" w:rsidRDefault="0051763F">
      <w:pPr>
        <w:widowControl/>
        <w:rPr>
          <w:rFonts w:ascii="Arial" w:hAnsi="Arial" w:cs="Arial"/>
          <w:color w:val="FF0000"/>
          <w:sz w:val="24"/>
          <w:szCs w:val="24"/>
        </w:rPr>
      </w:pPr>
    </w:p>
    <w:p w:rsidRPr="00583833" w:rsidR="00394819" w:rsidRDefault="00394819">
      <w:pPr>
        <w:widowControl/>
        <w:rPr>
          <w:rFonts w:ascii="Arial" w:hAnsi="Arial" w:cs="Arial"/>
          <w:b/>
          <w:bCs/>
          <w:sz w:val="24"/>
          <w:szCs w:val="24"/>
        </w:rPr>
      </w:pPr>
      <w:r w:rsidRPr="00583833">
        <w:rPr>
          <w:rFonts w:ascii="Arial" w:hAnsi="Arial" w:cs="Arial"/>
          <w:b/>
          <w:bCs/>
          <w:sz w:val="24"/>
          <w:szCs w:val="24"/>
        </w:rPr>
        <w:t>A.</w:t>
      </w:r>
      <w:r w:rsidRPr="00583833">
        <w:rPr>
          <w:rFonts w:ascii="Arial" w:hAnsi="Arial" w:cs="Arial"/>
          <w:b/>
          <w:bCs/>
          <w:sz w:val="24"/>
          <w:szCs w:val="24"/>
        </w:rPr>
        <w:tab/>
        <w:t>JUSTIFICATION</w:t>
      </w:r>
      <w:r w:rsidR="002C1DF8">
        <w:rPr>
          <w:rFonts w:ascii="Arial" w:hAnsi="Arial" w:cs="Arial"/>
          <w:b/>
          <w:bCs/>
          <w:sz w:val="24"/>
          <w:szCs w:val="24"/>
        </w:rPr>
        <w:t xml:space="preserve"> </w:t>
      </w:r>
    </w:p>
    <w:p w:rsidRPr="00583833" w:rsidR="001B4882" w:rsidRDefault="001B4882">
      <w:pPr>
        <w:widowControl/>
        <w:rPr>
          <w:rFonts w:ascii="Arial" w:hAnsi="Arial" w:cs="Arial"/>
          <w:b/>
          <w:bCs/>
          <w:sz w:val="24"/>
          <w:szCs w:val="24"/>
        </w:rPr>
      </w:pPr>
    </w:p>
    <w:p w:rsidRPr="00583833" w:rsidR="00C60EA3" w:rsidP="00C60EA3" w:rsidRDefault="00482D34">
      <w:pPr>
        <w:widowControl/>
        <w:ind w:left="720"/>
        <w:rPr>
          <w:rFonts w:ascii="Arial" w:hAnsi="Arial" w:cs="Arial"/>
          <w:sz w:val="24"/>
          <w:szCs w:val="24"/>
        </w:rPr>
      </w:pPr>
      <w:r w:rsidRPr="00583833">
        <w:rPr>
          <w:rFonts w:ascii="Arial" w:hAnsi="Arial" w:cs="Arial"/>
          <w:bCs/>
          <w:sz w:val="24"/>
          <w:szCs w:val="24"/>
        </w:rPr>
        <w:t xml:space="preserve">This is a </w:t>
      </w:r>
      <w:r w:rsidRPr="00583833" w:rsidR="003903F9">
        <w:rPr>
          <w:rFonts w:ascii="Arial" w:hAnsi="Arial" w:cs="Arial"/>
          <w:bCs/>
          <w:sz w:val="24"/>
          <w:szCs w:val="24"/>
        </w:rPr>
        <w:t>renewal request of</w:t>
      </w:r>
      <w:r w:rsidRPr="00583833">
        <w:rPr>
          <w:rFonts w:ascii="Arial" w:hAnsi="Arial" w:cs="Arial"/>
          <w:bCs/>
          <w:sz w:val="24"/>
          <w:szCs w:val="24"/>
        </w:rPr>
        <w:t xml:space="preserve"> the Cotton </w:t>
      </w:r>
      <w:proofErr w:type="spellStart"/>
      <w:r w:rsidRPr="00583833">
        <w:rPr>
          <w:rFonts w:ascii="Arial" w:hAnsi="Arial" w:cs="Arial"/>
          <w:bCs/>
          <w:sz w:val="24"/>
          <w:szCs w:val="24"/>
        </w:rPr>
        <w:t>Ginnings</w:t>
      </w:r>
      <w:proofErr w:type="spellEnd"/>
      <w:r w:rsidRPr="00583833">
        <w:rPr>
          <w:rFonts w:ascii="Arial" w:hAnsi="Arial" w:cs="Arial"/>
          <w:bCs/>
          <w:sz w:val="24"/>
          <w:szCs w:val="24"/>
        </w:rPr>
        <w:t xml:space="preserve"> Survey</w:t>
      </w:r>
      <w:r w:rsidRPr="00583833" w:rsidR="00745D2E">
        <w:rPr>
          <w:rFonts w:ascii="Arial" w:hAnsi="Arial" w:cs="Arial"/>
          <w:bCs/>
          <w:sz w:val="24"/>
          <w:szCs w:val="24"/>
        </w:rPr>
        <w:t>s</w:t>
      </w:r>
      <w:r w:rsidRPr="00583833" w:rsidR="003903F9">
        <w:rPr>
          <w:rFonts w:ascii="Arial" w:hAnsi="Arial" w:cs="Arial"/>
          <w:bCs/>
          <w:sz w:val="24"/>
          <w:szCs w:val="24"/>
        </w:rPr>
        <w:t xml:space="preserve"> information collection</w:t>
      </w:r>
      <w:r w:rsidRPr="00583833" w:rsidR="00745D2E">
        <w:rPr>
          <w:rFonts w:ascii="Arial" w:hAnsi="Arial" w:cs="Arial"/>
          <w:bCs/>
          <w:sz w:val="24"/>
          <w:szCs w:val="24"/>
        </w:rPr>
        <w:t xml:space="preserve"> for 3 additional years.</w:t>
      </w:r>
    </w:p>
    <w:p w:rsidRPr="00583833"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b/>
          <w:bCs/>
          <w:sz w:val="24"/>
          <w:szCs w:val="24"/>
        </w:rPr>
      </w:pPr>
      <w:r w:rsidRPr="00583833">
        <w:rPr>
          <w:rFonts w:ascii="Arial" w:hAnsi="Arial" w:cs="Arial"/>
          <w:b/>
          <w:bCs/>
          <w:sz w:val="24"/>
          <w:szCs w:val="24"/>
        </w:rPr>
        <w:t>1.</w:t>
      </w:r>
      <w:r w:rsidRPr="00583833">
        <w:rPr>
          <w:rFonts w:ascii="Arial" w:hAnsi="Arial" w:cs="Arial"/>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82190" w:rsidR="00394819" w:rsidRDefault="00394819">
      <w:pPr>
        <w:widowControl/>
        <w:rPr>
          <w:rFonts w:ascii="Arial" w:hAnsi="Arial" w:cs="Arial"/>
          <w:sz w:val="24"/>
          <w:szCs w:val="24"/>
        </w:rPr>
      </w:pPr>
    </w:p>
    <w:p w:rsidRPr="00F82190" w:rsidR="008173E7" w:rsidP="008173E7" w:rsidRDefault="008173E7">
      <w:pPr>
        <w:widowControl/>
        <w:ind w:left="720"/>
        <w:rPr>
          <w:rFonts w:ascii="Arial" w:hAnsi="Arial" w:cs="Arial"/>
          <w:sz w:val="24"/>
          <w:szCs w:val="24"/>
        </w:rPr>
      </w:pPr>
      <w:r w:rsidRPr="00F82190">
        <w:rPr>
          <w:rFonts w:ascii="Arial" w:hAnsi="Arial" w:cs="Arial"/>
          <w:sz w:val="24"/>
          <w:szCs w:val="24"/>
        </w:rPr>
        <w:t>The National Agricultural Statistics Service's (NASS</w:t>
      </w:r>
      <w:r w:rsidRPr="00F82190" w:rsidR="00672CF3">
        <w:rPr>
          <w:rFonts w:ascii="Arial" w:hAnsi="Arial" w:cs="Arial"/>
          <w:sz w:val="24"/>
          <w:szCs w:val="24"/>
        </w:rPr>
        <w:t>’s</w:t>
      </w:r>
      <w:r w:rsidRPr="00F82190">
        <w:rPr>
          <w:rFonts w:ascii="Arial" w:hAnsi="Arial" w:cs="Arial"/>
          <w:sz w:val="24"/>
          <w:szCs w:val="24"/>
        </w:rPr>
        <w:t xml:space="preserve">) primary function is to prepare and issue State and national estimates of crop and livestock production, disposition, and prices, as well as specialty agricultural and environmental statistics. Agricultural statistics help maintain a stable economic atmosphere and reduce risk for production, marketing, and distribution operations. Modern agriculture increasingly calls upon NASS to supply reliable, timely, and detailed information </w:t>
      </w:r>
      <w:r w:rsidRPr="00F82190" w:rsidR="00F82190">
        <w:rPr>
          <w:rFonts w:ascii="Arial" w:hAnsi="Arial" w:cs="Arial"/>
          <w:sz w:val="24"/>
          <w:szCs w:val="24"/>
        </w:rPr>
        <w:t xml:space="preserve">through </w:t>
      </w:r>
      <w:r w:rsidRPr="00F82190">
        <w:rPr>
          <w:rFonts w:ascii="Arial" w:hAnsi="Arial" w:cs="Arial"/>
          <w:sz w:val="24"/>
          <w:szCs w:val="24"/>
        </w:rPr>
        <w:t>its commodity estimation program</w:t>
      </w:r>
      <w:r w:rsidRPr="00F82190" w:rsidR="00672CF3">
        <w:rPr>
          <w:rFonts w:ascii="Arial" w:hAnsi="Arial" w:cs="Arial"/>
          <w:sz w:val="24"/>
          <w:szCs w:val="24"/>
        </w:rPr>
        <w:t>s</w:t>
      </w:r>
      <w:r w:rsidRPr="00F82190">
        <w:rPr>
          <w:rFonts w:ascii="Arial" w:hAnsi="Arial" w:cs="Arial"/>
          <w:sz w:val="24"/>
          <w:szCs w:val="24"/>
        </w:rPr>
        <w:t>.</w:t>
      </w:r>
    </w:p>
    <w:p w:rsidRPr="00F20470" w:rsidR="008173E7" w:rsidP="008173E7" w:rsidRDefault="008173E7">
      <w:pPr>
        <w:widowControl/>
        <w:ind w:left="720"/>
        <w:rPr>
          <w:rFonts w:ascii="Arial" w:hAnsi="Arial" w:cs="Arial"/>
          <w:sz w:val="24"/>
          <w:szCs w:val="24"/>
        </w:rPr>
      </w:pPr>
    </w:p>
    <w:p w:rsidRPr="00F20470" w:rsidR="00BD3A4F" w:rsidP="002A2F25" w:rsidRDefault="00F2303C">
      <w:pPr>
        <w:widowControl/>
        <w:ind w:left="720"/>
        <w:rPr>
          <w:rFonts w:ascii="Arial" w:hAnsi="Arial" w:cs="Arial"/>
          <w:sz w:val="24"/>
          <w:szCs w:val="24"/>
        </w:rPr>
      </w:pPr>
      <w:r w:rsidRPr="00F20470">
        <w:rPr>
          <w:rFonts w:ascii="Arial" w:hAnsi="Arial" w:cs="Arial"/>
          <w:sz w:val="24"/>
          <w:szCs w:val="24"/>
        </w:rPr>
        <w:t xml:space="preserve">The cotton plant produces pods that are interspersed with fiber (also known as lint) and seeds. </w:t>
      </w:r>
      <w:r w:rsidRPr="00F20470" w:rsidR="00B3274E">
        <w:rPr>
          <w:rFonts w:ascii="Arial" w:hAnsi="Arial" w:cs="Arial"/>
          <w:sz w:val="24"/>
          <w:szCs w:val="24"/>
        </w:rPr>
        <w:t xml:space="preserve">Cotton gins </w:t>
      </w:r>
      <w:r w:rsidRPr="00F20470" w:rsidR="00BA17CC">
        <w:rPr>
          <w:rFonts w:ascii="Arial" w:hAnsi="Arial" w:cs="Arial"/>
          <w:sz w:val="24"/>
          <w:szCs w:val="24"/>
        </w:rPr>
        <w:t xml:space="preserve">are places where cotton fibers are separated from seeds and other debris. </w:t>
      </w:r>
      <w:r w:rsidRPr="00F20470">
        <w:rPr>
          <w:rFonts w:ascii="Arial" w:hAnsi="Arial" w:cs="Arial"/>
          <w:sz w:val="24"/>
          <w:szCs w:val="24"/>
        </w:rPr>
        <w:t>The ginning process produces usable fiber and cottonseed. The fiber is compressed into bales</w:t>
      </w:r>
      <w:r w:rsidRPr="00F20470" w:rsidR="00BD3A4F">
        <w:rPr>
          <w:rFonts w:ascii="Arial" w:hAnsi="Arial" w:cs="Arial"/>
          <w:sz w:val="24"/>
          <w:szCs w:val="24"/>
        </w:rPr>
        <w:t xml:space="preserve"> and a sample is taken from each bale so that experts can determine the quality. </w:t>
      </w:r>
      <w:r w:rsidRPr="00F20470" w:rsidR="00A45585">
        <w:rPr>
          <w:rFonts w:ascii="Arial" w:hAnsi="Arial" w:cs="Arial"/>
          <w:sz w:val="24"/>
          <w:szCs w:val="24"/>
        </w:rPr>
        <w:t>The result of g</w:t>
      </w:r>
      <w:r w:rsidRPr="00F20470" w:rsidR="00BA17CC">
        <w:rPr>
          <w:rFonts w:ascii="Arial" w:hAnsi="Arial" w:cs="Arial"/>
          <w:sz w:val="24"/>
          <w:szCs w:val="24"/>
        </w:rPr>
        <w:t xml:space="preserve">inning </w:t>
      </w:r>
      <w:r w:rsidRPr="00F20470" w:rsidR="00A45585">
        <w:rPr>
          <w:rFonts w:ascii="Arial" w:hAnsi="Arial" w:cs="Arial"/>
          <w:sz w:val="24"/>
          <w:szCs w:val="24"/>
        </w:rPr>
        <w:t>is in</w:t>
      </w:r>
      <w:r w:rsidRPr="00F20470" w:rsidR="00BA17CC">
        <w:rPr>
          <w:rFonts w:ascii="Arial" w:hAnsi="Arial" w:cs="Arial"/>
          <w:sz w:val="24"/>
          <w:szCs w:val="24"/>
        </w:rPr>
        <w:t>formation about how much usable fiber</w:t>
      </w:r>
      <w:r w:rsidRPr="00F20470">
        <w:rPr>
          <w:rFonts w:ascii="Arial" w:hAnsi="Arial" w:cs="Arial"/>
          <w:sz w:val="24"/>
          <w:szCs w:val="24"/>
        </w:rPr>
        <w:t xml:space="preserve"> (lint)</w:t>
      </w:r>
      <w:r w:rsidRPr="00F20470" w:rsidR="00BA17CC">
        <w:rPr>
          <w:rFonts w:ascii="Arial" w:hAnsi="Arial" w:cs="Arial"/>
          <w:sz w:val="24"/>
          <w:szCs w:val="24"/>
        </w:rPr>
        <w:t xml:space="preserve"> is produced</w:t>
      </w:r>
      <w:r w:rsidRPr="00F20470" w:rsidR="00A45585">
        <w:rPr>
          <w:rFonts w:ascii="Arial" w:hAnsi="Arial" w:cs="Arial"/>
          <w:sz w:val="24"/>
          <w:szCs w:val="24"/>
        </w:rPr>
        <w:t>, t</w:t>
      </w:r>
      <w:r w:rsidRPr="00F20470" w:rsidR="003B4E63">
        <w:rPr>
          <w:rFonts w:ascii="Arial" w:hAnsi="Arial" w:cs="Arial"/>
          <w:sz w:val="24"/>
          <w:szCs w:val="24"/>
        </w:rPr>
        <w:t>he quality of the fiber produced</w:t>
      </w:r>
      <w:r w:rsidRPr="00F20470" w:rsidR="00A45585">
        <w:rPr>
          <w:rFonts w:ascii="Arial" w:hAnsi="Arial" w:cs="Arial"/>
          <w:sz w:val="24"/>
          <w:szCs w:val="24"/>
        </w:rPr>
        <w:t xml:space="preserve">, and the amount </w:t>
      </w:r>
      <w:r w:rsidRPr="00F20470" w:rsidR="003B4E63">
        <w:rPr>
          <w:rFonts w:ascii="Arial" w:hAnsi="Arial" w:cs="Arial"/>
          <w:sz w:val="24"/>
          <w:szCs w:val="24"/>
        </w:rPr>
        <w:t xml:space="preserve">of </w:t>
      </w:r>
      <w:r w:rsidRPr="00F20470" w:rsidR="00A45585">
        <w:rPr>
          <w:rFonts w:ascii="Arial" w:hAnsi="Arial" w:cs="Arial"/>
          <w:sz w:val="24"/>
          <w:szCs w:val="24"/>
        </w:rPr>
        <w:t>usable cottonseed</w:t>
      </w:r>
      <w:r w:rsidRPr="00F20470">
        <w:rPr>
          <w:rFonts w:ascii="Arial" w:hAnsi="Arial" w:cs="Arial"/>
          <w:sz w:val="24"/>
          <w:szCs w:val="24"/>
        </w:rPr>
        <w:t>.</w:t>
      </w:r>
    </w:p>
    <w:p w:rsidRPr="00F20470" w:rsidR="00B3274E" w:rsidP="002A2F25" w:rsidRDefault="00BD3A4F">
      <w:pPr>
        <w:widowControl/>
        <w:ind w:left="720"/>
        <w:rPr>
          <w:rFonts w:ascii="Arial" w:hAnsi="Arial" w:cs="Arial"/>
          <w:sz w:val="24"/>
          <w:szCs w:val="24"/>
        </w:rPr>
      </w:pPr>
      <w:r w:rsidRPr="00F20470">
        <w:rPr>
          <w:rFonts w:ascii="Arial" w:hAnsi="Arial" w:cs="Arial"/>
          <w:sz w:val="24"/>
          <w:szCs w:val="24"/>
        </w:rPr>
        <w:t xml:space="preserve"> </w:t>
      </w:r>
    </w:p>
    <w:p w:rsidRPr="00F20470" w:rsidR="00021CDF" w:rsidP="002A2F25" w:rsidRDefault="002A2F25">
      <w:pPr>
        <w:widowControl/>
        <w:ind w:left="720"/>
        <w:rPr>
          <w:rFonts w:ascii="Arial" w:hAnsi="Arial" w:cs="Arial"/>
          <w:sz w:val="24"/>
          <w:szCs w:val="24"/>
        </w:rPr>
      </w:pPr>
      <w:r w:rsidRPr="00F20470">
        <w:rPr>
          <w:rFonts w:ascii="Arial" w:hAnsi="Arial" w:cs="Arial"/>
          <w:sz w:val="24"/>
          <w:szCs w:val="24"/>
        </w:rPr>
        <w:t>Cotton ginning statistics provide</w:t>
      </w:r>
      <w:r w:rsidRPr="00F20470" w:rsidR="00BC28A9">
        <w:rPr>
          <w:rFonts w:ascii="Arial" w:hAnsi="Arial" w:cs="Arial"/>
          <w:sz w:val="24"/>
          <w:szCs w:val="24"/>
        </w:rPr>
        <w:t>s</w:t>
      </w:r>
      <w:r w:rsidRPr="00F20470">
        <w:rPr>
          <w:rFonts w:ascii="Arial" w:hAnsi="Arial" w:cs="Arial"/>
          <w:sz w:val="24"/>
          <w:szCs w:val="24"/>
        </w:rPr>
        <w:t xml:space="preserve"> information to U.S. and international cotton industries with the only data available</w:t>
      </w:r>
      <w:r w:rsidRPr="00F20470" w:rsidR="00BD5728">
        <w:rPr>
          <w:rFonts w:ascii="Arial" w:hAnsi="Arial" w:cs="Arial"/>
          <w:sz w:val="24"/>
          <w:szCs w:val="24"/>
        </w:rPr>
        <w:t xml:space="preserve"> concerning </w:t>
      </w:r>
      <w:proofErr w:type="spellStart"/>
      <w:r w:rsidRPr="00F20470" w:rsidR="00BD5728">
        <w:rPr>
          <w:rFonts w:ascii="Arial" w:hAnsi="Arial" w:cs="Arial"/>
          <w:sz w:val="24"/>
          <w:szCs w:val="24"/>
        </w:rPr>
        <w:t>ginnings</w:t>
      </w:r>
      <w:proofErr w:type="spellEnd"/>
      <w:r w:rsidRPr="00F20470" w:rsidR="00BD5728">
        <w:rPr>
          <w:rFonts w:ascii="Arial" w:hAnsi="Arial" w:cs="Arial"/>
          <w:sz w:val="24"/>
          <w:szCs w:val="24"/>
        </w:rPr>
        <w:t xml:space="preserve"> </w:t>
      </w:r>
      <w:r w:rsidRPr="00F20470">
        <w:rPr>
          <w:rFonts w:ascii="Arial" w:hAnsi="Arial" w:cs="Arial"/>
          <w:sz w:val="24"/>
          <w:szCs w:val="24"/>
        </w:rPr>
        <w:t>by district</w:t>
      </w:r>
      <w:r w:rsidRPr="00F20470" w:rsidR="00BD5728">
        <w:rPr>
          <w:rFonts w:ascii="Arial" w:hAnsi="Arial" w:cs="Arial"/>
          <w:sz w:val="24"/>
          <w:szCs w:val="24"/>
        </w:rPr>
        <w:t xml:space="preserve"> </w:t>
      </w:r>
      <w:r w:rsidRPr="00F20470">
        <w:rPr>
          <w:rFonts w:ascii="Arial" w:hAnsi="Arial" w:cs="Arial"/>
          <w:sz w:val="24"/>
          <w:szCs w:val="24"/>
        </w:rPr>
        <w:t>and by county. These data provide all segments of the cotton industry (buyers, brokers, shippers, textile firms, and researchers) with quantities</w:t>
      </w:r>
      <w:r w:rsidRPr="00F20470" w:rsidR="000B1263">
        <w:rPr>
          <w:rFonts w:ascii="Arial" w:hAnsi="Arial" w:cs="Arial"/>
          <w:sz w:val="24"/>
          <w:szCs w:val="24"/>
        </w:rPr>
        <w:t xml:space="preserve"> </w:t>
      </w:r>
      <w:r w:rsidRPr="00F20470">
        <w:rPr>
          <w:rFonts w:ascii="Arial" w:hAnsi="Arial" w:cs="Arial"/>
          <w:sz w:val="24"/>
          <w:szCs w:val="24"/>
        </w:rPr>
        <w:t xml:space="preserve">of baled cotton that are available by specific geographic areas within the U.S. on a regular and recurring basis. </w:t>
      </w:r>
      <w:r w:rsidRPr="00F20470" w:rsidR="009774D1">
        <w:rPr>
          <w:rFonts w:ascii="Arial" w:hAnsi="Arial" w:cs="Arial"/>
          <w:sz w:val="24"/>
          <w:szCs w:val="24"/>
        </w:rPr>
        <w:t>Ideally, when all participants in an industry are equally informed, no one is at a disadvantage due to uncertainty.</w:t>
      </w:r>
    </w:p>
    <w:p w:rsidRPr="00F20470" w:rsidR="009540B7" w:rsidRDefault="009540B7">
      <w:pPr>
        <w:widowControl/>
        <w:ind w:left="720"/>
        <w:rPr>
          <w:rFonts w:ascii="Arial" w:hAnsi="Arial" w:cs="Arial"/>
          <w:sz w:val="24"/>
          <w:szCs w:val="24"/>
        </w:rPr>
      </w:pPr>
    </w:p>
    <w:p w:rsidRPr="00F20470" w:rsidR="00944ED0" w:rsidP="00944ED0" w:rsidRDefault="00944ED0">
      <w:pPr>
        <w:widowControl/>
        <w:ind w:left="720"/>
        <w:rPr>
          <w:rFonts w:ascii="Arial" w:hAnsi="Arial" w:cs="Arial"/>
          <w:sz w:val="24"/>
          <w:szCs w:val="24"/>
        </w:rPr>
      </w:pPr>
      <w:r w:rsidRPr="00F20470">
        <w:rPr>
          <w:rFonts w:ascii="Arial" w:hAnsi="Arial" w:cs="Arial"/>
          <w:sz w:val="24"/>
          <w:szCs w:val="24"/>
        </w:rPr>
        <w:t xml:space="preserve">The Cotton </w:t>
      </w:r>
      <w:proofErr w:type="spellStart"/>
      <w:r w:rsidRPr="00F20470">
        <w:rPr>
          <w:rFonts w:ascii="Arial" w:hAnsi="Arial" w:cs="Arial"/>
          <w:sz w:val="24"/>
          <w:szCs w:val="24"/>
        </w:rPr>
        <w:t>Ginnings</w:t>
      </w:r>
      <w:proofErr w:type="spellEnd"/>
      <w:r w:rsidRPr="00F20470">
        <w:rPr>
          <w:rFonts w:ascii="Arial" w:hAnsi="Arial" w:cs="Arial"/>
          <w:sz w:val="24"/>
          <w:szCs w:val="24"/>
        </w:rPr>
        <w:t xml:space="preserve"> survey obtains data mandated by Title 13, Section 42 U.S.C. to provide all segments of the cotton industry (producers, buyers, brokers, shippers, textile firms, and researchers) with quantities of baled cotton that are </w:t>
      </w:r>
      <w:r w:rsidRPr="00F20470">
        <w:rPr>
          <w:rFonts w:ascii="Arial" w:hAnsi="Arial" w:cs="Arial"/>
          <w:sz w:val="24"/>
          <w:szCs w:val="24"/>
        </w:rPr>
        <w:lastRenderedPageBreak/>
        <w:t xml:space="preserve">available by specific geographic areas within the U.S. on a regular and reoccurring basis. </w:t>
      </w:r>
    </w:p>
    <w:p w:rsidRPr="00F20470" w:rsidR="00944ED0" w:rsidRDefault="00944ED0">
      <w:pPr>
        <w:widowControl/>
        <w:ind w:left="720"/>
        <w:rPr>
          <w:rFonts w:ascii="Arial" w:hAnsi="Arial" w:cs="Arial"/>
          <w:sz w:val="24"/>
          <w:szCs w:val="24"/>
        </w:rPr>
      </w:pPr>
    </w:p>
    <w:p w:rsidRPr="00F20470" w:rsidR="00394819" w:rsidRDefault="00394819">
      <w:pPr>
        <w:widowControl/>
        <w:ind w:left="720"/>
        <w:rPr>
          <w:rFonts w:ascii="Arial" w:hAnsi="Arial" w:cs="Arial"/>
          <w:sz w:val="24"/>
          <w:szCs w:val="24"/>
        </w:rPr>
      </w:pPr>
      <w:r w:rsidRPr="00F20470">
        <w:rPr>
          <w:rFonts w:ascii="Arial" w:hAnsi="Arial" w:cs="Arial"/>
          <w:sz w:val="24"/>
          <w:szCs w:val="24"/>
        </w:rPr>
        <w:t>General authority for these data collection activities is granted under U.S. Code Title 7, Section 2204</w:t>
      </w:r>
      <w:r w:rsidRPr="00F20470" w:rsidR="00F72534">
        <w:rPr>
          <w:rFonts w:ascii="Arial" w:hAnsi="Arial" w:cs="Arial"/>
          <w:sz w:val="24"/>
          <w:szCs w:val="24"/>
        </w:rPr>
        <w:t>.</w:t>
      </w:r>
      <w:r w:rsidRPr="00F20470" w:rsidR="00F82190">
        <w:rPr>
          <w:rFonts w:ascii="Arial" w:hAnsi="Arial" w:cs="Arial"/>
          <w:sz w:val="24"/>
          <w:szCs w:val="24"/>
        </w:rPr>
        <w:t xml:space="preserve"> </w:t>
      </w:r>
      <w:r w:rsidRPr="00F20470" w:rsidR="00F72534">
        <w:rPr>
          <w:rFonts w:ascii="Arial" w:hAnsi="Arial" w:cs="Arial"/>
          <w:sz w:val="24"/>
          <w:szCs w:val="24"/>
        </w:rPr>
        <w:t>This statute specifies that “The Secretary of Agriculture shall procure and preserve all information concerning agriculture which he can obtain ... by the collection of statistics ... and shall distribute them among agriculturists.”</w:t>
      </w:r>
    </w:p>
    <w:p w:rsidRPr="00F20470"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2.</w:t>
      </w:r>
      <w:r w:rsidRPr="00583833">
        <w:rPr>
          <w:rFonts w:ascii="Arial" w:hAnsi="Arial" w:cs="Arial"/>
          <w:b/>
          <w:bCs/>
          <w:sz w:val="24"/>
          <w:szCs w:val="24"/>
        </w:rPr>
        <w:tab/>
        <w:t>Indicate how, by whom, and for what purpose the information is to be used.</w:t>
      </w:r>
      <w:r w:rsidR="00F82190">
        <w:rPr>
          <w:rFonts w:ascii="Arial" w:hAnsi="Arial" w:cs="Arial"/>
          <w:b/>
          <w:bCs/>
          <w:sz w:val="24"/>
          <w:szCs w:val="24"/>
        </w:rPr>
        <w:t xml:space="preserve"> </w:t>
      </w:r>
      <w:r w:rsidRPr="00583833">
        <w:rPr>
          <w:rFonts w:ascii="Arial" w:hAnsi="Arial" w:cs="Arial"/>
          <w:b/>
          <w:bCs/>
          <w:sz w:val="24"/>
          <w:szCs w:val="24"/>
        </w:rPr>
        <w:t>Except for a new collection, indicate the actual use the agency has made of the information received from the current collection.</w:t>
      </w:r>
    </w:p>
    <w:p w:rsidRPr="00211B75" w:rsidR="00394819" w:rsidRDefault="00394819">
      <w:pPr>
        <w:widowControl/>
        <w:rPr>
          <w:rFonts w:ascii="Arial" w:hAnsi="Arial" w:cs="Arial"/>
          <w:sz w:val="24"/>
          <w:szCs w:val="24"/>
        </w:rPr>
      </w:pPr>
    </w:p>
    <w:p w:rsidRPr="00211B75" w:rsidR="008D350D" w:rsidP="003962BC" w:rsidRDefault="00407EC7">
      <w:pPr>
        <w:widowControl/>
        <w:ind w:left="720"/>
        <w:rPr>
          <w:rFonts w:ascii="Arial" w:hAnsi="Arial" w:cs="Arial"/>
          <w:sz w:val="24"/>
          <w:szCs w:val="24"/>
        </w:rPr>
      </w:pPr>
      <w:r w:rsidRPr="00211B75">
        <w:rPr>
          <w:rFonts w:ascii="Arial" w:hAnsi="Arial" w:cs="Arial"/>
          <w:sz w:val="24"/>
          <w:szCs w:val="24"/>
        </w:rPr>
        <w:t xml:space="preserve">The majority of data are collected </w:t>
      </w:r>
      <w:r w:rsidRPr="00211B75" w:rsidR="008D350D">
        <w:rPr>
          <w:rFonts w:ascii="Arial" w:hAnsi="Arial" w:cs="Arial"/>
          <w:sz w:val="24"/>
          <w:szCs w:val="24"/>
        </w:rPr>
        <w:t>by</w:t>
      </w:r>
      <w:r w:rsidRPr="00211B75">
        <w:rPr>
          <w:rFonts w:ascii="Arial" w:hAnsi="Arial" w:cs="Arial"/>
          <w:sz w:val="24"/>
          <w:szCs w:val="24"/>
        </w:rPr>
        <w:t xml:space="preserve"> telephone, mail, and fax.</w:t>
      </w:r>
      <w:r w:rsidRPr="00211B75" w:rsidR="003E65A6">
        <w:rPr>
          <w:rFonts w:ascii="Arial" w:hAnsi="Arial" w:cs="Arial"/>
          <w:sz w:val="24"/>
          <w:szCs w:val="24"/>
        </w:rPr>
        <w:t xml:space="preserve"> </w:t>
      </w:r>
      <w:r w:rsidRPr="00211B75" w:rsidR="00944ED0">
        <w:rPr>
          <w:rFonts w:ascii="Arial" w:hAnsi="Arial" w:cs="Arial"/>
          <w:sz w:val="24"/>
          <w:szCs w:val="24"/>
        </w:rPr>
        <w:t xml:space="preserve">All active gins for a given crop season are included in the survey. This includes gins in all 17 cotton producing states. </w:t>
      </w:r>
      <w:r w:rsidRPr="00211B75" w:rsidR="003962BC">
        <w:rPr>
          <w:rFonts w:ascii="Arial" w:hAnsi="Arial" w:cs="Arial"/>
          <w:sz w:val="24"/>
          <w:szCs w:val="24"/>
        </w:rPr>
        <w:t xml:space="preserve">The survey </w:t>
      </w:r>
      <w:r w:rsidRPr="00211B75" w:rsidR="008D350D">
        <w:rPr>
          <w:rFonts w:ascii="Arial" w:hAnsi="Arial" w:cs="Arial"/>
          <w:sz w:val="24"/>
          <w:szCs w:val="24"/>
        </w:rPr>
        <w:t>begins on August 1</w:t>
      </w:r>
      <w:r w:rsidRPr="00211B75" w:rsidR="008D350D">
        <w:rPr>
          <w:rFonts w:ascii="Arial" w:hAnsi="Arial" w:cs="Arial"/>
          <w:sz w:val="24"/>
          <w:szCs w:val="24"/>
          <w:vertAlign w:val="superscript"/>
        </w:rPr>
        <w:t>st</w:t>
      </w:r>
      <w:r w:rsidRPr="00211B75" w:rsidR="008D350D">
        <w:rPr>
          <w:rFonts w:ascii="Arial" w:hAnsi="Arial" w:cs="Arial"/>
          <w:sz w:val="24"/>
          <w:szCs w:val="24"/>
        </w:rPr>
        <w:t xml:space="preserve"> for the current production year. The sample size increases as the amount of cotton harvested and ginned increases. The peak number </w:t>
      </w:r>
      <w:r w:rsidRPr="00211B75" w:rsidR="00433FBD">
        <w:rPr>
          <w:rFonts w:ascii="Arial" w:hAnsi="Arial" w:cs="Arial"/>
          <w:sz w:val="24"/>
          <w:szCs w:val="24"/>
        </w:rPr>
        <w:t>of gins that are surveyed will occur in November.</w:t>
      </w:r>
      <w:r w:rsidRPr="00211B75" w:rsidR="00F82190">
        <w:rPr>
          <w:rFonts w:ascii="Arial" w:hAnsi="Arial" w:cs="Arial"/>
          <w:sz w:val="24"/>
          <w:szCs w:val="24"/>
        </w:rPr>
        <w:t xml:space="preserve"> </w:t>
      </w:r>
      <w:r w:rsidRPr="00211B75" w:rsidR="00433FBD">
        <w:rPr>
          <w:rFonts w:ascii="Arial" w:hAnsi="Arial" w:cs="Arial"/>
          <w:sz w:val="24"/>
          <w:szCs w:val="24"/>
        </w:rPr>
        <w:t xml:space="preserve">The sample size will decline after that to coincide with the completion of harvesting and ginning in some States. The “End of Season” questionnaire is sent to each gin as they complete their ginning for the year, the summarized end of season data will be published in May. </w:t>
      </w:r>
    </w:p>
    <w:p w:rsidRPr="00211B75" w:rsidR="008D350D" w:rsidP="003962BC" w:rsidRDefault="008D350D">
      <w:pPr>
        <w:widowControl/>
        <w:ind w:left="720"/>
        <w:rPr>
          <w:rFonts w:ascii="Arial" w:hAnsi="Arial" w:cs="Arial"/>
          <w:sz w:val="24"/>
          <w:szCs w:val="24"/>
        </w:rPr>
      </w:pPr>
    </w:p>
    <w:p w:rsidRPr="00211B75" w:rsidR="00B20242" w:rsidP="00B20242" w:rsidRDefault="00BC3A4E">
      <w:pPr>
        <w:widowControl/>
        <w:ind w:left="720"/>
        <w:rPr>
          <w:rFonts w:ascii="Arial" w:hAnsi="Arial" w:cs="Arial"/>
          <w:sz w:val="24"/>
          <w:szCs w:val="24"/>
        </w:rPr>
      </w:pPr>
      <w:r w:rsidRPr="00211B75">
        <w:rPr>
          <w:rFonts w:ascii="Arial" w:hAnsi="Arial" w:cs="Arial"/>
          <w:sz w:val="24"/>
          <w:szCs w:val="24"/>
        </w:rPr>
        <w:t xml:space="preserve">On the </w:t>
      </w:r>
      <w:r w:rsidRPr="00211B75">
        <w:rPr>
          <w:rFonts w:ascii="Arial" w:hAnsi="Arial" w:cs="Arial"/>
          <w:sz w:val="24"/>
          <w:szCs w:val="24"/>
          <w:u w:val="single"/>
        </w:rPr>
        <w:t>in-season</w:t>
      </w:r>
      <w:r w:rsidRPr="00211B75">
        <w:rPr>
          <w:rFonts w:ascii="Arial" w:hAnsi="Arial" w:cs="Arial"/>
          <w:sz w:val="24"/>
          <w:szCs w:val="24"/>
        </w:rPr>
        <w:t xml:space="preserve"> questionnaires, </w:t>
      </w:r>
      <w:r w:rsidRPr="00211B75" w:rsidR="00B20242">
        <w:rPr>
          <w:rFonts w:ascii="Arial" w:hAnsi="Arial" w:cs="Arial"/>
          <w:sz w:val="24"/>
          <w:szCs w:val="24"/>
        </w:rPr>
        <w:t>Gins provide the number of bales ginned to date and an estimate of how many more they expect to gin during the season.</w:t>
      </w:r>
      <w:r w:rsidRPr="00211B75" w:rsidR="00B47714">
        <w:rPr>
          <w:rFonts w:ascii="Arial" w:hAnsi="Arial" w:cs="Arial"/>
          <w:sz w:val="24"/>
          <w:szCs w:val="24"/>
        </w:rPr>
        <w:t xml:space="preserve"> These questions are asked on the first and fifteenth day of each month as displayed in the table in item 12 below.</w:t>
      </w:r>
      <w:r w:rsidRPr="00211B75" w:rsidR="00F82190">
        <w:rPr>
          <w:rFonts w:ascii="Arial" w:hAnsi="Arial" w:cs="Arial"/>
          <w:sz w:val="24"/>
          <w:szCs w:val="24"/>
        </w:rPr>
        <w:t xml:space="preserve"> </w:t>
      </w:r>
      <w:r w:rsidRPr="00211B75" w:rsidR="00B20242">
        <w:rPr>
          <w:rFonts w:ascii="Arial" w:hAnsi="Arial" w:cs="Arial"/>
          <w:sz w:val="24"/>
          <w:szCs w:val="24"/>
        </w:rPr>
        <w:t>Gins also report the average price</w:t>
      </w:r>
      <w:r w:rsidRPr="00211B75" w:rsidR="00B47714">
        <w:rPr>
          <w:rFonts w:ascii="Arial" w:hAnsi="Arial" w:cs="Arial"/>
          <w:sz w:val="24"/>
          <w:szCs w:val="24"/>
        </w:rPr>
        <w:t>s</w:t>
      </w:r>
      <w:r w:rsidRPr="00211B75" w:rsidR="00B20242">
        <w:rPr>
          <w:rFonts w:ascii="Arial" w:hAnsi="Arial" w:cs="Arial"/>
          <w:sz w:val="24"/>
          <w:szCs w:val="24"/>
        </w:rPr>
        <w:t xml:space="preserve"> paid to producers for cottonseed</w:t>
      </w:r>
      <w:r w:rsidRPr="00211B75" w:rsidR="00957A18">
        <w:rPr>
          <w:rFonts w:ascii="Arial" w:hAnsi="Arial" w:cs="Arial"/>
          <w:sz w:val="24"/>
          <w:szCs w:val="24"/>
        </w:rPr>
        <w:t xml:space="preserve"> </w:t>
      </w:r>
      <w:r w:rsidRPr="00211B75" w:rsidR="00B47714">
        <w:rPr>
          <w:rFonts w:ascii="Arial" w:hAnsi="Arial" w:cs="Arial"/>
          <w:sz w:val="24"/>
          <w:szCs w:val="24"/>
        </w:rPr>
        <w:t>from</w:t>
      </w:r>
      <w:r w:rsidRPr="00211B75" w:rsidR="004226E3">
        <w:rPr>
          <w:rFonts w:ascii="Arial" w:hAnsi="Arial" w:cs="Arial"/>
          <w:sz w:val="24"/>
          <w:szCs w:val="24"/>
        </w:rPr>
        <w:t xml:space="preserve"> August</w:t>
      </w:r>
      <w:r w:rsidRPr="00211B75" w:rsidR="00B47714">
        <w:rPr>
          <w:rFonts w:ascii="Arial" w:hAnsi="Arial" w:cs="Arial"/>
          <w:sz w:val="24"/>
          <w:szCs w:val="24"/>
        </w:rPr>
        <w:t xml:space="preserve"> through March</w:t>
      </w:r>
      <w:r w:rsidRPr="00211B75" w:rsidR="00F73C9F">
        <w:rPr>
          <w:rFonts w:ascii="Arial" w:hAnsi="Arial" w:cs="Arial"/>
          <w:sz w:val="24"/>
          <w:szCs w:val="24"/>
        </w:rPr>
        <w:t xml:space="preserve"> on the first of each month questionnaire</w:t>
      </w:r>
      <w:r w:rsidRPr="00211B75" w:rsidR="00B47714">
        <w:rPr>
          <w:rFonts w:ascii="Arial" w:hAnsi="Arial" w:cs="Arial"/>
          <w:sz w:val="24"/>
          <w:szCs w:val="24"/>
        </w:rPr>
        <w:t xml:space="preserve">. In four States (AZ, CA, NM, and TX) the data is collected for both Upland Cotton and American Pima Cotton. In the remaining </w:t>
      </w:r>
      <w:r w:rsidRPr="00211B75" w:rsidR="00B90742">
        <w:rPr>
          <w:rFonts w:ascii="Arial" w:hAnsi="Arial" w:cs="Arial"/>
          <w:sz w:val="24"/>
          <w:szCs w:val="24"/>
        </w:rPr>
        <w:t>States (AL, AR, FL, GA, KS, LA, MS, MO, NC, OK, SC, TN, and VA) data is collected only for American Pima Cotton.</w:t>
      </w:r>
      <w:r w:rsidRPr="00211B75" w:rsidR="00B20242">
        <w:rPr>
          <w:rFonts w:ascii="Arial" w:hAnsi="Arial" w:cs="Arial"/>
          <w:sz w:val="24"/>
          <w:szCs w:val="24"/>
        </w:rPr>
        <w:t xml:space="preserve"> </w:t>
      </w:r>
    </w:p>
    <w:p w:rsidRPr="00211B75" w:rsidR="00BC3A4E" w:rsidP="00B20242" w:rsidRDefault="00BC3A4E">
      <w:pPr>
        <w:widowControl/>
        <w:ind w:left="720"/>
        <w:rPr>
          <w:rFonts w:ascii="Arial" w:hAnsi="Arial" w:cs="Arial"/>
          <w:sz w:val="24"/>
          <w:szCs w:val="24"/>
        </w:rPr>
      </w:pPr>
    </w:p>
    <w:p w:rsidRPr="00211B75" w:rsidR="00B20242" w:rsidP="00B20242" w:rsidRDefault="00B20242">
      <w:pPr>
        <w:widowControl/>
        <w:ind w:left="720"/>
        <w:rPr>
          <w:rFonts w:ascii="Arial" w:hAnsi="Arial" w:cs="Arial"/>
          <w:sz w:val="24"/>
          <w:szCs w:val="24"/>
        </w:rPr>
      </w:pPr>
      <w:r w:rsidRPr="00211B75">
        <w:rPr>
          <w:rFonts w:ascii="Arial" w:hAnsi="Arial" w:cs="Arial"/>
          <w:sz w:val="24"/>
          <w:szCs w:val="24"/>
        </w:rPr>
        <w:t xml:space="preserve">On the </w:t>
      </w:r>
      <w:r w:rsidRPr="00211B75">
        <w:rPr>
          <w:rFonts w:ascii="Arial" w:hAnsi="Arial" w:cs="Arial"/>
          <w:sz w:val="24"/>
          <w:szCs w:val="24"/>
          <w:u w:val="single"/>
        </w:rPr>
        <w:t>end-of-season</w:t>
      </w:r>
      <w:r w:rsidRPr="00211B75">
        <w:rPr>
          <w:rFonts w:ascii="Arial" w:hAnsi="Arial" w:cs="Arial"/>
          <w:sz w:val="24"/>
          <w:szCs w:val="24"/>
        </w:rPr>
        <w:t xml:space="preserve"> questionnaire, the gins report total pounds of lint cotton produced from the bales ginned, the average weight per bale, and how many </w:t>
      </w:r>
      <w:r w:rsidRPr="00211B75" w:rsidR="00F73C9F">
        <w:rPr>
          <w:rFonts w:ascii="Arial" w:hAnsi="Arial" w:cs="Arial"/>
          <w:sz w:val="24"/>
          <w:szCs w:val="24"/>
        </w:rPr>
        <w:t>ginning plants (</w:t>
      </w:r>
      <w:r w:rsidRPr="00211B75">
        <w:rPr>
          <w:rFonts w:ascii="Arial" w:hAnsi="Arial" w:cs="Arial"/>
          <w:sz w:val="24"/>
          <w:szCs w:val="24"/>
        </w:rPr>
        <w:t>saw and roller</w:t>
      </w:r>
      <w:r w:rsidRPr="00211B75" w:rsidR="00F73C9F">
        <w:rPr>
          <w:rFonts w:ascii="Arial" w:hAnsi="Arial" w:cs="Arial"/>
          <w:sz w:val="24"/>
          <w:szCs w:val="24"/>
        </w:rPr>
        <w:t>)</w:t>
      </w:r>
      <w:r w:rsidRPr="00211B75">
        <w:rPr>
          <w:rFonts w:ascii="Arial" w:hAnsi="Arial" w:cs="Arial"/>
          <w:sz w:val="24"/>
          <w:szCs w:val="24"/>
        </w:rPr>
        <w:t xml:space="preserve"> they operated during the season</w:t>
      </w:r>
      <w:r w:rsidRPr="00211B75" w:rsidR="00F73C9F">
        <w:rPr>
          <w:rFonts w:ascii="Arial" w:hAnsi="Arial" w:cs="Arial"/>
          <w:sz w:val="24"/>
          <w:szCs w:val="24"/>
        </w:rPr>
        <w:t>, for both Upland Cotton and American Pima Cotton</w:t>
      </w:r>
      <w:r w:rsidRPr="00211B75">
        <w:rPr>
          <w:rFonts w:ascii="Arial" w:hAnsi="Arial" w:cs="Arial"/>
          <w:sz w:val="24"/>
          <w:szCs w:val="24"/>
        </w:rPr>
        <w:t xml:space="preserve">. </w:t>
      </w:r>
      <w:r w:rsidRPr="00211B75" w:rsidR="009F4E3E">
        <w:rPr>
          <w:rFonts w:ascii="Arial" w:hAnsi="Arial" w:cs="Arial"/>
          <w:sz w:val="24"/>
          <w:szCs w:val="24"/>
        </w:rPr>
        <w:t>G</w:t>
      </w:r>
      <w:r w:rsidRPr="00211B75">
        <w:rPr>
          <w:rFonts w:ascii="Arial" w:hAnsi="Arial" w:cs="Arial"/>
          <w:sz w:val="24"/>
          <w:szCs w:val="24"/>
        </w:rPr>
        <w:t xml:space="preserve">ins </w:t>
      </w:r>
      <w:r w:rsidRPr="00211B75" w:rsidR="00BC3A4E">
        <w:rPr>
          <w:rFonts w:ascii="Arial" w:hAnsi="Arial" w:cs="Arial"/>
          <w:sz w:val="24"/>
          <w:szCs w:val="24"/>
        </w:rPr>
        <w:t>are</w:t>
      </w:r>
      <w:r w:rsidRPr="00211B75" w:rsidR="009F4E3E">
        <w:rPr>
          <w:rFonts w:ascii="Arial" w:hAnsi="Arial" w:cs="Arial"/>
          <w:sz w:val="24"/>
          <w:szCs w:val="24"/>
        </w:rPr>
        <w:t xml:space="preserve"> also</w:t>
      </w:r>
      <w:r w:rsidRPr="00211B75">
        <w:rPr>
          <w:rFonts w:ascii="Arial" w:hAnsi="Arial" w:cs="Arial"/>
          <w:sz w:val="24"/>
          <w:szCs w:val="24"/>
        </w:rPr>
        <w:t xml:space="preserve"> asked to report total pounds of cottonseed derived from the bales ginned, how many pounds of cottonseed were or will be delivered to oil mills, or how many were used for feed, seed, or other uses.</w:t>
      </w:r>
      <w:r w:rsidRPr="00211B75" w:rsidR="00B33018">
        <w:rPr>
          <w:rFonts w:ascii="Arial" w:hAnsi="Arial" w:cs="Arial"/>
          <w:sz w:val="24"/>
          <w:szCs w:val="24"/>
        </w:rPr>
        <w:t xml:space="preserve"> Gins also provide production data by county for which it was grown.</w:t>
      </w:r>
      <w:r w:rsidRPr="00211B75" w:rsidR="00F82190">
        <w:rPr>
          <w:rFonts w:ascii="Arial" w:hAnsi="Arial" w:cs="Arial"/>
          <w:sz w:val="24"/>
          <w:szCs w:val="24"/>
        </w:rPr>
        <w:t xml:space="preserve"> </w:t>
      </w:r>
    </w:p>
    <w:p w:rsidRPr="00211B75" w:rsidR="009262C0" w:rsidP="00B55E5F" w:rsidRDefault="009262C0">
      <w:pPr>
        <w:widowControl/>
        <w:ind w:left="720"/>
        <w:rPr>
          <w:rFonts w:ascii="Arial" w:hAnsi="Arial" w:cs="Arial"/>
          <w:i/>
          <w:sz w:val="24"/>
          <w:szCs w:val="24"/>
        </w:rPr>
      </w:pPr>
    </w:p>
    <w:p w:rsidRPr="00211B75" w:rsidR="00306B79" w:rsidP="00306B79" w:rsidRDefault="00C86082">
      <w:pPr>
        <w:widowControl/>
        <w:ind w:left="720"/>
        <w:rPr>
          <w:rFonts w:ascii="Arial" w:hAnsi="Arial" w:cs="Arial"/>
          <w:sz w:val="24"/>
          <w:szCs w:val="24"/>
        </w:rPr>
      </w:pPr>
      <w:r w:rsidRPr="00211B75">
        <w:rPr>
          <w:rFonts w:ascii="Arial" w:hAnsi="Arial" w:cs="Arial"/>
          <w:sz w:val="24"/>
          <w:szCs w:val="24"/>
        </w:rPr>
        <w:t>NASS uses these data as an aid in forecasting cotton production</w:t>
      </w:r>
      <w:r w:rsidRPr="00211B75" w:rsidR="00306B79">
        <w:rPr>
          <w:rFonts w:ascii="Arial" w:hAnsi="Arial" w:cs="Arial"/>
          <w:sz w:val="24"/>
          <w:szCs w:val="24"/>
        </w:rPr>
        <w:t xml:space="preserve"> and considers the </w:t>
      </w:r>
      <w:r w:rsidRPr="00211B75" w:rsidR="00B33018">
        <w:rPr>
          <w:rFonts w:ascii="Arial" w:hAnsi="Arial" w:cs="Arial"/>
          <w:sz w:val="24"/>
          <w:szCs w:val="24"/>
        </w:rPr>
        <w:t>September</w:t>
      </w:r>
      <w:r w:rsidRPr="00211B75" w:rsidR="00306B79">
        <w:rPr>
          <w:rFonts w:ascii="Arial" w:hAnsi="Arial" w:cs="Arial"/>
          <w:sz w:val="24"/>
          <w:szCs w:val="24"/>
        </w:rPr>
        <w:t xml:space="preserve"> through January </w:t>
      </w:r>
      <w:proofErr w:type="spellStart"/>
      <w:r w:rsidRPr="00211B75" w:rsidR="00306B79">
        <w:rPr>
          <w:rFonts w:ascii="Arial" w:hAnsi="Arial" w:cs="Arial"/>
          <w:sz w:val="24"/>
          <w:szCs w:val="24"/>
        </w:rPr>
        <w:t>ginnings</w:t>
      </w:r>
      <w:proofErr w:type="spellEnd"/>
      <w:r w:rsidRPr="00211B75" w:rsidR="00306B79">
        <w:rPr>
          <w:rFonts w:ascii="Arial" w:hAnsi="Arial" w:cs="Arial"/>
          <w:sz w:val="24"/>
          <w:szCs w:val="24"/>
        </w:rPr>
        <w:t xml:space="preserve"> data vital to forecast production</w:t>
      </w:r>
      <w:r w:rsidRPr="00211B75">
        <w:rPr>
          <w:rFonts w:ascii="Arial" w:hAnsi="Arial" w:cs="Arial"/>
          <w:sz w:val="24"/>
          <w:szCs w:val="24"/>
        </w:rPr>
        <w:t>.</w:t>
      </w:r>
      <w:r w:rsidRPr="00211B75" w:rsidR="00F82190">
        <w:rPr>
          <w:rFonts w:ascii="Arial" w:hAnsi="Arial" w:cs="Arial"/>
          <w:sz w:val="24"/>
          <w:szCs w:val="24"/>
        </w:rPr>
        <w:t xml:space="preserve"> </w:t>
      </w:r>
      <w:r w:rsidRPr="00211B75" w:rsidR="00647C67">
        <w:rPr>
          <w:rFonts w:ascii="Arial" w:hAnsi="Arial" w:cs="Arial"/>
          <w:sz w:val="24"/>
          <w:szCs w:val="24"/>
        </w:rPr>
        <w:t>The "ginned to date" and "to be ginned" data are essential components of the production forecasts after harvest begins.</w:t>
      </w:r>
      <w:r w:rsidRPr="00211B75" w:rsidR="00F82190">
        <w:rPr>
          <w:rFonts w:ascii="Arial" w:hAnsi="Arial" w:cs="Arial"/>
          <w:sz w:val="24"/>
          <w:szCs w:val="24"/>
        </w:rPr>
        <w:t xml:space="preserve"> </w:t>
      </w:r>
      <w:r w:rsidRPr="00211B75" w:rsidR="00647C67">
        <w:rPr>
          <w:rFonts w:ascii="Arial" w:hAnsi="Arial" w:cs="Arial"/>
          <w:sz w:val="24"/>
          <w:szCs w:val="24"/>
        </w:rPr>
        <w:t>The forecasting procedure involves calculating a weighted percent ginned to date as well as an allowance for cross-</w:t>
      </w:r>
      <w:r w:rsidRPr="00211B75" w:rsidR="00647C67">
        <w:rPr>
          <w:rFonts w:ascii="Arial" w:hAnsi="Arial" w:cs="Arial"/>
          <w:sz w:val="24"/>
          <w:szCs w:val="24"/>
        </w:rPr>
        <w:lastRenderedPageBreak/>
        <w:t>State movement and bale weight adjustments.</w:t>
      </w:r>
      <w:r w:rsidRPr="00211B75" w:rsidR="00F82190">
        <w:rPr>
          <w:rFonts w:ascii="Arial" w:hAnsi="Arial" w:cs="Arial"/>
          <w:sz w:val="24"/>
          <w:szCs w:val="24"/>
        </w:rPr>
        <w:t xml:space="preserve"> </w:t>
      </w:r>
      <w:r w:rsidRPr="00211B75" w:rsidR="00647C67">
        <w:rPr>
          <w:rFonts w:ascii="Arial" w:hAnsi="Arial" w:cs="Arial"/>
          <w:sz w:val="24"/>
          <w:szCs w:val="24"/>
        </w:rPr>
        <w:t>Production by State allows adjustments for year-end State and county estimates.</w:t>
      </w:r>
      <w:r w:rsidRPr="00211B75" w:rsidR="00F82190">
        <w:rPr>
          <w:rFonts w:ascii="Arial" w:hAnsi="Arial" w:cs="Arial"/>
          <w:sz w:val="24"/>
          <w:szCs w:val="24"/>
        </w:rPr>
        <w:t xml:space="preserve"> </w:t>
      </w:r>
      <w:r w:rsidRPr="00211B75" w:rsidR="00306B79">
        <w:rPr>
          <w:rFonts w:ascii="Arial" w:hAnsi="Arial" w:cs="Arial"/>
          <w:sz w:val="24"/>
          <w:szCs w:val="24"/>
        </w:rPr>
        <w:t>Total pounds of lint cotton produced are used to derive an actual bale weight which increases the precision of production estimates. These data provide precise statistics, especially when at least 50 percent of the forecasted cotton product</w:t>
      </w:r>
      <w:r w:rsidRPr="00211B75" w:rsidR="00F82190">
        <w:rPr>
          <w:rFonts w:ascii="Arial" w:hAnsi="Arial" w:cs="Arial"/>
          <w:sz w:val="24"/>
          <w:szCs w:val="24"/>
        </w:rPr>
        <w:t>ion has been ginned in a State.</w:t>
      </w:r>
      <w:r w:rsidRPr="00211B75" w:rsidR="00306B79">
        <w:rPr>
          <w:rFonts w:ascii="Arial" w:hAnsi="Arial" w:cs="Arial"/>
          <w:sz w:val="24"/>
          <w:szCs w:val="24"/>
        </w:rPr>
        <w:t xml:space="preserve"> </w:t>
      </w:r>
      <w:r w:rsidRPr="00211B75" w:rsidR="005310A7">
        <w:rPr>
          <w:rFonts w:ascii="Arial" w:hAnsi="Arial" w:cs="Arial"/>
          <w:sz w:val="24"/>
          <w:szCs w:val="24"/>
        </w:rPr>
        <w:t xml:space="preserve">Cotton </w:t>
      </w:r>
      <w:proofErr w:type="spellStart"/>
      <w:r w:rsidRPr="00211B75" w:rsidR="005310A7">
        <w:rPr>
          <w:rFonts w:ascii="Arial" w:hAnsi="Arial" w:cs="Arial"/>
          <w:sz w:val="24"/>
          <w:szCs w:val="24"/>
        </w:rPr>
        <w:t>ginnings</w:t>
      </w:r>
      <w:proofErr w:type="spellEnd"/>
      <w:r w:rsidRPr="00211B75" w:rsidR="005310A7">
        <w:rPr>
          <w:rFonts w:ascii="Arial" w:hAnsi="Arial" w:cs="Arial"/>
          <w:sz w:val="24"/>
          <w:szCs w:val="24"/>
        </w:rPr>
        <w:t xml:space="preserve"> data collected at the end of the season are also used in setting final State and County production estimates.</w:t>
      </w:r>
      <w:r w:rsidRPr="00211B75" w:rsidR="00306B79">
        <w:rPr>
          <w:rFonts w:ascii="Arial" w:hAnsi="Arial" w:cs="Arial"/>
          <w:sz w:val="24"/>
          <w:szCs w:val="24"/>
        </w:rPr>
        <w:t xml:space="preserve"> </w:t>
      </w:r>
    </w:p>
    <w:p w:rsidRPr="00211B75" w:rsidR="007D762D" w:rsidP="009262C0" w:rsidRDefault="007D762D">
      <w:pPr>
        <w:widowControl/>
        <w:ind w:left="720"/>
        <w:rPr>
          <w:rFonts w:ascii="Arial" w:hAnsi="Arial" w:cs="Arial"/>
          <w:sz w:val="24"/>
          <w:szCs w:val="24"/>
        </w:rPr>
      </w:pPr>
    </w:p>
    <w:p w:rsidRPr="00835310" w:rsidR="007D762D" w:rsidP="007D762D" w:rsidRDefault="00647C67">
      <w:pPr>
        <w:widowControl/>
        <w:ind w:left="720"/>
        <w:rPr>
          <w:rFonts w:ascii="Arial" w:hAnsi="Arial" w:cs="Arial"/>
          <w:sz w:val="24"/>
          <w:szCs w:val="24"/>
        </w:rPr>
      </w:pPr>
      <w:r w:rsidRPr="00211B75">
        <w:rPr>
          <w:rFonts w:ascii="Arial" w:hAnsi="Arial" w:cs="Arial"/>
          <w:sz w:val="24"/>
          <w:szCs w:val="24"/>
        </w:rPr>
        <w:t>Cottonseed prices received are issued by NASS</w:t>
      </w:r>
      <w:r w:rsidRPr="00211B75" w:rsidR="00211B75">
        <w:rPr>
          <w:rFonts w:ascii="Arial" w:hAnsi="Arial" w:cs="Arial"/>
          <w:sz w:val="24"/>
          <w:szCs w:val="24"/>
        </w:rPr>
        <w:t>,</w:t>
      </w:r>
      <w:r w:rsidRPr="00211B75">
        <w:rPr>
          <w:rFonts w:ascii="Arial" w:hAnsi="Arial" w:cs="Arial"/>
          <w:sz w:val="24"/>
          <w:szCs w:val="24"/>
        </w:rPr>
        <w:t xml:space="preserve"> August through February, and are a component in the prices received by </w:t>
      </w:r>
      <w:r w:rsidRPr="00211B75" w:rsidR="00317066">
        <w:rPr>
          <w:rFonts w:ascii="Arial" w:hAnsi="Arial" w:cs="Arial"/>
          <w:sz w:val="24"/>
          <w:szCs w:val="24"/>
        </w:rPr>
        <w:t>farmer’s</w:t>
      </w:r>
      <w:r w:rsidRPr="00211B75">
        <w:rPr>
          <w:rFonts w:ascii="Arial" w:hAnsi="Arial" w:cs="Arial"/>
          <w:sz w:val="24"/>
          <w:szCs w:val="24"/>
        </w:rPr>
        <w:t xml:space="preserve"> index. </w:t>
      </w:r>
      <w:r w:rsidRPr="00211B75" w:rsidR="007D762D">
        <w:rPr>
          <w:rFonts w:ascii="Arial" w:hAnsi="Arial" w:cs="Arial"/>
          <w:sz w:val="24"/>
          <w:szCs w:val="24"/>
        </w:rPr>
        <w:t>Collecting price data from cotton gins provides a consistent data source. Cotton gins are usually the "first point of sale" of cottonseed, the general criteri</w:t>
      </w:r>
      <w:r w:rsidRPr="00211B75" w:rsidR="00211B75">
        <w:rPr>
          <w:rFonts w:ascii="Arial" w:hAnsi="Arial" w:cs="Arial"/>
          <w:sz w:val="24"/>
          <w:szCs w:val="24"/>
        </w:rPr>
        <w:t>a that</w:t>
      </w:r>
      <w:r w:rsidRPr="00211B75" w:rsidR="007D762D">
        <w:rPr>
          <w:rFonts w:ascii="Arial" w:hAnsi="Arial" w:cs="Arial"/>
          <w:sz w:val="24"/>
          <w:szCs w:val="24"/>
        </w:rPr>
        <w:t xml:space="preserve"> NASS </w:t>
      </w:r>
      <w:r w:rsidRPr="00211B75" w:rsidR="00211B75">
        <w:rPr>
          <w:rFonts w:ascii="Arial" w:hAnsi="Arial" w:cs="Arial"/>
          <w:sz w:val="24"/>
          <w:szCs w:val="24"/>
        </w:rPr>
        <w:t>uses</w:t>
      </w:r>
      <w:r w:rsidRPr="00211B75" w:rsidR="007D762D">
        <w:rPr>
          <w:rFonts w:ascii="Arial" w:hAnsi="Arial" w:cs="Arial"/>
          <w:sz w:val="24"/>
          <w:szCs w:val="24"/>
        </w:rPr>
        <w:t xml:space="preserve"> when collecting prices received data. Accurate prices for this raw product are best obtained from ginners because it is sold from the gins without being processed</w:t>
      </w:r>
      <w:r w:rsidRPr="00211B75" w:rsidR="00211B75">
        <w:rPr>
          <w:rFonts w:ascii="Arial" w:hAnsi="Arial" w:cs="Arial"/>
          <w:sz w:val="24"/>
          <w:szCs w:val="24"/>
        </w:rPr>
        <w:t xml:space="preserve">, </w:t>
      </w:r>
      <w:r w:rsidRPr="00835310" w:rsidR="00211B75">
        <w:rPr>
          <w:rFonts w:ascii="Arial" w:hAnsi="Arial" w:cs="Arial"/>
          <w:sz w:val="24"/>
          <w:szCs w:val="24"/>
        </w:rPr>
        <w:t xml:space="preserve">to </w:t>
      </w:r>
      <w:r w:rsidRPr="00835310" w:rsidR="007D762D">
        <w:rPr>
          <w:rFonts w:ascii="Arial" w:hAnsi="Arial" w:cs="Arial"/>
          <w:sz w:val="24"/>
          <w:szCs w:val="24"/>
        </w:rPr>
        <w:t xml:space="preserve">an oilseed crushing plant, </w:t>
      </w:r>
      <w:r w:rsidRPr="00835310" w:rsidR="00211B75">
        <w:rPr>
          <w:rFonts w:ascii="Arial" w:hAnsi="Arial" w:cs="Arial"/>
          <w:sz w:val="24"/>
          <w:szCs w:val="24"/>
        </w:rPr>
        <w:t>which</w:t>
      </w:r>
      <w:r w:rsidRPr="00835310" w:rsidR="007D762D">
        <w:rPr>
          <w:rFonts w:ascii="Arial" w:hAnsi="Arial" w:cs="Arial"/>
          <w:sz w:val="24"/>
          <w:szCs w:val="24"/>
        </w:rPr>
        <w:t xml:space="preserve"> was the former method.</w:t>
      </w:r>
    </w:p>
    <w:p w:rsidRPr="00835310" w:rsidR="007D762D" w:rsidP="009262C0" w:rsidRDefault="007D762D">
      <w:pPr>
        <w:widowControl/>
        <w:ind w:left="720"/>
        <w:rPr>
          <w:rFonts w:ascii="Arial" w:hAnsi="Arial" w:cs="Arial"/>
          <w:sz w:val="24"/>
          <w:szCs w:val="24"/>
        </w:rPr>
      </w:pPr>
    </w:p>
    <w:p w:rsidRPr="00835310" w:rsidR="00DD02AD" w:rsidP="00DD02AD" w:rsidRDefault="00F47BB0">
      <w:pPr>
        <w:widowControl/>
        <w:ind w:left="720"/>
        <w:rPr>
          <w:rFonts w:ascii="Arial" w:hAnsi="Arial" w:cs="Arial"/>
          <w:sz w:val="24"/>
          <w:szCs w:val="24"/>
        </w:rPr>
      </w:pPr>
      <w:r w:rsidRPr="00835310">
        <w:rPr>
          <w:rFonts w:ascii="Arial" w:hAnsi="Arial" w:cs="Arial"/>
          <w:sz w:val="24"/>
          <w:szCs w:val="24"/>
        </w:rPr>
        <w:t>These data provide all segments of the cotton industry</w:t>
      </w:r>
      <w:r w:rsidRPr="00835310" w:rsidR="00C07CE0">
        <w:rPr>
          <w:rFonts w:ascii="Arial" w:hAnsi="Arial" w:cs="Arial"/>
          <w:sz w:val="24"/>
          <w:szCs w:val="24"/>
        </w:rPr>
        <w:t xml:space="preserve"> (</w:t>
      </w:r>
      <w:r w:rsidRPr="00835310">
        <w:rPr>
          <w:rFonts w:ascii="Arial" w:hAnsi="Arial" w:cs="Arial"/>
          <w:sz w:val="24"/>
          <w:szCs w:val="24"/>
        </w:rPr>
        <w:t xml:space="preserve">buyers, brokers, crushers, shippers, </w:t>
      </w:r>
      <w:r w:rsidRPr="00835310" w:rsidR="00C07CE0">
        <w:rPr>
          <w:rFonts w:ascii="Arial" w:hAnsi="Arial" w:cs="Arial"/>
          <w:sz w:val="24"/>
          <w:szCs w:val="24"/>
        </w:rPr>
        <w:t xml:space="preserve">textile firms, and researchers) </w:t>
      </w:r>
      <w:r w:rsidRPr="00835310">
        <w:rPr>
          <w:rFonts w:ascii="Arial" w:hAnsi="Arial" w:cs="Arial"/>
          <w:sz w:val="24"/>
          <w:szCs w:val="24"/>
        </w:rPr>
        <w:t>with exact quantities of cotton available at specific geographic locations with</w:t>
      </w:r>
      <w:r w:rsidRPr="00835310" w:rsidR="009465FF">
        <w:rPr>
          <w:rFonts w:ascii="Arial" w:hAnsi="Arial" w:cs="Arial"/>
          <w:sz w:val="24"/>
          <w:szCs w:val="24"/>
        </w:rPr>
        <w:t xml:space="preserve">in the U.S. on a regular basis.  Some examples of usage include emergency planning and staffing of cotton classification offices. </w:t>
      </w:r>
      <w:r w:rsidRPr="00835310" w:rsidR="009262C0">
        <w:rPr>
          <w:rFonts w:ascii="Arial" w:hAnsi="Arial" w:cs="Arial"/>
          <w:sz w:val="24"/>
          <w:szCs w:val="24"/>
        </w:rPr>
        <w:t xml:space="preserve">Should disaster occur in a specific cotton producing area, policy makers will have data available for that area to assist with disaster program implementation. </w:t>
      </w:r>
      <w:r w:rsidRPr="00835310" w:rsidR="00DD02AD">
        <w:rPr>
          <w:rFonts w:ascii="Arial" w:hAnsi="Arial" w:cs="Arial"/>
          <w:sz w:val="24"/>
          <w:szCs w:val="24"/>
        </w:rPr>
        <w:t>The Agricultural Marketing Service, which is responsible for grading cotton, will staff their classing offices more efficiently</w:t>
      </w:r>
      <w:r w:rsidRPr="00835310" w:rsidR="00C07CE0">
        <w:rPr>
          <w:rFonts w:ascii="Arial" w:hAnsi="Arial" w:cs="Arial"/>
          <w:sz w:val="24"/>
          <w:szCs w:val="24"/>
        </w:rPr>
        <w:t>,</w:t>
      </w:r>
      <w:r w:rsidRPr="00835310" w:rsidR="00DD02AD">
        <w:rPr>
          <w:rFonts w:ascii="Arial" w:hAnsi="Arial" w:cs="Arial"/>
          <w:sz w:val="24"/>
          <w:szCs w:val="24"/>
        </w:rPr>
        <w:t xml:space="preserve"> according to the amount of cotton being ginned. Private industry also uses these data in their analysis and forecasts.</w:t>
      </w:r>
    </w:p>
    <w:p w:rsidRPr="00835310" w:rsidR="009465FF" w:rsidP="00DD02AD" w:rsidRDefault="009465FF">
      <w:pPr>
        <w:widowControl/>
        <w:ind w:left="720"/>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835310">
        <w:rPr>
          <w:rFonts w:ascii="Arial" w:hAnsi="Arial" w:cs="Arial"/>
          <w:b/>
          <w:bCs/>
          <w:sz w:val="24"/>
          <w:szCs w:val="24"/>
        </w:rPr>
        <w:t>3.</w:t>
      </w:r>
      <w:r w:rsidRPr="00835310">
        <w:rPr>
          <w:rFonts w:ascii="Arial" w:hAnsi="Arial" w:cs="Arial"/>
          <w:b/>
          <w:bCs/>
          <w:sz w:val="24"/>
          <w:szCs w:val="24"/>
        </w:rPr>
        <w:tab/>
        <w:t xml:space="preserve">Describe </w:t>
      </w:r>
      <w:r w:rsidRPr="00583833">
        <w:rPr>
          <w:rFonts w:ascii="Arial" w:hAnsi="Arial" w:cs="Arial"/>
          <w:b/>
          <w:bCs/>
          <w:sz w:val="24"/>
          <w:szCs w:val="24"/>
        </w:rPr>
        <w:t>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583833" w:rsidR="00394819" w:rsidRDefault="00394819">
      <w:pPr>
        <w:widowControl/>
        <w:rPr>
          <w:rFonts w:ascii="Arial" w:hAnsi="Arial" w:cs="Arial"/>
          <w:sz w:val="24"/>
          <w:szCs w:val="24"/>
        </w:rPr>
      </w:pPr>
    </w:p>
    <w:p w:rsidRPr="00835310" w:rsidR="00394819" w:rsidRDefault="00394819">
      <w:pPr>
        <w:widowControl/>
        <w:ind w:left="720"/>
        <w:rPr>
          <w:rFonts w:ascii="Arial" w:hAnsi="Arial" w:cs="Arial"/>
          <w:sz w:val="24"/>
          <w:szCs w:val="24"/>
        </w:rPr>
      </w:pPr>
      <w:r w:rsidRPr="00835310">
        <w:rPr>
          <w:rFonts w:ascii="Arial" w:hAnsi="Arial" w:cs="Arial"/>
          <w:sz w:val="24"/>
          <w:szCs w:val="24"/>
        </w:rPr>
        <w:t xml:space="preserve">The first-of-month and mid-month Cotton </w:t>
      </w:r>
      <w:proofErr w:type="spellStart"/>
      <w:r w:rsidRPr="00835310">
        <w:rPr>
          <w:rFonts w:ascii="Arial" w:hAnsi="Arial" w:cs="Arial"/>
          <w:sz w:val="24"/>
          <w:szCs w:val="24"/>
        </w:rPr>
        <w:t>Ginnings</w:t>
      </w:r>
      <w:proofErr w:type="spellEnd"/>
      <w:r w:rsidRPr="00835310">
        <w:rPr>
          <w:rFonts w:ascii="Arial" w:hAnsi="Arial" w:cs="Arial"/>
          <w:sz w:val="24"/>
          <w:szCs w:val="24"/>
        </w:rPr>
        <w:t xml:space="preserve"> Reports have been made available for electronic data reporting (EDR) via the Internet. Each respondent is provided a user name and password to secure the data; instructions are included in a </w:t>
      </w:r>
      <w:r w:rsidR="008B1E50">
        <w:rPr>
          <w:rFonts w:ascii="Arial" w:hAnsi="Arial" w:cs="Arial"/>
          <w:sz w:val="24"/>
          <w:szCs w:val="24"/>
        </w:rPr>
        <w:t>cover</w:t>
      </w:r>
      <w:r w:rsidRPr="00835310">
        <w:rPr>
          <w:rFonts w:ascii="Arial" w:hAnsi="Arial" w:cs="Arial"/>
          <w:sz w:val="24"/>
          <w:szCs w:val="24"/>
        </w:rPr>
        <w:t xml:space="preserve"> letter</w:t>
      </w:r>
      <w:r w:rsidR="008B1E50">
        <w:rPr>
          <w:rFonts w:ascii="Arial" w:hAnsi="Arial" w:cs="Arial"/>
          <w:sz w:val="24"/>
          <w:szCs w:val="24"/>
        </w:rPr>
        <w:t xml:space="preserve"> that is mailed out with the questionnaire</w:t>
      </w:r>
      <w:r w:rsidRPr="00835310">
        <w:rPr>
          <w:rFonts w:ascii="Arial" w:hAnsi="Arial" w:cs="Arial"/>
          <w:sz w:val="24"/>
          <w:szCs w:val="24"/>
        </w:rPr>
        <w:t xml:space="preserve">. The minutes to complete the Web surveys are estimated to be the same as the paper-based questionnaires. </w:t>
      </w:r>
      <w:r w:rsidRPr="00835310" w:rsidR="00184B3D">
        <w:rPr>
          <w:rFonts w:ascii="Arial" w:hAnsi="Arial" w:cs="Arial"/>
          <w:sz w:val="24"/>
          <w:szCs w:val="24"/>
        </w:rPr>
        <w:t xml:space="preserve">Approximately </w:t>
      </w:r>
      <w:r w:rsidRPr="00835310" w:rsidR="00835310">
        <w:rPr>
          <w:rFonts w:ascii="Arial" w:hAnsi="Arial" w:cs="Arial"/>
          <w:sz w:val="24"/>
          <w:szCs w:val="24"/>
        </w:rPr>
        <w:t>5</w:t>
      </w:r>
      <w:r w:rsidRPr="00835310" w:rsidR="00184B3D">
        <w:rPr>
          <w:rFonts w:ascii="Arial" w:hAnsi="Arial" w:cs="Arial"/>
          <w:sz w:val="24"/>
          <w:szCs w:val="24"/>
        </w:rPr>
        <w:t>% of the ginning reports are completed using the internet application.</w:t>
      </w:r>
      <w:r w:rsidRPr="00835310" w:rsidR="00E601CF">
        <w:rPr>
          <w:rFonts w:ascii="Arial" w:hAnsi="Arial" w:cs="Arial"/>
          <w:sz w:val="24"/>
          <w:szCs w:val="24"/>
        </w:rPr>
        <w:t xml:space="preserve"> All of the forms are available electronically, except for the Cotton Ginner’s Record Book. This tool is provided to the respondents to keep their records in if they do not have a system of their own. It </w:t>
      </w:r>
      <w:r w:rsidRPr="00835310" w:rsidR="00C9649B">
        <w:rPr>
          <w:rFonts w:ascii="Arial" w:hAnsi="Arial" w:cs="Arial"/>
          <w:sz w:val="24"/>
          <w:szCs w:val="24"/>
        </w:rPr>
        <w:t>is totally up to the respondent if they choose to use this book for keeping their records in.</w:t>
      </w:r>
    </w:p>
    <w:p w:rsidRPr="00835310" w:rsidR="00F064AA" w:rsidRDefault="00F064AA">
      <w:pPr>
        <w:widowControl/>
        <w:ind w:left="720"/>
        <w:rPr>
          <w:rFonts w:ascii="Arial" w:hAnsi="Arial" w:cs="Arial"/>
          <w:sz w:val="24"/>
          <w:szCs w:val="24"/>
        </w:rPr>
      </w:pPr>
    </w:p>
    <w:p w:rsidRPr="00835310" w:rsidR="00F064AA" w:rsidRDefault="00F064AA">
      <w:pPr>
        <w:widowControl/>
        <w:ind w:left="720"/>
        <w:rPr>
          <w:rFonts w:ascii="Arial" w:hAnsi="Arial" w:cs="Arial"/>
          <w:sz w:val="24"/>
          <w:szCs w:val="24"/>
        </w:rPr>
      </w:pPr>
      <w:r w:rsidRPr="00835310">
        <w:rPr>
          <w:rFonts w:ascii="Arial" w:hAnsi="Arial" w:cs="Arial"/>
          <w:sz w:val="24"/>
          <w:szCs w:val="24"/>
        </w:rPr>
        <w:lastRenderedPageBreak/>
        <w:t>NASS does not mail out questionnaires using email addresses for two primary reasons.</w:t>
      </w:r>
    </w:p>
    <w:p w:rsidRPr="00835310" w:rsidR="00F064AA" w:rsidRDefault="00F064AA">
      <w:pPr>
        <w:widowControl/>
        <w:ind w:left="720"/>
        <w:rPr>
          <w:rFonts w:ascii="Arial" w:hAnsi="Arial" w:cs="Arial"/>
          <w:sz w:val="24"/>
          <w:szCs w:val="24"/>
        </w:rPr>
      </w:pPr>
    </w:p>
    <w:p w:rsidRPr="00835310" w:rsidR="00F064AA" w:rsidP="001F3EA1" w:rsidRDefault="00F064AA">
      <w:pPr>
        <w:pStyle w:val="ListParagraph"/>
        <w:widowControl/>
        <w:numPr>
          <w:ilvl w:val="0"/>
          <w:numId w:val="3"/>
        </w:numPr>
        <w:rPr>
          <w:rFonts w:ascii="Arial" w:hAnsi="Arial" w:cs="Arial"/>
          <w:sz w:val="24"/>
          <w:szCs w:val="24"/>
        </w:rPr>
      </w:pPr>
      <w:r w:rsidRPr="00835310">
        <w:rPr>
          <w:rFonts w:ascii="Arial" w:hAnsi="Arial" w:cs="Arial"/>
          <w:sz w:val="24"/>
          <w:szCs w:val="24"/>
        </w:rPr>
        <w:t xml:space="preserve">With many businesses they may have one person that reports price data, one person that reports production data, and possibly another person who reports stock data. We have learned that it is </w:t>
      </w:r>
      <w:r w:rsidRPr="00835310" w:rsidR="001F3EA1">
        <w:rPr>
          <w:rFonts w:ascii="Arial" w:hAnsi="Arial" w:cs="Arial"/>
          <w:sz w:val="24"/>
          <w:szCs w:val="24"/>
        </w:rPr>
        <w:t>best to send a paper questionnaire through the US Postal Service to make sure the correct person is contacted for the survey(s).</w:t>
      </w:r>
    </w:p>
    <w:p w:rsidRPr="00835310" w:rsidR="001F3EA1" w:rsidRDefault="001F3EA1">
      <w:pPr>
        <w:widowControl/>
        <w:ind w:left="720"/>
        <w:rPr>
          <w:rFonts w:ascii="Arial" w:hAnsi="Arial" w:cs="Arial"/>
          <w:sz w:val="24"/>
          <w:szCs w:val="24"/>
        </w:rPr>
      </w:pPr>
    </w:p>
    <w:p w:rsidRPr="00835310" w:rsidR="001F3EA1" w:rsidP="001F3EA1" w:rsidRDefault="001F3EA1">
      <w:pPr>
        <w:pStyle w:val="ListParagraph"/>
        <w:widowControl/>
        <w:numPr>
          <w:ilvl w:val="0"/>
          <w:numId w:val="3"/>
        </w:numPr>
        <w:rPr>
          <w:rFonts w:ascii="Arial" w:hAnsi="Arial" w:cs="Arial"/>
          <w:sz w:val="24"/>
          <w:szCs w:val="24"/>
        </w:rPr>
      </w:pPr>
      <w:r w:rsidRPr="00835310">
        <w:rPr>
          <w:rFonts w:ascii="Arial" w:hAnsi="Arial" w:cs="Arial"/>
          <w:sz w:val="24"/>
          <w:szCs w:val="24"/>
        </w:rPr>
        <w:t>Further, we have noticed that many people change their internet providers on a fairly frequent basis and it is very time consuming to keep monitoring and updating email addresses for the hundreds of thousands of people we contact each year for all of the different surveys conducted by NASS.</w:t>
      </w:r>
    </w:p>
    <w:p w:rsidRPr="00835310" w:rsidR="00394819" w:rsidRDefault="00394819">
      <w:pPr>
        <w:widowControl/>
        <w:rPr>
          <w:rFonts w:ascii="Arial" w:hAnsi="Arial" w:cs="Arial"/>
          <w:sz w:val="24"/>
          <w:szCs w:val="24"/>
        </w:rPr>
      </w:pPr>
    </w:p>
    <w:p w:rsidRPr="00721E39" w:rsidR="00394819" w:rsidRDefault="00394819">
      <w:pPr>
        <w:widowControl/>
        <w:tabs>
          <w:tab w:val="left" w:pos="720"/>
        </w:tabs>
        <w:ind w:left="720" w:hanging="720"/>
        <w:rPr>
          <w:rFonts w:ascii="Arial" w:hAnsi="Arial" w:cs="Arial"/>
          <w:sz w:val="24"/>
          <w:szCs w:val="24"/>
        </w:rPr>
      </w:pPr>
      <w:r w:rsidRPr="00835310">
        <w:rPr>
          <w:rFonts w:ascii="Arial" w:hAnsi="Arial" w:cs="Arial"/>
          <w:b/>
          <w:bCs/>
          <w:sz w:val="24"/>
          <w:szCs w:val="24"/>
        </w:rPr>
        <w:t>4.</w:t>
      </w:r>
      <w:r w:rsidRPr="00835310">
        <w:rPr>
          <w:rFonts w:ascii="Arial" w:hAnsi="Arial" w:cs="Arial"/>
          <w:b/>
          <w:bCs/>
          <w:sz w:val="24"/>
          <w:szCs w:val="24"/>
        </w:rPr>
        <w:tab/>
      </w:r>
      <w:r w:rsidRPr="00583833">
        <w:rPr>
          <w:rFonts w:ascii="Arial" w:hAnsi="Arial" w:cs="Arial"/>
          <w:b/>
          <w:bCs/>
          <w:sz w:val="24"/>
          <w:szCs w:val="24"/>
        </w:rPr>
        <w:t xml:space="preserve">Describe efforts to identify duplication.  Show specifically why any similar information already available cannot be used or modified for use for the </w:t>
      </w:r>
      <w:r w:rsidRPr="00721E39">
        <w:rPr>
          <w:rFonts w:ascii="Arial" w:hAnsi="Arial" w:cs="Arial"/>
          <w:b/>
          <w:bCs/>
          <w:sz w:val="24"/>
          <w:szCs w:val="24"/>
        </w:rPr>
        <w:t>purposes described in Item 2 above.</w:t>
      </w:r>
    </w:p>
    <w:p w:rsidRPr="00721E39" w:rsidR="00394819" w:rsidRDefault="00394819">
      <w:pPr>
        <w:widowControl/>
        <w:rPr>
          <w:rFonts w:ascii="Arial" w:hAnsi="Arial" w:cs="Arial"/>
          <w:sz w:val="24"/>
          <w:szCs w:val="24"/>
        </w:rPr>
      </w:pPr>
    </w:p>
    <w:p w:rsidRPr="00721E39" w:rsidR="004226E3" w:rsidRDefault="00394819">
      <w:pPr>
        <w:widowControl/>
        <w:ind w:left="720"/>
        <w:rPr>
          <w:rFonts w:ascii="Arial" w:hAnsi="Arial" w:cs="Arial"/>
          <w:sz w:val="24"/>
          <w:szCs w:val="24"/>
        </w:rPr>
      </w:pPr>
      <w:r w:rsidRPr="00721E39">
        <w:rPr>
          <w:rFonts w:ascii="Arial" w:hAnsi="Arial" w:cs="Arial"/>
          <w:sz w:val="24"/>
          <w:szCs w:val="24"/>
        </w:rPr>
        <w:t xml:space="preserve">The USDA's Agricultural Marketing Service (AMS) maintains a list (names and addresses) of gins </w:t>
      </w:r>
      <w:r w:rsidR="00822BF6">
        <w:rPr>
          <w:rFonts w:ascii="Arial" w:hAnsi="Arial" w:cs="Arial"/>
          <w:sz w:val="24"/>
          <w:szCs w:val="24"/>
        </w:rPr>
        <w:t>which</w:t>
      </w:r>
      <w:r w:rsidRPr="00721E39">
        <w:rPr>
          <w:rFonts w:ascii="Arial" w:hAnsi="Arial" w:cs="Arial"/>
          <w:sz w:val="24"/>
          <w:szCs w:val="24"/>
        </w:rPr>
        <w:t xml:space="preserve"> is annually matched and reconciled with the existing NASS list. </w:t>
      </w:r>
      <w:r w:rsidRPr="00721E39" w:rsidR="004226E3">
        <w:rPr>
          <w:rFonts w:ascii="Arial" w:hAnsi="Arial" w:cs="Arial"/>
          <w:sz w:val="24"/>
          <w:szCs w:val="24"/>
        </w:rPr>
        <w:t>Currently AMS has some data series that they maintain, but they do not go to the county or district level which is needed by numerous data users.</w:t>
      </w:r>
    </w:p>
    <w:p w:rsidRPr="00721E39" w:rsidR="004226E3" w:rsidRDefault="004226E3">
      <w:pPr>
        <w:widowControl/>
        <w:ind w:left="720"/>
        <w:rPr>
          <w:rFonts w:ascii="Arial" w:hAnsi="Arial" w:cs="Arial"/>
          <w:sz w:val="24"/>
          <w:szCs w:val="24"/>
        </w:rPr>
      </w:pPr>
    </w:p>
    <w:p w:rsidRPr="00623233" w:rsidR="00394819" w:rsidRDefault="00394819">
      <w:pPr>
        <w:widowControl/>
        <w:tabs>
          <w:tab w:val="left" w:pos="720"/>
        </w:tabs>
        <w:ind w:left="720" w:hanging="720"/>
        <w:rPr>
          <w:rFonts w:ascii="Arial" w:hAnsi="Arial" w:cs="Arial"/>
          <w:sz w:val="24"/>
          <w:szCs w:val="24"/>
        </w:rPr>
      </w:pPr>
      <w:r w:rsidRPr="00721E39">
        <w:rPr>
          <w:rFonts w:ascii="Arial" w:hAnsi="Arial" w:cs="Arial"/>
          <w:b/>
          <w:bCs/>
          <w:sz w:val="24"/>
          <w:szCs w:val="24"/>
        </w:rPr>
        <w:t>5.</w:t>
      </w:r>
      <w:r w:rsidRPr="00721E39">
        <w:rPr>
          <w:rFonts w:ascii="Arial" w:hAnsi="Arial" w:cs="Arial"/>
          <w:b/>
          <w:bCs/>
          <w:sz w:val="24"/>
          <w:szCs w:val="24"/>
        </w:rPr>
        <w:tab/>
        <w:t xml:space="preserve">If the collection of information impacts small businesses or other small entities </w:t>
      </w:r>
      <w:r w:rsidRPr="00583833">
        <w:rPr>
          <w:rFonts w:ascii="Arial" w:hAnsi="Arial" w:cs="Arial"/>
          <w:b/>
          <w:bCs/>
          <w:sz w:val="24"/>
          <w:szCs w:val="24"/>
        </w:rPr>
        <w:t xml:space="preserve">(Item 5 of OMB Form 83-I), describe any methods used to minimize </w:t>
      </w:r>
      <w:r w:rsidRPr="00623233">
        <w:rPr>
          <w:rFonts w:ascii="Arial" w:hAnsi="Arial" w:cs="Arial"/>
          <w:b/>
          <w:bCs/>
          <w:sz w:val="24"/>
          <w:szCs w:val="24"/>
        </w:rPr>
        <w:t>burden.</w:t>
      </w:r>
    </w:p>
    <w:p w:rsidRPr="00623233" w:rsidR="00394819" w:rsidRDefault="00394819">
      <w:pPr>
        <w:widowControl/>
        <w:rPr>
          <w:rFonts w:ascii="Arial" w:hAnsi="Arial" w:cs="Arial"/>
          <w:sz w:val="24"/>
          <w:szCs w:val="24"/>
        </w:rPr>
      </w:pPr>
    </w:p>
    <w:p w:rsidRPr="00623233" w:rsidR="00394819" w:rsidRDefault="00394819">
      <w:pPr>
        <w:widowControl/>
        <w:ind w:left="720"/>
        <w:rPr>
          <w:rFonts w:ascii="Arial" w:hAnsi="Arial" w:cs="Arial"/>
          <w:sz w:val="24"/>
          <w:szCs w:val="24"/>
        </w:rPr>
      </w:pPr>
      <w:r w:rsidRPr="00623233">
        <w:rPr>
          <w:rFonts w:ascii="Arial" w:hAnsi="Arial" w:cs="Arial"/>
          <w:sz w:val="24"/>
          <w:szCs w:val="24"/>
        </w:rPr>
        <w:t xml:space="preserve">Although all cotton gins will be contacted, those indicating they are idle for the year are contacted only at the beginning of the season to verify their inactivity.  Active gins are contacted only for the time periods they are operating. The length of the period in which questionnaires are mailed varies by State, type of cotton gin, and progress of </w:t>
      </w:r>
      <w:proofErr w:type="spellStart"/>
      <w:r w:rsidRPr="00623233">
        <w:rPr>
          <w:rFonts w:ascii="Arial" w:hAnsi="Arial" w:cs="Arial"/>
          <w:sz w:val="24"/>
          <w:szCs w:val="24"/>
        </w:rPr>
        <w:t>ginnings</w:t>
      </w:r>
      <w:proofErr w:type="spellEnd"/>
      <w:r w:rsidRPr="00623233">
        <w:rPr>
          <w:rFonts w:ascii="Arial" w:hAnsi="Arial" w:cs="Arial"/>
          <w:sz w:val="24"/>
          <w:szCs w:val="24"/>
        </w:rPr>
        <w:t xml:space="preserve"> during the season. These procedures reduce burden on all gin</w:t>
      </w:r>
      <w:r w:rsidRPr="00623233" w:rsidR="00184B3D">
        <w:rPr>
          <w:rFonts w:ascii="Arial" w:hAnsi="Arial" w:cs="Arial"/>
          <w:sz w:val="24"/>
          <w:szCs w:val="24"/>
        </w:rPr>
        <w:t xml:space="preserve"> operators</w:t>
      </w:r>
      <w:r w:rsidRPr="00623233">
        <w:rPr>
          <w:rFonts w:ascii="Arial" w:hAnsi="Arial" w:cs="Arial"/>
          <w:sz w:val="24"/>
          <w:szCs w:val="24"/>
        </w:rPr>
        <w:t>.</w:t>
      </w:r>
    </w:p>
    <w:p w:rsidRPr="00623233" w:rsidR="00983FA8" w:rsidRDefault="00983FA8">
      <w:pPr>
        <w:widowControl/>
        <w:ind w:left="720"/>
        <w:rPr>
          <w:rFonts w:ascii="Arial" w:hAnsi="Arial" w:cs="Arial"/>
          <w:sz w:val="24"/>
          <w:szCs w:val="24"/>
        </w:rPr>
      </w:pPr>
    </w:p>
    <w:p w:rsidRPr="00623233" w:rsidR="00983FA8" w:rsidRDefault="00983FA8">
      <w:pPr>
        <w:widowControl/>
        <w:ind w:left="720"/>
        <w:rPr>
          <w:rFonts w:ascii="Arial" w:hAnsi="Arial" w:cs="Arial"/>
          <w:sz w:val="24"/>
          <w:szCs w:val="24"/>
        </w:rPr>
      </w:pPr>
      <w:r w:rsidRPr="00623233">
        <w:rPr>
          <w:rFonts w:ascii="Arial" w:hAnsi="Arial" w:cs="Arial"/>
          <w:sz w:val="24"/>
          <w:szCs w:val="24"/>
        </w:rPr>
        <w:t xml:space="preserve">Approximately </w:t>
      </w:r>
      <w:r w:rsidRPr="00623233" w:rsidR="00623233">
        <w:rPr>
          <w:rFonts w:ascii="Arial" w:hAnsi="Arial" w:cs="Arial"/>
          <w:sz w:val="24"/>
          <w:szCs w:val="24"/>
        </w:rPr>
        <w:t>375</w:t>
      </w:r>
      <w:r w:rsidRPr="00623233">
        <w:rPr>
          <w:rFonts w:ascii="Arial" w:hAnsi="Arial" w:cs="Arial"/>
          <w:sz w:val="24"/>
          <w:szCs w:val="24"/>
        </w:rPr>
        <w:t xml:space="preserve"> of the total </w:t>
      </w:r>
      <w:r w:rsidRPr="00623233" w:rsidR="00623233">
        <w:rPr>
          <w:rFonts w:ascii="Arial" w:hAnsi="Arial" w:cs="Arial"/>
          <w:sz w:val="24"/>
          <w:szCs w:val="24"/>
        </w:rPr>
        <w:t>575</w:t>
      </w:r>
      <w:r w:rsidRPr="00623233">
        <w:rPr>
          <w:rFonts w:ascii="Arial" w:hAnsi="Arial" w:cs="Arial"/>
          <w:sz w:val="24"/>
          <w:szCs w:val="24"/>
        </w:rPr>
        <w:t xml:space="preserve"> cotton gins will be classified as small operations.</w:t>
      </w:r>
    </w:p>
    <w:p w:rsidRPr="00623233" w:rsidR="00394819" w:rsidRDefault="00394819">
      <w:pPr>
        <w:widowControl/>
        <w:rPr>
          <w:rFonts w:ascii="Arial" w:hAnsi="Arial" w:cs="Arial"/>
          <w:sz w:val="24"/>
          <w:szCs w:val="24"/>
        </w:rPr>
      </w:pPr>
    </w:p>
    <w:p w:rsidRPr="00623233" w:rsidR="00394819" w:rsidRDefault="00394819">
      <w:pPr>
        <w:widowControl/>
        <w:ind w:left="720"/>
        <w:rPr>
          <w:rFonts w:ascii="Arial" w:hAnsi="Arial" w:cs="Arial"/>
          <w:sz w:val="24"/>
          <w:szCs w:val="24"/>
        </w:rPr>
      </w:pPr>
      <w:r w:rsidRPr="00623233">
        <w:rPr>
          <w:rFonts w:ascii="Arial" w:hAnsi="Arial" w:cs="Arial"/>
          <w:sz w:val="24"/>
          <w:szCs w:val="24"/>
        </w:rPr>
        <w:t xml:space="preserve">Cotton ginning operations usually calculate a daily total of bales ginned to date; thus, response time to answer this questionnaire item is minimal.  </w:t>
      </w:r>
    </w:p>
    <w:p w:rsidRPr="00623233"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623233">
        <w:rPr>
          <w:rFonts w:ascii="Arial" w:hAnsi="Arial" w:cs="Arial"/>
          <w:b/>
          <w:bCs/>
          <w:sz w:val="24"/>
          <w:szCs w:val="24"/>
        </w:rPr>
        <w:t>6.</w:t>
      </w:r>
      <w:r w:rsidRPr="00623233">
        <w:rPr>
          <w:rFonts w:ascii="Arial" w:hAnsi="Arial" w:cs="Arial"/>
          <w:b/>
          <w:bCs/>
          <w:sz w:val="24"/>
          <w:szCs w:val="24"/>
        </w:rPr>
        <w:tab/>
        <w:t xml:space="preserve">Describe </w:t>
      </w:r>
      <w:r w:rsidRPr="00583833">
        <w:rPr>
          <w:rFonts w:ascii="Arial" w:hAnsi="Arial" w:cs="Arial"/>
          <w:b/>
          <w:bCs/>
          <w:sz w:val="24"/>
          <w:szCs w:val="24"/>
        </w:rPr>
        <w:t>the consequence to Federal program or policy activities if the collection is not conducted or is conducted less frequently, as well as any technical or legal obstacles to reducing burden.</w:t>
      </w:r>
    </w:p>
    <w:p w:rsidRPr="00583833" w:rsidR="00394819" w:rsidRDefault="00394819">
      <w:pPr>
        <w:widowControl/>
        <w:rPr>
          <w:rFonts w:ascii="Arial" w:hAnsi="Arial" w:cs="Arial"/>
          <w:sz w:val="24"/>
          <w:szCs w:val="24"/>
        </w:rPr>
      </w:pPr>
    </w:p>
    <w:p w:rsidRPr="006B57E9" w:rsidR="00394819" w:rsidRDefault="00096A7E">
      <w:pPr>
        <w:widowControl/>
        <w:ind w:left="720"/>
        <w:rPr>
          <w:rFonts w:ascii="Arial" w:hAnsi="Arial" w:cs="Arial"/>
          <w:sz w:val="24"/>
          <w:szCs w:val="24"/>
        </w:rPr>
      </w:pPr>
      <w:r w:rsidRPr="006B57E9">
        <w:rPr>
          <w:rFonts w:ascii="Arial" w:hAnsi="Arial" w:cs="Arial"/>
          <w:sz w:val="24"/>
          <w:szCs w:val="24"/>
        </w:rPr>
        <w:t xml:space="preserve">Title 13, Section 42 U.S.C. dictates the frequency at which these surveys are conducted. </w:t>
      </w:r>
      <w:r w:rsidRPr="006B57E9" w:rsidR="00394819">
        <w:rPr>
          <w:rFonts w:ascii="Arial" w:hAnsi="Arial" w:cs="Arial"/>
          <w:sz w:val="24"/>
          <w:szCs w:val="24"/>
        </w:rPr>
        <w:t xml:space="preserve">If information collection were less frequent the cotton industry would </w:t>
      </w:r>
      <w:r w:rsidRPr="006B57E9" w:rsidR="00394819">
        <w:rPr>
          <w:rFonts w:ascii="Arial" w:hAnsi="Arial" w:cs="Arial"/>
          <w:sz w:val="24"/>
          <w:szCs w:val="24"/>
        </w:rPr>
        <w:lastRenderedPageBreak/>
        <w:t xml:space="preserve">be without county-level quantities ginned which could seriously affect transportation costs and marketing strategies. The entire industry currently functions in a stable market because the uncertainty of quantities by location is minimized. The Agricultural Marketing Service </w:t>
      </w:r>
      <w:r w:rsidRPr="006B57E9" w:rsidR="00184B3D">
        <w:rPr>
          <w:rFonts w:ascii="Arial" w:hAnsi="Arial" w:cs="Arial"/>
          <w:sz w:val="24"/>
          <w:szCs w:val="24"/>
        </w:rPr>
        <w:t xml:space="preserve">(AMS) </w:t>
      </w:r>
      <w:r w:rsidRPr="006B57E9" w:rsidR="00394819">
        <w:rPr>
          <w:rFonts w:ascii="Arial" w:hAnsi="Arial" w:cs="Arial"/>
          <w:sz w:val="24"/>
          <w:szCs w:val="24"/>
        </w:rPr>
        <w:t>classification offices would have difficulty determining the quantities arriving at their offices for grading during certain time periods and office staffing would not be at the most efficient levels</w:t>
      </w:r>
      <w:r w:rsidR="006B57E9">
        <w:rPr>
          <w:rFonts w:ascii="Arial" w:hAnsi="Arial" w:cs="Arial"/>
          <w:sz w:val="24"/>
          <w:szCs w:val="24"/>
        </w:rPr>
        <w:t xml:space="preserve"> without these data</w:t>
      </w:r>
      <w:r w:rsidRPr="006B57E9" w:rsidR="00394819">
        <w:rPr>
          <w:rFonts w:ascii="Arial" w:hAnsi="Arial" w:cs="Arial"/>
          <w:sz w:val="24"/>
          <w:szCs w:val="24"/>
        </w:rPr>
        <w:t>.</w:t>
      </w:r>
    </w:p>
    <w:p w:rsidRPr="006B57E9"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7.</w:t>
      </w:r>
      <w:r w:rsidRPr="00583833">
        <w:rPr>
          <w:rFonts w:ascii="Arial" w:hAnsi="Arial" w:cs="Arial"/>
          <w:b/>
          <w:bCs/>
          <w:sz w:val="24"/>
          <w:szCs w:val="24"/>
        </w:rPr>
        <w:tab/>
        <w:t>Explain any special circumstances that would cause an information collection to be conducted in a manner inconsistent with the general information guidelines in 5 CFR 1320.5.</w:t>
      </w:r>
    </w:p>
    <w:p w:rsidRPr="00583833" w:rsidR="00394819" w:rsidRDefault="00394819">
      <w:pPr>
        <w:widowControl/>
        <w:rPr>
          <w:rFonts w:ascii="Arial" w:hAnsi="Arial" w:cs="Arial"/>
          <w:sz w:val="24"/>
          <w:szCs w:val="24"/>
        </w:rPr>
      </w:pPr>
    </w:p>
    <w:p w:rsidRPr="00583833" w:rsidR="00394819" w:rsidRDefault="00394819">
      <w:pPr>
        <w:widowControl/>
        <w:ind w:left="720"/>
        <w:rPr>
          <w:rFonts w:ascii="Arial" w:hAnsi="Arial" w:cs="Arial"/>
          <w:sz w:val="24"/>
          <w:szCs w:val="24"/>
        </w:rPr>
      </w:pPr>
      <w:r w:rsidRPr="00583833">
        <w:rPr>
          <w:rFonts w:ascii="Arial" w:hAnsi="Arial" w:cs="Arial"/>
          <w:sz w:val="24"/>
          <w:szCs w:val="24"/>
        </w:rPr>
        <w:t>There are no special circumstances associated with this information collection.</w:t>
      </w:r>
    </w:p>
    <w:p w:rsidRPr="00583833"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8.</w:t>
      </w:r>
      <w:r w:rsidRPr="00583833">
        <w:rPr>
          <w:rFonts w:ascii="Arial" w:hAnsi="Arial" w:cs="Arial"/>
          <w:b/>
          <w:bCs/>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6114BA" w:rsidR="00394819" w:rsidRDefault="00394819">
      <w:pPr>
        <w:widowControl/>
        <w:rPr>
          <w:rFonts w:ascii="Arial" w:hAnsi="Arial" w:cs="Arial"/>
          <w:sz w:val="24"/>
          <w:szCs w:val="24"/>
        </w:rPr>
      </w:pPr>
    </w:p>
    <w:p w:rsidRPr="006114BA" w:rsidR="00394819" w:rsidP="006114BA" w:rsidRDefault="00394819">
      <w:pPr>
        <w:tabs>
          <w:tab w:val="left" w:pos="360"/>
        </w:tabs>
        <w:ind w:left="720"/>
        <w:rPr>
          <w:rFonts w:ascii="Arial" w:hAnsi="Arial" w:cs="Arial"/>
          <w:sz w:val="24"/>
          <w:szCs w:val="24"/>
        </w:rPr>
      </w:pPr>
      <w:r w:rsidRPr="006114BA">
        <w:rPr>
          <w:rFonts w:ascii="Arial" w:hAnsi="Arial" w:cs="Arial"/>
          <w:sz w:val="24"/>
          <w:szCs w:val="24"/>
        </w:rPr>
        <w:t xml:space="preserve">The Federal Register Notice </w:t>
      </w:r>
      <w:r w:rsidRPr="00730861">
        <w:rPr>
          <w:rFonts w:ascii="Arial" w:hAnsi="Arial" w:cs="Arial"/>
          <w:sz w:val="24"/>
          <w:szCs w:val="24"/>
        </w:rPr>
        <w:t xml:space="preserve">soliciting comments was published on </w:t>
      </w:r>
      <w:r w:rsidRPr="00730861" w:rsidR="006114BA">
        <w:rPr>
          <w:rFonts w:ascii="Arial" w:hAnsi="Arial" w:cs="Arial"/>
          <w:sz w:val="24"/>
          <w:szCs w:val="24"/>
        </w:rPr>
        <w:t>November 22, 2019</w:t>
      </w:r>
      <w:r w:rsidRPr="00730861" w:rsidR="002D4289">
        <w:rPr>
          <w:rFonts w:ascii="Arial" w:hAnsi="Arial" w:cs="Arial"/>
          <w:sz w:val="24"/>
          <w:szCs w:val="24"/>
        </w:rPr>
        <w:t>,</w:t>
      </w:r>
      <w:r w:rsidRPr="00730861">
        <w:rPr>
          <w:rFonts w:ascii="Arial" w:hAnsi="Arial" w:cs="Arial"/>
          <w:sz w:val="24"/>
          <w:szCs w:val="24"/>
        </w:rPr>
        <w:t xml:space="preserve"> on page</w:t>
      </w:r>
      <w:r w:rsidRPr="00730861" w:rsidR="006114BA">
        <w:rPr>
          <w:rFonts w:ascii="Arial" w:hAnsi="Arial" w:cs="Arial"/>
          <w:sz w:val="24"/>
          <w:szCs w:val="24"/>
        </w:rPr>
        <w:t>s</w:t>
      </w:r>
      <w:r w:rsidRPr="00730861">
        <w:rPr>
          <w:rFonts w:ascii="Arial" w:hAnsi="Arial" w:cs="Arial"/>
          <w:sz w:val="24"/>
          <w:szCs w:val="24"/>
        </w:rPr>
        <w:t> </w:t>
      </w:r>
      <w:r w:rsidRPr="00730861" w:rsidR="006114BA">
        <w:rPr>
          <w:rFonts w:ascii="Arial" w:hAnsi="Arial" w:cs="Arial"/>
          <w:sz w:val="24"/>
          <w:szCs w:val="24"/>
        </w:rPr>
        <w:t>64453 – 64454</w:t>
      </w:r>
      <w:r w:rsidRPr="00730861" w:rsidR="002D4289">
        <w:rPr>
          <w:rFonts w:ascii="Arial" w:hAnsi="Arial" w:cs="Arial"/>
          <w:sz w:val="24"/>
          <w:szCs w:val="24"/>
        </w:rPr>
        <w:t>. NASS receive</w:t>
      </w:r>
      <w:r w:rsidRPr="00730861" w:rsidR="006114BA">
        <w:rPr>
          <w:rFonts w:ascii="Arial" w:hAnsi="Arial" w:cs="Arial"/>
          <w:sz w:val="24"/>
          <w:szCs w:val="24"/>
        </w:rPr>
        <w:t>d 2</w:t>
      </w:r>
      <w:r w:rsidRPr="00730861" w:rsidR="0025486A">
        <w:rPr>
          <w:rFonts w:ascii="Arial" w:hAnsi="Arial" w:cs="Arial"/>
          <w:sz w:val="24"/>
          <w:szCs w:val="24"/>
        </w:rPr>
        <w:t xml:space="preserve"> public comments</w:t>
      </w:r>
      <w:r w:rsidRPr="00730861" w:rsidR="006114BA">
        <w:rPr>
          <w:rFonts w:ascii="Arial" w:hAnsi="Arial" w:cs="Arial"/>
          <w:sz w:val="24"/>
          <w:szCs w:val="24"/>
        </w:rPr>
        <w:t xml:space="preserve">, one was a joint letter from the National </w:t>
      </w:r>
      <w:r w:rsidRPr="006114BA" w:rsidR="006114BA">
        <w:rPr>
          <w:rFonts w:ascii="Arial" w:hAnsi="Arial" w:cs="Arial"/>
          <w:sz w:val="24"/>
          <w:szCs w:val="24"/>
        </w:rPr>
        <w:t>Cotton Council of America, the National Cotton Ginners Association, and the American Cotton Producers in support of the renewal. The second comment was from an individual named B. Ker, who opposed the renewal. Both comments are attached to the OMB docket.</w:t>
      </w:r>
    </w:p>
    <w:p w:rsidRPr="006114BA" w:rsidR="00394819" w:rsidP="006114BA" w:rsidRDefault="00394819">
      <w:pPr>
        <w:widowControl/>
        <w:ind w:left="720"/>
        <w:rPr>
          <w:rFonts w:ascii="Arial" w:hAnsi="Arial" w:cs="Arial"/>
          <w:sz w:val="24"/>
          <w:szCs w:val="24"/>
        </w:rPr>
      </w:pPr>
    </w:p>
    <w:p w:rsidRPr="00583833" w:rsidR="00394819" w:rsidRDefault="00394819">
      <w:pPr>
        <w:widowControl/>
        <w:ind w:left="720"/>
        <w:rPr>
          <w:rFonts w:ascii="Arial" w:hAnsi="Arial" w:cs="Arial"/>
          <w:sz w:val="24"/>
          <w:szCs w:val="24"/>
        </w:rPr>
      </w:pPr>
      <w:r w:rsidRPr="006114BA">
        <w:rPr>
          <w:rFonts w:ascii="Arial" w:hAnsi="Arial" w:cs="Arial"/>
          <w:b/>
          <w:bCs/>
          <w:sz w:val="24"/>
          <w:szCs w:val="24"/>
        </w:rPr>
        <w:t xml:space="preserve">Describe </w:t>
      </w:r>
      <w:r w:rsidRPr="00583833">
        <w:rPr>
          <w:rFonts w:ascii="Arial" w:hAnsi="Arial" w:cs="Arial"/>
          <w:b/>
          <w:bCs/>
          <w:sz w:val="24"/>
          <w:szCs w:val="24"/>
        </w:rPr>
        <w:t>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583833" w:rsidR="00394819" w:rsidRDefault="00394819">
      <w:pPr>
        <w:widowControl/>
        <w:rPr>
          <w:rFonts w:ascii="Arial" w:hAnsi="Arial" w:cs="Arial"/>
          <w:sz w:val="24"/>
          <w:szCs w:val="24"/>
        </w:rPr>
      </w:pPr>
    </w:p>
    <w:p w:rsidRPr="008B1E50" w:rsidR="008B1E50" w:rsidP="008B1E50" w:rsidRDefault="008B1E50">
      <w:pPr>
        <w:ind w:left="720"/>
        <w:rPr>
          <w:rFonts w:ascii="Arial" w:hAnsi="Arial" w:cs="Arial"/>
          <w:sz w:val="24"/>
          <w:szCs w:val="24"/>
        </w:rPr>
      </w:pPr>
      <w:r w:rsidRPr="008B1E50">
        <w:rPr>
          <w:rFonts w:ascii="Arial" w:hAnsi="Arial" w:cs="Arial"/>
          <w:sz w:val="24"/>
          <w:szCs w:val="24"/>
        </w:rPr>
        <w:t xml:space="preserve">NASS consults with respondents, the Agricultural Marketing Service (AMS) and the National Cotton Council of America to stay abreast of activities in the cotton industry. NASS worked with the NCC to improve the wording on the questionnaire. </w:t>
      </w:r>
    </w:p>
    <w:p w:rsidRPr="008B1E50" w:rsidR="008B1E50" w:rsidP="008B1E50" w:rsidRDefault="008B1E50">
      <w:pPr>
        <w:pStyle w:val="NoSpacing"/>
        <w:ind w:left="720"/>
        <w:rPr>
          <w:rFonts w:ascii="Arial" w:hAnsi="Arial" w:cs="Arial"/>
          <w:sz w:val="24"/>
          <w:szCs w:val="24"/>
        </w:rPr>
      </w:pPr>
    </w:p>
    <w:p w:rsidRPr="008B1E50" w:rsidR="008B1E50" w:rsidP="008B1E50" w:rsidRDefault="008B1E50">
      <w:pPr>
        <w:pStyle w:val="NoSpacing"/>
        <w:ind w:left="720"/>
        <w:rPr>
          <w:rFonts w:ascii="Arial" w:hAnsi="Arial" w:cs="Arial"/>
          <w:sz w:val="24"/>
          <w:szCs w:val="24"/>
        </w:rPr>
      </w:pPr>
      <w:r w:rsidRPr="008B1E50">
        <w:rPr>
          <w:rFonts w:ascii="Arial" w:hAnsi="Arial" w:cs="Arial"/>
          <w:sz w:val="24"/>
          <w:szCs w:val="24"/>
        </w:rPr>
        <w:t xml:space="preserve">Jody </w:t>
      </w:r>
      <w:proofErr w:type="spellStart"/>
      <w:r w:rsidRPr="008B1E50">
        <w:rPr>
          <w:rFonts w:ascii="Arial" w:hAnsi="Arial" w:cs="Arial"/>
          <w:sz w:val="24"/>
          <w:szCs w:val="24"/>
        </w:rPr>
        <w:t>Campiche</w:t>
      </w:r>
      <w:proofErr w:type="spellEnd"/>
    </w:p>
    <w:p w:rsidRPr="008B1E50" w:rsidR="008B1E50" w:rsidP="008B1E50" w:rsidRDefault="008B1E50">
      <w:pPr>
        <w:pStyle w:val="NoSpacing"/>
        <w:ind w:left="720"/>
        <w:rPr>
          <w:rFonts w:ascii="Arial" w:hAnsi="Arial" w:cs="Arial"/>
          <w:sz w:val="24"/>
          <w:szCs w:val="24"/>
        </w:rPr>
      </w:pPr>
      <w:r w:rsidRPr="008B1E50">
        <w:rPr>
          <w:rFonts w:ascii="Arial" w:hAnsi="Arial" w:cs="Arial"/>
          <w:sz w:val="24"/>
          <w:szCs w:val="24"/>
        </w:rPr>
        <w:t>V.P., Economics &amp; Policy Analysis</w:t>
      </w:r>
    </w:p>
    <w:p w:rsidRPr="008B1E50" w:rsidR="008B1E50" w:rsidP="008B1E50" w:rsidRDefault="008B1E50">
      <w:pPr>
        <w:pStyle w:val="NoSpacing"/>
        <w:ind w:left="720"/>
        <w:rPr>
          <w:rFonts w:ascii="Arial" w:hAnsi="Arial" w:cs="Arial"/>
          <w:sz w:val="24"/>
          <w:szCs w:val="24"/>
        </w:rPr>
      </w:pPr>
      <w:r w:rsidRPr="008B1E50">
        <w:rPr>
          <w:rFonts w:ascii="Arial" w:hAnsi="Arial" w:cs="Arial"/>
          <w:sz w:val="24"/>
          <w:szCs w:val="24"/>
        </w:rPr>
        <w:t>National Cotton Council</w:t>
      </w:r>
    </w:p>
    <w:p w:rsidR="008B1E50" w:rsidP="008B1E50" w:rsidRDefault="008B1E50">
      <w:pPr>
        <w:pStyle w:val="NoSpacing"/>
        <w:ind w:left="720"/>
      </w:pPr>
      <w:r w:rsidRPr="008B1E50">
        <w:rPr>
          <w:rFonts w:ascii="Arial" w:hAnsi="Arial" w:cs="Arial"/>
          <w:sz w:val="24"/>
          <w:szCs w:val="24"/>
        </w:rPr>
        <w:t>Cordova, TN</w:t>
      </w:r>
    </w:p>
    <w:p w:rsidRPr="008A0F3F" w:rsidR="00394819" w:rsidRDefault="00394819">
      <w:pPr>
        <w:widowControl/>
        <w:rPr>
          <w:rFonts w:ascii="Arial" w:hAnsi="Arial" w:cs="Arial"/>
          <w:color w:val="FF0000"/>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9.</w:t>
      </w:r>
      <w:r w:rsidRPr="00583833">
        <w:rPr>
          <w:rFonts w:ascii="Arial" w:hAnsi="Arial" w:cs="Arial"/>
          <w:b/>
          <w:bCs/>
          <w:sz w:val="24"/>
          <w:szCs w:val="24"/>
        </w:rPr>
        <w:tab/>
        <w:t>Explain any decision to provide any payment or gift to respondents.</w:t>
      </w:r>
    </w:p>
    <w:p w:rsidRPr="00583833" w:rsidR="00394819" w:rsidRDefault="00394819">
      <w:pPr>
        <w:widowControl/>
        <w:rPr>
          <w:rFonts w:ascii="Arial" w:hAnsi="Arial" w:cs="Arial"/>
          <w:sz w:val="24"/>
          <w:szCs w:val="24"/>
        </w:rPr>
      </w:pPr>
    </w:p>
    <w:p w:rsidRPr="00583833" w:rsidR="00394819" w:rsidRDefault="00394819">
      <w:pPr>
        <w:widowControl/>
        <w:ind w:left="720"/>
        <w:rPr>
          <w:rFonts w:ascii="Arial" w:hAnsi="Arial" w:cs="Arial"/>
          <w:sz w:val="24"/>
          <w:szCs w:val="24"/>
        </w:rPr>
      </w:pPr>
      <w:r w:rsidRPr="00583833">
        <w:rPr>
          <w:rFonts w:ascii="Arial" w:hAnsi="Arial" w:cs="Arial"/>
          <w:sz w:val="24"/>
          <w:szCs w:val="24"/>
        </w:rPr>
        <w:t>There are no payments or gifts to respondents.</w:t>
      </w:r>
    </w:p>
    <w:p w:rsidRPr="00583833"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b/>
          <w:bCs/>
          <w:sz w:val="24"/>
          <w:szCs w:val="24"/>
        </w:rPr>
      </w:pPr>
      <w:r w:rsidRPr="00583833">
        <w:rPr>
          <w:rFonts w:ascii="Arial" w:hAnsi="Arial" w:cs="Arial"/>
          <w:b/>
          <w:bCs/>
          <w:sz w:val="24"/>
          <w:szCs w:val="24"/>
        </w:rPr>
        <w:lastRenderedPageBreak/>
        <w:t>10.</w:t>
      </w:r>
      <w:r w:rsidRPr="00583833">
        <w:rPr>
          <w:rFonts w:ascii="Arial" w:hAnsi="Arial" w:cs="Arial"/>
          <w:b/>
          <w:bCs/>
          <w:sz w:val="24"/>
          <w:szCs w:val="24"/>
        </w:rPr>
        <w:tab/>
        <w:t>Describe any assurance of confidentiality provided to respondents and the basis for the assurance in statute, regulation, or agency policy.</w:t>
      </w:r>
    </w:p>
    <w:p w:rsidRPr="00C8022C" w:rsidR="00A361AE" w:rsidRDefault="00A361AE">
      <w:pPr>
        <w:widowControl/>
        <w:tabs>
          <w:tab w:val="left" w:pos="720"/>
        </w:tabs>
        <w:ind w:left="720" w:hanging="720"/>
        <w:rPr>
          <w:rFonts w:ascii="Arial" w:hAnsi="Arial" w:cs="Arial"/>
          <w:sz w:val="24"/>
          <w:szCs w:val="24"/>
        </w:rPr>
      </w:pPr>
    </w:p>
    <w:p w:rsidRPr="00C8022C" w:rsidR="00A361AE" w:rsidP="00A361AE" w:rsidRDefault="00A361AE">
      <w:pPr>
        <w:ind w:left="720"/>
        <w:rPr>
          <w:rFonts w:ascii="Arial" w:hAnsi="Arial" w:cs="Arial"/>
          <w:sz w:val="24"/>
          <w:szCs w:val="24"/>
        </w:rPr>
      </w:pPr>
      <w:r w:rsidRPr="00C8022C">
        <w:rPr>
          <w:rFonts w:ascii="Arial" w:hAnsi="Arial" w:cs="Arial"/>
          <w:sz w:val="24"/>
          <w:szCs w:val="24"/>
        </w:rPr>
        <w:t>Questionnaires include a statement that individual reports are confidential. U.S. Code Title 18, Section 1905 and Title 7, Section 2276 provide for confidentiality of reported information. All employees of NASS and all enumerators hired and supervised under a cooperative agreement with the National Association of State Departments of Agriculture</w:t>
      </w:r>
      <w:r w:rsidRPr="00C8022C" w:rsidR="00034B5B">
        <w:rPr>
          <w:rFonts w:ascii="Arial" w:hAnsi="Arial" w:cs="Arial"/>
          <w:sz w:val="24"/>
          <w:szCs w:val="24"/>
        </w:rPr>
        <w:t xml:space="preserve"> (NASDA)</w:t>
      </w:r>
      <w:r w:rsidRPr="00C8022C">
        <w:rPr>
          <w:rFonts w:ascii="Arial" w:hAnsi="Arial" w:cs="Arial"/>
          <w:sz w:val="24"/>
          <w:szCs w:val="24"/>
        </w:rPr>
        <w:t xml:space="preserve"> must read the regulations and sign a statement of compliance.  </w:t>
      </w:r>
    </w:p>
    <w:p w:rsidRPr="00C8022C" w:rsidR="00A361AE" w:rsidP="00A361AE" w:rsidRDefault="00A361AE">
      <w:pPr>
        <w:ind w:left="720"/>
        <w:rPr>
          <w:rFonts w:ascii="Arial" w:hAnsi="Arial" w:cs="Arial"/>
          <w:sz w:val="24"/>
          <w:szCs w:val="24"/>
        </w:rPr>
      </w:pPr>
    </w:p>
    <w:p w:rsidRPr="00C8022C" w:rsidR="00A361AE" w:rsidP="00A361AE" w:rsidRDefault="00A361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C8022C">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Pr="00C8022C" w:rsidR="009C6CCF" w:rsidP="009C6CCF" w:rsidRDefault="009C6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p>
    <w:p w:rsidRPr="00C8022C" w:rsidR="009C6CCF" w:rsidP="009C6CCF" w:rsidRDefault="009C6C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C8022C">
        <w:rPr>
          <w:rFonts w:ascii="Arial" w:hAnsi="Arial" w:cs="Arial"/>
          <w:sz w:val="24"/>
          <w:szCs w:val="24"/>
        </w:rPr>
        <w:t>The following CIPSEA Pledge statement will appear on all future NASS questionnaires.</w:t>
      </w:r>
    </w:p>
    <w:p w:rsidRPr="00C8022C" w:rsidR="009C6CCF" w:rsidP="009C6CCF" w:rsidRDefault="009C6CCF">
      <w:pPr>
        <w:pStyle w:val="ListParagraph"/>
        <w:ind w:left="1440"/>
        <w:rPr>
          <w:rFonts w:ascii="Arial" w:hAnsi="Arial" w:cs="Arial"/>
          <w:sz w:val="24"/>
          <w:szCs w:val="24"/>
        </w:rPr>
      </w:pPr>
    </w:p>
    <w:p w:rsidRPr="00C8022C" w:rsidR="00372DBB" w:rsidP="00372DBB" w:rsidRDefault="00372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Arial" w:hAnsi="Arial" w:cs="Arial"/>
          <w:sz w:val="24"/>
          <w:szCs w:val="24"/>
        </w:rPr>
      </w:pPr>
      <w:r w:rsidRPr="00C8022C">
        <w:rPr>
          <w:rFonts w:ascii="Arial" w:hAnsi="Arial"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w:history="1" r:id="rId8">
        <w:r w:rsidRPr="009C443C" w:rsidR="00C8022C">
          <w:rPr>
            <w:rStyle w:val="Hyperlink"/>
            <w:rFonts w:ascii="Arial" w:hAnsi="Arial" w:cs="Arial"/>
            <w:sz w:val="24"/>
            <w:szCs w:val="24"/>
          </w:rPr>
          <w:t>https://www.nass.usda.gov/confidentiality</w:t>
        </w:r>
      </w:hyperlink>
      <w:r w:rsidRPr="00C8022C">
        <w:rPr>
          <w:rFonts w:ascii="Arial" w:hAnsi="Arial" w:cs="Arial"/>
          <w:sz w:val="24"/>
          <w:szCs w:val="24"/>
        </w:rPr>
        <w:t>.</w:t>
      </w:r>
      <w:r w:rsidRPr="00C8022C" w:rsidR="00583833">
        <w:rPr>
          <w:rFonts w:ascii="Arial" w:hAnsi="Arial" w:cs="Arial"/>
          <w:sz w:val="24"/>
          <w:szCs w:val="24"/>
        </w:rPr>
        <w:t xml:space="preserve"> Response if voluntary.</w:t>
      </w:r>
    </w:p>
    <w:p w:rsidRPr="00C8022C" w:rsidR="00372DBB" w:rsidP="00372DBB" w:rsidRDefault="00372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11.</w:t>
      </w:r>
      <w:r w:rsidRPr="00583833">
        <w:rPr>
          <w:rFonts w:ascii="Arial" w:hAnsi="Arial" w:cs="Arial"/>
          <w:b/>
          <w:bCs/>
          <w:sz w:val="24"/>
          <w:szCs w:val="24"/>
        </w:rPr>
        <w:tab/>
        <w:t>Provide additional justification for any questions of a sensitive nature.</w:t>
      </w:r>
    </w:p>
    <w:p w:rsidRPr="00583833" w:rsidR="00394819" w:rsidRDefault="00394819">
      <w:pPr>
        <w:widowControl/>
        <w:rPr>
          <w:rFonts w:ascii="Arial" w:hAnsi="Arial" w:cs="Arial"/>
          <w:sz w:val="24"/>
          <w:szCs w:val="24"/>
        </w:rPr>
      </w:pPr>
    </w:p>
    <w:p w:rsidRPr="00583833" w:rsidR="00394819" w:rsidRDefault="00394819">
      <w:pPr>
        <w:widowControl/>
        <w:ind w:left="720"/>
        <w:rPr>
          <w:rFonts w:ascii="Arial" w:hAnsi="Arial" w:cs="Arial"/>
          <w:sz w:val="24"/>
          <w:szCs w:val="24"/>
        </w:rPr>
      </w:pPr>
      <w:r w:rsidRPr="00583833">
        <w:rPr>
          <w:rFonts w:ascii="Arial" w:hAnsi="Arial" w:cs="Arial"/>
          <w:sz w:val="24"/>
          <w:szCs w:val="24"/>
        </w:rPr>
        <w:t>There are no questions of a sensitive nature.</w:t>
      </w:r>
    </w:p>
    <w:p w:rsidRPr="00583833" w:rsidR="00394819" w:rsidRDefault="00394819">
      <w:pPr>
        <w:widowControl/>
        <w:rPr>
          <w:rFonts w:ascii="Arial" w:hAnsi="Arial" w:cs="Arial"/>
          <w:sz w:val="24"/>
          <w:szCs w:val="24"/>
        </w:rPr>
      </w:pPr>
    </w:p>
    <w:p w:rsidRPr="00BF7DD1"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12.</w:t>
      </w:r>
      <w:r w:rsidRPr="00583833">
        <w:rPr>
          <w:rFonts w:ascii="Arial" w:hAnsi="Arial" w:cs="Arial"/>
          <w:b/>
          <w:bCs/>
          <w:sz w:val="24"/>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w:t>
      </w:r>
      <w:r w:rsidRPr="00BF7DD1">
        <w:rPr>
          <w:rFonts w:ascii="Arial" w:hAnsi="Arial" w:cs="Arial"/>
          <w:b/>
          <w:bCs/>
          <w:sz w:val="24"/>
          <w:szCs w:val="24"/>
        </w:rPr>
        <w:t>ing and using appropriate wage rate categories.</w:t>
      </w:r>
    </w:p>
    <w:p w:rsidRPr="00BF7DD1" w:rsidR="00394819" w:rsidRDefault="00394819">
      <w:pPr>
        <w:widowControl/>
        <w:rPr>
          <w:rFonts w:ascii="Arial" w:hAnsi="Arial" w:cs="Arial"/>
          <w:sz w:val="24"/>
          <w:szCs w:val="24"/>
        </w:rPr>
      </w:pPr>
    </w:p>
    <w:p w:rsidRPr="00BF7DD1" w:rsidR="00B23E20" w:rsidP="00B23E20" w:rsidRDefault="00B23E20">
      <w:pPr>
        <w:widowControl/>
        <w:ind w:left="720"/>
        <w:rPr>
          <w:rFonts w:ascii="Arial" w:hAnsi="Arial" w:eastAsia="Times New Roman" w:cs="Arial"/>
          <w:sz w:val="24"/>
          <w:szCs w:val="24"/>
        </w:rPr>
      </w:pPr>
      <w:r w:rsidRPr="00BF7DD1">
        <w:rPr>
          <w:rFonts w:ascii="Arial" w:hAnsi="Arial" w:eastAsia="Times New Roman" w:cs="Arial"/>
          <w:sz w:val="24"/>
          <w:szCs w:val="24"/>
        </w:rPr>
        <w:t>Th</w:t>
      </w:r>
      <w:r w:rsidRPr="00BF7DD1" w:rsidR="00BF7DD1">
        <w:rPr>
          <w:rFonts w:ascii="Arial" w:hAnsi="Arial" w:eastAsia="Times New Roman" w:cs="Arial"/>
          <w:sz w:val="24"/>
          <w:szCs w:val="24"/>
        </w:rPr>
        <w:t>e renewal has a sample size of 575</w:t>
      </w:r>
      <w:r w:rsidRPr="00BF7DD1">
        <w:rPr>
          <w:rFonts w:ascii="Arial" w:hAnsi="Arial" w:eastAsia="Times New Roman" w:cs="Arial"/>
          <w:sz w:val="24"/>
          <w:szCs w:val="24"/>
        </w:rPr>
        <w:t xml:space="preserve">, a total number of </w:t>
      </w:r>
      <w:r w:rsidRPr="00BF7DD1" w:rsidR="00BF7DD1">
        <w:rPr>
          <w:rFonts w:ascii="Arial" w:hAnsi="Arial" w:eastAsia="Times New Roman" w:cs="Arial"/>
          <w:sz w:val="24"/>
          <w:szCs w:val="24"/>
        </w:rPr>
        <w:t>7,335 responses and a total of 1,218</w:t>
      </w:r>
      <w:r w:rsidRPr="00BF7DD1">
        <w:rPr>
          <w:rFonts w:ascii="Arial" w:hAnsi="Arial" w:eastAsia="Times New Roman" w:cs="Arial"/>
          <w:sz w:val="24"/>
          <w:szCs w:val="24"/>
        </w:rPr>
        <w:t xml:space="preserve"> bu</w:t>
      </w:r>
      <w:r w:rsidRPr="00BF7DD1" w:rsidR="00BF7DD1">
        <w:rPr>
          <w:rFonts w:ascii="Arial" w:hAnsi="Arial" w:eastAsia="Times New Roman" w:cs="Arial"/>
          <w:sz w:val="24"/>
          <w:szCs w:val="24"/>
        </w:rPr>
        <w:t xml:space="preserve">rden </w:t>
      </w:r>
      <w:r w:rsidRPr="00BF7DD1">
        <w:rPr>
          <w:rFonts w:ascii="Arial" w:hAnsi="Arial" w:eastAsia="Times New Roman" w:cs="Arial"/>
          <w:sz w:val="24"/>
          <w:szCs w:val="24"/>
        </w:rPr>
        <w:t>hours.</w:t>
      </w:r>
    </w:p>
    <w:p w:rsidRPr="00B23E20" w:rsidR="00B23E20" w:rsidP="00B23E20" w:rsidRDefault="00B23E20">
      <w:pPr>
        <w:widowControl/>
        <w:ind w:left="720"/>
        <w:rPr>
          <w:rFonts w:ascii="Arial" w:hAnsi="Arial" w:eastAsia="Times New Roman" w:cs="Arial"/>
          <w:sz w:val="24"/>
          <w:szCs w:val="24"/>
        </w:rPr>
      </w:pPr>
    </w:p>
    <w:p w:rsidRPr="00B23E20" w:rsidR="00B23E20" w:rsidP="00B23E20" w:rsidRDefault="00B23E20">
      <w:pPr>
        <w:widowControl/>
        <w:ind w:left="720"/>
        <w:rPr>
          <w:rFonts w:ascii="Arial" w:hAnsi="Arial" w:eastAsia="Times New Roman" w:cs="Arial"/>
          <w:sz w:val="24"/>
          <w:szCs w:val="24"/>
        </w:rPr>
      </w:pPr>
      <w:r w:rsidRPr="00B23E20">
        <w:rPr>
          <w:rFonts w:ascii="Arial" w:hAnsi="Arial" w:eastAsia="Times New Roman" w:cs="Arial"/>
          <w:sz w:val="24"/>
          <w:szCs w:val="24"/>
        </w:rPr>
        <w:t xml:space="preserve">Average minutes per response for the </w:t>
      </w:r>
      <w:r>
        <w:rPr>
          <w:rFonts w:ascii="Arial" w:hAnsi="Arial" w:eastAsia="Times New Roman" w:cs="Arial"/>
          <w:sz w:val="24"/>
          <w:szCs w:val="24"/>
        </w:rPr>
        <w:t xml:space="preserve">cotton ginning </w:t>
      </w:r>
      <w:r w:rsidRPr="00B23E20">
        <w:rPr>
          <w:rFonts w:ascii="Arial" w:hAnsi="Arial" w:eastAsia="Times New Roman" w:cs="Arial"/>
          <w:sz w:val="24"/>
          <w:szCs w:val="24"/>
        </w:rPr>
        <w:t xml:space="preserve">surveys are based on the amount of data asked on each questionnaire and the time needed for telephone </w:t>
      </w:r>
      <w:r>
        <w:rPr>
          <w:rFonts w:ascii="Arial" w:hAnsi="Arial" w:eastAsia="Times New Roman" w:cs="Arial"/>
          <w:sz w:val="24"/>
          <w:szCs w:val="24"/>
        </w:rPr>
        <w:t>respondents to find and report the data.</w:t>
      </w:r>
      <w:r w:rsidRPr="00B23E20">
        <w:rPr>
          <w:rFonts w:ascii="Arial" w:hAnsi="Arial" w:eastAsia="Times New Roman" w:cs="Arial"/>
          <w:sz w:val="24"/>
          <w:szCs w:val="24"/>
        </w:rPr>
        <w:t xml:space="preserve"> Total hours of burden is shown in the tables below.</w:t>
      </w:r>
    </w:p>
    <w:p w:rsidR="00B23E20" w:rsidP="00B23E20" w:rsidRDefault="00B23E20">
      <w:pPr>
        <w:ind w:left="720"/>
        <w:rPr>
          <w:rFonts w:ascii="Arial" w:hAnsi="Arial" w:eastAsia="Times New Roman" w:cs="Arial"/>
          <w:sz w:val="24"/>
          <w:szCs w:val="24"/>
        </w:rPr>
      </w:pPr>
    </w:p>
    <w:p w:rsidRPr="00B23E20" w:rsidR="00B23E20" w:rsidP="00B23E20" w:rsidRDefault="00B23E20">
      <w:pPr>
        <w:ind w:left="720"/>
        <w:rPr>
          <w:rFonts w:ascii="Arial" w:hAnsi="Arial" w:eastAsia="Times New Roman" w:cs="Arial"/>
          <w:sz w:val="24"/>
          <w:szCs w:val="24"/>
        </w:rPr>
      </w:pPr>
      <w:r w:rsidRPr="00B23E20">
        <w:rPr>
          <w:rFonts w:ascii="Arial" w:hAnsi="Arial" w:eastAsia="Times New Roman" w:cs="Arial"/>
          <w:sz w:val="24"/>
          <w:szCs w:val="24"/>
        </w:rPr>
        <w:t xml:space="preserve">Cost to the public of completing a questionnaire is assumed to be comparable to the hourly rate of those requesting the data. Reporting time of </w:t>
      </w:r>
      <w:r w:rsidR="00E3666C">
        <w:rPr>
          <w:rFonts w:ascii="Arial" w:hAnsi="Arial" w:eastAsia="Times New Roman" w:cs="Arial"/>
          <w:sz w:val="24"/>
          <w:szCs w:val="24"/>
        </w:rPr>
        <w:t xml:space="preserve">1,218 </w:t>
      </w:r>
      <w:r w:rsidRPr="00B23E20">
        <w:rPr>
          <w:rFonts w:ascii="Arial" w:hAnsi="Arial" w:eastAsia="Times New Roman" w:cs="Arial"/>
          <w:sz w:val="24"/>
          <w:szCs w:val="24"/>
        </w:rPr>
        <w:t>hours is multiplied by $36.</w:t>
      </w:r>
      <w:r w:rsidR="00E3666C">
        <w:rPr>
          <w:rFonts w:ascii="Arial" w:hAnsi="Arial" w:eastAsia="Times New Roman" w:cs="Arial"/>
          <w:sz w:val="24"/>
          <w:szCs w:val="24"/>
        </w:rPr>
        <w:t>8</w:t>
      </w:r>
      <w:r w:rsidRPr="00B23E20">
        <w:rPr>
          <w:rFonts w:ascii="Arial" w:hAnsi="Arial" w:eastAsia="Times New Roman" w:cs="Arial"/>
          <w:sz w:val="24"/>
          <w:szCs w:val="24"/>
        </w:rPr>
        <w:t>4 per hour for a total cost to the public of $</w:t>
      </w:r>
      <w:r w:rsidR="00E3666C">
        <w:rPr>
          <w:rFonts w:ascii="Arial" w:hAnsi="Arial" w:eastAsia="Times New Roman" w:cs="Arial"/>
          <w:sz w:val="24"/>
          <w:szCs w:val="24"/>
        </w:rPr>
        <w:t>44,871.12</w:t>
      </w:r>
      <w:r w:rsidRPr="00B23E20">
        <w:rPr>
          <w:rFonts w:ascii="Arial" w:hAnsi="Arial" w:eastAsia="Times New Roman" w:cs="Arial"/>
          <w:sz w:val="24"/>
          <w:szCs w:val="24"/>
        </w:rPr>
        <w:t>.</w:t>
      </w:r>
    </w:p>
    <w:p w:rsidRPr="00B23E20" w:rsidR="00B23E20" w:rsidP="00B23E20" w:rsidRDefault="00B23E20">
      <w:pPr>
        <w:ind w:left="720"/>
        <w:rPr>
          <w:rFonts w:ascii="Arial" w:hAnsi="Arial" w:eastAsia="Times New Roman" w:cs="Arial"/>
          <w:color w:val="FF0000"/>
          <w:sz w:val="24"/>
          <w:szCs w:val="24"/>
        </w:rPr>
      </w:pPr>
    </w:p>
    <w:p w:rsidRPr="00B23E20" w:rsidR="00B23E20" w:rsidP="00B23E20" w:rsidRDefault="00B23E20">
      <w:pPr>
        <w:widowControl/>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left="720"/>
        <w:rPr>
          <w:rFonts w:ascii="Arial" w:hAnsi="Arial" w:eastAsia="Times New Roman" w:cs="Arial"/>
          <w:sz w:val="24"/>
          <w:szCs w:val="24"/>
        </w:rPr>
      </w:pPr>
      <w:r w:rsidRPr="00B23E20">
        <w:rPr>
          <w:rFonts w:ascii="Arial" w:hAnsi="Arial" w:eastAsia="Times New Roman" w:cs="Arial"/>
          <w:sz w:val="24"/>
          <w:szCs w:val="24"/>
        </w:rPr>
        <w:t xml:space="preserve">NASS uses the Bureau of Labor Statistics’ </w:t>
      </w:r>
      <w:hyperlink w:history="1" r:id="rId9">
        <w:r w:rsidRPr="00B23E20">
          <w:rPr>
            <w:rFonts w:ascii="Arial" w:hAnsi="Arial" w:eastAsia="Times New Roman" w:cs="Arial"/>
            <w:color w:val="0000FF"/>
            <w:sz w:val="24"/>
            <w:szCs w:val="24"/>
            <w:u w:val="single"/>
          </w:rPr>
          <w:t>Occupational Employment Statistics</w:t>
        </w:r>
      </w:hyperlink>
      <w:r w:rsidRPr="00B23E20">
        <w:rPr>
          <w:rFonts w:ascii="Arial" w:hAnsi="Arial" w:eastAsia="Times New Roman" w:cs="Arial"/>
          <w:sz w:val="24"/>
          <w:szCs w:val="24"/>
        </w:rPr>
        <w:t xml:space="preserve"> (most recently published on March 29, 2019 for the previous May) to estimate an hourly wage for the burden cost. The May 2018 mean wage for bookkeepers was $20.25. The mean wage for farm managers was $38.43. The mean wage for farm supervisors was $24.42. The mean wage of the three is $27.70. To calculate the fully loaded wage rate (includes allowances for Social Security, insurance, etc.) NASS will add 33% for a total of $36.84 per hour.</w:t>
      </w:r>
    </w:p>
    <w:p w:rsidRPr="008A0F3F" w:rsidR="001F3EA1" w:rsidP="000F1B62" w:rsidRDefault="001F3E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Pr="008A0F3F" w:rsidR="001F3EA1" w:rsidP="000F1B62" w:rsidRDefault="001F3E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Pr="008A0F3F" w:rsidR="001F3EA1" w:rsidP="000F1B62" w:rsidRDefault="001F3EA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4"/>
          <w:szCs w:val="24"/>
        </w:rPr>
      </w:pPr>
    </w:p>
    <w:p w:rsidRPr="008A0F3F" w:rsidR="001F3EA1" w:rsidRDefault="001F3EA1">
      <w:pPr>
        <w:widowControl/>
        <w:rPr>
          <w:rFonts w:ascii="Arial" w:hAnsi="Arial" w:cs="Arial"/>
          <w:color w:val="FF0000"/>
          <w:sz w:val="24"/>
          <w:szCs w:val="24"/>
        </w:rPr>
        <w:sectPr w:rsidRPr="008A0F3F" w:rsidR="001F3EA1" w:rsidSect="00797157">
          <w:footerReference w:type="default" r:id="rId10"/>
          <w:footerReference w:type="first" r:id="rId11"/>
          <w:type w:val="continuous"/>
          <w:pgSz w:w="12240" w:h="15840"/>
          <w:pgMar w:top="1440" w:right="1440" w:bottom="1440" w:left="1440" w:header="1440" w:footer="354" w:gutter="0"/>
          <w:cols w:space="720"/>
          <w:titlePg/>
          <w:docGrid w:linePitch="272"/>
        </w:sectPr>
      </w:pPr>
    </w:p>
    <w:p w:rsidR="00515E52" w:rsidRDefault="00515E52">
      <w:pPr>
        <w:widowControl/>
        <w:rPr>
          <w:rFonts w:ascii="Arial" w:hAnsi="Arial" w:cs="Arial"/>
          <w:sz w:val="24"/>
          <w:szCs w:val="24"/>
        </w:rPr>
      </w:pPr>
    </w:p>
    <w:p w:rsidRPr="00EA1F33" w:rsidR="007259B2" w:rsidP="00540101" w:rsidRDefault="000D0112">
      <w:pPr>
        <w:widowControl/>
        <w:ind w:left="270"/>
        <w:rPr>
          <w:rFonts w:ascii="Arial" w:hAnsi="Arial" w:cs="Arial"/>
          <w:sz w:val="24"/>
          <w:szCs w:val="24"/>
        </w:rPr>
      </w:pPr>
      <w:r>
        <w:rPr>
          <w:rFonts w:ascii="Arial" w:hAnsi="Arial" w:cs="Arial"/>
          <w:sz w:val="24"/>
          <w:szCs w:val="24"/>
        </w:rPr>
        <w:object w:dxaOrig="14538" w:dyaOrig="684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695.4pt;height:327pt" o:ole="" type="#_x0000_t75">
            <v:imagedata o:title="" r:id="rId12"/>
          </v:shape>
          <o:OLEObject Type="Embed" ProgID="Excel.Sheet.12" ShapeID="_x0000_i1025" DrawAspect="Content" ObjectID="_1640674113" r:id="rId13"/>
        </w:object>
      </w:r>
    </w:p>
    <w:p w:rsidRPr="00EA1F33" w:rsidR="00000662" w:rsidP="00C710D1" w:rsidRDefault="00000662">
      <w:pPr>
        <w:pStyle w:val="ListParagraph"/>
        <w:widowControl/>
        <w:numPr>
          <w:ilvl w:val="0"/>
          <w:numId w:val="4"/>
        </w:numPr>
        <w:rPr>
          <w:rFonts w:ascii="Arial" w:hAnsi="Arial" w:cs="Arial"/>
          <w:sz w:val="18"/>
        </w:rPr>
      </w:pPr>
      <w:r w:rsidRPr="00EA1F33">
        <w:rPr>
          <w:rFonts w:ascii="Arial" w:hAnsi="Arial" w:cs="Arial"/>
          <w:sz w:val="18"/>
        </w:rPr>
        <w:t xml:space="preserve">Questionnaires for </w:t>
      </w:r>
      <w:r w:rsidRPr="00EA1F33" w:rsidR="00EA1F33">
        <w:rPr>
          <w:rFonts w:ascii="Arial" w:hAnsi="Arial" w:cs="Arial"/>
          <w:sz w:val="18"/>
        </w:rPr>
        <w:t>August</w:t>
      </w:r>
      <w:r w:rsidRPr="00EA1F33">
        <w:rPr>
          <w:rFonts w:ascii="Arial" w:hAnsi="Arial" w:cs="Arial"/>
          <w:sz w:val="18"/>
        </w:rPr>
        <w:t xml:space="preserve"> thru </w:t>
      </w:r>
      <w:r w:rsidRPr="00EA1F33" w:rsidR="00EA1F33">
        <w:rPr>
          <w:rFonts w:ascii="Arial" w:hAnsi="Arial" w:cs="Arial"/>
          <w:sz w:val="18"/>
        </w:rPr>
        <w:t>March</w:t>
      </w:r>
      <w:r w:rsidRPr="00EA1F33">
        <w:rPr>
          <w:rFonts w:ascii="Arial" w:hAnsi="Arial" w:cs="Arial"/>
          <w:sz w:val="18"/>
        </w:rPr>
        <w:t xml:space="preserve"> for both first of month and mid</w:t>
      </w:r>
      <w:r w:rsidRPr="00EA1F33" w:rsidR="00EA1F33">
        <w:rPr>
          <w:rFonts w:ascii="Arial" w:hAnsi="Arial" w:cs="Arial"/>
          <w:sz w:val="18"/>
        </w:rPr>
        <w:t>-</w:t>
      </w:r>
      <w:r w:rsidRPr="00EA1F33">
        <w:rPr>
          <w:rFonts w:ascii="Arial" w:hAnsi="Arial" w:cs="Arial"/>
          <w:sz w:val="18"/>
        </w:rPr>
        <w:t xml:space="preserve">month contain the same content as the December sample questionnaires that are submitted with this docket. </w:t>
      </w:r>
      <w:r w:rsidRPr="00EA1F33" w:rsidR="00EA1F33">
        <w:rPr>
          <w:rFonts w:ascii="Arial" w:hAnsi="Arial" w:cs="Arial"/>
          <w:sz w:val="18"/>
        </w:rPr>
        <w:t>Only the Final Report contains additional questions.</w:t>
      </w:r>
    </w:p>
    <w:p w:rsidRPr="00C710D1" w:rsidR="00000662" w:rsidRDefault="00000662">
      <w:pPr>
        <w:widowControl/>
        <w:rPr>
          <w:rFonts w:ascii="Arial" w:hAnsi="Arial" w:cs="Arial"/>
          <w:color w:val="FF0000"/>
        </w:rPr>
        <w:sectPr w:rsidRPr="00C710D1" w:rsidR="00000662" w:rsidSect="00797157">
          <w:pgSz w:w="15840" w:h="12240" w:orient="landscape"/>
          <w:pgMar w:top="1440" w:right="1440" w:bottom="1440" w:left="576" w:header="1440" w:footer="534" w:gutter="0"/>
          <w:cols w:space="720"/>
          <w:titlePg/>
          <w:docGrid w:linePitch="272"/>
        </w:sectPr>
      </w:pPr>
    </w:p>
    <w:p w:rsidR="00393BC1" w:rsidRDefault="00393BC1">
      <w:pPr>
        <w:widowControl/>
        <w:rPr>
          <w:rFonts w:ascii="Arial" w:hAnsi="Arial" w:cs="Arial"/>
          <w:sz w:val="24"/>
          <w:szCs w:val="24"/>
        </w:rPr>
      </w:pPr>
    </w:p>
    <w:p w:rsidRPr="00583833" w:rsidR="00393BC1" w:rsidRDefault="00393BC1">
      <w:pPr>
        <w:widowControl/>
        <w:rPr>
          <w:rFonts w:ascii="Arial" w:hAnsi="Arial" w:cs="Arial"/>
          <w:sz w:val="24"/>
          <w:szCs w:val="24"/>
        </w:rPr>
      </w:pPr>
      <w:bookmarkStart w:name="_GoBack" w:id="0"/>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13.</w:t>
      </w:r>
      <w:r w:rsidRPr="00583833">
        <w:rPr>
          <w:rFonts w:ascii="Arial" w:hAnsi="Arial" w:cs="Arial"/>
          <w:b/>
          <w:bCs/>
          <w:sz w:val="24"/>
          <w:szCs w:val="24"/>
        </w:rPr>
        <w:tab/>
        <w:t xml:space="preserve">Provide an estimate of the total annual cost burden to respondents or </w:t>
      </w:r>
      <w:bookmarkEnd w:id="0"/>
      <w:r w:rsidRPr="00583833">
        <w:rPr>
          <w:rFonts w:ascii="Arial" w:hAnsi="Arial" w:cs="Arial"/>
          <w:b/>
          <w:bCs/>
          <w:sz w:val="24"/>
          <w:szCs w:val="24"/>
        </w:rPr>
        <w:t>record-keepers resulting from the collection of information.</w:t>
      </w:r>
    </w:p>
    <w:p w:rsidRPr="00583833" w:rsidR="00394819" w:rsidRDefault="00394819">
      <w:pPr>
        <w:widowControl/>
        <w:rPr>
          <w:rFonts w:ascii="Arial" w:hAnsi="Arial" w:cs="Arial"/>
          <w:sz w:val="24"/>
          <w:szCs w:val="24"/>
        </w:rPr>
      </w:pPr>
    </w:p>
    <w:p w:rsidRPr="008062F2" w:rsidR="00034B5B" w:rsidP="008062F2" w:rsidRDefault="00034B5B">
      <w:pPr>
        <w:tabs>
          <w:tab w:val="left" w:pos="576"/>
          <w:tab w:val="left" w:pos="1152"/>
          <w:tab w:val="left" w:pos="1728"/>
          <w:tab w:val="left" w:pos="2304"/>
        </w:tabs>
        <w:ind w:left="720"/>
        <w:rPr>
          <w:rFonts w:ascii="Arial" w:hAnsi="Arial" w:cs="Arial"/>
          <w:sz w:val="24"/>
          <w:szCs w:val="24"/>
        </w:rPr>
      </w:pPr>
      <w:r w:rsidRPr="00583833">
        <w:rPr>
          <w:rFonts w:ascii="Arial" w:hAnsi="Arial" w:cs="Arial"/>
          <w:sz w:val="24"/>
          <w:szCs w:val="24"/>
        </w:rPr>
        <w:t>There are no capital/start-up or ongoing operati</w:t>
      </w:r>
      <w:r w:rsidR="00BF7DD1">
        <w:rPr>
          <w:rFonts w:ascii="Arial" w:hAnsi="Arial" w:cs="Arial"/>
          <w:sz w:val="24"/>
          <w:szCs w:val="24"/>
        </w:rPr>
        <w:t>on/maintenance costs associated</w:t>
      </w:r>
      <w:r w:rsidR="008062F2">
        <w:rPr>
          <w:rFonts w:ascii="Arial" w:hAnsi="Arial" w:cs="Arial"/>
          <w:sz w:val="24"/>
          <w:szCs w:val="24"/>
        </w:rPr>
        <w:t xml:space="preserve"> </w:t>
      </w:r>
      <w:r w:rsidRPr="00583833">
        <w:rPr>
          <w:rFonts w:ascii="Arial" w:hAnsi="Arial" w:cs="Arial"/>
          <w:sz w:val="24"/>
          <w:szCs w:val="24"/>
        </w:rPr>
        <w:t>with this information collection.</w:t>
      </w:r>
    </w:p>
    <w:p w:rsidRPr="00583833"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14.</w:t>
      </w:r>
      <w:r w:rsidRPr="00583833">
        <w:rPr>
          <w:rFonts w:ascii="Arial" w:hAnsi="Arial" w:cs="Arial"/>
          <w:b/>
          <w:bCs/>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Pr="00583833" w:rsidR="00394819" w:rsidRDefault="00394819">
      <w:pPr>
        <w:widowControl/>
        <w:rPr>
          <w:rFonts w:ascii="Arial" w:hAnsi="Arial" w:cs="Arial"/>
          <w:sz w:val="24"/>
          <w:szCs w:val="24"/>
        </w:rPr>
      </w:pPr>
    </w:p>
    <w:p w:rsidRPr="00B23E20" w:rsidR="00B605E7" w:rsidRDefault="00394819">
      <w:pPr>
        <w:widowControl/>
        <w:ind w:left="720"/>
        <w:rPr>
          <w:rFonts w:ascii="Arial" w:hAnsi="Arial" w:cs="Arial"/>
          <w:sz w:val="24"/>
          <w:szCs w:val="24"/>
        </w:rPr>
      </w:pPr>
      <w:r w:rsidRPr="00B23E20">
        <w:rPr>
          <w:rFonts w:ascii="Arial" w:hAnsi="Arial" w:cs="Arial"/>
          <w:sz w:val="24"/>
          <w:szCs w:val="24"/>
        </w:rPr>
        <w:t>The total annual cost to the Federal government for the data collection and summarization associated with</w:t>
      </w:r>
      <w:r w:rsidRPr="00B23E20" w:rsidR="001C1AF4">
        <w:rPr>
          <w:rFonts w:ascii="Arial" w:hAnsi="Arial" w:cs="Arial"/>
          <w:sz w:val="24"/>
          <w:szCs w:val="24"/>
        </w:rPr>
        <w:t xml:space="preserve"> the</w:t>
      </w:r>
      <w:r w:rsidRPr="00B23E20">
        <w:rPr>
          <w:rFonts w:ascii="Arial" w:hAnsi="Arial" w:cs="Arial"/>
          <w:sz w:val="24"/>
          <w:szCs w:val="24"/>
        </w:rPr>
        <w:t xml:space="preserve"> Cotton </w:t>
      </w:r>
      <w:proofErr w:type="spellStart"/>
      <w:r w:rsidRPr="00B23E20">
        <w:rPr>
          <w:rFonts w:ascii="Arial" w:hAnsi="Arial" w:cs="Arial"/>
          <w:sz w:val="24"/>
          <w:szCs w:val="24"/>
        </w:rPr>
        <w:t>Ginnings</w:t>
      </w:r>
      <w:proofErr w:type="spellEnd"/>
      <w:r w:rsidRPr="00B23E20">
        <w:rPr>
          <w:rFonts w:ascii="Arial" w:hAnsi="Arial" w:cs="Arial"/>
          <w:sz w:val="24"/>
          <w:szCs w:val="24"/>
        </w:rPr>
        <w:t xml:space="preserve"> </w:t>
      </w:r>
      <w:r w:rsidRPr="00B23E20" w:rsidR="001C1AF4">
        <w:rPr>
          <w:rFonts w:ascii="Arial" w:hAnsi="Arial" w:cs="Arial"/>
          <w:sz w:val="24"/>
          <w:szCs w:val="24"/>
        </w:rPr>
        <w:t>surveys i</w:t>
      </w:r>
      <w:r w:rsidRPr="00B23E20">
        <w:rPr>
          <w:rFonts w:ascii="Arial" w:hAnsi="Arial" w:cs="Arial"/>
          <w:sz w:val="24"/>
          <w:szCs w:val="24"/>
        </w:rPr>
        <w:t xml:space="preserve">s </w:t>
      </w:r>
      <w:r w:rsidRPr="00B23E20" w:rsidR="001C1AF4">
        <w:rPr>
          <w:rFonts w:ascii="Arial" w:hAnsi="Arial" w:cs="Arial"/>
          <w:sz w:val="24"/>
          <w:szCs w:val="24"/>
        </w:rPr>
        <w:t xml:space="preserve">expected to remain at </w:t>
      </w:r>
      <w:r w:rsidRPr="00B23E20">
        <w:rPr>
          <w:rFonts w:ascii="Arial" w:hAnsi="Arial" w:cs="Arial"/>
          <w:sz w:val="24"/>
          <w:szCs w:val="24"/>
        </w:rPr>
        <w:t>$</w:t>
      </w:r>
      <w:r w:rsidRPr="00B23E20" w:rsidR="0063119B">
        <w:rPr>
          <w:rFonts w:ascii="Arial" w:hAnsi="Arial" w:cs="Arial"/>
          <w:sz w:val="24"/>
          <w:szCs w:val="24"/>
        </w:rPr>
        <w:t>500,000</w:t>
      </w:r>
      <w:r w:rsidRPr="00B23E20" w:rsidR="001C1AF4">
        <w:rPr>
          <w:rFonts w:ascii="Arial" w:hAnsi="Arial" w:cs="Arial"/>
          <w:sz w:val="24"/>
          <w:szCs w:val="24"/>
        </w:rPr>
        <w:t>, for the next three years</w:t>
      </w:r>
      <w:r w:rsidR="00B1512D">
        <w:rPr>
          <w:rFonts w:ascii="Arial" w:hAnsi="Arial" w:cs="Arial"/>
          <w:sz w:val="24"/>
          <w:szCs w:val="24"/>
        </w:rPr>
        <w:t xml:space="preserve"> which includes allowances for </w:t>
      </w:r>
      <w:r w:rsidRPr="00B23E20" w:rsidR="00B605E7">
        <w:rPr>
          <w:rFonts w:ascii="Arial" w:hAnsi="Arial" w:eastAsia="Times New Roman" w:cs="Arial"/>
          <w:sz w:val="24"/>
          <w:szCs w:val="24"/>
        </w:rPr>
        <w:t>Social Security, insurance, etc.</w:t>
      </w:r>
    </w:p>
    <w:p w:rsidRPr="00B23E20"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15.</w:t>
      </w:r>
      <w:r w:rsidRPr="00583833">
        <w:rPr>
          <w:rFonts w:ascii="Arial" w:hAnsi="Arial" w:cs="Arial"/>
          <w:b/>
          <w:bCs/>
          <w:sz w:val="24"/>
          <w:szCs w:val="24"/>
        </w:rPr>
        <w:tab/>
        <w:t>Explain the reasons for any program changes or adjustments reported in Items 13 or 14 of the OMB Form 83-I (reasons for changes in burden).</w:t>
      </w:r>
    </w:p>
    <w:p w:rsidRPr="00583833" w:rsidR="00394819" w:rsidRDefault="00394819">
      <w:pPr>
        <w:widowControl/>
        <w:rPr>
          <w:rFonts w:ascii="Arial" w:hAnsi="Arial" w:cs="Arial"/>
          <w:sz w:val="24"/>
          <w:szCs w:val="24"/>
        </w:rPr>
      </w:pPr>
    </w:p>
    <w:p w:rsidRPr="00B6643D" w:rsidR="000E138C" w:rsidRDefault="00394819">
      <w:pPr>
        <w:widowControl/>
        <w:ind w:left="720"/>
        <w:rPr>
          <w:rFonts w:ascii="Arial" w:hAnsi="Arial" w:cs="Arial"/>
          <w:sz w:val="24"/>
          <w:szCs w:val="24"/>
        </w:rPr>
      </w:pPr>
      <w:r w:rsidRPr="00B64D74">
        <w:rPr>
          <w:rFonts w:ascii="Arial" w:hAnsi="Arial" w:cs="Arial"/>
          <w:sz w:val="24"/>
          <w:szCs w:val="24"/>
        </w:rPr>
        <w:t xml:space="preserve">The annual burden for Cotton </w:t>
      </w:r>
      <w:proofErr w:type="spellStart"/>
      <w:r w:rsidRPr="00B64D74">
        <w:rPr>
          <w:rFonts w:ascii="Arial" w:hAnsi="Arial" w:cs="Arial"/>
          <w:sz w:val="24"/>
          <w:szCs w:val="24"/>
        </w:rPr>
        <w:t>Ginnings</w:t>
      </w:r>
      <w:proofErr w:type="spellEnd"/>
      <w:r w:rsidRPr="00B64D74">
        <w:rPr>
          <w:rFonts w:ascii="Arial" w:hAnsi="Arial" w:cs="Arial"/>
          <w:sz w:val="24"/>
          <w:szCs w:val="24"/>
        </w:rPr>
        <w:t xml:space="preserve"> is </w:t>
      </w:r>
      <w:r w:rsidRPr="00B6643D">
        <w:rPr>
          <w:rFonts w:ascii="Arial" w:hAnsi="Arial" w:cs="Arial"/>
          <w:sz w:val="24"/>
          <w:szCs w:val="24"/>
        </w:rPr>
        <w:t xml:space="preserve">estimated to be </w:t>
      </w:r>
      <w:r w:rsidRPr="00B6643D" w:rsidR="003C7B72">
        <w:rPr>
          <w:rFonts w:ascii="Arial" w:hAnsi="Arial" w:cs="Arial"/>
          <w:sz w:val="24"/>
          <w:szCs w:val="24"/>
        </w:rPr>
        <w:t>1</w:t>
      </w:r>
      <w:r w:rsidRPr="00B6643D" w:rsidR="00370A61">
        <w:rPr>
          <w:rFonts w:ascii="Arial" w:hAnsi="Arial" w:cs="Arial"/>
          <w:sz w:val="24"/>
          <w:szCs w:val="24"/>
        </w:rPr>
        <w:t>,</w:t>
      </w:r>
      <w:r w:rsidRPr="00B6643D" w:rsidR="00EF552B">
        <w:rPr>
          <w:rFonts w:ascii="Arial" w:hAnsi="Arial" w:cs="Arial"/>
          <w:sz w:val="24"/>
          <w:szCs w:val="24"/>
        </w:rPr>
        <w:t>2</w:t>
      </w:r>
      <w:r w:rsidRPr="00B6643D" w:rsidR="00B64D74">
        <w:rPr>
          <w:rFonts w:ascii="Arial" w:hAnsi="Arial" w:cs="Arial"/>
          <w:sz w:val="24"/>
          <w:szCs w:val="24"/>
        </w:rPr>
        <w:t>18</w:t>
      </w:r>
      <w:r w:rsidRPr="00B6643D">
        <w:rPr>
          <w:rFonts w:ascii="Arial" w:hAnsi="Arial" w:cs="Arial"/>
          <w:sz w:val="24"/>
          <w:szCs w:val="24"/>
        </w:rPr>
        <w:t xml:space="preserve"> hours</w:t>
      </w:r>
      <w:r w:rsidRPr="00B6643D" w:rsidR="0091568A">
        <w:rPr>
          <w:rFonts w:ascii="Arial" w:hAnsi="Arial" w:cs="Arial"/>
          <w:sz w:val="24"/>
          <w:szCs w:val="24"/>
        </w:rPr>
        <w:t xml:space="preserve"> </w:t>
      </w:r>
      <w:r w:rsidRPr="00B6643D" w:rsidR="003C7B72">
        <w:rPr>
          <w:rFonts w:ascii="Arial" w:hAnsi="Arial" w:cs="Arial"/>
          <w:sz w:val="24"/>
          <w:szCs w:val="24"/>
        </w:rPr>
        <w:t xml:space="preserve">which is a </w:t>
      </w:r>
      <w:r w:rsidRPr="00B6643D" w:rsidR="00B64D74">
        <w:rPr>
          <w:rFonts w:ascii="Arial" w:hAnsi="Arial" w:cs="Arial"/>
          <w:sz w:val="24"/>
          <w:szCs w:val="24"/>
        </w:rPr>
        <w:t>de</w:t>
      </w:r>
      <w:r w:rsidRPr="00B6643D" w:rsidR="003C7B72">
        <w:rPr>
          <w:rFonts w:ascii="Arial" w:hAnsi="Arial" w:cs="Arial"/>
          <w:sz w:val="24"/>
          <w:szCs w:val="24"/>
        </w:rPr>
        <w:t xml:space="preserve">crease of </w:t>
      </w:r>
      <w:r w:rsidRPr="00B6643D" w:rsidR="00B6643D">
        <w:rPr>
          <w:rFonts w:ascii="Arial" w:hAnsi="Arial" w:cs="Arial"/>
          <w:sz w:val="24"/>
          <w:szCs w:val="24"/>
        </w:rPr>
        <w:t>59</w:t>
      </w:r>
      <w:r w:rsidRPr="00B6643D">
        <w:rPr>
          <w:rFonts w:ascii="Arial" w:hAnsi="Arial" w:cs="Arial"/>
          <w:sz w:val="24"/>
          <w:szCs w:val="24"/>
        </w:rPr>
        <w:t xml:space="preserve"> hours from the current inventory of </w:t>
      </w:r>
      <w:r w:rsidRPr="00B6643D" w:rsidR="00B6643D">
        <w:rPr>
          <w:rFonts w:ascii="Arial" w:hAnsi="Arial" w:cs="Arial"/>
          <w:sz w:val="24"/>
          <w:szCs w:val="24"/>
        </w:rPr>
        <w:t>1,277.</w:t>
      </w:r>
      <w:r w:rsidRPr="00B6643D">
        <w:rPr>
          <w:rFonts w:ascii="Arial" w:hAnsi="Arial" w:cs="Arial"/>
          <w:sz w:val="24"/>
          <w:szCs w:val="24"/>
        </w:rPr>
        <w:t xml:space="preserve"> </w:t>
      </w:r>
      <w:r w:rsidRPr="00B6643D" w:rsidR="007B416B">
        <w:rPr>
          <w:rFonts w:ascii="Arial" w:hAnsi="Arial" w:cs="Arial"/>
          <w:sz w:val="24"/>
          <w:szCs w:val="24"/>
        </w:rPr>
        <w:t xml:space="preserve">The number of responses is projected to </w:t>
      </w:r>
      <w:r w:rsidRPr="00B6643D" w:rsidR="00B6643D">
        <w:rPr>
          <w:rFonts w:ascii="Arial" w:hAnsi="Arial" w:cs="Arial"/>
          <w:sz w:val="24"/>
          <w:szCs w:val="24"/>
        </w:rPr>
        <w:t>de</w:t>
      </w:r>
      <w:r w:rsidRPr="00B6643D" w:rsidR="007B416B">
        <w:rPr>
          <w:rFonts w:ascii="Arial" w:hAnsi="Arial" w:cs="Arial"/>
          <w:sz w:val="24"/>
          <w:szCs w:val="24"/>
        </w:rPr>
        <w:t xml:space="preserve">crease from </w:t>
      </w:r>
      <w:r w:rsidRPr="00B6643D" w:rsidR="00B6643D">
        <w:rPr>
          <w:rFonts w:ascii="Arial" w:hAnsi="Arial" w:cs="Arial"/>
          <w:sz w:val="24"/>
          <w:szCs w:val="24"/>
        </w:rPr>
        <w:t xml:space="preserve">7,650 </w:t>
      </w:r>
      <w:r w:rsidRPr="00B6643D" w:rsidR="007B416B">
        <w:rPr>
          <w:rFonts w:ascii="Arial" w:hAnsi="Arial" w:cs="Arial"/>
          <w:sz w:val="24"/>
          <w:szCs w:val="24"/>
        </w:rPr>
        <w:t xml:space="preserve">to </w:t>
      </w:r>
      <w:r w:rsidRPr="00B6643D" w:rsidR="00B6643D">
        <w:rPr>
          <w:rFonts w:ascii="Arial" w:hAnsi="Arial" w:cs="Arial"/>
          <w:sz w:val="24"/>
          <w:szCs w:val="24"/>
        </w:rPr>
        <w:t>7,325</w:t>
      </w:r>
      <w:r w:rsidRPr="00B6643D" w:rsidR="007B416B">
        <w:rPr>
          <w:rFonts w:ascii="Arial" w:hAnsi="Arial" w:cs="Arial"/>
          <w:sz w:val="24"/>
          <w:szCs w:val="24"/>
        </w:rPr>
        <w:t xml:space="preserve"> annually.</w:t>
      </w:r>
      <w:r w:rsidRPr="00B6643D">
        <w:rPr>
          <w:rFonts w:ascii="Arial" w:hAnsi="Arial" w:cs="Arial"/>
          <w:sz w:val="24"/>
          <w:szCs w:val="24"/>
        </w:rPr>
        <w:t xml:space="preserve"> </w:t>
      </w:r>
    </w:p>
    <w:p w:rsidRPr="00B6643D" w:rsidR="000E138C" w:rsidRDefault="000E138C">
      <w:pPr>
        <w:widowControl/>
        <w:ind w:left="720"/>
        <w:rPr>
          <w:rFonts w:ascii="Arial" w:hAnsi="Arial" w:cs="Arial"/>
          <w:sz w:val="24"/>
          <w:szCs w:val="24"/>
        </w:rPr>
      </w:pPr>
    </w:p>
    <w:p w:rsidRPr="00583833" w:rsidR="000E138C" w:rsidRDefault="000E138C">
      <w:pPr>
        <w:widowControl/>
        <w:ind w:left="720"/>
        <w:rPr>
          <w:rFonts w:ascii="Arial" w:hAnsi="Arial" w:cs="Arial"/>
          <w:sz w:val="24"/>
          <w:szCs w:val="24"/>
        </w:rPr>
      </w:pPr>
    </w:p>
    <w:p w:rsidRPr="00583833" w:rsidR="000E138C" w:rsidRDefault="00B64D74">
      <w:pPr>
        <w:widowControl/>
        <w:ind w:left="720"/>
        <w:rPr>
          <w:rFonts w:ascii="Arial" w:hAnsi="Arial" w:cs="Arial"/>
          <w:sz w:val="24"/>
          <w:szCs w:val="24"/>
        </w:rPr>
      </w:pPr>
      <w:r>
        <w:rPr>
          <w:rFonts w:ascii="Arial" w:hAnsi="Arial" w:cs="Arial"/>
          <w:sz w:val="24"/>
          <w:szCs w:val="24"/>
        </w:rPr>
        <w:object w:dxaOrig="8352" w:dyaOrig="1763">
          <v:shape id="_x0000_i1026" style="width:417.6pt;height:88.2pt" o:ole="" type="#_x0000_t75">
            <v:imagedata o:title="" r:id="rId14"/>
          </v:shape>
          <o:OLEObject Type="Embed" ProgID="Excel.Sheet.12" ShapeID="_x0000_i1026" DrawAspect="Content" ObjectID="_1640674114" r:id="rId15"/>
        </w:object>
      </w:r>
    </w:p>
    <w:p w:rsidRPr="00B6643D" w:rsidR="000E138C" w:rsidRDefault="000E138C">
      <w:pPr>
        <w:widowControl/>
        <w:ind w:left="720"/>
        <w:rPr>
          <w:rFonts w:ascii="Arial" w:hAnsi="Arial" w:cs="Arial"/>
          <w:sz w:val="24"/>
          <w:szCs w:val="24"/>
        </w:rPr>
      </w:pPr>
    </w:p>
    <w:p w:rsidRPr="00B6643D" w:rsidR="00370A61" w:rsidP="000E138C" w:rsidRDefault="000E138C">
      <w:pPr>
        <w:widowControl/>
        <w:ind w:left="720"/>
        <w:rPr>
          <w:rFonts w:ascii="Arial" w:hAnsi="Arial" w:cs="Arial"/>
          <w:sz w:val="24"/>
          <w:szCs w:val="24"/>
        </w:rPr>
      </w:pPr>
      <w:r w:rsidRPr="00B6643D">
        <w:rPr>
          <w:rFonts w:ascii="Arial" w:hAnsi="Arial" w:cs="Arial"/>
          <w:sz w:val="24"/>
          <w:szCs w:val="24"/>
        </w:rPr>
        <w:t>The</w:t>
      </w:r>
      <w:r w:rsidRPr="00B6643D" w:rsidR="00B6643D">
        <w:rPr>
          <w:rFonts w:ascii="Arial" w:hAnsi="Arial" w:cs="Arial"/>
          <w:sz w:val="24"/>
          <w:szCs w:val="24"/>
        </w:rPr>
        <w:t>se</w:t>
      </w:r>
      <w:r w:rsidRPr="00B6643D">
        <w:rPr>
          <w:rFonts w:ascii="Arial" w:hAnsi="Arial" w:cs="Arial"/>
          <w:sz w:val="24"/>
          <w:szCs w:val="24"/>
        </w:rPr>
        <w:t xml:space="preserve"> </w:t>
      </w:r>
      <w:r w:rsidRPr="00B6643D" w:rsidR="00370A61">
        <w:rPr>
          <w:rFonts w:ascii="Arial" w:hAnsi="Arial" w:cs="Arial"/>
          <w:sz w:val="24"/>
          <w:szCs w:val="24"/>
        </w:rPr>
        <w:t>adjustment</w:t>
      </w:r>
      <w:r w:rsidRPr="00B6643D" w:rsidR="00B6643D">
        <w:rPr>
          <w:rFonts w:ascii="Arial" w:hAnsi="Arial" w:cs="Arial"/>
          <w:sz w:val="24"/>
          <w:szCs w:val="24"/>
        </w:rPr>
        <w:t>s</w:t>
      </w:r>
      <w:r w:rsidRPr="00B6643D" w:rsidR="0091568A">
        <w:rPr>
          <w:rFonts w:ascii="Arial" w:hAnsi="Arial" w:cs="Arial"/>
          <w:sz w:val="24"/>
          <w:szCs w:val="24"/>
        </w:rPr>
        <w:t xml:space="preserve"> </w:t>
      </w:r>
      <w:r w:rsidRPr="00B6643D">
        <w:rPr>
          <w:rFonts w:ascii="Arial" w:hAnsi="Arial" w:cs="Arial"/>
          <w:sz w:val="24"/>
          <w:szCs w:val="24"/>
        </w:rPr>
        <w:t xml:space="preserve">are </w:t>
      </w:r>
      <w:r w:rsidRPr="00B6643D" w:rsidR="00394819">
        <w:rPr>
          <w:rFonts w:ascii="Arial" w:hAnsi="Arial" w:cs="Arial"/>
          <w:sz w:val="24"/>
          <w:szCs w:val="24"/>
        </w:rPr>
        <w:t xml:space="preserve">due to </w:t>
      </w:r>
      <w:r w:rsidRPr="00B6643D" w:rsidR="00EF552B">
        <w:rPr>
          <w:rFonts w:ascii="Arial" w:hAnsi="Arial" w:cs="Arial"/>
          <w:sz w:val="24"/>
          <w:szCs w:val="24"/>
        </w:rPr>
        <w:t>small adjustmen</w:t>
      </w:r>
      <w:r w:rsidRPr="00B6643D" w:rsidR="00B6643D">
        <w:rPr>
          <w:rFonts w:ascii="Arial" w:hAnsi="Arial" w:cs="Arial"/>
          <w:sz w:val="24"/>
          <w:szCs w:val="24"/>
        </w:rPr>
        <w:t>ts in the monthly sample sizes.</w:t>
      </w:r>
    </w:p>
    <w:p w:rsidRPr="00B6643D" w:rsidR="00EF552B" w:rsidRDefault="00EF552B">
      <w:pPr>
        <w:widowControl/>
        <w:ind w:left="720"/>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B6643D">
        <w:rPr>
          <w:rFonts w:ascii="Arial" w:hAnsi="Arial" w:cs="Arial"/>
          <w:b/>
          <w:bCs/>
          <w:sz w:val="24"/>
          <w:szCs w:val="24"/>
        </w:rPr>
        <w:t>16.</w:t>
      </w:r>
      <w:r w:rsidRPr="00B6643D">
        <w:rPr>
          <w:rFonts w:ascii="Arial" w:hAnsi="Arial" w:cs="Arial"/>
          <w:b/>
          <w:bCs/>
          <w:sz w:val="24"/>
          <w:szCs w:val="24"/>
        </w:rPr>
        <w:tab/>
        <w:t>For collections of information whose results will be published, outline plans for tabulation and publication.  Address any complex analytical techniques</w:t>
      </w:r>
      <w:r w:rsidRPr="00583833">
        <w:rPr>
          <w:rFonts w:ascii="Arial" w:hAnsi="Arial" w:cs="Arial"/>
          <w:b/>
          <w:bCs/>
          <w:sz w:val="24"/>
          <w:szCs w:val="24"/>
        </w:rPr>
        <w:t xml:space="preserve"> that will be used.  Provide the time schedule for the entire project, including beginning and ending dates of the collection of information, completion of report, publication dates, and other actions.</w:t>
      </w:r>
    </w:p>
    <w:p w:rsidRPr="006843B1" w:rsidR="00394819" w:rsidRDefault="00394819">
      <w:pPr>
        <w:widowControl/>
        <w:rPr>
          <w:rFonts w:ascii="Arial" w:hAnsi="Arial" w:cs="Arial"/>
          <w:sz w:val="24"/>
          <w:szCs w:val="24"/>
        </w:rPr>
      </w:pPr>
    </w:p>
    <w:p w:rsidRPr="006843B1" w:rsidR="00394819" w:rsidRDefault="00394819">
      <w:pPr>
        <w:widowControl/>
        <w:ind w:left="720"/>
        <w:rPr>
          <w:rFonts w:ascii="Arial" w:hAnsi="Arial" w:cs="Arial"/>
          <w:sz w:val="24"/>
          <w:szCs w:val="24"/>
        </w:rPr>
      </w:pPr>
      <w:r w:rsidRPr="006843B1">
        <w:rPr>
          <w:rFonts w:ascii="Arial" w:hAnsi="Arial" w:cs="Arial"/>
          <w:sz w:val="24"/>
          <w:szCs w:val="24"/>
        </w:rPr>
        <w:t xml:space="preserve">The respondent universe for the </w:t>
      </w:r>
      <w:r w:rsidRPr="006843B1" w:rsidR="00370A61">
        <w:rPr>
          <w:rFonts w:ascii="Arial" w:hAnsi="Arial" w:cs="Arial"/>
          <w:sz w:val="24"/>
          <w:szCs w:val="24"/>
        </w:rPr>
        <w:t>C</w:t>
      </w:r>
      <w:r w:rsidRPr="006843B1">
        <w:rPr>
          <w:rFonts w:ascii="Arial" w:hAnsi="Arial" w:cs="Arial"/>
          <w:sz w:val="24"/>
          <w:szCs w:val="24"/>
        </w:rPr>
        <w:t xml:space="preserve">otton </w:t>
      </w:r>
      <w:proofErr w:type="spellStart"/>
      <w:r w:rsidRPr="006843B1" w:rsidR="00370A61">
        <w:rPr>
          <w:rFonts w:ascii="Arial" w:hAnsi="Arial" w:cs="Arial"/>
          <w:sz w:val="24"/>
          <w:szCs w:val="24"/>
        </w:rPr>
        <w:t>G</w:t>
      </w:r>
      <w:r w:rsidRPr="006843B1">
        <w:rPr>
          <w:rFonts w:ascii="Arial" w:hAnsi="Arial" w:cs="Arial"/>
          <w:sz w:val="24"/>
          <w:szCs w:val="24"/>
        </w:rPr>
        <w:t>innings</w:t>
      </w:r>
      <w:proofErr w:type="spellEnd"/>
      <w:r w:rsidRPr="006843B1">
        <w:rPr>
          <w:rFonts w:ascii="Arial" w:hAnsi="Arial" w:cs="Arial"/>
          <w:sz w:val="24"/>
          <w:szCs w:val="24"/>
        </w:rPr>
        <w:t xml:space="preserve"> </w:t>
      </w:r>
      <w:r w:rsidRPr="006843B1" w:rsidR="00370A61">
        <w:rPr>
          <w:rFonts w:ascii="Arial" w:hAnsi="Arial" w:cs="Arial"/>
          <w:sz w:val="24"/>
          <w:szCs w:val="24"/>
        </w:rPr>
        <w:t>survey</w:t>
      </w:r>
      <w:r w:rsidRPr="006843B1">
        <w:rPr>
          <w:rFonts w:ascii="Arial" w:hAnsi="Arial" w:cs="Arial"/>
          <w:sz w:val="24"/>
          <w:szCs w:val="24"/>
        </w:rPr>
        <w:t xml:space="preserve"> consists of all cotton gins in the United States which are operating during the current crop year. It covers 17 southern States from August through March. No sampling is used. All operating gins are mailed a letter at the beginning of the season.</w:t>
      </w:r>
      <w:r w:rsidRPr="006843B1" w:rsidR="002E3F9B">
        <w:rPr>
          <w:rFonts w:ascii="Arial" w:hAnsi="Arial" w:cs="Arial"/>
          <w:sz w:val="24"/>
          <w:szCs w:val="24"/>
        </w:rPr>
        <w:t xml:space="preserve"> A record book is mailed to gins </w:t>
      </w:r>
      <w:r w:rsidRPr="006843B1" w:rsidR="00550E23">
        <w:rPr>
          <w:rFonts w:ascii="Arial" w:hAnsi="Arial" w:cs="Arial"/>
          <w:sz w:val="24"/>
          <w:szCs w:val="24"/>
        </w:rPr>
        <w:t>upon</w:t>
      </w:r>
      <w:r w:rsidRPr="006843B1" w:rsidR="002E3F9B">
        <w:rPr>
          <w:rFonts w:ascii="Arial" w:hAnsi="Arial" w:cs="Arial"/>
          <w:sz w:val="24"/>
          <w:szCs w:val="24"/>
        </w:rPr>
        <w:t xml:space="preserve"> request</w:t>
      </w:r>
      <w:r w:rsidRPr="006843B1" w:rsidR="00550E23">
        <w:rPr>
          <w:rFonts w:ascii="Arial" w:hAnsi="Arial" w:cs="Arial"/>
          <w:sz w:val="24"/>
          <w:szCs w:val="24"/>
        </w:rPr>
        <w:t xml:space="preserve">. </w:t>
      </w:r>
      <w:r w:rsidRPr="006843B1">
        <w:rPr>
          <w:rFonts w:ascii="Arial" w:hAnsi="Arial" w:cs="Arial"/>
          <w:sz w:val="24"/>
          <w:szCs w:val="24"/>
        </w:rPr>
        <w:t xml:space="preserve">During the crop year (see Survey Date column in </w:t>
      </w:r>
      <w:r w:rsidRPr="006843B1">
        <w:rPr>
          <w:rFonts w:ascii="Arial" w:hAnsi="Arial" w:cs="Arial"/>
          <w:sz w:val="24"/>
          <w:szCs w:val="24"/>
        </w:rPr>
        <w:lastRenderedPageBreak/>
        <w:t xml:space="preserve">the table in Item 12) they receive a questionnaire on which to enter summary data from their own files. The duration of the questionnaire contacts varies by State, type of cotton gin (saw gin or roller gin), and progress of </w:t>
      </w:r>
      <w:proofErr w:type="spellStart"/>
      <w:r w:rsidRPr="006843B1">
        <w:rPr>
          <w:rFonts w:ascii="Arial" w:hAnsi="Arial" w:cs="Arial"/>
          <w:sz w:val="24"/>
          <w:szCs w:val="24"/>
        </w:rPr>
        <w:t>ginnings</w:t>
      </w:r>
      <w:proofErr w:type="spellEnd"/>
      <w:r w:rsidRPr="006843B1">
        <w:rPr>
          <w:rFonts w:ascii="Arial" w:hAnsi="Arial" w:cs="Arial"/>
          <w:sz w:val="24"/>
          <w:szCs w:val="24"/>
        </w:rPr>
        <w:t>. All operations receive a final questionnaire by March.</w:t>
      </w:r>
    </w:p>
    <w:p w:rsidRPr="006843B1" w:rsidR="00394819" w:rsidRDefault="00394819">
      <w:pPr>
        <w:widowControl/>
        <w:rPr>
          <w:rFonts w:ascii="Arial" w:hAnsi="Arial" w:cs="Arial"/>
          <w:sz w:val="24"/>
          <w:szCs w:val="24"/>
        </w:rPr>
      </w:pPr>
    </w:p>
    <w:p w:rsidRPr="006843B1" w:rsidR="00394819" w:rsidRDefault="00394819">
      <w:pPr>
        <w:widowControl/>
        <w:ind w:left="720"/>
        <w:rPr>
          <w:rFonts w:ascii="Arial" w:hAnsi="Arial" w:cs="Arial"/>
          <w:sz w:val="24"/>
          <w:szCs w:val="24"/>
        </w:rPr>
      </w:pPr>
      <w:r w:rsidRPr="006843B1">
        <w:rPr>
          <w:rFonts w:ascii="Arial" w:hAnsi="Arial" w:cs="Arial"/>
          <w:sz w:val="24"/>
          <w:szCs w:val="24"/>
        </w:rPr>
        <w:t xml:space="preserve">There are two versions of the biweekly questionnaire. The first-of-the month </w:t>
      </w:r>
      <w:r w:rsidRPr="006843B1" w:rsidR="00110BFF">
        <w:rPr>
          <w:rFonts w:ascii="Arial" w:hAnsi="Arial" w:cs="Arial"/>
          <w:sz w:val="24"/>
          <w:szCs w:val="24"/>
        </w:rPr>
        <w:t xml:space="preserve">and mid-month </w:t>
      </w:r>
      <w:r w:rsidRPr="006843B1">
        <w:rPr>
          <w:rFonts w:ascii="Arial" w:hAnsi="Arial" w:cs="Arial"/>
          <w:sz w:val="24"/>
          <w:szCs w:val="24"/>
        </w:rPr>
        <w:t>version</w:t>
      </w:r>
      <w:r w:rsidRPr="006843B1" w:rsidR="00110BFF">
        <w:rPr>
          <w:rFonts w:ascii="Arial" w:hAnsi="Arial" w:cs="Arial"/>
          <w:sz w:val="24"/>
          <w:szCs w:val="24"/>
        </w:rPr>
        <w:t xml:space="preserve">s both </w:t>
      </w:r>
      <w:r w:rsidRPr="006843B1">
        <w:rPr>
          <w:rFonts w:ascii="Arial" w:hAnsi="Arial" w:cs="Arial"/>
          <w:sz w:val="24"/>
          <w:szCs w:val="24"/>
        </w:rPr>
        <w:t xml:space="preserve">ask </w:t>
      </w:r>
      <w:proofErr w:type="spellStart"/>
      <w:r w:rsidRPr="006843B1">
        <w:rPr>
          <w:rFonts w:ascii="Arial" w:hAnsi="Arial" w:cs="Arial"/>
          <w:sz w:val="24"/>
          <w:szCs w:val="24"/>
        </w:rPr>
        <w:t>ginnings</w:t>
      </w:r>
      <w:proofErr w:type="spellEnd"/>
      <w:r w:rsidRPr="006843B1">
        <w:rPr>
          <w:rFonts w:ascii="Arial" w:hAnsi="Arial" w:cs="Arial"/>
          <w:sz w:val="24"/>
          <w:szCs w:val="24"/>
        </w:rPr>
        <w:t xml:space="preserve"> to date and an estimate of bales to be ginned for both upland and American-Pima cotton. The </w:t>
      </w:r>
      <w:r w:rsidRPr="006843B1" w:rsidR="003700B9">
        <w:rPr>
          <w:rFonts w:ascii="Arial" w:hAnsi="Arial" w:cs="Arial"/>
          <w:sz w:val="24"/>
          <w:szCs w:val="24"/>
        </w:rPr>
        <w:t xml:space="preserve">first of the </w:t>
      </w:r>
      <w:r w:rsidRPr="006843B1">
        <w:rPr>
          <w:rFonts w:ascii="Arial" w:hAnsi="Arial" w:cs="Arial"/>
          <w:sz w:val="24"/>
          <w:szCs w:val="24"/>
        </w:rPr>
        <w:t xml:space="preserve">month version </w:t>
      </w:r>
      <w:r w:rsidRPr="006843B1" w:rsidR="00110BFF">
        <w:rPr>
          <w:rFonts w:ascii="Arial" w:hAnsi="Arial" w:cs="Arial"/>
          <w:sz w:val="24"/>
          <w:szCs w:val="24"/>
        </w:rPr>
        <w:t xml:space="preserve">also </w:t>
      </w:r>
      <w:r w:rsidRPr="006843B1">
        <w:rPr>
          <w:rFonts w:ascii="Arial" w:hAnsi="Arial" w:cs="Arial"/>
          <w:sz w:val="24"/>
          <w:szCs w:val="24"/>
        </w:rPr>
        <w:t>asks the average price</w:t>
      </w:r>
      <w:r w:rsidRPr="006843B1" w:rsidR="003700B9">
        <w:rPr>
          <w:rFonts w:ascii="Arial" w:hAnsi="Arial" w:cs="Arial"/>
          <w:sz w:val="24"/>
          <w:szCs w:val="24"/>
        </w:rPr>
        <w:t>(s)</w:t>
      </w:r>
      <w:r w:rsidRPr="006843B1">
        <w:rPr>
          <w:rFonts w:ascii="Arial" w:hAnsi="Arial" w:cs="Arial"/>
          <w:sz w:val="24"/>
          <w:szCs w:val="24"/>
        </w:rPr>
        <w:t xml:space="preserve"> paid for cottonseed </w:t>
      </w:r>
      <w:r w:rsidRPr="006843B1" w:rsidR="003700B9">
        <w:rPr>
          <w:rFonts w:ascii="Arial" w:hAnsi="Arial" w:cs="Arial"/>
          <w:sz w:val="24"/>
          <w:szCs w:val="24"/>
        </w:rPr>
        <w:t>for the previous</w:t>
      </w:r>
      <w:r w:rsidRPr="006843B1">
        <w:rPr>
          <w:rFonts w:ascii="Arial" w:hAnsi="Arial" w:cs="Arial"/>
          <w:sz w:val="24"/>
          <w:szCs w:val="24"/>
        </w:rPr>
        <w:t xml:space="preserve"> month.  The</w:t>
      </w:r>
      <w:r w:rsidRPr="006843B1" w:rsidR="002E3045">
        <w:rPr>
          <w:rFonts w:ascii="Arial" w:hAnsi="Arial" w:cs="Arial"/>
          <w:sz w:val="24"/>
          <w:szCs w:val="24"/>
        </w:rPr>
        <w:t xml:space="preserve">re is one version of the </w:t>
      </w:r>
      <w:r w:rsidRPr="006843B1">
        <w:rPr>
          <w:rFonts w:ascii="Arial" w:hAnsi="Arial" w:cs="Arial"/>
          <w:sz w:val="24"/>
          <w:szCs w:val="24"/>
        </w:rPr>
        <w:t xml:space="preserve">final questionnaire </w:t>
      </w:r>
      <w:r w:rsidRPr="006843B1" w:rsidR="007D6C82">
        <w:rPr>
          <w:rFonts w:ascii="Arial" w:hAnsi="Arial" w:cs="Arial"/>
          <w:sz w:val="24"/>
          <w:szCs w:val="24"/>
        </w:rPr>
        <w:t xml:space="preserve">which asks </w:t>
      </w:r>
      <w:proofErr w:type="spellStart"/>
      <w:r w:rsidRPr="006843B1">
        <w:rPr>
          <w:rFonts w:ascii="Arial" w:hAnsi="Arial" w:cs="Arial"/>
          <w:sz w:val="24"/>
          <w:szCs w:val="24"/>
        </w:rPr>
        <w:t>ginnings</w:t>
      </w:r>
      <w:proofErr w:type="spellEnd"/>
      <w:r w:rsidRPr="006843B1" w:rsidR="007018E5">
        <w:rPr>
          <w:rFonts w:ascii="Arial" w:hAnsi="Arial" w:cs="Arial"/>
          <w:sz w:val="24"/>
          <w:szCs w:val="24"/>
        </w:rPr>
        <w:t xml:space="preserve"> </w:t>
      </w:r>
      <w:r w:rsidRPr="006843B1" w:rsidR="006843B1">
        <w:rPr>
          <w:rFonts w:ascii="Arial" w:hAnsi="Arial" w:cs="Arial"/>
          <w:sz w:val="24"/>
          <w:szCs w:val="24"/>
        </w:rPr>
        <w:t xml:space="preserve">for both </w:t>
      </w:r>
      <w:r w:rsidRPr="006843B1" w:rsidR="007018E5">
        <w:rPr>
          <w:rFonts w:ascii="Arial" w:hAnsi="Arial" w:cs="Arial"/>
          <w:sz w:val="24"/>
          <w:szCs w:val="24"/>
        </w:rPr>
        <w:t>Upland and American-Pima including</w:t>
      </w:r>
      <w:r w:rsidRPr="006843B1" w:rsidR="007D6C82">
        <w:rPr>
          <w:rFonts w:ascii="Arial" w:hAnsi="Arial" w:cs="Arial"/>
          <w:sz w:val="24"/>
          <w:szCs w:val="24"/>
        </w:rPr>
        <w:t xml:space="preserve"> </w:t>
      </w:r>
      <w:r w:rsidRPr="006843B1" w:rsidR="007018E5">
        <w:rPr>
          <w:rFonts w:ascii="Arial" w:hAnsi="Arial" w:cs="Arial"/>
          <w:sz w:val="24"/>
          <w:szCs w:val="24"/>
        </w:rPr>
        <w:t xml:space="preserve">total bales ginned, expected bales to gin, total pounds of </w:t>
      </w:r>
      <w:r w:rsidRPr="006843B1">
        <w:rPr>
          <w:rFonts w:ascii="Arial" w:hAnsi="Arial" w:cs="Arial"/>
          <w:sz w:val="24"/>
          <w:szCs w:val="24"/>
        </w:rPr>
        <w:t>lint cotton</w:t>
      </w:r>
      <w:r w:rsidRPr="006843B1" w:rsidR="007018E5">
        <w:rPr>
          <w:rFonts w:ascii="Arial" w:hAnsi="Arial" w:cs="Arial"/>
          <w:sz w:val="24"/>
          <w:szCs w:val="24"/>
        </w:rPr>
        <w:t xml:space="preserve"> or average weight per bale</w:t>
      </w:r>
      <w:r w:rsidRPr="006843B1">
        <w:rPr>
          <w:rFonts w:ascii="Arial" w:hAnsi="Arial" w:cs="Arial"/>
          <w:sz w:val="24"/>
          <w:szCs w:val="24"/>
        </w:rPr>
        <w:t xml:space="preserve">, </w:t>
      </w:r>
      <w:r w:rsidRPr="006843B1" w:rsidR="007018E5">
        <w:rPr>
          <w:rFonts w:ascii="Arial" w:hAnsi="Arial" w:cs="Arial"/>
          <w:sz w:val="24"/>
          <w:szCs w:val="24"/>
        </w:rPr>
        <w:t>and items concerning derived cottonseed.</w:t>
      </w:r>
      <w:r w:rsidRPr="006843B1" w:rsidR="00EF3D6B">
        <w:rPr>
          <w:rFonts w:ascii="Arial" w:hAnsi="Arial" w:cs="Arial"/>
          <w:sz w:val="24"/>
          <w:szCs w:val="24"/>
        </w:rPr>
        <w:t xml:space="preserve"> The final questionnaire also requests information about the </w:t>
      </w:r>
      <w:r w:rsidRPr="006843B1">
        <w:rPr>
          <w:rFonts w:ascii="Arial" w:hAnsi="Arial" w:cs="Arial"/>
          <w:sz w:val="24"/>
          <w:szCs w:val="24"/>
        </w:rPr>
        <w:t>number of plants (saw and roller gins)</w:t>
      </w:r>
      <w:r w:rsidRPr="006843B1" w:rsidR="00110BFF">
        <w:rPr>
          <w:rFonts w:ascii="Arial" w:hAnsi="Arial" w:cs="Arial"/>
          <w:sz w:val="24"/>
          <w:szCs w:val="24"/>
        </w:rPr>
        <w:t xml:space="preserve"> </w:t>
      </w:r>
      <w:r w:rsidRPr="006843B1" w:rsidR="003700B9">
        <w:rPr>
          <w:rFonts w:ascii="Arial" w:hAnsi="Arial" w:cs="Arial"/>
          <w:sz w:val="24"/>
          <w:szCs w:val="24"/>
        </w:rPr>
        <w:t xml:space="preserve">operated </w:t>
      </w:r>
      <w:r w:rsidRPr="006843B1" w:rsidR="00110BFF">
        <w:rPr>
          <w:rFonts w:ascii="Arial" w:hAnsi="Arial" w:cs="Arial"/>
          <w:sz w:val="24"/>
          <w:szCs w:val="24"/>
        </w:rPr>
        <w:t xml:space="preserve">and cotton production by county for which it was grown. </w:t>
      </w:r>
      <w:r w:rsidRPr="006843B1" w:rsidR="00EF3D6B">
        <w:rPr>
          <w:rFonts w:ascii="Arial" w:hAnsi="Arial" w:cs="Arial"/>
          <w:sz w:val="24"/>
          <w:szCs w:val="24"/>
        </w:rPr>
        <w:t xml:space="preserve"> </w:t>
      </w:r>
    </w:p>
    <w:p w:rsidRPr="006843B1" w:rsidR="00394819" w:rsidRDefault="00394819">
      <w:pPr>
        <w:widowControl/>
        <w:rPr>
          <w:rFonts w:ascii="Arial" w:hAnsi="Arial" w:cs="Arial"/>
          <w:sz w:val="24"/>
          <w:szCs w:val="24"/>
        </w:rPr>
      </w:pPr>
    </w:p>
    <w:tbl>
      <w:tblPr>
        <w:tblW w:w="9720" w:type="dxa"/>
        <w:tblInd w:w="109" w:type="dxa"/>
        <w:tblLayout w:type="fixed"/>
        <w:tblCellMar>
          <w:left w:w="19" w:type="dxa"/>
          <w:right w:w="19" w:type="dxa"/>
        </w:tblCellMar>
        <w:tblLook w:val="0000" w:firstRow="0" w:lastRow="0" w:firstColumn="0" w:lastColumn="0" w:noHBand="0" w:noVBand="0"/>
      </w:tblPr>
      <w:tblGrid>
        <w:gridCol w:w="1260"/>
        <w:gridCol w:w="1170"/>
        <w:gridCol w:w="720"/>
        <w:gridCol w:w="1260"/>
        <w:gridCol w:w="1260"/>
        <w:gridCol w:w="576"/>
        <w:gridCol w:w="1314"/>
        <w:gridCol w:w="630"/>
        <w:gridCol w:w="1530"/>
      </w:tblGrid>
      <w:tr w:rsidRPr="000D0112" w:rsidR="00544B48" w:rsidTr="00BD4448">
        <w:trPr>
          <w:cantSplit/>
          <w:trHeight w:val="460" w:hRule="exact"/>
        </w:trPr>
        <w:tc>
          <w:tcPr>
            <w:tcW w:w="9720" w:type="dxa"/>
            <w:gridSpan w:val="9"/>
            <w:tcBorders>
              <w:top w:val="single" w:color="000000" w:sz="6" w:space="0"/>
              <w:left w:val="single" w:color="000000" w:sz="6" w:space="0"/>
              <w:bottom w:val="double" w:color="000000" w:sz="8" w:space="0"/>
              <w:right w:val="single" w:color="000000" w:sz="2" w:space="0"/>
            </w:tcBorders>
            <w:vAlign w:val="center"/>
          </w:tcPr>
          <w:p w:rsidRPr="000D0112" w:rsidR="00394819" w:rsidP="00991521" w:rsidRDefault="00991521">
            <w:pPr>
              <w:keepNext/>
              <w:keepLines/>
              <w:widowControl/>
              <w:spacing w:before="26" w:after="2"/>
              <w:jc w:val="center"/>
              <w:rPr>
                <w:rFonts w:ascii="Arial" w:hAnsi="Arial" w:cs="Arial"/>
                <w:sz w:val="24"/>
                <w:szCs w:val="24"/>
              </w:rPr>
            </w:pPr>
            <w:r w:rsidRPr="000D0112">
              <w:rPr>
                <w:rFonts w:ascii="Arial" w:hAnsi="Arial" w:cs="Arial"/>
                <w:b/>
                <w:bCs/>
                <w:sz w:val="24"/>
                <w:szCs w:val="24"/>
              </w:rPr>
              <w:t xml:space="preserve">Approximate </w:t>
            </w:r>
            <w:r w:rsidRPr="000D0112" w:rsidR="00394819">
              <w:rPr>
                <w:rFonts w:ascii="Arial" w:hAnsi="Arial" w:cs="Arial"/>
                <w:b/>
                <w:bCs/>
                <w:sz w:val="24"/>
                <w:szCs w:val="24"/>
              </w:rPr>
              <w:t xml:space="preserve">Data Collection and Publication Schedule for </w:t>
            </w:r>
            <w:r w:rsidRPr="000D0112">
              <w:rPr>
                <w:rFonts w:ascii="Arial" w:hAnsi="Arial" w:cs="Arial"/>
                <w:b/>
                <w:bCs/>
                <w:sz w:val="24"/>
                <w:szCs w:val="24"/>
              </w:rPr>
              <w:t xml:space="preserve">any </w:t>
            </w:r>
            <w:r w:rsidRPr="000D0112" w:rsidR="00394819">
              <w:rPr>
                <w:rFonts w:ascii="Arial" w:hAnsi="Arial" w:cs="Arial"/>
                <w:b/>
                <w:bCs/>
                <w:sz w:val="24"/>
                <w:szCs w:val="24"/>
              </w:rPr>
              <w:t>Crop</w:t>
            </w:r>
            <w:r w:rsidRPr="000D0112">
              <w:rPr>
                <w:rFonts w:ascii="Arial" w:hAnsi="Arial" w:cs="Arial"/>
                <w:b/>
                <w:bCs/>
                <w:sz w:val="24"/>
                <w:szCs w:val="24"/>
              </w:rPr>
              <w:t xml:space="preserve"> Year</w:t>
            </w:r>
          </w:p>
        </w:tc>
      </w:tr>
      <w:tr w:rsidRPr="000D0112" w:rsidR="00544B48" w:rsidTr="00BD4448">
        <w:trPr>
          <w:cantSplit/>
        </w:trPr>
        <w:tc>
          <w:tcPr>
            <w:tcW w:w="1260" w:type="dxa"/>
            <w:vMerge w:val="restart"/>
            <w:tcBorders>
              <w:top w:val="single" w:color="000000" w:sz="2" w:space="0"/>
              <w:left w:val="single" w:color="000000" w:sz="6" w:space="0"/>
              <w:bottom w:val="double" w:color="000000" w:sz="8"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Month</w:t>
            </w:r>
          </w:p>
        </w:tc>
        <w:tc>
          <w:tcPr>
            <w:tcW w:w="3150" w:type="dxa"/>
            <w:gridSpan w:val="3"/>
            <w:tcBorders>
              <w:top w:val="single" w:color="000000" w:sz="2" w:space="0"/>
              <w:left w:val="single" w:color="000000" w:sz="6"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First of Month Questionnaire</w:t>
            </w:r>
          </w:p>
        </w:tc>
        <w:tc>
          <w:tcPr>
            <w:tcW w:w="3150" w:type="dxa"/>
            <w:gridSpan w:val="3"/>
            <w:tcBorders>
              <w:top w:val="single" w:color="000000" w:sz="2" w:space="0"/>
              <w:left w:val="single" w:color="000000" w:sz="6"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Mid-month Questionnaire*</w:t>
            </w:r>
          </w:p>
        </w:tc>
        <w:tc>
          <w:tcPr>
            <w:tcW w:w="2160" w:type="dxa"/>
            <w:gridSpan w:val="2"/>
            <w:tcBorders>
              <w:top w:val="single" w:color="000000" w:sz="2" w:space="0"/>
              <w:left w:val="single" w:color="000000" w:sz="6" w:space="0"/>
              <w:bottom w:val="single" w:color="000000" w:sz="6" w:space="0"/>
              <w:right w:val="single" w:color="000000" w:sz="2" w:space="0"/>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Prices</w:t>
            </w:r>
          </w:p>
        </w:tc>
      </w:tr>
      <w:tr w:rsidRPr="000D0112" w:rsidR="00544B48" w:rsidTr="00BD4448">
        <w:trPr>
          <w:cantSplit/>
        </w:trPr>
        <w:tc>
          <w:tcPr>
            <w:tcW w:w="1260" w:type="dxa"/>
            <w:vMerge/>
            <w:tcBorders>
              <w:top w:val="single" w:color="000000" w:sz="2" w:space="0"/>
              <w:left w:val="single" w:color="000000" w:sz="6" w:space="0"/>
              <w:bottom w:val="double" w:color="000000" w:sz="8" w:space="0"/>
              <w:right w:val="nil"/>
            </w:tcBorders>
          </w:tcPr>
          <w:p w:rsidRPr="000D0112" w:rsidR="00394819" w:rsidRDefault="00394819">
            <w:pPr>
              <w:keepNext/>
              <w:widowControl/>
              <w:spacing w:before="26" w:after="2"/>
              <w:rPr>
                <w:rFonts w:ascii="Arial" w:hAnsi="Arial" w:cs="Arial"/>
                <w:sz w:val="24"/>
                <w:szCs w:val="24"/>
              </w:rPr>
            </w:pPr>
          </w:p>
        </w:tc>
        <w:tc>
          <w:tcPr>
            <w:tcW w:w="1170" w:type="dxa"/>
            <w:tcBorders>
              <w:top w:val="single" w:color="000000" w:sz="2" w:space="0"/>
              <w:left w:val="single" w:color="000000" w:sz="6" w:space="0"/>
              <w:bottom w:val="double" w:color="000000" w:sz="8"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Data Collection</w:t>
            </w:r>
          </w:p>
        </w:tc>
        <w:tc>
          <w:tcPr>
            <w:tcW w:w="720" w:type="dxa"/>
            <w:tcBorders>
              <w:top w:val="single" w:color="000000" w:sz="2" w:space="0"/>
              <w:left w:val="single" w:color="000000" w:sz="2" w:space="0"/>
              <w:bottom w:val="double" w:color="000000" w:sz="8" w:space="0"/>
              <w:right w:val="nil"/>
            </w:tcBorders>
            <w:vAlign w:val="center"/>
          </w:tcPr>
          <w:p w:rsidRPr="000D0112" w:rsidR="00394819" w:rsidRDefault="00394819">
            <w:pPr>
              <w:keepNext/>
              <w:widowControl/>
              <w:spacing w:before="26"/>
              <w:jc w:val="center"/>
              <w:rPr>
                <w:rFonts w:ascii="Arial" w:hAnsi="Arial" w:cs="Arial"/>
                <w:sz w:val="24"/>
                <w:szCs w:val="24"/>
              </w:rPr>
            </w:pPr>
            <w:r w:rsidRPr="000D0112">
              <w:rPr>
                <w:rFonts w:ascii="Arial" w:hAnsi="Arial" w:cs="Arial"/>
                <w:sz w:val="24"/>
                <w:szCs w:val="24"/>
              </w:rPr>
              <w:t>Pub.</w:t>
            </w:r>
          </w:p>
          <w:p w:rsidRPr="000D0112" w:rsidR="00394819" w:rsidRDefault="00394819">
            <w:pPr>
              <w:keepNext/>
              <w:widowControl/>
              <w:spacing w:after="2"/>
              <w:jc w:val="center"/>
              <w:rPr>
                <w:rFonts w:ascii="Arial" w:hAnsi="Arial" w:cs="Arial"/>
                <w:sz w:val="24"/>
                <w:szCs w:val="24"/>
              </w:rPr>
            </w:pPr>
            <w:r w:rsidRPr="000D0112">
              <w:rPr>
                <w:rFonts w:ascii="Arial" w:hAnsi="Arial" w:cs="Arial"/>
                <w:sz w:val="24"/>
                <w:szCs w:val="24"/>
              </w:rPr>
              <w:t>Date</w:t>
            </w:r>
          </w:p>
        </w:tc>
        <w:tc>
          <w:tcPr>
            <w:tcW w:w="1260" w:type="dxa"/>
            <w:tcBorders>
              <w:top w:val="single" w:color="000000" w:sz="2" w:space="0"/>
              <w:left w:val="single" w:color="000000" w:sz="2" w:space="0"/>
              <w:bottom w:val="double" w:color="000000" w:sz="8"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Publication</w:t>
            </w:r>
          </w:p>
        </w:tc>
        <w:tc>
          <w:tcPr>
            <w:tcW w:w="1260" w:type="dxa"/>
            <w:tcBorders>
              <w:top w:val="single" w:color="000000" w:sz="2" w:space="0"/>
              <w:left w:val="single" w:color="000000" w:sz="6" w:space="0"/>
              <w:bottom w:val="double" w:color="000000" w:sz="8"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Data Collection</w:t>
            </w:r>
          </w:p>
        </w:tc>
        <w:tc>
          <w:tcPr>
            <w:tcW w:w="576" w:type="dxa"/>
            <w:tcBorders>
              <w:top w:val="single" w:color="000000" w:sz="2" w:space="0"/>
              <w:left w:val="single" w:color="000000" w:sz="2" w:space="0"/>
              <w:bottom w:val="double" w:color="000000" w:sz="8"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Pub. Date</w:t>
            </w:r>
          </w:p>
        </w:tc>
        <w:tc>
          <w:tcPr>
            <w:tcW w:w="1314" w:type="dxa"/>
            <w:tcBorders>
              <w:top w:val="single" w:color="000000" w:sz="2" w:space="0"/>
              <w:left w:val="single" w:color="000000" w:sz="2" w:space="0"/>
              <w:bottom w:val="double" w:color="000000" w:sz="8"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Publication</w:t>
            </w:r>
          </w:p>
        </w:tc>
        <w:tc>
          <w:tcPr>
            <w:tcW w:w="630" w:type="dxa"/>
            <w:tcBorders>
              <w:top w:val="single" w:color="000000" w:sz="2" w:space="0"/>
              <w:left w:val="single" w:color="000000" w:sz="6" w:space="0"/>
              <w:bottom w:val="double" w:color="000000" w:sz="8"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Pub. Date</w:t>
            </w:r>
          </w:p>
        </w:tc>
        <w:tc>
          <w:tcPr>
            <w:tcW w:w="1530" w:type="dxa"/>
            <w:tcBorders>
              <w:top w:val="single" w:color="000000" w:sz="2" w:space="0"/>
              <w:left w:val="single" w:color="000000" w:sz="2" w:space="0"/>
              <w:bottom w:val="double" w:color="000000" w:sz="8" w:space="0"/>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Publication</w:t>
            </w:r>
          </w:p>
        </w:tc>
      </w:tr>
      <w:tr w:rsidRPr="000D0112" w:rsidR="00544B48" w:rsidTr="00BD4448">
        <w:trPr>
          <w:cantSplit/>
          <w:trHeight w:val="465" w:hRule="exact"/>
        </w:trPr>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August</w:t>
            </w:r>
          </w:p>
        </w:tc>
        <w:tc>
          <w:tcPr>
            <w:tcW w:w="1170" w:type="dxa"/>
            <w:tcBorders>
              <w:top w:val="single" w:color="000000" w:sz="2" w:space="0"/>
              <w:left w:val="single" w:color="000000" w:sz="6" w:space="0"/>
              <w:bottom w:val="nil"/>
              <w:right w:val="nil"/>
            </w:tcBorders>
            <w:vAlign w:val="center"/>
          </w:tcPr>
          <w:p w:rsidRPr="000D0112" w:rsidR="00394819" w:rsidP="00991521" w:rsidRDefault="00991521">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color="000000" w:sz="2" w:space="0"/>
              <w:left w:val="single" w:color="000000" w:sz="2" w:space="0"/>
              <w:bottom w:val="nil"/>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val="restart"/>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i/>
                <w:iCs/>
                <w:sz w:val="24"/>
                <w:szCs w:val="24"/>
              </w:rPr>
              <w:t xml:space="preserve">Cotton </w:t>
            </w:r>
            <w:proofErr w:type="spellStart"/>
            <w:r w:rsidRPr="000D0112">
              <w:rPr>
                <w:rFonts w:ascii="Arial" w:hAnsi="Arial" w:cs="Arial"/>
                <w:i/>
                <w:iCs/>
                <w:sz w:val="24"/>
                <w:szCs w:val="24"/>
              </w:rPr>
              <w:t>Ginnings</w:t>
            </w:r>
            <w:proofErr w:type="spellEnd"/>
          </w:p>
        </w:tc>
        <w:tc>
          <w:tcPr>
            <w:tcW w:w="3150" w:type="dxa"/>
            <w:gridSpan w:val="3"/>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63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val="restart"/>
            <w:tcBorders>
              <w:top w:val="single" w:color="000000" w:sz="2" w:space="0"/>
              <w:left w:val="single" w:color="000000" w:sz="2" w:space="0"/>
              <w:bottom w:val="nil"/>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i/>
                <w:iCs/>
                <w:sz w:val="24"/>
                <w:szCs w:val="24"/>
              </w:rPr>
              <w:t>Agricultural Prices</w:t>
            </w:r>
          </w:p>
        </w:tc>
      </w:tr>
      <w:tr w:rsidRPr="000D0112" w:rsidR="00544B48" w:rsidTr="00BD4448">
        <w:trPr>
          <w:cantSplit/>
          <w:trHeight w:val="288" w:hRule="exact"/>
        </w:trPr>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September</w:t>
            </w:r>
          </w:p>
        </w:tc>
        <w:tc>
          <w:tcPr>
            <w:tcW w:w="1170" w:type="dxa"/>
            <w:tcBorders>
              <w:top w:val="single" w:color="000000" w:sz="2" w:space="0"/>
              <w:left w:val="single" w:color="000000" w:sz="6" w:space="0"/>
              <w:bottom w:val="nil"/>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val="restart"/>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i/>
                <w:iCs/>
                <w:sz w:val="24"/>
                <w:szCs w:val="24"/>
              </w:rPr>
              <w:t xml:space="preserve">Cotton </w:t>
            </w:r>
            <w:proofErr w:type="spellStart"/>
            <w:r w:rsidRPr="000D0112">
              <w:rPr>
                <w:rFonts w:ascii="Arial" w:hAnsi="Arial" w:cs="Arial"/>
                <w:i/>
                <w:iCs/>
                <w:sz w:val="24"/>
                <w:szCs w:val="24"/>
              </w:rPr>
              <w:t>Ginnings</w:t>
            </w:r>
            <w:proofErr w:type="spellEnd"/>
          </w:p>
        </w:tc>
        <w:tc>
          <w:tcPr>
            <w:tcW w:w="630" w:type="dxa"/>
            <w:tcBorders>
              <w:top w:val="single" w:color="000000" w:sz="2" w:space="0"/>
              <w:left w:val="single" w:color="000000" w:sz="6" w:space="0"/>
              <w:bottom w:val="nil"/>
              <w:right w:val="nil"/>
            </w:tcBorders>
            <w:vAlign w:val="center"/>
          </w:tcPr>
          <w:p w:rsidRPr="000D0112" w:rsidR="00394819" w:rsidRDefault="00991521">
            <w:pPr>
              <w:keepNext/>
              <w:widowControl/>
              <w:spacing w:before="26" w:after="2"/>
              <w:jc w:val="center"/>
              <w:rPr>
                <w:rFonts w:ascii="Arial" w:hAnsi="Arial" w:cs="Arial"/>
                <w:sz w:val="24"/>
                <w:szCs w:val="24"/>
              </w:rPr>
            </w:pPr>
            <w:r w:rsidRPr="000D0112">
              <w:rPr>
                <w:rFonts w:ascii="Arial" w:hAnsi="Arial" w:cs="Arial"/>
                <w:sz w:val="24"/>
                <w:szCs w:val="24"/>
              </w:rPr>
              <w:t>30</w:t>
            </w:r>
          </w:p>
        </w:tc>
        <w:tc>
          <w:tcPr>
            <w:tcW w:w="1530" w:type="dxa"/>
            <w:vMerge/>
            <w:tcBorders>
              <w:top w:val="single" w:color="000000" w:sz="2" w:space="0"/>
              <w:left w:val="single" w:color="000000" w:sz="2" w:space="0"/>
              <w:bottom w:val="nil"/>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p>
        </w:tc>
      </w:tr>
      <w:tr w:rsidRPr="000D0112" w:rsidR="00544B48" w:rsidTr="00BD4448">
        <w:trPr>
          <w:cantSplit/>
          <w:trHeight w:val="288" w:hRule="exact"/>
        </w:trPr>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October</w:t>
            </w:r>
          </w:p>
        </w:tc>
        <w:tc>
          <w:tcPr>
            <w:tcW w:w="1170" w:type="dxa"/>
            <w:tcBorders>
              <w:top w:val="single" w:color="000000" w:sz="2" w:space="0"/>
              <w:left w:val="single" w:color="000000" w:sz="6" w:space="0"/>
              <w:bottom w:val="nil"/>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1260" w:type="dxa"/>
            <w:tcBorders>
              <w:top w:val="single" w:color="000000" w:sz="2" w:space="0"/>
              <w:left w:val="single" w:color="000000" w:sz="6" w:space="0"/>
              <w:bottom w:val="nil"/>
              <w:right w:val="nil"/>
            </w:tcBorders>
            <w:vAlign w:val="center"/>
          </w:tcPr>
          <w:p w:rsidRPr="000D0112" w:rsidR="00394819" w:rsidRDefault="00991521">
            <w:pPr>
              <w:keepNext/>
              <w:widowControl/>
              <w:spacing w:before="26" w:after="2"/>
              <w:jc w:val="center"/>
              <w:rPr>
                <w:rFonts w:ascii="Arial" w:hAnsi="Arial" w:cs="Arial"/>
                <w:sz w:val="24"/>
                <w:szCs w:val="24"/>
              </w:rPr>
            </w:pPr>
            <w:r w:rsidRPr="000D0112">
              <w:rPr>
                <w:rFonts w:ascii="Arial" w:hAnsi="Arial" w:cs="Arial"/>
                <w:sz w:val="24"/>
                <w:szCs w:val="24"/>
              </w:rPr>
              <w:t>15-19</w:t>
            </w:r>
          </w:p>
        </w:tc>
        <w:tc>
          <w:tcPr>
            <w:tcW w:w="576"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63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color="000000" w:sz="2" w:space="0"/>
              <w:left w:val="single" w:color="000000" w:sz="2" w:space="0"/>
              <w:bottom w:val="nil"/>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p>
        </w:tc>
      </w:tr>
      <w:tr w:rsidRPr="000D0112" w:rsidR="00544B48" w:rsidTr="00BD4448">
        <w:trPr>
          <w:cantSplit/>
          <w:trHeight w:val="288" w:hRule="exact"/>
        </w:trPr>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November</w:t>
            </w:r>
          </w:p>
        </w:tc>
        <w:tc>
          <w:tcPr>
            <w:tcW w:w="1170" w:type="dxa"/>
            <w:tcBorders>
              <w:top w:val="single" w:color="000000" w:sz="2" w:space="0"/>
              <w:left w:val="single" w:color="000000" w:sz="6" w:space="0"/>
              <w:bottom w:val="nil"/>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color="000000" w:sz="2" w:space="0"/>
              <w:left w:val="single" w:color="000000" w:sz="2" w:space="0"/>
              <w:bottom w:val="nil"/>
              <w:right w:val="nil"/>
            </w:tcBorders>
            <w:vAlign w:val="center"/>
          </w:tcPr>
          <w:p w:rsidRPr="000D0112" w:rsidR="00394819" w:rsidRDefault="00991521">
            <w:pPr>
              <w:keepNext/>
              <w:widowControl/>
              <w:spacing w:before="26" w:after="2"/>
              <w:jc w:val="center"/>
              <w:rPr>
                <w:rFonts w:ascii="Arial" w:hAnsi="Arial" w:cs="Arial"/>
                <w:sz w:val="24"/>
                <w:szCs w:val="24"/>
              </w:rPr>
            </w:pPr>
            <w:r w:rsidRPr="000D0112">
              <w:rPr>
                <w:rFonts w:ascii="Arial" w:hAnsi="Arial" w:cs="Arial"/>
                <w:sz w:val="24"/>
                <w:szCs w:val="24"/>
              </w:rPr>
              <w:t>12</w:t>
            </w:r>
          </w:p>
        </w:tc>
        <w:tc>
          <w:tcPr>
            <w:tcW w:w="1260" w:type="dxa"/>
            <w:vMerge/>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color="000000" w:sz="2" w:space="0"/>
              <w:left w:val="single" w:color="000000" w:sz="2" w:space="0"/>
              <w:bottom w:val="nil"/>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5</w:t>
            </w:r>
          </w:p>
        </w:tc>
        <w:tc>
          <w:tcPr>
            <w:tcW w:w="1314" w:type="dxa"/>
            <w:vMerge/>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63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30</w:t>
            </w:r>
          </w:p>
        </w:tc>
        <w:tc>
          <w:tcPr>
            <w:tcW w:w="1530" w:type="dxa"/>
            <w:vMerge/>
            <w:tcBorders>
              <w:top w:val="single" w:color="000000" w:sz="2" w:space="0"/>
              <w:left w:val="single" w:color="000000" w:sz="2" w:space="0"/>
              <w:bottom w:val="nil"/>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p>
        </w:tc>
      </w:tr>
      <w:tr w:rsidRPr="000D0112" w:rsidR="00544B48" w:rsidTr="00BD4448">
        <w:trPr>
          <w:cantSplit/>
          <w:trHeight w:val="288" w:hRule="exact"/>
        </w:trPr>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December</w:t>
            </w:r>
          </w:p>
        </w:tc>
        <w:tc>
          <w:tcPr>
            <w:tcW w:w="1170" w:type="dxa"/>
            <w:tcBorders>
              <w:top w:val="single" w:color="000000" w:sz="2" w:space="0"/>
              <w:left w:val="single" w:color="000000" w:sz="6" w:space="0"/>
              <w:bottom w:val="nil"/>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5</w:t>
            </w:r>
          </w:p>
        </w:tc>
        <w:tc>
          <w:tcPr>
            <w:tcW w:w="720"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15-1</w:t>
            </w:r>
            <w:r w:rsidRPr="000D0112" w:rsidR="00991521">
              <w:rPr>
                <w:rFonts w:ascii="Arial" w:hAnsi="Arial" w:cs="Arial"/>
                <w:sz w:val="24"/>
                <w:szCs w:val="24"/>
              </w:rPr>
              <w:t>9</w:t>
            </w:r>
          </w:p>
        </w:tc>
        <w:tc>
          <w:tcPr>
            <w:tcW w:w="576"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5</w:t>
            </w:r>
          </w:p>
        </w:tc>
        <w:tc>
          <w:tcPr>
            <w:tcW w:w="1314" w:type="dxa"/>
            <w:vMerge/>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630" w:type="dxa"/>
            <w:tcBorders>
              <w:top w:val="single" w:color="000000" w:sz="2" w:space="0"/>
              <w:left w:val="single" w:color="000000" w:sz="6" w:space="0"/>
              <w:bottom w:val="nil"/>
              <w:right w:val="nil"/>
            </w:tcBorders>
            <w:vAlign w:val="center"/>
          </w:tcPr>
          <w:p w:rsidRPr="000D0112" w:rsidR="00394819" w:rsidRDefault="00991521">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color="000000" w:sz="2" w:space="0"/>
              <w:left w:val="single" w:color="000000" w:sz="2" w:space="0"/>
              <w:bottom w:val="nil"/>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p>
        </w:tc>
      </w:tr>
      <w:tr w:rsidRPr="000D0112" w:rsidR="00544B48" w:rsidTr="00BD4448">
        <w:trPr>
          <w:cantSplit/>
          <w:trHeight w:val="288" w:hRule="exact"/>
        </w:trPr>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January</w:t>
            </w:r>
          </w:p>
        </w:tc>
        <w:tc>
          <w:tcPr>
            <w:tcW w:w="1170" w:type="dxa"/>
            <w:tcBorders>
              <w:top w:val="single" w:color="000000" w:sz="2" w:space="0"/>
              <w:left w:val="single" w:color="000000" w:sz="6" w:space="0"/>
              <w:bottom w:val="nil"/>
              <w:right w:val="nil"/>
            </w:tcBorders>
            <w:vAlign w:val="center"/>
          </w:tcPr>
          <w:p w:rsidRPr="000D0112" w:rsidR="00394819" w:rsidP="00991521" w:rsidRDefault="00991521">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15-</w:t>
            </w:r>
            <w:r w:rsidRPr="000D0112" w:rsidR="00991521">
              <w:rPr>
                <w:rFonts w:ascii="Arial" w:hAnsi="Arial" w:cs="Arial"/>
                <w:sz w:val="24"/>
                <w:szCs w:val="24"/>
              </w:rPr>
              <w:t>19</w:t>
            </w:r>
          </w:p>
        </w:tc>
        <w:tc>
          <w:tcPr>
            <w:tcW w:w="576"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25</w:t>
            </w:r>
          </w:p>
        </w:tc>
        <w:tc>
          <w:tcPr>
            <w:tcW w:w="1314" w:type="dxa"/>
            <w:vMerge/>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63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31</w:t>
            </w:r>
          </w:p>
        </w:tc>
        <w:tc>
          <w:tcPr>
            <w:tcW w:w="1530" w:type="dxa"/>
            <w:vMerge/>
            <w:tcBorders>
              <w:top w:val="single" w:color="000000" w:sz="2" w:space="0"/>
              <w:left w:val="single" w:color="000000" w:sz="2" w:space="0"/>
              <w:bottom w:val="nil"/>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p>
        </w:tc>
      </w:tr>
      <w:tr w:rsidRPr="000D0112" w:rsidR="00544B48" w:rsidTr="00BD4448">
        <w:trPr>
          <w:cantSplit/>
          <w:trHeight w:val="288" w:hRule="exact"/>
        </w:trPr>
        <w:tc>
          <w:tcPr>
            <w:tcW w:w="126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February</w:t>
            </w:r>
          </w:p>
        </w:tc>
        <w:tc>
          <w:tcPr>
            <w:tcW w:w="1170" w:type="dxa"/>
            <w:tcBorders>
              <w:top w:val="single" w:color="000000" w:sz="2" w:space="0"/>
              <w:left w:val="single" w:color="000000" w:sz="6" w:space="0"/>
              <w:bottom w:val="nil"/>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1-5*</w:t>
            </w:r>
          </w:p>
        </w:tc>
        <w:tc>
          <w:tcPr>
            <w:tcW w:w="720" w:type="dxa"/>
            <w:tcBorders>
              <w:top w:val="single" w:color="000000" w:sz="2" w:space="0"/>
              <w:left w:val="single" w:color="000000" w:sz="2"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1</w:t>
            </w:r>
            <w:r w:rsidRPr="000D0112" w:rsidR="00991521">
              <w:rPr>
                <w:rFonts w:ascii="Arial" w:hAnsi="Arial" w:cs="Arial"/>
                <w:sz w:val="24"/>
                <w:szCs w:val="24"/>
              </w:rPr>
              <w:t>2</w:t>
            </w:r>
          </w:p>
        </w:tc>
        <w:tc>
          <w:tcPr>
            <w:tcW w:w="1260" w:type="dxa"/>
            <w:vMerge/>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3150" w:type="dxa"/>
            <w:gridSpan w:val="3"/>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630" w:type="dxa"/>
            <w:tcBorders>
              <w:top w:val="single" w:color="000000" w:sz="2" w:space="0"/>
              <w:left w:val="single" w:color="000000" w:sz="6" w:space="0"/>
              <w:bottom w:val="nil"/>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28</w:t>
            </w:r>
          </w:p>
        </w:tc>
        <w:tc>
          <w:tcPr>
            <w:tcW w:w="1530" w:type="dxa"/>
            <w:vMerge/>
            <w:tcBorders>
              <w:top w:val="single" w:color="000000" w:sz="2" w:space="0"/>
              <w:left w:val="single" w:color="000000" w:sz="2" w:space="0"/>
              <w:bottom w:val="nil"/>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p>
        </w:tc>
      </w:tr>
      <w:tr w:rsidRPr="000D0112" w:rsidR="00544B48" w:rsidTr="00BD4448">
        <w:trPr>
          <w:cantSplit/>
          <w:trHeight w:val="288" w:hRule="exact"/>
        </w:trPr>
        <w:tc>
          <w:tcPr>
            <w:tcW w:w="1260" w:type="dxa"/>
            <w:tcBorders>
              <w:top w:val="single" w:color="000000" w:sz="2" w:space="0"/>
              <w:left w:val="single" w:color="000000" w:sz="6" w:space="0"/>
              <w:bottom w:val="single" w:color="000000" w:sz="6" w:space="0"/>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March</w:t>
            </w:r>
          </w:p>
        </w:tc>
        <w:tc>
          <w:tcPr>
            <w:tcW w:w="1170" w:type="dxa"/>
            <w:tcBorders>
              <w:top w:val="single" w:color="000000" w:sz="2" w:space="0"/>
              <w:left w:val="single" w:color="000000" w:sz="6" w:space="0"/>
              <w:bottom w:val="single" w:color="000000" w:sz="6" w:space="0"/>
              <w:right w:val="nil"/>
            </w:tcBorders>
            <w:vAlign w:val="center"/>
          </w:tcPr>
          <w:p w:rsidRPr="000D0112" w:rsidR="00394819" w:rsidP="00991521" w:rsidRDefault="00394819">
            <w:pPr>
              <w:keepNext/>
              <w:widowControl/>
              <w:spacing w:before="26" w:after="2"/>
              <w:jc w:val="center"/>
              <w:rPr>
                <w:rFonts w:ascii="Arial" w:hAnsi="Arial" w:cs="Arial"/>
                <w:sz w:val="24"/>
                <w:szCs w:val="24"/>
              </w:rPr>
            </w:pPr>
            <w:r w:rsidRPr="000D0112">
              <w:rPr>
                <w:rFonts w:ascii="Arial" w:hAnsi="Arial" w:cs="Arial"/>
                <w:sz w:val="24"/>
                <w:szCs w:val="24"/>
              </w:rPr>
              <w:t>1-14</w:t>
            </w:r>
          </w:p>
        </w:tc>
        <w:tc>
          <w:tcPr>
            <w:tcW w:w="720" w:type="dxa"/>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r w:rsidRPr="000D0112">
              <w:rPr>
                <w:rFonts w:ascii="Arial" w:hAnsi="Arial" w:cs="Arial"/>
                <w:sz w:val="24"/>
                <w:szCs w:val="24"/>
              </w:rPr>
              <w:t>2</w:t>
            </w:r>
            <w:r w:rsidRPr="000D0112" w:rsidR="00991521">
              <w:rPr>
                <w:rFonts w:ascii="Arial" w:hAnsi="Arial" w:cs="Arial"/>
                <w:sz w:val="24"/>
                <w:szCs w:val="24"/>
              </w:rPr>
              <w:t>0</w:t>
            </w:r>
          </w:p>
        </w:tc>
        <w:tc>
          <w:tcPr>
            <w:tcW w:w="1260" w:type="dxa"/>
            <w:vMerge/>
            <w:tcBorders>
              <w:top w:val="single" w:color="000000" w:sz="2" w:space="0"/>
              <w:left w:val="single" w:color="000000" w:sz="2"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3150" w:type="dxa"/>
            <w:gridSpan w:val="3"/>
            <w:tcBorders>
              <w:top w:val="single" w:color="000000" w:sz="2" w:space="0"/>
              <w:left w:val="single" w:color="000000" w:sz="6" w:space="0"/>
              <w:bottom w:val="single" w:color="000000" w:sz="6" w:space="0"/>
              <w:right w:val="nil"/>
            </w:tcBorders>
            <w:vAlign w:val="center"/>
          </w:tcPr>
          <w:p w:rsidRPr="000D0112" w:rsidR="00394819" w:rsidRDefault="00394819">
            <w:pPr>
              <w:keepNext/>
              <w:widowControl/>
              <w:spacing w:before="26" w:after="2"/>
              <w:jc w:val="center"/>
              <w:rPr>
                <w:rFonts w:ascii="Arial" w:hAnsi="Arial" w:cs="Arial"/>
                <w:sz w:val="24"/>
                <w:szCs w:val="24"/>
              </w:rPr>
            </w:pPr>
          </w:p>
        </w:tc>
        <w:tc>
          <w:tcPr>
            <w:tcW w:w="2160" w:type="dxa"/>
            <w:gridSpan w:val="2"/>
            <w:tcBorders>
              <w:top w:val="single" w:color="000000" w:sz="2" w:space="0"/>
              <w:left w:val="single" w:color="000000" w:sz="6" w:space="0"/>
              <w:bottom w:val="single" w:color="000000" w:sz="6" w:space="0"/>
              <w:right w:val="single" w:color="000000" w:sz="6" w:space="0"/>
            </w:tcBorders>
            <w:vAlign w:val="center"/>
          </w:tcPr>
          <w:p w:rsidRPr="000D0112" w:rsidR="00394819" w:rsidRDefault="00394819">
            <w:pPr>
              <w:keepNext/>
              <w:widowControl/>
              <w:spacing w:before="26" w:after="2"/>
              <w:jc w:val="center"/>
              <w:rPr>
                <w:rFonts w:ascii="Arial" w:hAnsi="Arial" w:cs="Arial"/>
                <w:sz w:val="24"/>
                <w:szCs w:val="24"/>
              </w:rPr>
            </w:pPr>
          </w:p>
        </w:tc>
      </w:tr>
      <w:tr w:rsidRPr="000D0112" w:rsidR="00544B48" w:rsidTr="00712AE3">
        <w:trPr>
          <w:cantSplit/>
          <w:trHeight w:val="288" w:hRule="exact"/>
        </w:trPr>
        <w:tc>
          <w:tcPr>
            <w:tcW w:w="1260" w:type="dxa"/>
            <w:tcBorders>
              <w:top w:val="single" w:color="000000" w:sz="2" w:space="0"/>
              <w:left w:val="single" w:color="000000" w:sz="6" w:space="0"/>
              <w:bottom w:val="single" w:color="000000" w:sz="6" w:space="0"/>
              <w:right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May</w:t>
            </w:r>
          </w:p>
        </w:tc>
        <w:tc>
          <w:tcPr>
            <w:tcW w:w="8460" w:type="dxa"/>
            <w:gridSpan w:val="8"/>
            <w:tcBorders>
              <w:top w:val="single" w:color="000000" w:sz="2" w:space="0"/>
              <w:left w:val="single" w:color="000000" w:sz="6" w:space="0"/>
              <w:bottom w:val="single" w:color="000000" w:sz="6" w:space="0"/>
              <w:right w:val="single" w:color="000000" w:sz="6" w:space="0"/>
            </w:tcBorders>
            <w:vAlign w:val="center"/>
          </w:tcPr>
          <w:p w:rsidRPr="000D0112" w:rsidR="00394819" w:rsidP="00991521" w:rsidRDefault="00991521">
            <w:pPr>
              <w:keepNext/>
              <w:widowControl/>
              <w:spacing w:before="26" w:after="2"/>
              <w:jc w:val="center"/>
              <w:rPr>
                <w:rFonts w:ascii="Arial" w:hAnsi="Arial" w:cs="Arial"/>
                <w:sz w:val="24"/>
                <w:szCs w:val="24"/>
              </w:rPr>
            </w:pPr>
            <w:r w:rsidRPr="000D0112">
              <w:rPr>
                <w:rFonts w:ascii="Arial" w:hAnsi="Arial" w:cs="Arial"/>
                <w:i/>
                <w:iCs/>
                <w:sz w:val="24"/>
                <w:szCs w:val="24"/>
              </w:rPr>
              <w:t xml:space="preserve">Cotton </w:t>
            </w:r>
            <w:proofErr w:type="spellStart"/>
            <w:r w:rsidRPr="000D0112">
              <w:rPr>
                <w:rFonts w:ascii="Arial" w:hAnsi="Arial" w:cs="Arial"/>
                <w:i/>
                <w:iCs/>
                <w:sz w:val="24"/>
                <w:szCs w:val="24"/>
              </w:rPr>
              <w:t>Ginnings</w:t>
            </w:r>
            <w:proofErr w:type="spellEnd"/>
            <w:r w:rsidRPr="000D0112">
              <w:rPr>
                <w:rFonts w:ascii="Arial" w:hAnsi="Arial" w:cs="Arial"/>
                <w:i/>
                <w:iCs/>
                <w:sz w:val="24"/>
                <w:szCs w:val="24"/>
              </w:rPr>
              <w:t xml:space="preserve"> </w:t>
            </w:r>
            <w:r w:rsidRPr="000D0112" w:rsidR="00394819">
              <w:rPr>
                <w:rFonts w:ascii="Arial" w:hAnsi="Arial" w:cs="Arial"/>
                <w:i/>
                <w:iCs/>
                <w:sz w:val="24"/>
                <w:szCs w:val="24"/>
              </w:rPr>
              <w:t>Summary</w:t>
            </w:r>
          </w:p>
        </w:tc>
      </w:tr>
      <w:tr w:rsidRPr="000D0112" w:rsidR="00EA1F33" w:rsidTr="00712AE3">
        <w:trPr>
          <w:cantSplit/>
          <w:trHeight w:val="288" w:hRule="exact"/>
        </w:trPr>
        <w:tc>
          <w:tcPr>
            <w:tcW w:w="9720" w:type="dxa"/>
            <w:gridSpan w:val="9"/>
            <w:tcBorders>
              <w:top w:val="single" w:color="000000" w:sz="6" w:space="0"/>
              <w:left w:val="nil"/>
              <w:bottom w:val="nil"/>
            </w:tcBorders>
            <w:vAlign w:val="center"/>
          </w:tcPr>
          <w:p w:rsidRPr="000D0112" w:rsidR="00394819" w:rsidRDefault="00394819">
            <w:pPr>
              <w:keepNext/>
              <w:widowControl/>
              <w:spacing w:before="26" w:after="2"/>
              <w:rPr>
                <w:rFonts w:ascii="Arial" w:hAnsi="Arial" w:cs="Arial"/>
                <w:sz w:val="24"/>
                <w:szCs w:val="24"/>
              </w:rPr>
            </w:pPr>
            <w:r w:rsidRPr="000D0112">
              <w:rPr>
                <w:rFonts w:ascii="Arial" w:hAnsi="Arial" w:cs="Arial"/>
                <w:sz w:val="24"/>
                <w:szCs w:val="24"/>
              </w:rPr>
              <w:t>* Includes price data.</w:t>
            </w:r>
          </w:p>
          <w:p w:rsidRPr="000D0112" w:rsidR="009D3B73" w:rsidRDefault="009D3B73">
            <w:pPr>
              <w:keepNext/>
              <w:widowControl/>
              <w:spacing w:before="26" w:after="2"/>
              <w:rPr>
                <w:rFonts w:ascii="Arial" w:hAnsi="Arial" w:cs="Arial"/>
                <w:sz w:val="24"/>
                <w:szCs w:val="24"/>
              </w:rPr>
            </w:pPr>
          </w:p>
          <w:p w:rsidRPr="000D0112" w:rsidR="009D3B73" w:rsidRDefault="009D3B73">
            <w:pPr>
              <w:keepNext/>
              <w:widowControl/>
              <w:spacing w:before="26" w:after="2"/>
              <w:rPr>
                <w:rFonts w:ascii="Arial" w:hAnsi="Arial" w:cs="Arial"/>
                <w:sz w:val="24"/>
                <w:szCs w:val="24"/>
              </w:rPr>
            </w:pPr>
          </w:p>
          <w:p w:rsidRPr="000D0112" w:rsidR="009D3B73" w:rsidRDefault="009D3B73">
            <w:pPr>
              <w:keepNext/>
              <w:widowControl/>
              <w:spacing w:before="26" w:after="2"/>
              <w:rPr>
                <w:rFonts w:ascii="Arial" w:hAnsi="Arial" w:cs="Arial"/>
                <w:sz w:val="24"/>
                <w:szCs w:val="24"/>
              </w:rPr>
            </w:pPr>
          </w:p>
        </w:tc>
      </w:tr>
    </w:tbl>
    <w:p w:rsidRPr="008A01AC" w:rsidR="00374F8B" w:rsidRDefault="00374F8B">
      <w:pPr>
        <w:widowControl/>
        <w:ind w:left="720"/>
        <w:rPr>
          <w:rFonts w:ascii="Arial" w:hAnsi="Arial" w:cs="Arial"/>
          <w:sz w:val="24"/>
          <w:szCs w:val="24"/>
          <w:u w:val="single"/>
        </w:rPr>
      </w:pPr>
    </w:p>
    <w:p w:rsidRPr="008A01AC" w:rsidR="00394819" w:rsidRDefault="00394819">
      <w:pPr>
        <w:widowControl/>
        <w:ind w:left="720"/>
        <w:rPr>
          <w:rFonts w:ascii="Arial" w:hAnsi="Arial" w:cs="Arial"/>
          <w:sz w:val="24"/>
          <w:szCs w:val="24"/>
        </w:rPr>
      </w:pPr>
      <w:r w:rsidRPr="008A01AC">
        <w:rPr>
          <w:rFonts w:ascii="Arial" w:hAnsi="Arial" w:cs="Arial"/>
          <w:sz w:val="24"/>
          <w:szCs w:val="24"/>
          <w:u w:val="single"/>
        </w:rPr>
        <w:t xml:space="preserve">Cotton </w:t>
      </w:r>
      <w:proofErr w:type="spellStart"/>
      <w:r w:rsidRPr="008A01AC">
        <w:rPr>
          <w:rFonts w:ascii="Arial" w:hAnsi="Arial" w:cs="Arial"/>
          <w:sz w:val="24"/>
          <w:szCs w:val="24"/>
          <w:u w:val="single"/>
        </w:rPr>
        <w:t>ginnings</w:t>
      </w:r>
      <w:proofErr w:type="spellEnd"/>
      <w:r w:rsidRPr="008A01AC">
        <w:rPr>
          <w:rFonts w:ascii="Arial" w:hAnsi="Arial" w:cs="Arial"/>
          <w:sz w:val="24"/>
          <w:szCs w:val="24"/>
          <w:u w:val="single"/>
        </w:rPr>
        <w:t xml:space="preserve"> data</w:t>
      </w:r>
      <w:r w:rsidRPr="008A01AC">
        <w:rPr>
          <w:rFonts w:ascii="Arial" w:hAnsi="Arial" w:cs="Arial"/>
          <w:sz w:val="24"/>
          <w:szCs w:val="24"/>
        </w:rPr>
        <w:t xml:space="preserve"> are collected </w:t>
      </w:r>
      <w:r w:rsidRPr="008A01AC" w:rsidR="0055491E">
        <w:rPr>
          <w:rFonts w:ascii="Arial" w:hAnsi="Arial" w:cs="Arial"/>
          <w:sz w:val="24"/>
          <w:szCs w:val="24"/>
        </w:rPr>
        <w:t>on the</w:t>
      </w:r>
      <w:r w:rsidRPr="008A01AC">
        <w:rPr>
          <w:rFonts w:ascii="Arial" w:hAnsi="Arial" w:cs="Arial"/>
          <w:sz w:val="24"/>
          <w:szCs w:val="24"/>
        </w:rPr>
        <w:t xml:space="preserve"> first of the </w:t>
      </w:r>
      <w:r w:rsidRPr="008A01AC" w:rsidR="0055491E">
        <w:rPr>
          <w:rFonts w:ascii="Arial" w:hAnsi="Arial" w:cs="Arial"/>
          <w:sz w:val="24"/>
          <w:szCs w:val="24"/>
        </w:rPr>
        <w:t>month in</w:t>
      </w:r>
      <w:r w:rsidRPr="008A01AC">
        <w:rPr>
          <w:rFonts w:ascii="Arial" w:hAnsi="Arial" w:cs="Arial"/>
          <w:sz w:val="24"/>
          <w:szCs w:val="24"/>
        </w:rPr>
        <w:t xml:space="preserve"> August</w:t>
      </w:r>
      <w:r w:rsidRPr="008A01AC" w:rsidR="001B3172">
        <w:rPr>
          <w:rFonts w:ascii="Arial" w:hAnsi="Arial" w:cs="Arial"/>
          <w:sz w:val="24"/>
          <w:szCs w:val="24"/>
        </w:rPr>
        <w:t xml:space="preserve"> thru </w:t>
      </w:r>
      <w:r w:rsidRPr="008A01AC" w:rsidR="0055491E">
        <w:rPr>
          <w:rFonts w:ascii="Arial" w:hAnsi="Arial" w:cs="Arial"/>
          <w:sz w:val="24"/>
          <w:szCs w:val="24"/>
        </w:rPr>
        <w:t>March and</w:t>
      </w:r>
      <w:r w:rsidRPr="008A01AC">
        <w:rPr>
          <w:rFonts w:ascii="Arial" w:hAnsi="Arial" w:cs="Arial"/>
          <w:sz w:val="24"/>
          <w:szCs w:val="24"/>
        </w:rPr>
        <w:t xml:space="preserve"> mid-month September through January. August through February, U.S. and State </w:t>
      </w:r>
      <w:proofErr w:type="spellStart"/>
      <w:r w:rsidRPr="008A01AC">
        <w:rPr>
          <w:rFonts w:ascii="Arial" w:hAnsi="Arial" w:cs="Arial"/>
          <w:sz w:val="24"/>
          <w:szCs w:val="24"/>
        </w:rPr>
        <w:t>ginnings</w:t>
      </w:r>
      <w:proofErr w:type="spellEnd"/>
      <w:r w:rsidRPr="008A01AC">
        <w:rPr>
          <w:rFonts w:ascii="Arial" w:hAnsi="Arial" w:cs="Arial"/>
          <w:sz w:val="24"/>
          <w:szCs w:val="24"/>
        </w:rPr>
        <w:t xml:space="preserve"> data as of the first of the month are published in the one-page </w:t>
      </w:r>
      <w:r w:rsidRPr="008A01AC">
        <w:rPr>
          <w:rFonts w:ascii="Arial" w:hAnsi="Arial" w:cs="Arial"/>
          <w:i/>
          <w:iCs/>
          <w:sz w:val="24"/>
          <w:szCs w:val="24"/>
        </w:rPr>
        <w:t xml:space="preserve">Cotton </w:t>
      </w:r>
      <w:proofErr w:type="spellStart"/>
      <w:r w:rsidRPr="008A01AC">
        <w:rPr>
          <w:rFonts w:ascii="Arial" w:hAnsi="Arial" w:cs="Arial"/>
          <w:i/>
          <w:iCs/>
          <w:sz w:val="24"/>
          <w:szCs w:val="24"/>
        </w:rPr>
        <w:t>Ginnings</w:t>
      </w:r>
      <w:proofErr w:type="spellEnd"/>
      <w:r w:rsidRPr="008A01AC" w:rsidR="00F24015">
        <w:rPr>
          <w:rFonts w:ascii="Arial" w:hAnsi="Arial" w:cs="Arial"/>
          <w:sz w:val="24"/>
          <w:szCs w:val="24"/>
        </w:rPr>
        <w:t xml:space="preserve"> release </w:t>
      </w:r>
      <w:r w:rsidRPr="008A01AC">
        <w:rPr>
          <w:rFonts w:ascii="Arial" w:hAnsi="Arial" w:cs="Arial"/>
          <w:sz w:val="24"/>
          <w:szCs w:val="24"/>
        </w:rPr>
        <w:t xml:space="preserve">at the same time as the monthly </w:t>
      </w:r>
      <w:r w:rsidRPr="008A01AC">
        <w:rPr>
          <w:rFonts w:ascii="Arial" w:hAnsi="Arial" w:cs="Arial"/>
          <w:i/>
          <w:iCs/>
          <w:sz w:val="24"/>
          <w:szCs w:val="24"/>
        </w:rPr>
        <w:t>Crop Production</w:t>
      </w:r>
      <w:r w:rsidRPr="008A01AC">
        <w:rPr>
          <w:rFonts w:ascii="Arial" w:hAnsi="Arial" w:cs="Arial"/>
          <w:sz w:val="24"/>
          <w:szCs w:val="24"/>
        </w:rPr>
        <w:t xml:space="preserve"> report, around the 10th of the month. The larger, mid-month </w:t>
      </w:r>
      <w:r w:rsidRPr="008A01AC">
        <w:rPr>
          <w:rFonts w:ascii="Arial" w:hAnsi="Arial" w:cs="Arial"/>
          <w:i/>
          <w:iCs/>
          <w:sz w:val="24"/>
          <w:szCs w:val="24"/>
        </w:rPr>
        <w:t xml:space="preserve">Cotton </w:t>
      </w:r>
      <w:proofErr w:type="spellStart"/>
      <w:r w:rsidRPr="008A01AC">
        <w:rPr>
          <w:rFonts w:ascii="Arial" w:hAnsi="Arial" w:cs="Arial"/>
          <w:i/>
          <w:iCs/>
          <w:sz w:val="24"/>
          <w:szCs w:val="24"/>
        </w:rPr>
        <w:t>Ginnings</w:t>
      </w:r>
      <w:proofErr w:type="spellEnd"/>
      <w:r w:rsidRPr="008A01AC">
        <w:rPr>
          <w:rFonts w:ascii="Arial" w:hAnsi="Arial" w:cs="Arial"/>
          <w:sz w:val="24"/>
          <w:szCs w:val="24"/>
        </w:rPr>
        <w:t xml:space="preserve"> report</w:t>
      </w:r>
      <w:r w:rsidRPr="008A01AC" w:rsidR="00F24015">
        <w:rPr>
          <w:rFonts w:ascii="Arial" w:hAnsi="Arial" w:cs="Arial"/>
          <w:sz w:val="24"/>
          <w:szCs w:val="24"/>
        </w:rPr>
        <w:t xml:space="preserve"> </w:t>
      </w:r>
      <w:r w:rsidRPr="008A01AC">
        <w:rPr>
          <w:rFonts w:ascii="Arial" w:hAnsi="Arial" w:cs="Arial"/>
          <w:sz w:val="24"/>
          <w:szCs w:val="24"/>
        </w:rPr>
        <w:t xml:space="preserve">is released about the 25th of the month. It contains U.S. and State </w:t>
      </w:r>
      <w:proofErr w:type="spellStart"/>
      <w:r w:rsidRPr="008A01AC">
        <w:rPr>
          <w:rFonts w:ascii="Arial" w:hAnsi="Arial" w:cs="Arial"/>
          <w:sz w:val="24"/>
          <w:szCs w:val="24"/>
        </w:rPr>
        <w:t>ginnings</w:t>
      </w:r>
      <w:proofErr w:type="spellEnd"/>
      <w:r w:rsidRPr="008A01AC">
        <w:rPr>
          <w:rFonts w:ascii="Arial" w:hAnsi="Arial" w:cs="Arial"/>
          <w:sz w:val="24"/>
          <w:szCs w:val="24"/>
        </w:rPr>
        <w:t xml:space="preserve"> data through the 15th of the month plus county-level data as of the </w:t>
      </w:r>
      <w:r w:rsidRPr="008A01AC" w:rsidR="00991521">
        <w:rPr>
          <w:rFonts w:ascii="Arial" w:hAnsi="Arial" w:cs="Arial"/>
          <w:sz w:val="24"/>
          <w:szCs w:val="24"/>
        </w:rPr>
        <w:t>middle</w:t>
      </w:r>
      <w:r w:rsidRPr="008A01AC">
        <w:rPr>
          <w:rFonts w:ascii="Arial" w:hAnsi="Arial" w:cs="Arial"/>
          <w:sz w:val="24"/>
          <w:szCs w:val="24"/>
        </w:rPr>
        <w:t xml:space="preserve"> of the month. Because of the small number of American-Pima (roller) gins, the county-level data published mid-month are for "all cotton" to avoid derivation of American-Pima ginning operations.</w:t>
      </w:r>
    </w:p>
    <w:p w:rsidRPr="008A01AC" w:rsidR="00394819" w:rsidRDefault="00394819">
      <w:pPr>
        <w:widowControl/>
        <w:rPr>
          <w:rFonts w:ascii="Arial" w:hAnsi="Arial" w:cs="Arial"/>
          <w:sz w:val="24"/>
          <w:szCs w:val="24"/>
        </w:rPr>
      </w:pPr>
    </w:p>
    <w:p w:rsidRPr="008A01AC" w:rsidR="00394819" w:rsidRDefault="00394819">
      <w:pPr>
        <w:widowControl/>
        <w:ind w:left="720"/>
        <w:rPr>
          <w:rFonts w:ascii="Arial" w:hAnsi="Arial" w:cs="Arial"/>
          <w:sz w:val="24"/>
          <w:szCs w:val="24"/>
        </w:rPr>
      </w:pPr>
      <w:r w:rsidRPr="008A01AC">
        <w:rPr>
          <w:rFonts w:ascii="Arial" w:hAnsi="Arial" w:cs="Arial"/>
          <w:sz w:val="24"/>
          <w:szCs w:val="24"/>
        </w:rPr>
        <w:t>Since there is no mandatory reporting requirement, imputation may be necessary for the "</w:t>
      </w:r>
      <w:proofErr w:type="spellStart"/>
      <w:r w:rsidRPr="008A01AC">
        <w:rPr>
          <w:rFonts w:ascii="Arial" w:hAnsi="Arial" w:cs="Arial"/>
          <w:sz w:val="24"/>
          <w:szCs w:val="24"/>
        </w:rPr>
        <w:t>ginnings</w:t>
      </w:r>
      <w:proofErr w:type="spellEnd"/>
      <w:r w:rsidRPr="008A01AC">
        <w:rPr>
          <w:rFonts w:ascii="Arial" w:hAnsi="Arial" w:cs="Arial"/>
          <w:sz w:val="24"/>
          <w:szCs w:val="24"/>
        </w:rPr>
        <w:t xml:space="preserve"> to date" asked on the </w:t>
      </w:r>
      <w:r w:rsidRPr="008A01AC" w:rsidR="00695750">
        <w:rPr>
          <w:rFonts w:ascii="Arial" w:hAnsi="Arial" w:cs="Arial"/>
          <w:sz w:val="24"/>
          <w:szCs w:val="24"/>
        </w:rPr>
        <w:t>q</w:t>
      </w:r>
      <w:r w:rsidRPr="008A01AC">
        <w:rPr>
          <w:rFonts w:ascii="Arial" w:hAnsi="Arial" w:cs="Arial"/>
          <w:sz w:val="24"/>
          <w:szCs w:val="24"/>
        </w:rPr>
        <w:t>uestionnaire</w:t>
      </w:r>
      <w:r w:rsidRPr="008A01AC" w:rsidR="00695750">
        <w:rPr>
          <w:rFonts w:ascii="Arial" w:hAnsi="Arial" w:cs="Arial"/>
          <w:sz w:val="24"/>
          <w:szCs w:val="24"/>
        </w:rPr>
        <w:t xml:space="preserve">s because totals are </w:t>
      </w:r>
      <w:r w:rsidRPr="008A01AC" w:rsidR="00695750">
        <w:rPr>
          <w:rFonts w:ascii="Arial" w:hAnsi="Arial" w:cs="Arial"/>
          <w:sz w:val="24"/>
          <w:szCs w:val="24"/>
        </w:rPr>
        <w:lastRenderedPageBreak/>
        <w:t xml:space="preserve">published. </w:t>
      </w:r>
      <w:r w:rsidRPr="008A01AC">
        <w:rPr>
          <w:rFonts w:ascii="Arial" w:hAnsi="Arial" w:cs="Arial"/>
          <w:sz w:val="24"/>
          <w:szCs w:val="24"/>
        </w:rPr>
        <w:t xml:space="preserve">Imputation procedures and other statistical procedures </w:t>
      </w:r>
      <w:r w:rsidRPr="008A01AC" w:rsidR="003700B9">
        <w:rPr>
          <w:rFonts w:ascii="Arial" w:hAnsi="Arial" w:cs="Arial"/>
          <w:sz w:val="24"/>
          <w:szCs w:val="24"/>
        </w:rPr>
        <w:t xml:space="preserve">are </w:t>
      </w:r>
      <w:r w:rsidRPr="008A01AC">
        <w:rPr>
          <w:rFonts w:ascii="Arial" w:hAnsi="Arial" w:cs="Arial"/>
          <w:sz w:val="24"/>
          <w:szCs w:val="24"/>
        </w:rPr>
        <w:t xml:space="preserve">reviewed by the </w:t>
      </w:r>
      <w:r w:rsidRPr="008A01AC" w:rsidR="0042233F">
        <w:rPr>
          <w:rFonts w:ascii="Arial" w:hAnsi="Arial" w:cs="Arial"/>
          <w:sz w:val="24"/>
          <w:szCs w:val="24"/>
        </w:rPr>
        <w:t>NASS</w:t>
      </w:r>
      <w:r w:rsidRPr="008A01AC" w:rsidR="00217C40">
        <w:rPr>
          <w:rFonts w:ascii="Arial" w:hAnsi="Arial" w:cs="Arial"/>
          <w:sz w:val="24"/>
          <w:szCs w:val="24"/>
        </w:rPr>
        <w:t xml:space="preserve"> Summ</w:t>
      </w:r>
      <w:r w:rsidRPr="008A01AC" w:rsidR="00991521">
        <w:rPr>
          <w:rFonts w:ascii="Arial" w:hAnsi="Arial" w:cs="Arial"/>
          <w:sz w:val="24"/>
          <w:szCs w:val="24"/>
        </w:rPr>
        <w:t>ary, Estimation, and Disclosure</w:t>
      </w:r>
      <w:r w:rsidRPr="008A01AC" w:rsidR="00217C40">
        <w:rPr>
          <w:rFonts w:ascii="Arial" w:hAnsi="Arial" w:cs="Arial"/>
          <w:sz w:val="24"/>
          <w:szCs w:val="24"/>
        </w:rPr>
        <w:t>, M</w:t>
      </w:r>
      <w:r w:rsidRPr="008A01AC" w:rsidR="00BC3B0C">
        <w:rPr>
          <w:rFonts w:ascii="Arial" w:hAnsi="Arial" w:cs="Arial"/>
          <w:sz w:val="24"/>
          <w:szCs w:val="24"/>
        </w:rPr>
        <w:t xml:space="preserve">ethodology </w:t>
      </w:r>
      <w:r w:rsidRPr="008A01AC" w:rsidR="00991521">
        <w:rPr>
          <w:rFonts w:ascii="Arial" w:hAnsi="Arial" w:cs="Arial"/>
          <w:sz w:val="24"/>
          <w:szCs w:val="24"/>
        </w:rPr>
        <w:t>Br</w:t>
      </w:r>
      <w:r w:rsidRPr="008A01AC" w:rsidR="00BC3B0C">
        <w:rPr>
          <w:rFonts w:ascii="Arial" w:hAnsi="Arial" w:cs="Arial"/>
          <w:sz w:val="24"/>
          <w:szCs w:val="24"/>
        </w:rPr>
        <w:t>anch, Methodology Division</w:t>
      </w:r>
      <w:r w:rsidRPr="008A01AC">
        <w:rPr>
          <w:rFonts w:ascii="Arial" w:hAnsi="Arial" w:cs="Arial"/>
          <w:sz w:val="24"/>
          <w:szCs w:val="24"/>
        </w:rPr>
        <w:t>.</w:t>
      </w:r>
    </w:p>
    <w:p w:rsidRPr="008A01AC" w:rsidR="00394819" w:rsidRDefault="00394819">
      <w:pPr>
        <w:widowControl/>
        <w:rPr>
          <w:rFonts w:ascii="Arial" w:hAnsi="Arial" w:cs="Arial"/>
          <w:sz w:val="24"/>
          <w:szCs w:val="24"/>
        </w:rPr>
      </w:pPr>
    </w:p>
    <w:p w:rsidRPr="008A01AC" w:rsidR="00394819" w:rsidRDefault="00394819">
      <w:pPr>
        <w:widowControl/>
        <w:ind w:left="720"/>
        <w:rPr>
          <w:rFonts w:ascii="Arial" w:hAnsi="Arial" w:cs="Arial"/>
          <w:sz w:val="24"/>
          <w:szCs w:val="24"/>
        </w:rPr>
      </w:pPr>
      <w:r w:rsidRPr="008A01AC">
        <w:rPr>
          <w:rFonts w:ascii="Arial" w:hAnsi="Arial" w:cs="Arial"/>
          <w:sz w:val="24"/>
          <w:szCs w:val="24"/>
        </w:rPr>
        <w:t xml:space="preserve">The final </w:t>
      </w:r>
      <w:proofErr w:type="spellStart"/>
      <w:r w:rsidRPr="008A01AC">
        <w:rPr>
          <w:rFonts w:ascii="Arial" w:hAnsi="Arial" w:cs="Arial"/>
          <w:sz w:val="24"/>
          <w:szCs w:val="24"/>
        </w:rPr>
        <w:t>ginnings</w:t>
      </w:r>
      <w:proofErr w:type="spellEnd"/>
      <w:r w:rsidRPr="008A01AC">
        <w:rPr>
          <w:rFonts w:ascii="Arial" w:hAnsi="Arial" w:cs="Arial"/>
          <w:sz w:val="24"/>
          <w:szCs w:val="24"/>
        </w:rPr>
        <w:t xml:space="preserve"> survey is conducted </w:t>
      </w:r>
      <w:r w:rsidRPr="008A01AC" w:rsidR="0025486A">
        <w:rPr>
          <w:rFonts w:ascii="Arial" w:hAnsi="Arial" w:cs="Arial"/>
          <w:sz w:val="24"/>
          <w:szCs w:val="24"/>
        </w:rPr>
        <w:t>in all 17 States by</w:t>
      </w:r>
      <w:r w:rsidRPr="008A01AC">
        <w:rPr>
          <w:rFonts w:ascii="Arial" w:hAnsi="Arial" w:cs="Arial"/>
          <w:sz w:val="24"/>
          <w:szCs w:val="24"/>
        </w:rPr>
        <w:t xml:space="preserve"> March</w:t>
      </w:r>
      <w:r w:rsidRPr="008A01AC" w:rsidR="0025486A">
        <w:rPr>
          <w:rFonts w:ascii="Arial" w:hAnsi="Arial" w:cs="Arial"/>
          <w:sz w:val="24"/>
          <w:szCs w:val="24"/>
        </w:rPr>
        <w:t xml:space="preserve"> (each gin is asked to complete the final report as they complete their </w:t>
      </w:r>
      <w:proofErr w:type="spellStart"/>
      <w:r w:rsidRPr="008A01AC" w:rsidR="0025486A">
        <w:rPr>
          <w:rFonts w:ascii="Arial" w:hAnsi="Arial" w:cs="Arial"/>
          <w:sz w:val="24"/>
          <w:szCs w:val="24"/>
        </w:rPr>
        <w:t>ginnings</w:t>
      </w:r>
      <w:proofErr w:type="spellEnd"/>
      <w:r w:rsidRPr="008A01AC" w:rsidR="0025486A">
        <w:rPr>
          <w:rFonts w:ascii="Arial" w:hAnsi="Arial" w:cs="Arial"/>
          <w:sz w:val="24"/>
          <w:szCs w:val="24"/>
        </w:rPr>
        <w:t xml:space="preserve"> for the </w:t>
      </w:r>
      <w:r w:rsidRPr="008A01AC" w:rsidR="008A01AC">
        <w:rPr>
          <w:rFonts w:ascii="Arial" w:hAnsi="Arial" w:cs="Arial"/>
          <w:sz w:val="24"/>
          <w:szCs w:val="24"/>
        </w:rPr>
        <w:t xml:space="preserve">previous </w:t>
      </w:r>
      <w:r w:rsidRPr="008A01AC" w:rsidR="00835310">
        <w:rPr>
          <w:rFonts w:ascii="Arial" w:hAnsi="Arial" w:cs="Arial"/>
          <w:sz w:val="24"/>
          <w:szCs w:val="24"/>
        </w:rPr>
        <w:t xml:space="preserve">growing </w:t>
      </w:r>
      <w:r w:rsidRPr="008A01AC" w:rsidR="0025486A">
        <w:rPr>
          <w:rFonts w:ascii="Arial" w:hAnsi="Arial" w:cs="Arial"/>
          <w:sz w:val="24"/>
          <w:szCs w:val="24"/>
        </w:rPr>
        <w:t>season)</w:t>
      </w:r>
      <w:r w:rsidRPr="008A01AC">
        <w:rPr>
          <w:rFonts w:ascii="Arial" w:hAnsi="Arial" w:cs="Arial"/>
          <w:sz w:val="24"/>
          <w:szCs w:val="24"/>
        </w:rPr>
        <w:t xml:space="preserve"> and preliminary totals are released in</w:t>
      </w:r>
      <w:r w:rsidRPr="008A01AC">
        <w:rPr>
          <w:rFonts w:ascii="Arial" w:hAnsi="Arial" w:cs="Arial"/>
          <w:i/>
          <w:iCs/>
          <w:sz w:val="24"/>
          <w:szCs w:val="24"/>
        </w:rPr>
        <w:t xml:space="preserve"> Cotton </w:t>
      </w:r>
      <w:proofErr w:type="spellStart"/>
      <w:r w:rsidRPr="008A01AC">
        <w:rPr>
          <w:rFonts w:ascii="Arial" w:hAnsi="Arial" w:cs="Arial"/>
          <w:i/>
          <w:iCs/>
          <w:sz w:val="24"/>
          <w:szCs w:val="24"/>
        </w:rPr>
        <w:t>Ginnings</w:t>
      </w:r>
      <w:proofErr w:type="spellEnd"/>
      <w:r w:rsidRPr="008A01AC">
        <w:rPr>
          <w:rFonts w:ascii="Arial" w:hAnsi="Arial" w:cs="Arial"/>
          <w:sz w:val="24"/>
          <w:szCs w:val="24"/>
        </w:rPr>
        <w:t xml:space="preserve"> about the 25th of March</w:t>
      </w:r>
      <w:r w:rsidRPr="008A01AC" w:rsidR="007E03F6">
        <w:rPr>
          <w:rFonts w:ascii="Arial" w:hAnsi="Arial" w:cs="Arial"/>
          <w:sz w:val="24"/>
          <w:szCs w:val="24"/>
        </w:rPr>
        <w:t xml:space="preserve">. </w:t>
      </w:r>
      <w:r w:rsidRPr="008A01AC">
        <w:rPr>
          <w:rFonts w:ascii="Arial" w:hAnsi="Arial" w:cs="Arial"/>
          <w:sz w:val="24"/>
          <w:szCs w:val="24"/>
        </w:rPr>
        <w:t>This release contains the U.S. and State running bales for upland and American-Pima ginned to date, equivalent 480-pound bales ginned, average bale weight, number of active gins, and ginners' estimates of quantity to be ginned, if any. The county-level data is for running bales ginned plus ginners' estimates of bales to be ginned. In this final survey, cross-State movement data (the quantity of cotton produced in one State but ginned in another State) is collected.</w:t>
      </w:r>
    </w:p>
    <w:p w:rsidRPr="00544B48" w:rsidR="006D5C33" w:rsidRDefault="006D5C33">
      <w:pPr>
        <w:widowControl/>
        <w:ind w:left="720"/>
        <w:rPr>
          <w:rFonts w:ascii="Arial" w:hAnsi="Arial" w:cs="Arial"/>
          <w:color w:val="FF0000"/>
          <w:sz w:val="24"/>
          <w:szCs w:val="24"/>
        </w:rPr>
      </w:pPr>
    </w:p>
    <w:p w:rsidRPr="00AE63E0" w:rsidR="006F396F" w:rsidRDefault="006F396F">
      <w:pPr>
        <w:widowControl/>
        <w:ind w:left="720"/>
        <w:rPr>
          <w:rFonts w:ascii="Arial" w:hAnsi="Arial" w:cs="Arial"/>
          <w:sz w:val="24"/>
          <w:szCs w:val="24"/>
        </w:rPr>
      </w:pPr>
      <w:r w:rsidRPr="00AE63E0">
        <w:rPr>
          <w:rFonts w:ascii="Arial" w:hAnsi="Arial" w:cs="Arial"/>
          <w:sz w:val="24"/>
          <w:szCs w:val="24"/>
        </w:rPr>
        <w:t>All NASS publications can be found at:</w:t>
      </w:r>
    </w:p>
    <w:p w:rsidRPr="00AE63E0" w:rsidR="006F396F" w:rsidRDefault="006F396F">
      <w:pPr>
        <w:widowControl/>
        <w:ind w:left="720"/>
        <w:rPr>
          <w:rFonts w:ascii="Arial" w:hAnsi="Arial" w:cs="Arial"/>
          <w:sz w:val="24"/>
          <w:szCs w:val="24"/>
        </w:rPr>
      </w:pPr>
    </w:p>
    <w:p w:rsidR="006F396F" w:rsidP="006F396F" w:rsidRDefault="00730861">
      <w:pPr>
        <w:widowControl/>
        <w:ind w:left="720"/>
        <w:rPr>
          <w:rFonts w:ascii="Arial" w:hAnsi="Arial" w:cs="Arial"/>
          <w:color w:val="FF0000"/>
          <w:sz w:val="24"/>
          <w:szCs w:val="24"/>
        </w:rPr>
      </w:pPr>
      <w:hyperlink w:history="1" r:id="rId16">
        <w:r w:rsidRPr="00BE5A24" w:rsidR="00AE63E0">
          <w:rPr>
            <w:rStyle w:val="Hyperlink"/>
            <w:rFonts w:ascii="Arial" w:hAnsi="Arial" w:cs="Arial"/>
            <w:sz w:val="24"/>
            <w:szCs w:val="24"/>
          </w:rPr>
          <w:t>https://www.nass.usda.gov/Publications/</w:t>
        </w:r>
      </w:hyperlink>
    </w:p>
    <w:p w:rsidRPr="00544B48" w:rsidR="006F396F" w:rsidRDefault="006F396F">
      <w:pPr>
        <w:widowControl/>
        <w:ind w:left="720"/>
        <w:rPr>
          <w:rFonts w:ascii="Arial" w:hAnsi="Arial" w:cs="Arial"/>
          <w:color w:val="FF0000"/>
          <w:sz w:val="24"/>
          <w:szCs w:val="24"/>
        </w:rPr>
      </w:pPr>
    </w:p>
    <w:p w:rsidRPr="00E978AB" w:rsidR="006F396F" w:rsidRDefault="007E03F6">
      <w:pPr>
        <w:widowControl/>
        <w:ind w:left="720"/>
        <w:rPr>
          <w:rFonts w:ascii="Arial" w:hAnsi="Arial" w:cs="Arial"/>
          <w:sz w:val="24"/>
          <w:szCs w:val="24"/>
        </w:rPr>
      </w:pPr>
      <w:r w:rsidRPr="00E978AB">
        <w:rPr>
          <w:rFonts w:ascii="Arial" w:hAnsi="Arial" w:cs="Arial"/>
          <w:sz w:val="24"/>
          <w:szCs w:val="24"/>
        </w:rPr>
        <w:t>All</w:t>
      </w:r>
      <w:r w:rsidRPr="00E978AB" w:rsidR="006D5C33">
        <w:rPr>
          <w:rFonts w:ascii="Arial" w:hAnsi="Arial" w:cs="Arial"/>
          <w:sz w:val="24"/>
          <w:szCs w:val="24"/>
        </w:rPr>
        <w:t xml:space="preserve"> first of month</w:t>
      </w:r>
      <w:r w:rsidRPr="00E978AB" w:rsidR="00C40170">
        <w:rPr>
          <w:rFonts w:ascii="Arial" w:hAnsi="Arial" w:cs="Arial"/>
          <w:sz w:val="24"/>
          <w:szCs w:val="24"/>
        </w:rPr>
        <w:t xml:space="preserve"> and</w:t>
      </w:r>
      <w:r w:rsidRPr="00E978AB" w:rsidR="006D5C33">
        <w:rPr>
          <w:rFonts w:ascii="Arial" w:hAnsi="Arial" w:cs="Arial"/>
          <w:sz w:val="24"/>
          <w:szCs w:val="24"/>
        </w:rPr>
        <w:t xml:space="preserve"> mid</w:t>
      </w:r>
      <w:r w:rsidRPr="00E978AB" w:rsidR="006F396F">
        <w:rPr>
          <w:rFonts w:ascii="Arial" w:hAnsi="Arial" w:cs="Arial"/>
          <w:sz w:val="24"/>
          <w:szCs w:val="24"/>
        </w:rPr>
        <w:t>-</w:t>
      </w:r>
      <w:r w:rsidRPr="00E978AB" w:rsidR="006D5C33">
        <w:rPr>
          <w:rFonts w:ascii="Arial" w:hAnsi="Arial" w:cs="Arial"/>
          <w:sz w:val="24"/>
          <w:szCs w:val="24"/>
        </w:rPr>
        <w:t>month</w:t>
      </w:r>
      <w:r w:rsidRPr="00E978AB" w:rsidR="006F396F">
        <w:rPr>
          <w:rFonts w:ascii="Arial" w:hAnsi="Arial" w:cs="Arial"/>
          <w:sz w:val="24"/>
          <w:szCs w:val="24"/>
        </w:rPr>
        <w:t xml:space="preserve"> cotton ginning</w:t>
      </w:r>
      <w:r w:rsidRPr="00E978AB" w:rsidR="006D5C33">
        <w:rPr>
          <w:rFonts w:ascii="Arial" w:hAnsi="Arial" w:cs="Arial"/>
          <w:sz w:val="24"/>
          <w:szCs w:val="24"/>
        </w:rPr>
        <w:t xml:space="preserve"> survey publications can be found at</w:t>
      </w:r>
      <w:r w:rsidRPr="00E978AB" w:rsidR="006F396F">
        <w:rPr>
          <w:rFonts w:ascii="Arial" w:hAnsi="Arial" w:cs="Arial"/>
          <w:sz w:val="24"/>
          <w:szCs w:val="24"/>
        </w:rPr>
        <w:t>:</w:t>
      </w:r>
    </w:p>
    <w:p w:rsidRPr="00E978AB" w:rsidR="00330992" w:rsidRDefault="00330992">
      <w:pPr>
        <w:widowControl/>
        <w:ind w:left="720"/>
        <w:rPr>
          <w:rFonts w:ascii="Arial" w:hAnsi="Arial" w:cs="Arial"/>
          <w:sz w:val="24"/>
          <w:szCs w:val="24"/>
        </w:rPr>
      </w:pPr>
    </w:p>
    <w:p w:rsidRPr="00E978AB" w:rsidR="00E978AB" w:rsidRDefault="00730861">
      <w:pPr>
        <w:widowControl/>
        <w:ind w:left="720"/>
        <w:rPr>
          <w:rFonts w:ascii="Arial" w:hAnsi="Arial" w:cs="Arial"/>
          <w:sz w:val="24"/>
          <w:szCs w:val="24"/>
        </w:rPr>
      </w:pPr>
      <w:hyperlink w:history="1" r:id="rId17">
        <w:r w:rsidRPr="00E978AB" w:rsidR="00AE63E0">
          <w:rPr>
            <w:rFonts w:ascii="Arial" w:hAnsi="Arial" w:cs="Arial"/>
            <w:color w:val="0000FF"/>
            <w:sz w:val="24"/>
            <w:szCs w:val="24"/>
            <w:u w:val="single"/>
          </w:rPr>
          <w:t>https://usda.library.cornell.edu/concern/publications/q524jn76v?locale=en</w:t>
        </w:r>
      </w:hyperlink>
    </w:p>
    <w:p w:rsidRPr="00544B48" w:rsidR="006F396F" w:rsidRDefault="006F396F">
      <w:pPr>
        <w:widowControl/>
        <w:ind w:left="720"/>
        <w:rPr>
          <w:rFonts w:ascii="Arial" w:hAnsi="Arial" w:cs="Arial"/>
          <w:color w:val="FF0000"/>
          <w:sz w:val="24"/>
          <w:szCs w:val="24"/>
        </w:rPr>
      </w:pPr>
    </w:p>
    <w:p w:rsidRPr="00E978AB" w:rsidR="000A69C0" w:rsidRDefault="00394819">
      <w:pPr>
        <w:widowControl/>
        <w:ind w:left="720"/>
        <w:rPr>
          <w:rFonts w:ascii="Arial" w:hAnsi="Arial" w:cs="Arial"/>
          <w:sz w:val="24"/>
          <w:szCs w:val="24"/>
        </w:rPr>
      </w:pPr>
      <w:r w:rsidRPr="00E978AB">
        <w:rPr>
          <w:rFonts w:ascii="Arial" w:hAnsi="Arial" w:cs="Arial"/>
          <w:sz w:val="24"/>
          <w:szCs w:val="24"/>
        </w:rPr>
        <w:t xml:space="preserve">Detailed </w:t>
      </w:r>
      <w:r w:rsidRPr="00E978AB" w:rsidR="00C40170">
        <w:rPr>
          <w:rFonts w:ascii="Arial" w:hAnsi="Arial" w:cs="Arial"/>
          <w:sz w:val="24"/>
          <w:szCs w:val="24"/>
        </w:rPr>
        <w:t xml:space="preserve">final </w:t>
      </w:r>
      <w:proofErr w:type="spellStart"/>
      <w:r w:rsidRPr="00E978AB">
        <w:rPr>
          <w:rFonts w:ascii="Arial" w:hAnsi="Arial" w:cs="Arial"/>
          <w:sz w:val="24"/>
          <w:szCs w:val="24"/>
        </w:rPr>
        <w:t>ginnings</w:t>
      </w:r>
      <w:proofErr w:type="spellEnd"/>
      <w:r w:rsidRPr="00E978AB">
        <w:rPr>
          <w:rFonts w:ascii="Arial" w:hAnsi="Arial" w:cs="Arial"/>
          <w:sz w:val="24"/>
          <w:szCs w:val="24"/>
        </w:rPr>
        <w:t xml:space="preserve"> data are published in the </w:t>
      </w:r>
      <w:r w:rsidRPr="00E978AB">
        <w:rPr>
          <w:rFonts w:ascii="Arial" w:hAnsi="Arial" w:cs="Arial"/>
          <w:i/>
          <w:iCs/>
          <w:sz w:val="24"/>
          <w:szCs w:val="24"/>
        </w:rPr>
        <w:t xml:space="preserve">Cotton </w:t>
      </w:r>
      <w:proofErr w:type="spellStart"/>
      <w:r w:rsidRPr="00E978AB">
        <w:rPr>
          <w:rFonts w:ascii="Arial" w:hAnsi="Arial" w:cs="Arial"/>
          <w:i/>
          <w:iCs/>
          <w:sz w:val="24"/>
          <w:szCs w:val="24"/>
        </w:rPr>
        <w:t>Ginnings</w:t>
      </w:r>
      <w:proofErr w:type="spellEnd"/>
      <w:r w:rsidRPr="00E978AB">
        <w:rPr>
          <w:rFonts w:ascii="Arial" w:hAnsi="Arial" w:cs="Arial"/>
          <w:i/>
          <w:iCs/>
          <w:sz w:val="24"/>
          <w:szCs w:val="24"/>
        </w:rPr>
        <w:t>, Annual Summary</w:t>
      </w:r>
      <w:r w:rsidRPr="00E978AB">
        <w:rPr>
          <w:rFonts w:ascii="Arial" w:hAnsi="Arial" w:cs="Arial"/>
          <w:sz w:val="24"/>
          <w:szCs w:val="24"/>
        </w:rPr>
        <w:t xml:space="preserve"> in May</w:t>
      </w:r>
      <w:r w:rsidRPr="00E978AB" w:rsidR="006F396F">
        <w:rPr>
          <w:rFonts w:ascii="Arial" w:hAnsi="Arial" w:cs="Arial"/>
          <w:sz w:val="24"/>
          <w:szCs w:val="24"/>
        </w:rPr>
        <w:t>:</w:t>
      </w:r>
      <w:r w:rsidRPr="00E978AB">
        <w:rPr>
          <w:rFonts w:ascii="Arial" w:hAnsi="Arial" w:cs="Arial"/>
          <w:sz w:val="24"/>
          <w:szCs w:val="24"/>
        </w:rPr>
        <w:t xml:space="preserve"> </w:t>
      </w:r>
    </w:p>
    <w:p w:rsidRPr="00E978AB" w:rsidR="000A69C0" w:rsidRDefault="000A69C0">
      <w:pPr>
        <w:widowControl/>
        <w:ind w:left="720"/>
        <w:rPr>
          <w:rFonts w:ascii="Arial" w:hAnsi="Arial" w:cs="Arial"/>
          <w:sz w:val="24"/>
          <w:szCs w:val="24"/>
        </w:rPr>
      </w:pPr>
    </w:p>
    <w:p w:rsidRPr="00E978AB" w:rsidR="00D86772" w:rsidRDefault="00730861">
      <w:pPr>
        <w:widowControl/>
        <w:ind w:left="720"/>
        <w:rPr>
          <w:rFonts w:ascii="Arial" w:hAnsi="Arial" w:cs="Arial"/>
          <w:sz w:val="24"/>
          <w:szCs w:val="24"/>
        </w:rPr>
      </w:pPr>
      <w:hyperlink w:history="1" r:id="rId18">
        <w:r w:rsidRPr="00E978AB" w:rsidR="00E978AB">
          <w:rPr>
            <w:rFonts w:ascii="Arial" w:hAnsi="Arial" w:cs="Arial"/>
            <w:color w:val="0000FF"/>
            <w:sz w:val="24"/>
            <w:szCs w:val="24"/>
            <w:u w:val="single"/>
          </w:rPr>
          <w:t>https://usda.library.cornell.edu/concern/publications/6108vb275?locale=en</w:t>
        </w:r>
      </w:hyperlink>
    </w:p>
    <w:p w:rsidRPr="00E978AB" w:rsidR="00E978AB" w:rsidRDefault="00E978AB">
      <w:pPr>
        <w:widowControl/>
        <w:ind w:left="720"/>
        <w:rPr>
          <w:rFonts w:ascii="Arial" w:hAnsi="Arial" w:cs="Arial"/>
          <w:color w:val="FF0000"/>
          <w:sz w:val="24"/>
          <w:szCs w:val="24"/>
        </w:rPr>
      </w:pPr>
    </w:p>
    <w:p w:rsidRPr="00993640" w:rsidR="00394819" w:rsidRDefault="00394819">
      <w:pPr>
        <w:widowControl/>
        <w:ind w:left="720"/>
        <w:rPr>
          <w:rFonts w:ascii="Arial" w:hAnsi="Arial" w:cs="Arial"/>
          <w:sz w:val="24"/>
          <w:szCs w:val="24"/>
        </w:rPr>
      </w:pPr>
      <w:r w:rsidRPr="00E978AB">
        <w:rPr>
          <w:rFonts w:ascii="Arial" w:hAnsi="Arial" w:cs="Arial"/>
          <w:sz w:val="24"/>
          <w:szCs w:val="24"/>
        </w:rPr>
        <w:t xml:space="preserve">This publication contains, for each reporting period, the U.S. and State running bales ginned and county data for running bales ginned, equivalent 480-pound bales ginned, number of active gins, running bales produced, average bale weight, and rank by running bales produced. Information for American-Pima cotton gins is limited to U.S. and State data and includes </w:t>
      </w:r>
      <w:proofErr w:type="spellStart"/>
      <w:r w:rsidRPr="00E978AB">
        <w:rPr>
          <w:rFonts w:ascii="Arial" w:hAnsi="Arial" w:cs="Arial"/>
          <w:sz w:val="24"/>
          <w:szCs w:val="24"/>
        </w:rPr>
        <w:t>ginnings</w:t>
      </w:r>
      <w:proofErr w:type="spellEnd"/>
      <w:r w:rsidRPr="00E978AB">
        <w:rPr>
          <w:rFonts w:ascii="Arial" w:hAnsi="Arial" w:cs="Arial"/>
          <w:sz w:val="24"/>
          <w:szCs w:val="24"/>
        </w:rPr>
        <w:t xml:space="preserve"> by reporting period, a season total, bales produced in a State, and 480-pound bales ginned.  This format prevents disclosure of individual operations because of the low </w:t>
      </w:r>
      <w:r w:rsidRPr="00993640">
        <w:rPr>
          <w:rFonts w:ascii="Arial" w:hAnsi="Arial" w:cs="Arial"/>
          <w:sz w:val="24"/>
          <w:szCs w:val="24"/>
        </w:rPr>
        <w:t>number of American-Pima gins.</w:t>
      </w:r>
    </w:p>
    <w:p w:rsidRPr="00993640" w:rsidR="00394819" w:rsidRDefault="00394819">
      <w:pPr>
        <w:widowControl/>
        <w:rPr>
          <w:rFonts w:ascii="Arial" w:hAnsi="Arial" w:cs="Arial"/>
          <w:sz w:val="24"/>
          <w:szCs w:val="24"/>
        </w:rPr>
      </w:pPr>
    </w:p>
    <w:p w:rsidRPr="00993640" w:rsidR="000A69C0" w:rsidRDefault="00394819">
      <w:pPr>
        <w:widowControl/>
        <w:ind w:left="720"/>
        <w:rPr>
          <w:rFonts w:ascii="Arial" w:hAnsi="Arial" w:cs="Arial"/>
          <w:sz w:val="24"/>
          <w:szCs w:val="24"/>
        </w:rPr>
      </w:pPr>
      <w:r w:rsidRPr="00993640">
        <w:rPr>
          <w:rFonts w:ascii="Arial" w:hAnsi="Arial" w:cs="Arial"/>
          <w:sz w:val="24"/>
          <w:szCs w:val="24"/>
          <w:u w:val="single"/>
        </w:rPr>
        <w:t>Cottonseed price data</w:t>
      </w:r>
      <w:r w:rsidRPr="00993640">
        <w:rPr>
          <w:rFonts w:ascii="Arial" w:hAnsi="Arial" w:cs="Arial"/>
          <w:sz w:val="24"/>
          <w:szCs w:val="24"/>
        </w:rPr>
        <w:t xml:space="preserve"> are collected on the first-of-the-month cotton </w:t>
      </w:r>
      <w:proofErr w:type="spellStart"/>
      <w:r w:rsidRPr="00993640">
        <w:rPr>
          <w:rFonts w:ascii="Arial" w:hAnsi="Arial" w:cs="Arial"/>
          <w:sz w:val="24"/>
          <w:szCs w:val="24"/>
        </w:rPr>
        <w:t>ginnings</w:t>
      </w:r>
      <w:proofErr w:type="spellEnd"/>
      <w:r w:rsidRPr="00993640">
        <w:rPr>
          <w:rFonts w:ascii="Arial" w:hAnsi="Arial" w:cs="Arial"/>
          <w:sz w:val="24"/>
          <w:szCs w:val="24"/>
        </w:rPr>
        <w:t xml:space="preserve"> questionnaire in August from Texas gins (the only State with sales then) and in </w:t>
      </w:r>
      <w:r w:rsidRPr="00993640" w:rsidR="004E7B4A">
        <w:rPr>
          <w:rFonts w:ascii="Arial" w:hAnsi="Arial" w:cs="Arial"/>
          <w:sz w:val="24"/>
          <w:szCs w:val="24"/>
        </w:rPr>
        <w:t>September thru March</w:t>
      </w:r>
      <w:r w:rsidRPr="00993640">
        <w:rPr>
          <w:rFonts w:ascii="Arial" w:hAnsi="Arial" w:cs="Arial"/>
          <w:sz w:val="24"/>
          <w:szCs w:val="24"/>
        </w:rPr>
        <w:t xml:space="preserve"> from all 17 States</w:t>
      </w:r>
      <w:r w:rsidRPr="00993640" w:rsidR="004E7B4A">
        <w:rPr>
          <w:rFonts w:ascii="Arial" w:hAnsi="Arial" w:cs="Arial"/>
          <w:sz w:val="24"/>
          <w:szCs w:val="24"/>
        </w:rPr>
        <w:t>.</w:t>
      </w:r>
      <w:r w:rsidRPr="00993640">
        <w:rPr>
          <w:rFonts w:ascii="Arial" w:hAnsi="Arial" w:cs="Arial"/>
          <w:sz w:val="24"/>
          <w:szCs w:val="24"/>
        </w:rPr>
        <w:t xml:space="preserve"> Prices are published monthly, August through </w:t>
      </w:r>
      <w:r w:rsidRPr="00993640" w:rsidR="000C4EC7">
        <w:rPr>
          <w:rFonts w:ascii="Arial" w:hAnsi="Arial" w:cs="Arial"/>
          <w:sz w:val="24"/>
          <w:szCs w:val="24"/>
        </w:rPr>
        <w:t>March,</w:t>
      </w:r>
      <w:r w:rsidRPr="00993640">
        <w:rPr>
          <w:rFonts w:ascii="Arial" w:hAnsi="Arial" w:cs="Arial"/>
          <w:sz w:val="24"/>
          <w:szCs w:val="24"/>
        </w:rPr>
        <w:t xml:space="preserve"> for the ten largest cotton States and the U.S. in the </w:t>
      </w:r>
      <w:r w:rsidRPr="00993640">
        <w:rPr>
          <w:rFonts w:ascii="Arial" w:hAnsi="Arial" w:cs="Arial"/>
          <w:i/>
          <w:iCs/>
          <w:sz w:val="24"/>
          <w:szCs w:val="24"/>
        </w:rPr>
        <w:t>Agricultural Prices</w:t>
      </w:r>
      <w:r w:rsidRPr="00993640">
        <w:rPr>
          <w:rFonts w:ascii="Arial" w:hAnsi="Arial" w:cs="Arial"/>
          <w:sz w:val="24"/>
          <w:szCs w:val="24"/>
        </w:rPr>
        <w:t xml:space="preserve"> release</w:t>
      </w:r>
      <w:r w:rsidRPr="00993640" w:rsidR="00E6527B">
        <w:rPr>
          <w:rFonts w:ascii="Arial" w:hAnsi="Arial" w:cs="Arial"/>
          <w:sz w:val="24"/>
          <w:szCs w:val="24"/>
        </w:rPr>
        <w:t>:</w:t>
      </w:r>
    </w:p>
    <w:p w:rsidRPr="00993640" w:rsidR="000A69C0" w:rsidRDefault="000A69C0">
      <w:pPr>
        <w:widowControl/>
        <w:ind w:left="720"/>
        <w:rPr>
          <w:rFonts w:ascii="Arial" w:hAnsi="Arial" w:cs="Arial"/>
          <w:sz w:val="24"/>
          <w:szCs w:val="24"/>
        </w:rPr>
      </w:pPr>
    </w:p>
    <w:p w:rsidRPr="00993640" w:rsidR="006F396F" w:rsidRDefault="00730861">
      <w:pPr>
        <w:widowControl/>
        <w:ind w:left="720"/>
        <w:rPr>
          <w:rFonts w:ascii="Arial" w:hAnsi="Arial" w:cs="Arial"/>
          <w:color w:val="FF0000"/>
          <w:sz w:val="24"/>
          <w:szCs w:val="24"/>
        </w:rPr>
      </w:pPr>
      <w:hyperlink w:history="1" r:id="rId19">
        <w:r w:rsidRPr="00993640" w:rsidR="00E978AB">
          <w:rPr>
            <w:rFonts w:ascii="Arial" w:hAnsi="Arial" w:cs="Arial"/>
            <w:color w:val="0000FF"/>
            <w:sz w:val="24"/>
            <w:szCs w:val="24"/>
            <w:u w:val="single"/>
          </w:rPr>
          <w:t>https://usda.library.cornell.edu/concern/publications/c821gj76b?locale=en</w:t>
        </w:r>
      </w:hyperlink>
    </w:p>
    <w:p w:rsidRPr="00993640" w:rsidR="00B87C00" w:rsidRDefault="00394819">
      <w:pPr>
        <w:widowControl/>
        <w:ind w:left="720"/>
        <w:rPr>
          <w:rFonts w:ascii="Arial" w:hAnsi="Arial" w:cs="Arial"/>
          <w:sz w:val="24"/>
          <w:szCs w:val="24"/>
        </w:rPr>
      </w:pPr>
      <w:r w:rsidRPr="00993640">
        <w:rPr>
          <w:rFonts w:ascii="Arial" w:hAnsi="Arial" w:cs="Arial"/>
          <w:sz w:val="24"/>
          <w:szCs w:val="24"/>
        </w:rPr>
        <w:lastRenderedPageBreak/>
        <w:t xml:space="preserve">A preliminary marketing year average price is </w:t>
      </w:r>
      <w:r w:rsidRPr="00993640" w:rsidR="00B87C00">
        <w:rPr>
          <w:rFonts w:ascii="Arial" w:hAnsi="Arial" w:cs="Arial"/>
          <w:sz w:val="24"/>
          <w:szCs w:val="24"/>
        </w:rPr>
        <w:t xml:space="preserve">normally </w:t>
      </w:r>
      <w:r w:rsidRPr="00993640">
        <w:rPr>
          <w:rFonts w:ascii="Arial" w:hAnsi="Arial" w:cs="Arial"/>
          <w:sz w:val="24"/>
          <w:szCs w:val="24"/>
        </w:rPr>
        <w:t xml:space="preserve">published in February's </w:t>
      </w:r>
      <w:r w:rsidRPr="00993640">
        <w:rPr>
          <w:rFonts w:ascii="Arial" w:hAnsi="Arial" w:cs="Arial"/>
          <w:i/>
          <w:iCs/>
          <w:sz w:val="24"/>
          <w:szCs w:val="24"/>
        </w:rPr>
        <w:t>Crop Values</w:t>
      </w:r>
      <w:r w:rsidRPr="00993640" w:rsidR="00B87C00">
        <w:rPr>
          <w:rFonts w:ascii="Arial" w:hAnsi="Arial" w:cs="Arial"/>
          <w:i/>
          <w:iCs/>
          <w:sz w:val="24"/>
          <w:szCs w:val="24"/>
        </w:rPr>
        <w:t xml:space="preserve"> </w:t>
      </w:r>
      <w:r w:rsidRPr="00993640">
        <w:rPr>
          <w:rFonts w:ascii="Arial" w:hAnsi="Arial" w:cs="Arial"/>
          <w:sz w:val="24"/>
          <w:szCs w:val="24"/>
        </w:rPr>
        <w:t xml:space="preserve">for all 17 States and the U.S. </w:t>
      </w:r>
      <w:r w:rsidRPr="00993640" w:rsidR="00B87C00">
        <w:rPr>
          <w:rFonts w:ascii="Arial" w:hAnsi="Arial" w:cs="Arial"/>
          <w:sz w:val="24"/>
          <w:szCs w:val="24"/>
        </w:rPr>
        <w:t>However, due to the lapse in Federal Funding in 2019 the report was delayed until April 12, 2019.</w:t>
      </w:r>
    </w:p>
    <w:p w:rsidRPr="00993640" w:rsidR="00B87C00" w:rsidRDefault="00B87C00">
      <w:pPr>
        <w:widowControl/>
        <w:ind w:left="720"/>
        <w:rPr>
          <w:rFonts w:ascii="Arial" w:hAnsi="Arial" w:cs="Arial"/>
          <w:color w:val="FF0000"/>
          <w:sz w:val="24"/>
          <w:szCs w:val="24"/>
        </w:rPr>
      </w:pPr>
    </w:p>
    <w:p w:rsidRPr="00993640" w:rsidR="00B87C00" w:rsidRDefault="00730861">
      <w:pPr>
        <w:widowControl/>
        <w:ind w:left="720"/>
        <w:rPr>
          <w:rFonts w:ascii="Arial" w:hAnsi="Arial" w:cs="Arial"/>
          <w:color w:val="FF0000"/>
          <w:sz w:val="24"/>
          <w:szCs w:val="24"/>
        </w:rPr>
      </w:pPr>
      <w:hyperlink w:history="1" r:id="rId20">
        <w:r w:rsidRPr="00993640" w:rsidR="00B87C00">
          <w:rPr>
            <w:rFonts w:ascii="Arial" w:hAnsi="Arial" w:cs="Arial"/>
            <w:color w:val="0000FF"/>
            <w:sz w:val="24"/>
            <w:szCs w:val="24"/>
            <w:u w:val="single"/>
          </w:rPr>
          <w:t>https://usda.library.cornell.edu/concern/publications/k35694332?locale=en</w:t>
        </w:r>
      </w:hyperlink>
    </w:p>
    <w:p w:rsidRPr="00993640" w:rsidR="00B87C00" w:rsidRDefault="00B87C00">
      <w:pPr>
        <w:widowControl/>
        <w:ind w:left="720"/>
        <w:rPr>
          <w:rFonts w:ascii="Arial" w:hAnsi="Arial" w:cs="Arial"/>
          <w:color w:val="FF0000"/>
          <w:sz w:val="24"/>
          <w:szCs w:val="24"/>
        </w:rPr>
      </w:pPr>
    </w:p>
    <w:p w:rsidRPr="00993640" w:rsidR="00F9108C" w:rsidRDefault="00394819">
      <w:pPr>
        <w:widowControl/>
        <w:ind w:left="720"/>
        <w:rPr>
          <w:rFonts w:ascii="Arial" w:hAnsi="Arial" w:cs="Arial"/>
          <w:sz w:val="24"/>
          <w:szCs w:val="24"/>
        </w:rPr>
      </w:pPr>
      <w:r w:rsidRPr="00993640">
        <w:rPr>
          <w:rFonts w:ascii="Arial" w:hAnsi="Arial" w:cs="Arial"/>
          <w:sz w:val="24"/>
          <w:szCs w:val="24"/>
        </w:rPr>
        <w:t xml:space="preserve">The season's final monthly prices for the 10 largest States and the U.S. and the marketing year average price for all 17 survey States are published in the following October </w:t>
      </w:r>
      <w:r w:rsidRPr="00993640">
        <w:rPr>
          <w:rFonts w:ascii="Arial" w:hAnsi="Arial" w:cs="Arial"/>
          <w:i/>
          <w:iCs/>
          <w:sz w:val="24"/>
          <w:szCs w:val="24"/>
        </w:rPr>
        <w:t>Agricultural Prices</w:t>
      </w:r>
      <w:r w:rsidRPr="00993640">
        <w:rPr>
          <w:rFonts w:ascii="Arial" w:hAnsi="Arial" w:cs="Arial"/>
          <w:sz w:val="24"/>
          <w:szCs w:val="24"/>
        </w:rPr>
        <w:t xml:space="preserve"> release</w:t>
      </w:r>
    </w:p>
    <w:p w:rsidRPr="00993640" w:rsidR="00F9108C" w:rsidRDefault="00F9108C">
      <w:pPr>
        <w:widowControl/>
        <w:ind w:left="720"/>
        <w:rPr>
          <w:rFonts w:ascii="Arial" w:hAnsi="Arial" w:cs="Arial"/>
          <w:sz w:val="24"/>
          <w:szCs w:val="24"/>
        </w:rPr>
      </w:pPr>
    </w:p>
    <w:p w:rsidRPr="00993640" w:rsidR="00394819" w:rsidP="00993640" w:rsidRDefault="00730861">
      <w:pPr>
        <w:widowControl/>
        <w:ind w:firstLine="720"/>
        <w:rPr>
          <w:rFonts w:ascii="Arial" w:hAnsi="Arial" w:cs="Arial"/>
          <w:sz w:val="24"/>
          <w:szCs w:val="24"/>
        </w:rPr>
      </w:pPr>
      <w:hyperlink w:history="1" r:id="rId21">
        <w:r w:rsidRPr="00993640" w:rsidR="00993640">
          <w:rPr>
            <w:rFonts w:ascii="Arial" w:hAnsi="Arial" w:cs="Arial"/>
            <w:color w:val="0000FF"/>
            <w:sz w:val="24"/>
            <w:szCs w:val="24"/>
            <w:u w:val="single"/>
          </w:rPr>
          <w:t>https://usda.library.cornell.edu/concern/publications/c821gj76b?locale=en</w:t>
        </w:r>
      </w:hyperlink>
    </w:p>
    <w:p w:rsidRPr="008A01AC" w:rsidR="00993640" w:rsidRDefault="00993640">
      <w:pPr>
        <w:widowControl/>
        <w:rPr>
          <w:rFonts w:ascii="Arial" w:hAnsi="Arial" w:cs="Arial"/>
          <w:sz w:val="24"/>
          <w:szCs w:val="24"/>
        </w:rPr>
      </w:pPr>
    </w:p>
    <w:p w:rsidRPr="008A01AC" w:rsidR="00394819" w:rsidRDefault="00394819">
      <w:pPr>
        <w:widowControl/>
        <w:ind w:left="720"/>
        <w:rPr>
          <w:rFonts w:ascii="Arial" w:hAnsi="Arial" w:cs="Arial"/>
          <w:sz w:val="24"/>
          <w:szCs w:val="24"/>
        </w:rPr>
      </w:pPr>
      <w:r w:rsidRPr="008A01AC">
        <w:rPr>
          <w:rFonts w:ascii="Arial" w:hAnsi="Arial" w:cs="Arial"/>
          <w:sz w:val="24"/>
          <w:szCs w:val="24"/>
        </w:rPr>
        <w:t xml:space="preserve">The 10 monthly estimating States weight each gin's reported price by its number of bales ginned during the first 14 days of the month. Each month and also for the February preliminary monthly revisions and preliminary marketing year average, the U.S. price is weighted by multiplying each monthly estimating State's </w:t>
      </w:r>
      <w:proofErr w:type="spellStart"/>
      <w:r w:rsidRPr="008A01AC">
        <w:rPr>
          <w:rFonts w:ascii="Arial" w:hAnsi="Arial" w:cs="Arial"/>
          <w:sz w:val="24"/>
          <w:szCs w:val="24"/>
        </w:rPr>
        <w:t>ginnings</w:t>
      </w:r>
      <w:proofErr w:type="spellEnd"/>
      <w:r w:rsidRPr="008A01AC">
        <w:rPr>
          <w:rFonts w:ascii="Arial" w:hAnsi="Arial" w:cs="Arial"/>
          <w:sz w:val="24"/>
          <w:szCs w:val="24"/>
        </w:rPr>
        <w:t xml:space="preserve"> for the first 14 days of the month by its respective 3-year average cross-State factor. Adjusting by the cross-State factor eliminates the effects of cotton that is produced in one State but ginned in another State. The bales ginned portion of this weight is the same number of bales used in developing each State's weighted price--not the total bales ginned for the State.  The previous season's final cross-State factor is used for the October U.S. final monthly and marketing year average revisions. The U.S. marketing year average price is weighted using the sum of these monthly weights, applied to each month's U.S. price.</w:t>
      </w:r>
    </w:p>
    <w:p w:rsidRPr="008A01AC" w:rsidR="00394819" w:rsidRDefault="00394819">
      <w:pPr>
        <w:widowControl/>
        <w:rPr>
          <w:rFonts w:ascii="Arial" w:hAnsi="Arial" w:cs="Arial"/>
          <w:sz w:val="24"/>
          <w:szCs w:val="24"/>
        </w:rPr>
      </w:pPr>
    </w:p>
    <w:p w:rsidRPr="008A01AC" w:rsidR="00394819" w:rsidRDefault="00394819">
      <w:pPr>
        <w:widowControl/>
        <w:ind w:left="720"/>
        <w:rPr>
          <w:rFonts w:ascii="Arial" w:hAnsi="Arial" w:cs="Arial"/>
          <w:sz w:val="24"/>
          <w:szCs w:val="24"/>
        </w:rPr>
      </w:pPr>
      <w:r w:rsidRPr="008A01AC">
        <w:rPr>
          <w:rFonts w:ascii="Arial" w:hAnsi="Arial" w:cs="Arial"/>
          <w:sz w:val="24"/>
          <w:szCs w:val="24"/>
        </w:rPr>
        <w:t>The seven smaller cotton States, called the non-monthly estimating States, also collect monthly price data although estimates are not published. Monthly data provide the most reliable marketing year average price and are more accurate than asking for a season's average price at the end of the season. Marketing year average price</w:t>
      </w:r>
      <w:r w:rsidRPr="008A01AC" w:rsidR="008A01AC">
        <w:rPr>
          <w:rFonts w:ascii="Arial" w:hAnsi="Arial" w:cs="Arial"/>
          <w:sz w:val="24"/>
          <w:szCs w:val="24"/>
        </w:rPr>
        <w:t>(s)</w:t>
      </w:r>
      <w:r w:rsidRPr="008A01AC">
        <w:rPr>
          <w:rFonts w:ascii="Arial" w:hAnsi="Arial" w:cs="Arial"/>
          <w:sz w:val="24"/>
          <w:szCs w:val="24"/>
        </w:rPr>
        <w:t xml:space="preserve"> for non-monthly States </w:t>
      </w:r>
      <w:r w:rsidRPr="008A01AC" w:rsidR="008A01AC">
        <w:rPr>
          <w:rFonts w:ascii="Arial" w:hAnsi="Arial" w:cs="Arial"/>
          <w:sz w:val="24"/>
          <w:szCs w:val="24"/>
        </w:rPr>
        <w:t>are</w:t>
      </w:r>
      <w:r w:rsidRPr="008A01AC">
        <w:rPr>
          <w:rFonts w:ascii="Arial" w:hAnsi="Arial" w:cs="Arial"/>
          <w:sz w:val="24"/>
          <w:szCs w:val="24"/>
        </w:rPr>
        <w:t xml:space="preserve"> weighted using weighting procedures similar to those used for monthly States.</w:t>
      </w:r>
    </w:p>
    <w:p w:rsidRPr="008A01AC"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8A01AC">
        <w:rPr>
          <w:rFonts w:ascii="Arial" w:hAnsi="Arial" w:cs="Arial"/>
          <w:b/>
          <w:bCs/>
          <w:sz w:val="24"/>
          <w:szCs w:val="24"/>
        </w:rPr>
        <w:t>17.</w:t>
      </w:r>
      <w:r w:rsidRPr="008A01AC">
        <w:rPr>
          <w:rFonts w:ascii="Arial" w:hAnsi="Arial" w:cs="Arial"/>
          <w:b/>
          <w:bCs/>
          <w:sz w:val="24"/>
          <w:szCs w:val="24"/>
        </w:rPr>
        <w:tab/>
        <w:t xml:space="preserve">If seeking </w:t>
      </w:r>
      <w:r w:rsidRPr="00583833">
        <w:rPr>
          <w:rFonts w:ascii="Arial" w:hAnsi="Arial" w:cs="Arial"/>
          <w:b/>
          <w:bCs/>
          <w:sz w:val="24"/>
          <w:szCs w:val="24"/>
        </w:rPr>
        <w:t>approval to not display the expiration date for OMB approval of the information collection, explain the reasons that display would be inappropriate.</w:t>
      </w:r>
    </w:p>
    <w:p w:rsidRPr="00583833" w:rsidR="00394819" w:rsidRDefault="00394819">
      <w:pPr>
        <w:widowControl/>
        <w:rPr>
          <w:rFonts w:ascii="Arial" w:hAnsi="Arial" w:cs="Arial"/>
          <w:sz w:val="24"/>
          <w:szCs w:val="24"/>
        </w:rPr>
      </w:pPr>
    </w:p>
    <w:p w:rsidRPr="00583833" w:rsidR="00394819" w:rsidRDefault="00394819">
      <w:pPr>
        <w:widowControl/>
        <w:ind w:left="720"/>
        <w:rPr>
          <w:rFonts w:ascii="Arial" w:hAnsi="Arial" w:cs="Arial"/>
          <w:sz w:val="24"/>
          <w:szCs w:val="24"/>
        </w:rPr>
      </w:pPr>
      <w:r w:rsidRPr="00583833">
        <w:rPr>
          <w:rFonts w:ascii="Arial" w:hAnsi="Arial" w:cs="Arial"/>
          <w:sz w:val="24"/>
          <w:szCs w:val="24"/>
        </w:rPr>
        <w:t>No approval is requested for non-display of the expiration date.</w:t>
      </w:r>
    </w:p>
    <w:p w:rsidRPr="00583833" w:rsidR="00394819" w:rsidRDefault="00394819">
      <w:pPr>
        <w:widowControl/>
        <w:rPr>
          <w:rFonts w:ascii="Arial" w:hAnsi="Arial" w:cs="Arial"/>
          <w:sz w:val="24"/>
          <w:szCs w:val="24"/>
        </w:rPr>
      </w:pPr>
    </w:p>
    <w:p w:rsidRPr="00583833" w:rsidR="00394819" w:rsidRDefault="00394819">
      <w:pPr>
        <w:widowControl/>
        <w:tabs>
          <w:tab w:val="left" w:pos="720"/>
        </w:tabs>
        <w:ind w:left="720" w:hanging="720"/>
        <w:rPr>
          <w:rFonts w:ascii="Arial" w:hAnsi="Arial" w:cs="Arial"/>
          <w:sz w:val="24"/>
          <w:szCs w:val="24"/>
        </w:rPr>
      </w:pPr>
      <w:r w:rsidRPr="00583833">
        <w:rPr>
          <w:rFonts w:ascii="Arial" w:hAnsi="Arial" w:cs="Arial"/>
          <w:b/>
          <w:bCs/>
          <w:sz w:val="24"/>
          <w:szCs w:val="24"/>
        </w:rPr>
        <w:t>18.</w:t>
      </w:r>
      <w:r w:rsidRPr="00583833">
        <w:rPr>
          <w:rFonts w:ascii="Arial" w:hAnsi="Arial" w:cs="Arial"/>
          <w:b/>
          <w:bCs/>
          <w:sz w:val="24"/>
          <w:szCs w:val="24"/>
        </w:rPr>
        <w:tab/>
        <w:t>Explain each exception to the certification statement identified in Item 19, “Certification for Paperwork Reduction Act Submissions” of OMB Form 83-I.</w:t>
      </w:r>
    </w:p>
    <w:p w:rsidRPr="00583833" w:rsidR="00394819" w:rsidRDefault="00394819">
      <w:pPr>
        <w:widowControl/>
        <w:rPr>
          <w:rFonts w:ascii="Arial" w:hAnsi="Arial" w:cs="Arial"/>
          <w:sz w:val="24"/>
          <w:szCs w:val="24"/>
        </w:rPr>
      </w:pPr>
    </w:p>
    <w:p w:rsidRPr="00583833" w:rsidR="008F4122" w:rsidP="008A01AC" w:rsidRDefault="00394819">
      <w:pPr>
        <w:widowControl/>
        <w:ind w:left="720"/>
        <w:rPr>
          <w:rFonts w:ascii="Arial" w:hAnsi="Arial" w:cs="Arial"/>
          <w:color w:val="FF0000"/>
          <w:sz w:val="24"/>
          <w:szCs w:val="24"/>
        </w:rPr>
      </w:pPr>
      <w:r w:rsidRPr="00583833">
        <w:rPr>
          <w:rFonts w:ascii="Arial" w:hAnsi="Arial" w:cs="Arial"/>
          <w:sz w:val="24"/>
          <w:szCs w:val="24"/>
        </w:rPr>
        <w:t>There are no exceptions to the certification statement.</w:t>
      </w:r>
    </w:p>
    <w:p w:rsidRPr="008A01AC" w:rsidR="008F4122" w:rsidP="00F9108C" w:rsidRDefault="008F4122">
      <w:pPr>
        <w:widowControl/>
        <w:tabs>
          <w:tab w:val="right" w:pos="9360"/>
        </w:tabs>
        <w:jc w:val="right"/>
        <w:rPr>
          <w:rFonts w:ascii="Arial" w:hAnsi="Arial" w:cs="Arial"/>
          <w:sz w:val="24"/>
          <w:szCs w:val="24"/>
        </w:rPr>
      </w:pPr>
    </w:p>
    <w:p w:rsidRPr="004572E5" w:rsidR="00FF238D" w:rsidP="00F9108C" w:rsidRDefault="008A01AC">
      <w:pPr>
        <w:widowControl/>
        <w:tabs>
          <w:tab w:val="right" w:pos="9360"/>
        </w:tabs>
        <w:jc w:val="right"/>
        <w:rPr>
          <w:rFonts w:ascii="Arial" w:hAnsi="Arial" w:cs="Arial"/>
          <w:sz w:val="24"/>
          <w:szCs w:val="24"/>
        </w:rPr>
      </w:pPr>
      <w:r>
        <w:rPr>
          <w:rFonts w:ascii="Arial" w:hAnsi="Arial" w:cs="Arial"/>
          <w:sz w:val="24"/>
          <w:szCs w:val="24"/>
        </w:rPr>
        <w:t>January 2020</w:t>
      </w:r>
    </w:p>
    <w:sectPr w:rsidRPr="004572E5" w:rsidR="00FF238D" w:rsidSect="00797157">
      <w:pgSz w:w="12240" w:h="15840"/>
      <w:pgMar w:top="1440" w:right="1440" w:bottom="1440" w:left="1440" w:header="1440" w:footer="3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0861" w:rsidRDefault="00730861">
      <w:r>
        <w:separator/>
      </w:r>
    </w:p>
  </w:endnote>
  <w:endnote w:type="continuationSeparator" w:id="0">
    <w:p w:rsidR="00730861" w:rsidRDefault="00730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17365"/>
      <w:docPartObj>
        <w:docPartGallery w:val="Page Numbers (Bottom of Page)"/>
        <w:docPartUnique/>
      </w:docPartObj>
    </w:sdtPr>
    <w:sdtEndPr>
      <w:rPr>
        <w:noProof/>
      </w:rPr>
    </w:sdtEndPr>
    <w:sdtContent>
      <w:p w:rsidR="00730861" w:rsidRDefault="00730861">
        <w:pPr>
          <w:pStyle w:val="Footer"/>
          <w:jc w:val="center"/>
        </w:pPr>
        <w:r>
          <w:fldChar w:fldCharType="begin"/>
        </w:r>
        <w:r>
          <w:instrText xml:space="preserve"> PAGE   \* MERGEFORMAT </w:instrText>
        </w:r>
        <w:r>
          <w:fldChar w:fldCharType="separate"/>
        </w:r>
        <w:r w:rsidR="00137855">
          <w:rPr>
            <w:noProof/>
          </w:rPr>
          <w:t>12</w:t>
        </w:r>
        <w:r>
          <w:rPr>
            <w:noProof/>
          </w:rPr>
          <w:fldChar w:fldCharType="end"/>
        </w:r>
      </w:p>
    </w:sdtContent>
  </w:sdt>
  <w:p w:rsidR="00730861" w:rsidRDefault="00730861">
    <w:pPr>
      <w:widowControl/>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2991102"/>
      <w:docPartObj>
        <w:docPartGallery w:val="Page Numbers (Bottom of Page)"/>
        <w:docPartUnique/>
      </w:docPartObj>
    </w:sdtPr>
    <w:sdtEndPr>
      <w:rPr>
        <w:noProof/>
      </w:rPr>
    </w:sdtEndPr>
    <w:sdtContent>
      <w:p w:rsidR="00730861" w:rsidRDefault="00730861">
        <w:pPr>
          <w:pStyle w:val="Footer"/>
          <w:jc w:val="center"/>
        </w:pPr>
        <w:r>
          <w:fldChar w:fldCharType="begin"/>
        </w:r>
        <w:r>
          <w:instrText xml:space="preserve"> PAGE   \* MERGEFORMAT </w:instrText>
        </w:r>
        <w:r>
          <w:fldChar w:fldCharType="separate"/>
        </w:r>
        <w:r w:rsidR="00137855">
          <w:rPr>
            <w:noProof/>
          </w:rPr>
          <w:t>8</w:t>
        </w:r>
        <w:r>
          <w:rPr>
            <w:noProof/>
          </w:rPr>
          <w:fldChar w:fldCharType="end"/>
        </w:r>
      </w:p>
    </w:sdtContent>
  </w:sdt>
  <w:p w:rsidR="00730861" w:rsidRDefault="00730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0861" w:rsidRDefault="00730861">
      <w:r>
        <w:separator/>
      </w:r>
    </w:p>
  </w:footnote>
  <w:footnote w:type="continuationSeparator" w:id="0">
    <w:p w:rsidR="00730861" w:rsidRDefault="007308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E1367"/>
    <w:multiLevelType w:val="hybridMultilevel"/>
    <w:tmpl w:val="AA307A5E"/>
    <w:lvl w:ilvl="0" w:tplc="5B2ACA0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44A2346D"/>
    <w:multiLevelType w:val="hybridMultilevel"/>
    <w:tmpl w:val="3D6255C8"/>
    <w:lvl w:ilvl="0" w:tplc="D1C2A870">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 w15:restartNumberingAfterBreak="0">
    <w:nsid w:val="4C2B5453"/>
    <w:multiLevelType w:val="hybridMultilevel"/>
    <w:tmpl w:val="D85018A8"/>
    <w:lvl w:ilvl="0" w:tplc="96F0073C">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77373"/>
    <w:multiLevelType w:val="hybridMultilevel"/>
    <w:tmpl w:val="200CE6C6"/>
    <w:lvl w:ilvl="0" w:tplc="CA747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27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19"/>
    <w:rsid w:val="00000662"/>
    <w:rsid w:val="00021CDF"/>
    <w:rsid w:val="00034B5B"/>
    <w:rsid w:val="00046DBC"/>
    <w:rsid w:val="00077FE9"/>
    <w:rsid w:val="00092139"/>
    <w:rsid w:val="00096A7E"/>
    <w:rsid w:val="000A69C0"/>
    <w:rsid w:val="000B02ED"/>
    <w:rsid w:val="000B1263"/>
    <w:rsid w:val="000B57A3"/>
    <w:rsid w:val="000C17A0"/>
    <w:rsid w:val="000C4EC7"/>
    <w:rsid w:val="000D0112"/>
    <w:rsid w:val="000D2847"/>
    <w:rsid w:val="000E138C"/>
    <w:rsid w:val="000E23CD"/>
    <w:rsid w:val="000E5A8C"/>
    <w:rsid w:val="000F1B62"/>
    <w:rsid w:val="00103C40"/>
    <w:rsid w:val="001104E8"/>
    <w:rsid w:val="00110BFF"/>
    <w:rsid w:val="00113562"/>
    <w:rsid w:val="00137855"/>
    <w:rsid w:val="001475F6"/>
    <w:rsid w:val="00166AE8"/>
    <w:rsid w:val="001758BD"/>
    <w:rsid w:val="0018314D"/>
    <w:rsid w:val="00184B3D"/>
    <w:rsid w:val="001B3172"/>
    <w:rsid w:val="001B4882"/>
    <w:rsid w:val="001C1975"/>
    <w:rsid w:val="001C1AF4"/>
    <w:rsid w:val="001D123F"/>
    <w:rsid w:val="001D63E0"/>
    <w:rsid w:val="001E6D23"/>
    <w:rsid w:val="001F3EA1"/>
    <w:rsid w:val="00211B75"/>
    <w:rsid w:val="002127AC"/>
    <w:rsid w:val="00217C40"/>
    <w:rsid w:val="00220592"/>
    <w:rsid w:val="00251DE6"/>
    <w:rsid w:val="0025486A"/>
    <w:rsid w:val="00271608"/>
    <w:rsid w:val="00283705"/>
    <w:rsid w:val="00296006"/>
    <w:rsid w:val="002A2F25"/>
    <w:rsid w:val="002A5C15"/>
    <w:rsid w:val="002C1DF8"/>
    <w:rsid w:val="002C787F"/>
    <w:rsid w:val="002D4289"/>
    <w:rsid w:val="002E3045"/>
    <w:rsid w:val="002E3F9B"/>
    <w:rsid w:val="00305480"/>
    <w:rsid w:val="00306B79"/>
    <w:rsid w:val="00317066"/>
    <w:rsid w:val="00324B79"/>
    <w:rsid w:val="00330992"/>
    <w:rsid w:val="00333DDD"/>
    <w:rsid w:val="0034138A"/>
    <w:rsid w:val="00345A42"/>
    <w:rsid w:val="00367688"/>
    <w:rsid w:val="003700B9"/>
    <w:rsid w:val="00370A61"/>
    <w:rsid w:val="00372DBB"/>
    <w:rsid w:val="00374F8B"/>
    <w:rsid w:val="0038028A"/>
    <w:rsid w:val="003843BB"/>
    <w:rsid w:val="003903F9"/>
    <w:rsid w:val="00393BC1"/>
    <w:rsid w:val="00394819"/>
    <w:rsid w:val="003962BC"/>
    <w:rsid w:val="003B4E63"/>
    <w:rsid w:val="003C117F"/>
    <w:rsid w:val="003C7B72"/>
    <w:rsid w:val="003D3A1F"/>
    <w:rsid w:val="003E65A6"/>
    <w:rsid w:val="003F15BD"/>
    <w:rsid w:val="003F5FBA"/>
    <w:rsid w:val="003F6ED1"/>
    <w:rsid w:val="00407505"/>
    <w:rsid w:val="00407EC7"/>
    <w:rsid w:val="0042233F"/>
    <w:rsid w:val="004226E3"/>
    <w:rsid w:val="00433FBD"/>
    <w:rsid w:val="00435F18"/>
    <w:rsid w:val="00441C1C"/>
    <w:rsid w:val="004572E5"/>
    <w:rsid w:val="00462167"/>
    <w:rsid w:val="00466B8A"/>
    <w:rsid w:val="00467431"/>
    <w:rsid w:val="00473C2B"/>
    <w:rsid w:val="00475532"/>
    <w:rsid w:val="00482D34"/>
    <w:rsid w:val="00486F8E"/>
    <w:rsid w:val="004E7B4A"/>
    <w:rsid w:val="0050128C"/>
    <w:rsid w:val="00501837"/>
    <w:rsid w:val="00507ECB"/>
    <w:rsid w:val="00512239"/>
    <w:rsid w:val="00515E52"/>
    <w:rsid w:val="0051763F"/>
    <w:rsid w:val="00520A5B"/>
    <w:rsid w:val="005276CF"/>
    <w:rsid w:val="005310A7"/>
    <w:rsid w:val="00535937"/>
    <w:rsid w:val="00540101"/>
    <w:rsid w:val="00544B48"/>
    <w:rsid w:val="00550E23"/>
    <w:rsid w:val="0055491E"/>
    <w:rsid w:val="00556DA4"/>
    <w:rsid w:val="005815AA"/>
    <w:rsid w:val="00581F17"/>
    <w:rsid w:val="00583833"/>
    <w:rsid w:val="005A104C"/>
    <w:rsid w:val="005A540B"/>
    <w:rsid w:val="005A573E"/>
    <w:rsid w:val="005B3F4F"/>
    <w:rsid w:val="005D77F9"/>
    <w:rsid w:val="005F13E9"/>
    <w:rsid w:val="005F55D6"/>
    <w:rsid w:val="00601064"/>
    <w:rsid w:val="006114BA"/>
    <w:rsid w:val="00623233"/>
    <w:rsid w:val="00625F67"/>
    <w:rsid w:val="00627A0E"/>
    <w:rsid w:val="0063119B"/>
    <w:rsid w:val="00647C67"/>
    <w:rsid w:val="00672CF3"/>
    <w:rsid w:val="00681D14"/>
    <w:rsid w:val="00683A38"/>
    <w:rsid w:val="006843B1"/>
    <w:rsid w:val="006903E0"/>
    <w:rsid w:val="00695750"/>
    <w:rsid w:val="006B57E9"/>
    <w:rsid w:val="006B6B50"/>
    <w:rsid w:val="006D2935"/>
    <w:rsid w:val="006D3057"/>
    <w:rsid w:val="006D4203"/>
    <w:rsid w:val="006D5C33"/>
    <w:rsid w:val="006F380E"/>
    <w:rsid w:val="006F396F"/>
    <w:rsid w:val="007018E5"/>
    <w:rsid w:val="0070292F"/>
    <w:rsid w:val="00712AE3"/>
    <w:rsid w:val="00721E39"/>
    <w:rsid w:val="007253AC"/>
    <w:rsid w:val="007259B2"/>
    <w:rsid w:val="0072778C"/>
    <w:rsid w:val="00730861"/>
    <w:rsid w:val="00745D2E"/>
    <w:rsid w:val="00754ADF"/>
    <w:rsid w:val="00755142"/>
    <w:rsid w:val="0076180C"/>
    <w:rsid w:val="00766E6B"/>
    <w:rsid w:val="00766F12"/>
    <w:rsid w:val="007853E2"/>
    <w:rsid w:val="0079090C"/>
    <w:rsid w:val="00795C77"/>
    <w:rsid w:val="00797157"/>
    <w:rsid w:val="007A1C62"/>
    <w:rsid w:val="007A3685"/>
    <w:rsid w:val="007B416B"/>
    <w:rsid w:val="007D6C82"/>
    <w:rsid w:val="007D762D"/>
    <w:rsid w:val="007E03F6"/>
    <w:rsid w:val="007E0E5D"/>
    <w:rsid w:val="007F4A06"/>
    <w:rsid w:val="008062F2"/>
    <w:rsid w:val="008173E7"/>
    <w:rsid w:val="00822BF6"/>
    <w:rsid w:val="00835310"/>
    <w:rsid w:val="00853429"/>
    <w:rsid w:val="00855CE2"/>
    <w:rsid w:val="0086483D"/>
    <w:rsid w:val="008A01AC"/>
    <w:rsid w:val="008A0B05"/>
    <w:rsid w:val="008A0F3F"/>
    <w:rsid w:val="008A1C49"/>
    <w:rsid w:val="008A262B"/>
    <w:rsid w:val="008B1E50"/>
    <w:rsid w:val="008D350D"/>
    <w:rsid w:val="008D3A66"/>
    <w:rsid w:val="008F4122"/>
    <w:rsid w:val="0091568A"/>
    <w:rsid w:val="00916E86"/>
    <w:rsid w:val="009262C0"/>
    <w:rsid w:val="0092764A"/>
    <w:rsid w:val="00944ED0"/>
    <w:rsid w:val="009465FF"/>
    <w:rsid w:val="00947594"/>
    <w:rsid w:val="00951FAF"/>
    <w:rsid w:val="009523CE"/>
    <w:rsid w:val="009540B7"/>
    <w:rsid w:val="00957A18"/>
    <w:rsid w:val="00960428"/>
    <w:rsid w:val="00963809"/>
    <w:rsid w:val="009774D1"/>
    <w:rsid w:val="00983FA8"/>
    <w:rsid w:val="00991521"/>
    <w:rsid w:val="00993640"/>
    <w:rsid w:val="009C2741"/>
    <w:rsid w:val="009C6CCF"/>
    <w:rsid w:val="009D01EC"/>
    <w:rsid w:val="009D3B73"/>
    <w:rsid w:val="009D5FC5"/>
    <w:rsid w:val="009D7847"/>
    <w:rsid w:val="009E28F8"/>
    <w:rsid w:val="009F4E3E"/>
    <w:rsid w:val="00A012DD"/>
    <w:rsid w:val="00A03245"/>
    <w:rsid w:val="00A167C4"/>
    <w:rsid w:val="00A361AE"/>
    <w:rsid w:val="00A438B4"/>
    <w:rsid w:val="00A45585"/>
    <w:rsid w:val="00A47E3B"/>
    <w:rsid w:val="00A620C7"/>
    <w:rsid w:val="00A95A2F"/>
    <w:rsid w:val="00AB2AD6"/>
    <w:rsid w:val="00AD0088"/>
    <w:rsid w:val="00AD2620"/>
    <w:rsid w:val="00AE0CEA"/>
    <w:rsid w:val="00AE63E0"/>
    <w:rsid w:val="00B023D1"/>
    <w:rsid w:val="00B07F0C"/>
    <w:rsid w:val="00B1512D"/>
    <w:rsid w:val="00B20242"/>
    <w:rsid w:val="00B2038C"/>
    <w:rsid w:val="00B228A4"/>
    <w:rsid w:val="00B23E20"/>
    <w:rsid w:val="00B3274E"/>
    <w:rsid w:val="00B33018"/>
    <w:rsid w:val="00B47714"/>
    <w:rsid w:val="00B51E8E"/>
    <w:rsid w:val="00B55E5F"/>
    <w:rsid w:val="00B605E7"/>
    <w:rsid w:val="00B64D74"/>
    <w:rsid w:val="00B6643D"/>
    <w:rsid w:val="00B74EDC"/>
    <w:rsid w:val="00B87C00"/>
    <w:rsid w:val="00B90742"/>
    <w:rsid w:val="00B92FEB"/>
    <w:rsid w:val="00B94A39"/>
    <w:rsid w:val="00BA17CC"/>
    <w:rsid w:val="00BB53C5"/>
    <w:rsid w:val="00BC17F2"/>
    <w:rsid w:val="00BC28A9"/>
    <w:rsid w:val="00BC3A4E"/>
    <w:rsid w:val="00BC3B0C"/>
    <w:rsid w:val="00BD2246"/>
    <w:rsid w:val="00BD3A4F"/>
    <w:rsid w:val="00BD4448"/>
    <w:rsid w:val="00BD4C5E"/>
    <w:rsid w:val="00BD5728"/>
    <w:rsid w:val="00BE51C1"/>
    <w:rsid w:val="00BF7DD1"/>
    <w:rsid w:val="00C0379C"/>
    <w:rsid w:val="00C07CE0"/>
    <w:rsid w:val="00C07E78"/>
    <w:rsid w:val="00C14428"/>
    <w:rsid w:val="00C27689"/>
    <w:rsid w:val="00C40170"/>
    <w:rsid w:val="00C44EDB"/>
    <w:rsid w:val="00C506BC"/>
    <w:rsid w:val="00C60EA3"/>
    <w:rsid w:val="00C710D1"/>
    <w:rsid w:val="00C8022C"/>
    <w:rsid w:val="00C86082"/>
    <w:rsid w:val="00C9649B"/>
    <w:rsid w:val="00C967F6"/>
    <w:rsid w:val="00CD5B25"/>
    <w:rsid w:val="00CE492A"/>
    <w:rsid w:val="00CF10B1"/>
    <w:rsid w:val="00CF717F"/>
    <w:rsid w:val="00D152CB"/>
    <w:rsid w:val="00D152ED"/>
    <w:rsid w:val="00D2155B"/>
    <w:rsid w:val="00D30920"/>
    <w:rsid w:val="00D30D1C"/>
    <w:rsid w:val="00D40A38"/>
    <w:rsid w:val="00D45E8A"/>
    <w:rsid w:val="00D84578"/>
    <w:rsid w:val="00D86772"/>
    <w:rsid w:val="00D97901"/>
    <w:rsid w:val="00D97FF3"/>
    <w:rsid w:val="00DA62E0"/>
    <w:rsid w:val="00DD02AD"/>
    <w:rsid w:val="00DF3590"/>
    <w:rsid w:val="00E028E0"/>
    <w:rsid w:val="00E3666C"/>
    <w:rsid w:val="00E42A4A"/>
    <w:rsid w:val="00E4425C"/>
    <w:rsid w:val="00E518E6"/>
    <w:rsid w:val="00E601CF"/>
    <w:rsid w:val="00E6527B"/>
    <w:rsid w:val="00E7784E"/>
    <w:rsid w:val="00E978AB"/>
    <w:rsid w:val="00EA1F33"/>
    <w:rsid w:val="00EA5C73"/>
    <w:rsid w:val="00EB466C"/>
    <w:rsid w:val="00EF3D6B"/>
    <w:rsid w:val="00EF552B"/>
    <w:rsid w:val="00F064AA"/>
    <w:rsid w:val="00F20470"/>
    <w:rsid w:val="00F2303C"/>
    <w:rsid w:val="00F24015"/>
    <w:rsid w:val="00F35915"/>
    <w:rsid w:val="00F41C97"/>
    <w:rsid w:val="00F47BB0"/>
    <w:rsid w:val="00F72534"/>
    <w:rsid w:val="00F73C9F"/>
    <w:rsid w:val="00F82190"/>
    <w:rsid w:val="00F9108C"/>
    <w:rsid w:val="00FD3EEB"/>
    <w:rsid w:val="00FE1CB0"/>
    <w:rsid w:val="00FE67DC"/>
    <w:rsid w:val="00FE75AA"/>
    <w:rsid w:val="00FF238D"/>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3ADB2065-D4C0-4B40-98E9-58669ED7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DA4"/>
    <w:pPr>
      <w:widowControl w:val="0"/>
      <w:autoSpaceDE w:val="0"/>
      <w:autoSpaceDN w:val="0"/>
      <w:adjustRightInd w:val="0"/>
      <w:spacing w:after="0" w:line="240" w:lineRule="auto"/>
    </w:pPr>
    <w:rPr>
      <w:rFonts w:ascii="Courier 10cpi" w:hAnsi="Courier 10cp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56DA4"/>
    <w:pPr>
      <w:widowControl w:val="0"/>
      <w:autoSpaceDE w:val="0"/>
      <w:autoSpaceDN w:val="0"/>
      <w:adjustRightInd w:val="0"/>
      <w:spacing w:after="0" w:line="240" w:lineRule="auto"/>
      <w:ind w:left="720"/>
      <w:jc w:val="both"/>
    </w:pPr>
    <w:rPr>
      <w:rFonts w:ascii="Courier 10cpi" w:hAnsi="Courier 10cpi" w:cstheme="minorBidi"/>
      <w:sz w:val="24"/>
      <w:szCs w:val="24"/>
    </w:rPr>
  </w:style>
  <w:style w:type="paragraph" w:customStyle="1" w:styleId="Level2">
    <w:name w:val="Level 2"/>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3">
    <w:name w:val="Level 3"/>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4">
    <w:name w:val="Level 4"/>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5">
    <w:name w:val="Level 5"/>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6">
    <w:name w:val="Level 6"/>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7">
    <w:name w:val="Level 7"/>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8">
    <w:name w:val="Level 8"/>
    <w:uiPriority w:val="99"/>
    <w:rsid w:val="00556DA4"/>
    <w:pPr>
      <w:widowControl w:val="0"/>
      <w:autoSpaceDE w:val="0"/>
      <w:autoSpaceDN w:val="0"/>
      <w:adjustRightInd w:val="0"/>
      <w:spacing w:after="0" w:line="240" w:lineRule="auto"/>
      <w:ind w:left="-1440"/>
      <w:jc w:val="both"/>
    </w:pPr>
    <w:rPr>
      <w:rFonts w:ascii="Courier 10cpi" w:hAnsi="Courier 10cpi" w:cstheme="minorBidi"/>
      <w:sz w:val="24"/>
      <w:szCs w:val="24"/>
    </w:rPr>
  </w:style>
  <w:style w:type="paragraph" w:customStyle="1" w:styleId="Level9">
    <w:name w:val="Level 9"/>
    <w:uiPriority w:val="99"/>
    <w:rsid w:val="00556DA4"/>
    <w:pPr>
      <w:widowControl w:val="0"/>
      <w:autoSpaceDE w:val="0"/>
      <w:autoSpaceDN w:val="0"/>
      <w:adjustRightInd w:val="0"/>
      <w:spacing w:after="0" w:line="240" w:lineRule="auto"/>
      <w:ind w:left="-1440"/>
      <w:jc w:val="both"/>
    </w:pPr>
    <w:rPr>
      <w:rFonts w:ascii="Courier 10cpi" w:hAnsi="Courier 10cpi" w:cstheme="minorBidi"/>
      <w:b/>
      <w:bCs/>
      <w:sz w:val="24"/>
      <w:szCs w:val="24"/>
    </w:rPr>
  </w:style>
  <w:style w:type="character" w:customStyle="1" w:styleId="QuickFormat1">
    <w:name w:val="QuickFormat1"/>
    <w:uiPriority w:val="99"/>
    <w:rsid w:val="00556DA4"/>
    <w:rPr>
      <w:rFonts w:ascii="Times New Roman" w:hAnsi="Times New Roman"/>
      <w:b/>
      <w:color w:val="FF0000"/>
      <w:sz w:val="22"/>
    </w:rPr>
  </w:style>
  <w:style w:type="character" w:customStyle="1" w:styleId="QuickFormat2">
    <w:name w:val="QuickFormat2"/>
    <w:uiPriority w:val="99"/>
    <w:rsid w:val="00556DA4"/>
    <w:rPr>
      <w:rFonts w:ascii="Times New Roman" w:hAnsi="Times New Roman"/>
      <w:sz w:val="22"/>
    </w:rPr>
  </w:style>
  <w:style w:type="character" w:customStyle="1" w:styleId="QuickFormat3">
    <w:name w:val="QuickFormat3"/>
    <w:uiPriority w:val="99"/>
    <w:rsid w:val="00556DA4"/>
    <w:rPr>
      <w:rFonts w:ascii="Times New Roman" w:hAnsi="Times New Roman"/>
      <w:b/>
      <w:color w:val="FF0000"/>
      <w:sz w:val="22"/>
    </w:rPr>
  </w:style>
  <w:style w:type="character" w:customStyle="1" w:styleId="QuickFormat4">
    <w:name w:val="QuickFormat4"/>
    <w:uiPriority w:val="99"/>
    <w:rsid w:val="00556DA4"/>
    <w:rPr>
      <w:rFonts w:ascii="Times New Roman" w:hAnsi="Times New Roman"/>
      <w:b/>
      <w:color w:val="FF0000"/>
      <w:sz w:val="22"/>
    </w:rPr>
  </w:style>
  <w:style w:type="character" w:customStyle="1" w:styleId="QuickFormat5">
    <w:name w:val="QuickFormat5"/>
    <w:uiPriority w:val="99"/>
    <w:rsid w:val="00556DA4"/>
    <w:rPr>
      <w:rFonts w:ascii="Times New Roman" w:hAnsi="Times New Roman"/>
      <w:sz w:val="22"/>
    </w:rPr>
  </w:style>
  <w:style w:type="character" w:customStyle="1" w:styleId="QuickFormat6">
    <w:name w:val="QuickFormat6"/>
    <w:uiPriority w:val="99"/>
    <w:rsid w:val="00556DA4"/>
    <w:rPr>
      <w:rFonts w:ascii="Times New Roman" w:hAnsi="Times New Roman"/>
      <w:sz w:val="22"/>
    </w:rPr>
  </w:style>
  <w:style w:type="character" w:customStyle="1" w:styleId="QuickFormat7">
    <w:name w:val="QuickFormat7"/>
    <w:uiPriority w:val="99"/>
    <w:rsid w:val="00556DA4"/>
    <w:rPr>
      <w:rFonts w:ascii="Times New Roman" w:hAnsi="Times New Roman"/>
      <w:b/>
      <w:color w:val="FF0000"/>
      <w:sz w:val="22"/>
    </w:rPr>
  </w:style>
  <w:style w:type="character" w:styleId="Hyperlink">
    <w:name w:val="Hyperlink"/>
    <w:basedOn w:val="DefaultParagraphFont"/>
    <w:uiPriority w:val="99"/>
    <w:unhideWhenUsed/>
    <w:rsid w:val="00D86772"/>
    <w:rPr>
      <w:rFonts w:cs="Times New Roman"/>
      <w:color w:val="0000FF" w:themeColor="hyperlink"/>
      <w:u w:val="single"/>
    </w:rPr>
  </w:style>
  <w:style w:type="character" w:styleId="FollowedHyperlink">
    <w:name w:val="FollowedHyperlink"/>
    <w:basedOn w:val="DefaultParagraphFont"/>
    <w:uiPriority w:val="99"/>
    <w:semiHidden/>
    <w:unhideWhenUsed/>
    <w:rsid w:val="00D152CB"/>
    <w:rPr>
      <w:color w:val="800080" w:themeColor="followedHyperlink"/>
      <w:u w:val="single"/>
    </w:rPr>
  </w:style>
  <w:style w:type="character" w:styleId="CommentReference">
    <w:name w:val="annotation reference"/>
    <w:basedOn w:val="DefaultParagraphFont"/>
    <w:uiPriority w:val="99"/>
    <w:semiHidden/>
    <w:unhideWhenUsed/>
    <w:rsid w:val="00305480"/>
    <w:rPr>
      <w:sz w:val="16"/>
      <w:szCs w:val="16"/>
    </w:rPr>
  </w:style>
  <w:style w:type="paragraph" w:styleId="CommentText">
    <w:name w:val="annotation text"/>
    <w:basedOn w:val="Normal"/>
    <w:link w:val="CommentTextChar"/>
    <w:uiPriority w:val="99"/>
    <w:semiHidden/>
    <w:unhideWhenUsed/>
    <w:rsid w:val="00305480"/>
  </w:style>
  <w:style w:type="character" w:customStyle="1" w:styleId="CommentTextChar">
    <w:name w:val="Comment Text Char"/>
    <w:basedOn w:val="DefaultParagraphFont"/>
    <w:link w:val="CommentText"/>
    <w:uiPriority w:val="99"/>
    <w:semiHidden/>
    <w:rsid w:val="00305480"/>
    <w:rPr>
      <w:rFonts w:ascii="Courier 10cpi" w:hAnsi="Courier 10cpi" w:cstheme="minorBidi"/>
      <w:sz w:val="20"/>
      <w:szCs w:val="20"/>
    </w:rPr>
  </w:style>
  <w:style w:type="paragraph" w:styleId="CommentSubject">
    <w:name w:val="annotation subject"/>
    <w:basedOn w:val="CommentText"/>
    <w:next w:val="CommentText"/>
    <w:link w:val="CommentSubjectChar"/>
    <w:uiPriority w:val="99"/>
    <w:semiHidden/>
    <w:unhideWhenUsed/>
    <w:rsid w:val="00305480"/>
    <w:rPr>
      <w:b/>
      <w:bCs/>
    </w:rPr>
  </w:style>
  <w:style w:type="character" w:customStyle="1" w:styleId="CommentSubjectChar">
    <w:name w:val="Comment Subject Char"/>
    <w:basedOn w:val="CommentTextChar"/>
    <w:link w:val="CommentSubject"/>
    <w:uiPriority w:val="99"/>
    <w:semiHidden/>
    <w:rsid w:val="00305480"/>
    <w:rPr>
      <w:rFonts w:ascii="Courier 10cpi" w:hAnsi="Courier 10cpi" w:cstheme="minorBidi"/>
      <w:b/>
      <w:bCs/>
      <w:sz w:val="20"/>
      <w:szCs w:val="20"/>
    </w:rPr>
  </w:style>
  <w:style w:type="paragraph" w:styleId="BalloonText">
    <w:name w:val="Balloon Text"/>
    <w:basedOn w:val="Normal"/>
    <w:link w:val="BalloonTextChar"/>
    <w:uiPriority w:val="99"/>
    <w:semiHidden/>
    <w:unhideWhenUsed/>
    <w:rsid w:val="00305480"/>
    <w:rPr>
      <w:rFonts w:ascii="Tahoma" w:hAnsi="Tahoma" w:cs="Tahoma"/>
      <w:sz w:val="16"/>
      <w:szCs w:val="16"/>
    </w:rPr>
  </w:style>
  <w:style w:type="character" w:customStyle="1" w:styleId="BalloonTextChar">
    <w:name w:val="Balloon Text Char"/>
    <w:basedOn w:val="DefaultParagraphFont"/>
    <w:link w:val="BalloonText"/>
    <w:uiPriority w:val="99"/>
    <w:semiHidden/>
    <w:rsid w:val="00305480"/>
    <w:rPr>
      <w:rFonts w:ascii="Tahoma" w:hAnsi="Tahoma" w:cs="Tahoma"/>
      <w:sz w:val="16"/>
      <w:szCs w:val="16"/>
    </w:rPr>
  </w:style>
  <w:style w:type="paragraph" w:styleId="ListParagraph">
    <w:name w:val="List Paragraph"/>
    <w:basedOn w:val="Normal"/>
    <w:uiPriority w:val="34"/>
    <w:qFormat/>
    <w:rsid w:val="002A2F25"/>
    <w:pPr>
      <w:ind w:left="720"/>
      <w:contextualSpacing/>
    </w:pPr>
  </w:style>
  <w:style w:type="paragraph" w:styleId="Header">
    <w:name w:val="header"/>
    <w:basedOn w:val="Normal"/>
    <w:link w:val="HeaderChar"/>
    <w:uiPriority w:val="99"/>
    <w:unhideWhenUsed/>
    <w:rsid w:val="00217C40"/>
    <w:pPr>
      <w:tabs>
        <w:tab w:val="center" w:pos="4680"/>
        <w:tab w:val="right" w:pos="9360"/>
      </w:tabs>
    </w:pPr>
  </w:style>
  <w:style w:type="character" w:customStyle="1" w:styleId="HeaderChar">
    <w:name w:val="Header Char"/>
    <w:basedOn w:val="DefaultParagraphFont"/>
    <w:link w:val="Header"/>
    <w:uiPriority w:val="99"/>
    <w:rsid w:val="00217C40"/>
    <w:rPr>
      <w:rFonts w:ascii="Courier 10cpi" w:hAnsi="Courier 10cpi" w:cstheme="minorBidi"/>
      <w:sz w:val="20"/>
      <w:szCs w:val="20"/>
    </w:rPr>
  </w:style>
  <w:style w:type="paragraph" w:styleId="Footer">
    <w:name w:val="footer"/>
    <w:basedOn w:val="Normal"/>
    <w:link w:val="FooterChar"/>
    <w:uiPriority w:val="99"/>
    <w:unhideWhenUsed/>
    <w:rsid w:val="00217C40"/>
    <w:pPr>
      <w:tabs>
        <w:tab w:val="center" w:pos="4680"/>
        <w:tab w:val="right" w:pos="9360"/>
      </w:tabs>
    </w:pPr>
  </w:style>
  <w:style w:type="character" w:customStyle="1" w:styleId="FooterChar">
    <w:name w:val="Footer Char"/>
    <w:basedOn w:val="DefaultParagraphFont"/>
    <w:link w:val="Footer"/>
    <w:uiPriority w:val="99"/>
    <w:rsid w:val="00217C40"/>
    <w:rPr>
      <w:rFonts w:ascii="Courier 10cpi" w:hAnsi="Courier 10cpi" w:cstheme="minorBidi"/>
      <w:sz w:val="20"/>
      <w:szCs w:val="20"/>
    </w:rPr>
  </w:style>
  <w:style w:type="paragraph" w:styleId="NoSpacing">
    <w:name w:val="No Spacing"/>
    <w:basedOn w:val="Normal"/>
    <w:uiPriority w:val="1"/>
    <w:qFormat/>
    <w:rsid w:val="008B1E50"/>
    <w:pPr>
      <w:widowControl/>
      <w:autoSpaceDE/>
      <w:autoSpaceDN/>
      <w:adjustRightInd/>
    </w:pPr>
    <w:rPr>
      <w:rFonts w:ascii="Calibri" w:eastAsiaTheme="minorHAns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517262">
      <w:bodyDiv w:val="1"/>
      <w:marLeft w:val="0"/>
      <w:marRight w:val="0"/>
      <w:marTop w:val="0"/>
      <w:marBottom w:val="0"/>
      <w:divBdr>
        <w:top w:val="none" w:sz="0" w:space="0" w:color="auto"/>
        <w:left w:val="none" w:sz="0" w:space="0" w:color="auto"/>
        <w:bottom w:val="none" w:sz="0" w:space="0" w:color="auto"/>
        <w:right w:val="none" w:sz="0" w:space="0" w:color="auto"/>
      </w:divBdr>
      <w:divsChild>
        <w:div w:id="1604068842">
          <w:marLeft w:val="0"/>
          <w:marRight w:val="0"/>
          <w:marTop w:val="0"/>
          <w:marBottom w:val="0"/>
          <w:divBdr>
            <w:top w:val="none" w:sz="0" w:space="0" w:color="auto"/>
            <w:left w:val="none" w:sz="0" w:space="0" w:color="auto"/>
            <w:bottom w:val="none" w:sz="0" w:space="0" w:color="auto"/>
            <w:right w:val="none" w:sz="0" w:space="0" w:color="auto"/>
          </w:divBdr>
          <w:divsChild>
            <w:div w:id="1874535462">
              <w:marLeft w:val="0"/>
              <w:marRight w:val="0"/>
              <w:marTop w:val="0"/>
              <w:marBottom w:val="0"/>
              <w:divBdr>
                <w:top w:val="none" w:sz="0" w:space="0" w:color="auto"/>
                <w:left w:val="none" w:sz="0" w:space="0" w:color="auto"/>
                <w:bottom w:val="none" w:sz="0" w:space="0" w:color="auto"/>
                <w:right w:val="none" w:sz="0" w:space="0" w:color="auto"/>
              </w:divBdr>
              <w:divsChild>
                <w:div w:id="1935550429">
                  <w:marLeft w:val="0"/>
                  <w:marRight w:val="0"/>
                  <w:marTop w:val="0"/>
                  <w:marBottom w:val="0"/>
                  <w:divBdr>
                    <w:top w:val="none" w:sz="0" w:space="0" w:color="auto"/>
                    <w:left w:val="none" w:sz="0" w:space="0" w:color="auto"/>
                    <w:bottom w:val="none" w:sz="0" w:space="0" w:color="auto"/>
                    <w:right w:val="none" w:sz="0" w:space="0" w:color="auto"/>
                  </w:divBdr>
                  <w:divsChild>
                    <w:div w:id="132023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62578">
      <w:bodyDiv w:val="1"/>
      <w:marLeft w:val="0"/>
      <w:marRight w:val="0"/>
      <w:marTop w:val="0"/>
      <w:marBottom w:val="0"/>
      <w:divBdr>
        <w:top w:val="none" w:sz="0" w:space="0" w:color="auto"/>
        <w:left w:val="none" w:sz="0" w:space="0" w:color="auto"/>
        <w:bottom w:val="none" w:sz="0" w:space="0" w:color="auto"/>
        <w:right w:val="none" w:sz="0" w:space="0" w:color="auto"/>
      </w:divBdr>
    </w:div>
    <w:div w:id="192380724">
      <w:bodyDiv w:val="1"/>
      <w:marLeft w:val="0"/>
      <w:marRight w:val="0"/>
      <w:marTop w:val="0"/>
      <w:marBottom w:val="0"/>
      <w:divBdr>
        <w:top w:val="none" w:sz="0" w:space="0" w:color="auto"/>
        <w:left w:val="none" w:sz="0" w:space="0" w:color="auto"/>
        <w:bottom w:val="none" w:sz="0" w:space="0" w:color="auto"/>
        <w:right w:val="none" w:sz="0" w:space="0" w:color="auto"/>
      </w:divBdr>
    </w:div>
    <w:div w:id="636299230">
      <w:bodyDiv w:val="1"/>
      <w:marLeft w:val="0"/>
      <w:marRight w:val="0"/>
      <w:marTop w:val="0"/>
      <w:marBottom w:val="0"/>
      <w:divBdr>
        <w:top w:val="none" w:sz="0" w:space="0" w:color="auto"/>
        <w:left w:val="none" w:sz="0" w:space="0" w:color="auto"/>
        <w:bottom w:val="none" w:sz="0" w:space="0" w:color="auto"/>
        <w:right w:val="none" w:sz="0" w:space="0" w:color="auto"/>
      </w:divBdr>
      <w:divsChild>
        <w:div w:id="1446150007">
          <w:marLeft w:val="0"/>
          <w:marRight w:val="0"/>
          <w:marTop w:val="0"/>
          <w:marBottom w:val="0"/>
          <w:divBdr>
            <w:top w:val="none" w:sz="0" w:space="0" w:color="auto"/>
            <w:left w:val="none" w:sz="0" w:space="0" w:color="auto"/>
            <w:bottom w:val="none" w:sz="0" w:space="0" w:color="auto"/>
            <w:right w:val="none" w:sz="0" w:space="0" w:color="auto"/>
          </w:divBdr>
          <w:divsChild>
            <w:div w:id="74858336">
              <w:marLeft w:val="0"/>
              <w:marRight w:val="0"/>
              <w:marTop w:val="0"/>
              <w:marBottom w:val="0"/>
              <w:divBdr>
                <w:top w:val="none" w:sz="0" w:space="0" w:color="auto"/>
                <w:left w:val="none" w:sz="0" w:space="0" w:color="auto"/>
                <w:bottom w:val="none" w:sz="0" w:space="0" w:color="auto"/>
                <w:right w:val="none" w:sz="0" w:space="0" w:color="auto"/>
              </w:divBdr>
              <w:divsChild>
                <w:div w:id="1453329756">
                  <w:marLeft w:val="0"/>
                  <w:marRight w:val="0"/>
                  <w:marTop w:val="0"/>
                  <w:marBottom w:val="0"/>
                  <w:divBdr>
                    <w:top w:val="none" w:sz="0" w:space="0" w:color="auto"/>
                    <w:left w:val="none" w:sz="0" w:space="0" w:color="auto"/>
                    <w:bottom w:val="none" w:sz="0" w:space="0" w:color="auto"/>
                    <w:right w:val="none" w:sz="0" w:space="0" w:color="auto"/>
                  </w:divBdr>
                  <w:divsChild>
                    <w:div w:id="4484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358059">
      <w:marLeft w:val="0"/>
      <w:marRight w:val="0"/>
      <w:marTop w:val="0"/>
      <w:marBottom w:val="0"/>
      <w:divBdr>
        <w:top w:val="none" w:sz="0" w:space="0" w:color="auto"/>
        <w:left w:val="none" w:sz="0" w:space="0" w:color="auto"/>
        <w:bottom w:val="none" w:sz="0" w:space="0" w:color="auto"/>
        <w:right w:val="none" w:sz="0" w:space="0" w:color="auto"/>
      </w:divBdr>
    </w:div>
    <w:div w:id="986082678">
      <w:bodyDiv w:val="1"/>
      <w:marLeft w:val="0"/>
      <w:marRight w:val="0"/>
      <w:marTop w:val="0"/>
      <w:marBottom w:val="0"/>
      <w:divBdr>
        <w:top w:val="none" w:sz="0" w:space="0" w:color="auto"/>
        <w:left w:val="none" w:sz="0" w:space="0" w:color="auto"/>
        <w:bottom w:val="none" w:sz="0" w:space="0" w:color="auto"/>
        <w:right w:val="none" w:sz="0" w:space="0" w:color="auto"/>
      </w:divBdr>
      <w:divsChild>
        <w:div w:id="1729760315">
          <w:marLeft w:val="0"/>
          <w:marRight w:val="0"/>
          <w:marTop w:val="0"/>
          <w:marBottom w:val="0"/>
          <w:divBdr>
            <w:top w:val="none" w:sz="0" w:space="0" w:color="auto"/>
            <w:left w:val="none" w:sz="0" w:space="0" w:color="auto"/>
            <w:bottom w:val="none" w:sz="0" w:space="0" w:color="auto"/>
            <w:right w:val="none" w:sz="0" w:space="0" w:color="auto"/>
          </w:divBdr>
          <w:divsChild>
            <w:div w:id="2055738559">
              <w:marLeft w:val="0"/>
              <w:marRight w:val="0"/>
              <w:marTop w:val="0"/>
              <w:marBottom w:val="0"/>
              <w:divBdr>
                <w:top w:val="none" w:sz="0" w:space="0" w:color="auto"/>
                <w:left w:val="none" w:sz="0" w:space="0" w:color="auto"/>
                <w:bottom w:val="none" w:sz="0" w:space="0" w:color="auto"/>
                <w:right w:val="none" w:sz="0" w:space="0" w:color="auto"/>
              </w:divBdr>
              <w:divsChild>
                <w:div w:id="1811707795">
                  <w:marLeft w:val="0"/>
                  <w:marRight w:val="0"/>
                  <w:marTop w:val="0"/>
                  <w:marBottom w:val="0"/>
                  <w:divBdr>
                    <w:top w:val="none" w:sz="0" w:space="0" w:color="auto"/>
                    <w:left w:val="none" w:sz="0" w:space="0" w:color="auto"/>
                    <w:bottom w:val="none" w:sz="0" w:space="0" w:color="auto"/>
                    <w:right w:val="none" w:sz="0" w:space="0" w:color="auto"/>
                  </w:divBdr>
                  <w:divsChild>
                    <w:div w:id="85441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219744">
      <w:bodyDiv w:val="1"/>
      <w:marLeft w:val="0"/>
      <w:marRight w:val="0"/>
      <w:marTop w:val="0"/>
      <w:marBottom w:val="0"/>
      <w:divBdr>
        <w:top w:val="none" w:sz="0" w:space="0" w:color="auto"/>
        <w:left w:val="none" w:sz="0" w:space="0" w:color="auto"/>
        <w:bottom w:val="none" w:sz="0" w:space="0" w:color="auto"/>
        <w:right w:val="none" w:sz="0" w:space="0" w:color="auto"/>
      </w:divBdr>
    </w:div>
    <w:div w:id="1125007711">
      <w:bodyDiv w:val="1"/>
      <w:marLeft w:val="0"/>
      <w:marRight w:val="0"/>
      <w:marTop w:val="0"/>
      <w:marBottom w:val="0"/>
      <w:divBdr>
        <w:top w:val="none" w:sz="0" w:space="0" w:color="auto"/>
        <w:left w:val="none" w:sz="0" w:space="0" w:color="auto"/>
        <w:bottom w:val="none" w:sz="0" w:space="0" w:color="auto"/>
        <w:right w:val="none" w:sz="0" w:space="0" w:color="auto"/>
      </w:divBdr>
      <w:divsChild>
        <w:div w:id="968362540">
          <w:marLeft w:val="0"/>
          <w:marRight w:val="0"/>
          <w:marTop w:val="0"/>
          <w:marBottom w:val="0"/>
          <w:divBdr>
            <w:top w:val="none" w:sz="0" w:space="0" w:color="auto"/>
            <w:left w:val="none" w:sz="0" w:space="0" w:color="auto"/>
            <w:bottom w:val="none" w:sz="0" w:space="0" w:color="auto"/>
            <w:right w:val="none" w:sz="0" w:space="0" w:color="auto"/>
          </w:divBdr>
          <w:divsChild>
            <w:div w:id="1267270501">
              <w:marLeft w:val="0"/>
              <w:marRight w:val="0"/>
              <w:marTop w:val="0"/>
              <w:marBottom w:val="0"/>
              <w:divBdr>
                <w:top w:val="none" w:sz="0" w:space="0" w:color="auto"/>
                <w:left w:val="none" w:sz="0" w:space="0" w:color="auto"/>
                <w:bottom w:val="none" w:sz="0" w:space="0" w:color="auto"/>
                <w:right w:val="none" w:sz="0" w:space="0" w:color="auto"/>
              </w:divBdr>
              <w:divsChild>
                <w:div w:id="372510636">
                  <w:marLeft w:val="0"/>
                  <w:marRight w:val="0"/>
                  <w:marTop w:val="0"/>
                  <w:marBottom w:val="0"/>
                  <w:divBdr>
                    <w:top w:val="none" w:sz="0" w:space="0" w:color="auto"/>
                    <w:left w:val="none" w:sz="0" w:space="0" w:color="auto"/>
                    <w:bottom w:val="none" w:sz="0" w:space="0" w:color="auto"/>
                    <w:right w:val="none" w:sz="0" w:space="0" w:color="auto"/>
                  </w:divBdr>
                  <w:divsChild>
                    <w:div w:id="108588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4223298">
      <w:bodyDiv w:val="1"/>
      <w:marLeft w:val="0"/>
      <w:marRight w:val="0"/>
      <w:marTop w:val="0"/>
      <w:marBottom w:val="0"/>
      <w:divBdr>
        <w:top w:val="none" w:sz="0" w:space="0" w:color="auto"/>
        <w:left w:val="none" w:sz="0" w:space="0" w:color="auto"/>
        <w:bottom w:val="none" w:sz="0" w:space="0" w:color="auto"/>
        <w:right w:val="none" w:sz="0" w:space="0" w:color="auto"/>
      </w:divBdr>
      <w:divsChild>
        <w:div w:id="909736216">
          <w:marLeft w:val="0"/>
          <w:marRight w:val="0"/>
          <w:marTop w:val="0"/>
          <w:marBottom w:val="0"/>
          <w:divBdr>
            <w:top w:val="none" w:sz="0" w:space="0" w:color="auto"/>
            <w:left w:val="none" w:sz="0" w:space="0" w:color="auto"/>
            <w:bottom w:val="none" w:sz="0" w:space="0" w:color="auto"/>
            <w:right w:val="none" w:sz="0" w:space="0" w:color="auto"/>
          </w:divBdr>
          <w:divsChild>
            <w:div w:id="2031293096">
              <w:marLeft w:val="0"/>
              <w:marRight w:val="0"/>
              <w:marTop w:val="0"/>
              <w:marBottom w:val="0"/>
              <w:divBdr>
                <w:top w:val="none" w:sz="0" w:space="0" w:color="auto"/>
                <w:left w:val="none" w:sz="0" w:space="0" w:color="auto"/>
                <w:bottom w:val="none" w:sz="0" w:space="0" w:color="auto"/>
                <w:right w:val="none" w:sz="0" w:space="0" w:color="auto"/>
              </w:divBdr>
              <w:divsChild>
                <w:div w:id="1734503745">
                  <w:marLeft w:val="0"/>
                  <w:marRight w:val="0"/>
                  <w:marTop w:val="0"/>
                  <w:marBottom w:val="0"/>
                  <w:divBdr>
                    <w:top w:val="none" w:sz="0" w:space="0" w:color="auto"/>
                    <w:left w:val="none" w:sz="0" w:space="0" w:color="auto"/>
                    <w:bottom w:val="none" w:sz="0" w:space="0" w:color="auto"/>
                    <w:right w:val="none" w:sz="0" w:space="0" w:color="auto"/>
                  </w:divBdr>
                  <w:divsChild>
                    <w:div w:id="193836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66390">
      <w:bodyDiv w:val="1"/>
      <w:marLeft w:val="0"/>
      <w:marRight w:val="0"/>
      <w:marTop w:val="0"/>
      <w:marBottom w:val="0"/>
      <w:divBdr>
        <w:top w:val="none" w:sz="0" w:space="0" w:color="auto"/>
        <w:left w:val="none" w:sz="0" w:space="0" w:color="auto"/>
        <w:bottom w:val="none" w:sz="0" w:space="0" w:color="auto"/>
        <w:right w:val="none" w:sz="0" w:space="0" w:color="auto"/>
      </w:divBdr>
    </w:div>
    <w:div w:id="1803117143">
      <w:bodyDiv w:val="1"/>
      <w:marLeft w:val="0"/>
      <w:marRight w:val="0"/>
      <w:marTop w:val="0"/>
      <w:marBottom w:val="0"/>
      <w:divBdr>
        <w:top w:val="none" w:sz="0" w:space="0" w:color="auto"/>
        <w:left w:val="none" w:sz="0" w:space="0" w:color="auto"/>
        <w:bottom w:val="none" w:sz="0" w:space="0" w:color="auto"/>
        <w:right w:val="none" w:sz="0" w:space="0" w:color="auto"/>
      </w:divBdr>
      <w:divsChild>
        <w:div w:id="1440681731">
          <w:marLeft w:val="0"/>
          <w:marRight w:val="0"/>
          <w:marTop w:val="0"/>
          <w:marBottom w:val="0"/>
          <w:divBdr>
            <w:top w:val="none" w:sz="0" w:space="0" w:color="auto"/>
            <w:left w:val="none" w:sz="0" w:space="0" w:color="auto"/>
            <w:bottom w:val="none" w:sz="0" w:space="0" w:color="auto"/>
            <w:right w:val="none" w:sz="0" w:space="0" w:color="auto"/>
          </w:divBdr>
          <w:divsChild>
            <w:div w:id="605625351">
              <w:marLeft w:val="0"/>
              <w:marRight w:val="0"/>
              <w:marTop w:val="0"/>
              <w:marBottom w:val="0"/>
              <w:divBdr>
                <w:top w:val="none" w:sz="0" w:space="0" w:color="auto"/>
                <w:left w:val="none" w:sz="0" w:space="0" w:color="auto"/>
                <w:bottom w:val="none" w:sz="0" w:space="0" w:color="auto"/>
                <w:right w:val="none" w:sz="0" w:space="0" w:color="auto"/>
              </w:divBdr>
              <w:divsChild>
                <w:div w:id="237522733">
                  <w:marLeft w:val="0"/>
                  <w:marRight w:val="0"/>
                  <w:marTop w:val="0"/>
                  <w:marBottom w:val="0"/>
                  <w:divBdr>
                    <w:top w:val="none" w:sz="0" w:space="0" w:color="auto"/>
                    <w:left w:val="none" w:sz="0" w:space="0" w:color="auto"/>
                    <w:bottom w:val="none" w:sz="0" w:space="0" w:color="auto"/>
                    <w:right w:val="none" w:sz="0" w:space="0" w:color="auto"/>
                  </w:divBdr>
                  <w:divsChild>
                    <w:div w:id="175250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706677">
      <w:bodyDiv w:val="1"/>
      <w:marLeft w:val="0"/>
      <w:marRight w:val="0"/>
      <w:marTop w:val="0"/>
      <w:marBottom w:val="0"/>
      <w:divBdr>
        <w:top w:val="none" w:sz="0" w:space="0" w:color="auto"/>
        <w:left w:val="none" w:sz="0" w:space="0" w:color="auto"/>
        <w:bottom w:val="none" w:sz="0" w:space="0" w:color="auto"/>
        <w:right w:val="none" w:sz="0" w:space="0" w:color="auto"/>
      </w:divBdr>
      <w:divsChild>
        <w:div w:id="2024629371">
          <w:marLeft w:val="0"/>
          <w:marRight w:val="0"/>
          <w:marTop w:val="0"/>
          <w:marBottom w:val="0"/>
          <w:divBdr>
            <w:top w:val="none" w:sz="0" w:space="0" w:color="auto"/>
            <w:left w:val="none" w:sz="0" w:space="0" w:color="auto"/>
            <w:bottom w:val="none" w:sz="0" w:space="0" w:color="auto"/>
            <w:right w:val="none" w:sz="0" w:space="0" w:color="auto"/>
          </w:divBdr>
          <w:divsChild>
            <w:div w:id="152528159">
              <w:marLeft w:val="0"/>
              <w:marRight w:val="0"/>
              <w:marTop w:val="0"/>
              <w:marBottom w:val="0"/>
              <w:divBdr>
                <w:top w:val="none" w:sz="0" w:space="0" w:color="auto"/>
                <w:left w:val="none" w:sz="0" w:space="0" w:color="auto"/>
                <w:bottom w:val="none" w:sz="0" w:space="0" w:color="auto"/>
                <w:right w:val="none" w:sz="0" w:space="0" w:color="auto"/>
              </w:divBdr>
              <w:divsChild>
                <w:div w:id="156965460">
                  <w:marLeft w:val="0"/>
                  <w:marRight w:val="0"/>
                  <w:marTop w:val="0"/>
                  <w:marBottom w:val="0"/>
                  <w:divBdr>
                    <w:top w:val="none" w:sz="0" w:space="0" w:color="auto"/>
                    <w:left w:val="none" w:sz="0" w:space="0" w:color="auto"/>
                    <w:bottom w:val="none" w:sz="0" w:space="0" w:color="auto"/>
                    <w:right w:val="none" w:sz="0" w:space="0" w:color="auto"/>
                  </w:divBdr>
                  <w:divsChild>
                    <w:div w:id="88070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243057">
      <w:bodyDiv w:val="1"/>
      <w:marLeft w:val="0"/>
      <w:marRight w:val="0"/>
      <w:marTop w:val="0"/>
      <w:marBottom w:val="0"/>
      <w:divBdr>
        <w:top w:val="none" w:sz="0" w:space="0" w:color="auto"/>
        <w:left w:val="none" w:sz="0" w:space="0" w:color="auto"/>
        <w:bottom w:val="none" w:sz="0" w:space="0" w:color="auto"/>
        <w:right w:val="none" w:sz="0" w:space="0" w:color="auto"/>
      </w:divBdr>
      <w:divsChild>
        <w:div w:id="64376527">
          <w:marLeft w:val="0"/>
          <w:marRight w:val="0"/>
          <w:marTop w:val="0"/>
          <w:marBottom w:val="0"/>
          <w:divBdr>
            <w:top w:val="none" w:sz="0" w:space="0" w:color="auto"/>
            <w:left w:val="none" w:sz="0" w:space="0" w:color="auto"/>
            <w:bottom w:val="none" w:sz="0" w:space="0" w:color="auto"/>
            <w:right w:val="none" w:sz="0" w:space="0" w:color="auto"/>
          </w:divBdr>
          <w:divsChild>
            <w:div w:id="309333263">
              <w:marLeft w:val="0"/>
              <w:marRight w:val="0"/>
              <w:marTop w:val="0"/>
              <w:marBottom w:val="0"/>
              <w:divBdr>
                <w:top w:val="none" w:sz="0" w:space="0" w:color="auto"/>
                <w:left w:val="none" w:sz="0" w:space="0" w:color="auto"/>
                <w:bottom w:val="none" w:sz="0" w:space="0" w:color="auto"/>
                <w:right w:val="none" w:sz="0" w:space="0" w:color="auto"/>
              </w:divBdr>
              <w:divsChild>
                <w:div w:id="1570994191">
                  <w:marLeft w:val="0"/>
                  <w:marRight w:val="0"/>
                  <w:marTop w:val="0"/>
                  <w:marBottom w:val="0"/>
                  <w:divBdr>
                    <w:top w:val="none" w:sz="0" w:space="0" w:color="auto"/>
                    <w:left w:val="none" w:sz="0" w:space="0" w:color="auto"/>
                    <w:bottom w:val="none" w:sz="0" w:space="0" w:color="auto"/>
                    <w:right w:val="none" w:sz="0" w:space="0" w:color="auto"/>
                  </w:divBdr>
                  <w:divsChild>
                    <w:div w:id="16642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package" Target="embeddings/Microsoft_Excel_Worksheet1.xlsx"/><Relationship Id="rId18" Type="http://schemas.openxmlformats.org/officeDocument/2006/relationships/hyperlink" Target="https://usda.library.cornell.edu/concern/publications/6108vb275?locale=en" TargetMode="External"/><Relationship Id="rId3" Type="http://schemas.openxmlformats.org/officeDocument/2006/relationships/styles" Target="styles.xml"/><Relationship Id="rId21" Type="http://schemas.openxmlformats.org/officeDocument/2006/relationships/hyperlink" Target="https://usda.library.cornell.edu/concern/publications/c821gj76b?locale=en"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usda.library.cornell.edu/concern/publications/q524jn76v?locale=en" TargetMode="External"/><Relationship Id="rId2" Type="http://schemas.openxmlformats.org/officeDocument/2006/relationships/numbering" Target="numbering.xml"/><Relationship Id="rId16" Type="http://schemas.openxmlformats.org/officeDocument/2006/relationships/hyperlink" Target="https://www.nass.usda.gov/Publications/" TargetMode="External"/><Relationship Id="rId20" Type="http://schemas.openxmlformats.org/officeDocument/2006/relationships/hyperlink" Target="https://usda.library.cornell.edu/concern/publications/k35694332?locale=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Worksheet2.xlsx"/><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usda.library.cornell.edu/concern/publications/c821gj76b?locale=en" TargetMode="External"/><Relationship Id="rId4" Type="http://schemas.openxmlformats.org/officeDocument/2006/relationships/settings" Target="settings.xml"/><Relationship Id="rId9" Type="http://schemas.openxmlformats.org/officeDocument/2006/relationships/hyperlink" Target="http://www.bls.gov/oes/tables.htm"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FA9EC-05E8-4C6C-A700-6E9D5BC0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8A0D2915.dotm</Template>
  <TotalTime>411</TotalTime>
  <Pages>12</Pages>
  <Words>3981</Words>
  <Characters>22565</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whydto</dc:creator>
  <cp:keywords/>
  <dc:description/>
  <cp:lastModifiedBy>Hancock, David - NASS</cp:lastModifiedBy>
  <cp:revision>24</cp:revision>
  <cp:lastPrinted>2013-11-07T18:30:00Z</cp:lastPrinted>
  <dcterms:created xsi:type="dcterms:W3CDTF">2019-11-25T19:39:00Z</dcterms:created>
  <dcterms:modified xsi:type="dcterms:W3CDTF">2020-01-16T15:01:00Z</dcterms:modified>
</cp:coreProperties>
</file>