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5C" w:rsidP="00637460" w:rsidRDefault="005D7A5E">
      <w:pPr>
        <w:jc w:val="right"/>
        <w:rPr>
          <w:sz w:val="24"/>
          <w:szCs w:val="24"/>
        </w:rPr>
      </w:pPr>
      <w:r>
        <w:rPr>
          <w:sz w:val="24"/>
          <w:szCs w:val="24"/>
        </w:rPr>
        <w:t xml:space="preserve">February </w:t>
      </w:r>
      <w:r w:rsidR="00637460">
        <w:rPr>
          <w:sz w:val="24"/>
          <w:szCs w:val="24"/>
        </w:rPr>
        <w:t>2020</w:t>
      </w:r>
    </w:p>
    <w:p w:rsidR="009A44C0" w:rsidP="00DA2D1A" w:rsidRDefault="00941A5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12324">
        <w:rPr>
          <w:sz w:val="24"/>
          <w:szCs w:val="24"/>
        </w:rPr>
        <w:tab/>
      </w:r>
      <w:r w:rsidR="00E12324">
        <w:rPr>
          <w:sz w:val="24"/>
          <w:szCs w:val="24"/>
        </w:rPr>
        <w:tab/>
      </w:r>
    </w:p>
    <w:p w:rsidRPr="00E13F67" w:rsidR="00DA2D1A" w:rsidP="00E13F67" w:rsidRDefault="00E13F67">
      <w:pPr>
        <w:jc w:val="center"/>
        <w:rPr>
          <w:b/>
          <w:sz w:val="24"/>
          <w:szCs w:val="24"/>
        </w:rPr>
      </w:pPr>
      <w:r w:rsidRPr="00E13F67">
        <w:rPr>
          <w:b/>
          <w:sz w:val="24"/>
          <w:szCs w:val="24"/>
        </w:rPr>
        <w:t>Supporting Statement</w:t>
      </w:r>
    </w:p>
    <w:p w:rsidRPr="00E13F67" w:rsidR="00E13F67" w:rsidP="00E13F67" w:rsidRDefault="00E13F67">
      <w:pPr>
        <w:jc w:val="center"/>
        <w:rPr>
          <w:b/>
          <w:sz w:val="24"/>
          <w:szCs w:val="24"/>
        </w:rPr>
      </w:pPr>
      <w:r w:rsidRPr="00E13F67">
        <w:rPr>
          <w:b/>
          <w:sz w:val="24"/>
          <w:szCs w:val="24"/>
        </w:rPr>
        <w:t>7 CFR Part 340:  Introduction of Organisms and Products</w:t>
      </w:r>
    </w:p>
    <w:p w:rsidR="00E13F67" w:rsidP="00E13F67" w:rsidRDefault="00E13F67">
      <w:pPr>
        <w:jc w:val="center"/>
        <w:rPr>
          <w:b/>
          <w:sz w:val="24"/>
          <w:szCs w:val="24"/>
        </w:rPr>
      </w:pPr>
      <w:r w:rsidRPr="00E13F67">
        <w:rPr>
          <w:b/>
          <w:sz w:val="24"/>
          <w:szCs w:val="24"/>
        </w:rPr>
        <w:t>Altered or Produced Through Genetic Engineering</w:t>
      </w:r>
    </w:p>
    <w:p w:rsidRPr="00E13F67" w:rsidR="00941A55" w:rsidP="00E13F67" w:rsidRDefault="00941A55">
      <w:pPr>
        <w:jc w:val="center"/>
        <w:rPr>
          <w:b/>
          <w:sz w:val="24"/>
          <w:szCs w:val="24"/>
        </w:rPr>
      </w:pPr>
      <w:r>
        <w:rPr>
          <w:b/>
          <w:sz w:val="24"/>
          <w:szCs w:val="24"/>
        </w:rPr>
        <w:t>OMB 0579-0085</w:t>
      </w:r>
    </w:p>
    <w:p w:rsidR="00E12324" w:rsidP="00DA2D1A" w:rsidRDefault="00E12324"/>
    <w:p w:rsidRPr="00E12324" w:rsidR="00E12324" w:rsidP="00DA2D1A" w:rsidRDefault="00E12324">
      <w:pPr>
        <w:rPr>
          <w:b/>
        </w:rPr>
      </w:pPr>
    </w:p>
    <w:p w:rsidRPr="00D32CE1" w:rsidR="00DA2D1A" w:rsidP="00DA2D1A" w:rsidRDefault="00E13F67">
      <w:pPr>
        <w:rPr>
          <w:b/>
          <w:sz w:val="24"/>
          <w:szCs w:val="24"/>
        </w:rPr>
      </w:pPr>
      <w:r w:rsidRPr="00D32CE1">
        <w:rPr>
          <w:b/>
          <w:sz w:val="24"/>
          <w:szCs w:val="24"/>
        </w:rPr>
        <w:t>A.  Justification</w:t>
      </w:r>
    </w:p>
    <w:p w:rsidR="00DA2D1A" w:rsidP="00DA2D1A" w:rsidRDefault="00DA2D1A"/>
    <w:p w:rsidR="002E26A9" w:rsidP="00DA2D1A" w:rsidRDefault="002E26A9"/>
    <w:p w:rsidRPr="00D32CE1" w:rsidR="00DA2D1A" w:rsidP="00DA2D1A" w:rsidRDefault="00DA2D1A">
      <w:pPr>
        <w:rPr>
          <w:b/>
          <w:sz w:val="24"/>
          <w:szCs w:val="24"/>
        </w:rPr>
      </w:pPr>
      <w:r w:rsidRPr="00D32CE1">
        <w:rPr>
          <w:b/>
          <w:sz w:val="24"/>
          <w:szCs w:val="24"/>
        </w:rPr>
        <w:t>1.  Explain the circumstances that make the collection of information necessary.  Identify any legal or administrative requirements that necessitate the collection.</w:t>
      </w:r>
    </w:p>
    <w:p w:rsidRPr="00D32CE1" w:rsidR="00DA2D1A" w:rsidP="00DA2D1A" w:rsidRDefault="00DA2D1A">
      <w:pPr>
        <w:rPr>
          <w:b/>
          <w:sz w:val="24"/>
          <w:szCs w:val="24"/>
        </w:rPr>
      </w:pPr>
    </w:p>
    <w:p w:rsidRPr="00584898" w:rsidR="00DA2D1A" w:rsidP="00DA2D1A" w:rsidRDefault="00FB1D42">
      <w:pPr>
        <w:rPr>
          <w:sz w:val="24"/>
          <w:szCs w:val="24"/>
        </w:rPr>
      </w:pPr>
      <w:r>
        <w:rPr>
          <w:sz w:val="24"/>
          <w:szCs w:val="24"/>
        </w:rPr>
        <w:t>The information Biotechnology Regulatory Services</w:t>
      </w:r>
      <w:r w:rsidR="00941A55">
        <w:rPr>
          <w:sz w:val="24"/>
          <w:szCs w:val="24"/>
        </w:rPr>
        <w:t xml:space="preserve"> (BRS)</w:t>
      </w:r>
      <w:r>
        <w:rPr>
          <w:sz w:val="24"/>
          <w:szCs w:val="24"/>
        </w:rPr>
        <w:t xml:space="preserve"> collects is required</w:t>
      </w:r>
      <w:r w:rsidRPr="00584898" w:rsidR="00DA2D1A">
        <w:rPr>
          <w:sz w:val="24"/>
          <w:szCs w:val="24"/>
        </w:rPr>
        <w:t xml:space="preserve"> to determine the risks to agriculture and the environment from certain genetically engineered organisms and products.  Advances in molecular biology, including the development and widespread use of recombinant DNA technology, may present the potential for the introduction of plant pests into the </w:t>
      </w:r>
      <w:smartTag w:uri="urn:schemas-microsoft-com:office:smarttags" w:element="place">
        <w:smartTag w:uri="urn:schemas-microsoft-com:office:smarttags" w:element="country-region">
          <w:r w:rsidR="00DA2D1A" w:rsidRPr="00584898">
            <w:rPr>
              <w:sz w:val="24"/>
              <w:szCs w:val="24"/>
            </w:rPr>
            <w:t>United States</w:t>
          </w:r>
        </w:smartTag>
      </w:smartTag>
      <w:r w:rsidRPr="00584898" w:rsidR="00DA2D1A">
        <w:rPr>
          <w:sz w:val="24"/>
          <w:szCs w:val="24"/>
        </w:rPr>
        <w:t xml:space="preserve">.  The Animal and Plant Health Inspection Service (APHIS), U.S. Department of Agriculture (USDA), is charged with </w:t>
      </w:r>
      <w:r w:rsidR="009C57CF">
        <w:rPr>
          <w:sz w:val="24"/>
          <w:szCs w:val="24"/>
        </w:rPr>
        <w:t xml:space="preserve">preventing the introduction of plant pests into the </w:t>
      </w:r>
      <w:smartTag w:uri="urn:schemas-microsoft-com:office:smarttags" w:element="country-region">
        <w:r w:rsidR="009C57CF">
          <w:rPr>
            <w:sz w:val="24"/>
            <w:szCs w:val="24"/>
          </w:rPr>
          <w:t xml:space="preserve">United </w:t>
        </w:r>
        <w:r w:rsidR="0098426C">
          <w:rPr>
            <w:sz w:val="24"/>
            <w:szCs w:val="24"/>
          </w:rPr>
          <w:t>States</w:t>
        </w:r>
      </w:smartTag>
      <w:r w:rsidR="0098426C">
        <w:rPr>
          <w:sz w:val="24"/>
          <w:szCs w:val="24"/>
        </w:rPr>
        <w:t xml:space="preserve"> </w:t>
      </w:r>
      <w:r w:rsidR="009C57CF">
        <w:rPr>
          <w:sz w:val="24"/>
          <w:szCs w:val="24"/>
        </w:rPr>
        <w:t xml:space="preserve">or their dissemination within the </w:t>
      </w:r>
      <w:smartTag w:uri="urn:schemas-microsoft-com:office:smarttags" w:element="place">
        <w:smartTag w:uri="urn:schemas-microsoft-com:office:smarttags" w:element="country-region">
          <w:r w:rsidR="009C57CF">
            <w:rPr>
              <w:sz w:val="24"/>
              <w:szCs w:val="24"/>
            </w:rPr>
            <w:t>United States</w:t>
          </w:r>
        </w:smartTag>
      </w:smartTag>
      <w:r w:rsidR="009C57CF">
        <w:rPr>
          <w:sz w:val="24"/>
          <w:szCs w:val="24"/>
        </w:rPr>
        <w:t xml:space="preserve">.  </w:t>
      </w:r>
      <w:r w:rsidRPr="00584898" w:rsidR="00DA2D1A">
        <w:rPr>
          <w:sz w:val="24"/>
          <w:szCs w:val="24"/>
        </w:rPr>
        <w:t xml:space="preserve">The statutory requirements for the information collection activity are found in the Plant Protection Act (PPA). </w:t>
      </w:r>
    </w:p>
    <w:p w:rsidRPr="00584898" w:rsidR="00DA2D1A" w:rsidP="00DA2D1A" w:rsidRDefault="00DA2D1A">
      <w:pPr>
        <w:rPr>
          <w:sz w:val="24"/>
          <w:szCs w:val="24"/>
        </w:rPr>
      </w:pPr>
    </w:p>
    <w:p w:rsidRPr="00584898" w:rsidR="00DA2D1A" w:rsidP="00DA2D1A" w:rsidRDefault="00DA2D1A">
      <w:pPr>
        <w:rPr>
          <w:sz w:val="24"/>
          <w:szCs w:val="24"/>
        </w:rPr>
      </w:pPr>
      <w:r w:rsidRPr="00584898">
        <w:rPr>
          <w:sz w:val="24"/>
          <w:szCs w:val="24"/>
        </w:rPr>
        <w:t xml:space="preserve">Section 11 of the PPA provides that no plant pest </w:t>
      </w:r>
      <w:r w:rsidR="00AE2264">
        <w:rPr>
          <w:sz w:val="24"/>
          <w:szCs w:val="24"/>
        </w:rPr>
        <w:t>will</w:t>
      </w:r>
      <w:r w:rsidRPr="00584898">
        <w:rPr>
          <w:sz w:val="24"/>
          <w:szCs w:val="24"/>
        </w:rPr>
        <w:t xml:space="preserve"> be moved from a foreign country into or through the </w:t>
      </w:r>
      <w:smartTag w:uri="urn:schemas-microsoft-com:office:smarttags" w:element="country-region">
        <w:smartTag w:uri="urn:schemas-microsoft-com:office:smarttags" w:element="place">
          <w:r w:rsidRPr="00584898">
            <w:rPr>
              <w:sz w:val="24"/>
              <w:szCs w:val="24"/>
            </w:rPr>
            <w:t>United States</w:t>
          </w:r>
        </w:smartTag>
      </w:smartTag>
      <w:r w:rsidRPr="00584898">
        <w:rPr>
          <w:sz w:val="24"/>
          <w:szCs w:val="24"/>
        </w:rPr>
        <w:t xml:space="preserve"> or interstate unless the movement is authorized under a permit issued by the Secretary of Agriculture.  </w:t>
      </w:r>
      <w:r w:rsidR="0019362C">
        <w:rPr>
          <w:sz w:val="24"/>
          <w:szCs w:val="24"/>
        </w:rPr>
        <w:t xml:space="preserve">In addition, the movement must be made in accordance with the conditions the Secretary may prescribe to prevent the dissemination of plant pests into the </w:t>
      </w:r>
      <w:smartTag w:uri="urn:schemas-microsoft-com:office:smarttags" w:element="place">
        <w:smartTag w:uri="urn:schemas-microsoft-com:office:smarttags" w:element="country-region">
          <w:r w:rsidR="0019362C">
            <w:rPr>
              <w:sz w:val="24"/>
              <w:szCs w:val="24"/>
            </w:rPr>
            <w:t>United States</w:t>
          </w:r>
        </w:smartTag>
      </w:smartTag>
      <w:r w:rsidR="0019362C">
        <w:rPr>
          <w:sz w:val="24"/>
          <w:szCs w:val="24"/>
        </w:rPr>
        <w:t>.</w:t>
      </w:r>
    </w:p>
    <w:p w:rsidRPr="00584898" w:rsidR="00DA2D1A" w:rsidP="00DA2D1A" w:rsidRDefault="00DA2D1A">
      <w:pPr>
        <w:rPr>
          <w:sz w:val="24"/>
          <w:szCs w:val="24"/>
        </w:rPr>
      </w:pPr>
    </w:p>
    <w:p w:rsidRPr="00584898" w:rsidR="00DA2D1A" w:rsidP="00DA2D1A" w:rsidRDefault="00DA2D1A">
      <w:pPr>
        <w:rPr>
          <w:sz w:val="24"/>
          <w:szCs w:val="24"/>
        </w:rPr>
      </w:pPr>
      <w:r w:rsidRPr="00584898">
        <w:rPr>
          <w:sz w:val="24"/>
          <w:szCs w:val="24"/>
        </w:rPr>
        <w:t xml:space="preserve">The PPA provides that the Secretary of Agriculture may promulgate regulations requiring inspection of any products or articles as a condition of movement into or through the </w:t>
      </w:r>
      <w:smartTag w:uri="urn:schemas-microsoft-com:office:smarttags" w:element="country-region">
        <w:smartTag w:uri="urn:schemas-microsoft-com:office:smarttags" w:element="place">
          <w:r w:rsidRPr="00584898">
            <w:rPr>
              <w:sz w:val="24"/>
              <w:szCs w:val="24"/>
            </w:rPr>
            <w:t>Un</w:t>
          </w:r>
          <w:r w:rsidR="0019362C">
            <w:rPr>
              <w:sz w:val="24"/>
              <w:szCs w:val="24"/>
            </w:rPr>
            <w:t>ited States</w:t>
          </w:r>
        </w:smartTag>
      </w:smartTag>
      <w:r w:rsidR="0019362C">
        <w:rPr>
          <w:sz w:val="24"/>
          <w:szCs w:val="24"/>
        </w:rPr>
        <w:t xml:space="preserve"> or interstate as APHIS</w:t>
      </w:r>
      <w:r w:rsidRPr="00584898">
        <w:rPr>
          <w:sz w:val="24"/>
          <w:szCs w:val="24"/>
        </w:rPr>
        <w:t xml:space="preserve"> deems necessary to prevent the dissemination of plant pests. </w:t>
      </w:r>
    </w:p>
    <w:p w:rsidRPr="00584898" w:rsidR="00DA2D1A" w:rsidP="00DA2D1A" w:rsidRDefault="00DA2D1A">
      <w:pPr>
        <w:rPr>
          <w:sz w:val="24"/>
          <w:szCs w:val="24"/>
        </w:rPr>
      </w:pPr>
      <w:r w:rsidRPr="00584898">
        <w:rPr>
          <w:sz w:val="24"/>
          <w:szCs w:val="24"/>
        </w:rPr>
        <w:t xml:space="preserve"> </w:t>
      </w:r>
    </w:p>
    <w:p w:rsidRPr="00584898" w:rsidR="00DA2D1A" w:rsidP="00DA2D1A" w:rsidRDefault="00BF4AED">
      <w:pPr>
        <w:rPr>
          <w:sz w:val="24"/>
          <w:szCs w:val="24"/>
        </w:rPr>
      </w:pPr>
      <w:r>
        <w:rPr>
          <w:sz w:val="24"/>
          <w:szCs w:val="24"/>
        </w:rPr>
        <w:t>The regulations in 7 CFR §</w:t>
      </w:r>
      <w:r w:rsidRPr="00584898" w:rsidR="00DA2D1A">
        <w:rPr>
          <w:sz w:val="24"/>
          <w:szCs w:val="24"/>
        </w:rPr>
        <w:t xml:space="preserve"> 340 implement the provisions of the PPA by providing the information necessary to establish conditions for proposed introductions of certain genetically engineered organisms and products which present a risk of plant pest introduction.</w:t>
      </w:r>
    </w:p>
    <w:p w:rsidR="00DA2D1A" w:rsidP="00DA2D1A" w:rsidRDefault="00DA2D1A">
      <w:pPr>
        <w:rPr>
          <w:sz w:val="24"/>
          <w:szCs w:val="24"/>
        </w:rPr>
      </w:pPr>
    </w:p>
    <w:p w:rsidR="00941A55" w:rsidP="00DA2D1A" w:rsidRDefault="00941A55">
      <w:pPr>
        <w:rPr>
          <w:sz w:val="24"/>
          <w:szCs w:val="24"/>
        </w:rPr>
      </w:pPr>
      <w:r>
        <w:rPr>
          <w:sz w:val="24"/>
          <w:szCs w:val="24"/>
        </w:rPr>
        <w:t xml:space="preserve">APHIS is asking OMB to approve, for </w:t>
      </w:r>
      <w:r w:rsidR="00637460">
        <w:rPr>
          <w:sz w:val="24"/>
          <w:szCs w:val="24"/>
        </w:rPr>
        <w:t xml:space="preserve">another </w:t>
      </w:r>
      <w:r>
        <w:rPr>
          <w:sz w:val="24"/>
          <w:szCs w:val="24"/>
        </w:rPr>
        <w:t>3 years, its use of this information collection.</w:t>
      </w:r>
    </w:p>
    <w:p w:rsidR="00941A55" w:rsidP="00DA2D1A" w:rsidRDefault="00941A55">
      <w:pPr>
        <w:rPr>
          <w:sz w:val="24"/>
          <w:szCs w:val="24"/>
        </w:rPr>
      </w:pPr>
    </w:p>
    <w:p w:rsidR="00D20A02" w:rsidP="00DA2D1A" w:rsidRDefault="00D20A02">
      <w:pPr>
        <w:rPr>
          <w:b/>
          <w:sz w:val="24"/>
          <w:szCs w:val="24"/>
        </w:rPr>
      </w:pPr>
    </w:p>
    <w:p w:rsidRPr="00D32CE1" w:rsidR="00DA2D1A" w:rsidP="00DA2D1A" w:rsidRDefault="00DA2D1A">
      <w:pPr>
        <w:rPr>
          <w:b/>
          <w:sz w:val="24"/>
          <w:szCs w:val="24"/>
        </w:rPr>
      </w:pPr>
      <w:r w:rsidRPr="00D32CE1">
        <w:rPr>
          <w:b/>
          <w:sz w:val="24"/>
          <w:szCs w:val="24"/>
        </w:rPr>
        <w:t>2.  Indicate how, by whom, and for what purpose the information is to be used.  Except for a new collection, indicate the actual use the agency has made of the information received from the current collection.</w:t>
      </w:r>
    </w:p>
    <w:p w:rsidR="00C77923" w:rsidP="00C77923" w:rsidRDefault="00C77923">
      <w:pPr>
        <w:rPr>
          <w:sz w:val="24"/>
          <w:szCs w:val="24"/>
        </w:rPr>
      </w:pPr>
    </w:p>
    <w:p w:rsidR="00C77923" w:rsidP="00C77923" w:rsidRDefault="00C77923">
      <w:pPr>
        <w:rPr>
          <w:sz w:val="24"/>
          <w:szCs w:val="24"/>
        </w:rPr>
      </w:pPr>
      <w:r>
        <w:rPr>
          <w:sz w:val="24"/>
          <w:szCs w:val="24"/>
        </w:rPr>
        <w:t xml:space="preserve">Biotechnology Regulatory Services </w:t>
      </w:r>
      <w:r w:rsidRPr="00584898">
        <w:rPr>
          <w:sz w:val="24"/>
          <w:szCs w:val="24"/>
        </w:rPr>
        <w:t>collects the information through a notification procedure or a permit requirement (APHIS Form 2000</w:t>
      </w:r>
      <w:r>
        <w:rPr>
          <w:sz w:val="24"/>
          <w:szCs w:val="24"/>
        </w:rPr>
        <w:t xml:space="preserve"> or its electronic </w:t>
      </w:r>
      <w:r w:rsidR="00D20A02">
        <w:rPr>
          <w:sz w:val="24"/>
          <w:szCs w:val="24"/>
        </w:rPr>
        <w:t>equivalent</w:t>
      </w:r>
      <w:r w:rsidRPr="00584898">
        <w:rPr>
          <w:sz w:val="24"/>
          <w:szCs w:val="24"/>
        </w:rPr>
        <w:t xml:space="preserve">) to ensure that certain genetically engineered organisms, when imported, moved interstate or released into the </w:t>
      </w:r>
      <w:r w:rsidRPr="00584898">
        <w:rPr>
          <w:sz w:val="24"/>
          <w:szCs w:val="24"/>
        </w:rPr>
        <w:lastRenderedPageBreak/>
        <w:t>environment will not present a risk of plant pes</w:t>
      </w:r>
      <w:r>
        <w:rPr>
          <w:sz w:val="24"/>
          <w:szCs w:val="24"/>
        </w:rPr>
        <w:t xml:space="preserve">t introduction.  The </w:t>
      </w:r>
      <w:r w:rsidRPr="00584898">
        <w:rPr>
          <w:sz w:val="24"/>
          <w:szCs w:val="24"/>
        </w:rPr>
        <w:t>information</w:t>
      </w:r>
      <w:r>
        <w:rPr>
          <w:sz w:val="24"/>
          <w:szCs w:val="24"/>
        </w:rPr>
        <w:t xml:space="preserve"> APHIS collects</w:t>
      </w:r>
      <w:r w:rsidRPr="00584898">
        <w:rPr>
          <w:sz w:val="24"/>
          <w:szCs w:val="24"/>
        </w:rPr>
        <w:t xml:space="preserve"> through the petition process is used to determine whether a</w:t>
      </w:r>
      <w:r>
        <w:rPr>
          <w:sz w:val="24"/>
          <w:szCs w:val="24"/>
        </w:rPr>
        <w:t xml:space="preserve"> </w:t>
      </w:r>
      <w:r w:rsidRPr="00584898">
        <w:rPr>
          <w:sz w:val="24"/>
          <w:szCs w:val="24"/>
        </w:rPr>
        <w:t>genetically engineered organism will pose a risk to agriculture or the environment if grown in the absence of regulation</w:t>
      </w:r>
      <w:r>
        <w:rPr>
          <w:sz w:val="24"/>
          <w:szCs w:val="24"/>
        </w:rPr>
        <w:t>s</w:t>
      </w:r>
      <w:r w:rsidRPr="00584898">
        <w:rPr>
          <w:sz w:val="24"/>
          <w:szCs w:val="24"/>
        </w:rPr>
        <w:t xml:space="preserve"> by APHIS.  </w:t>
      </w:r>
    </w:p>
    <w:p w:rsidRPr="00584898" w:rsidR="00C77923" w:rsidP="00C77923" w:rsidRDefault="00C77923">
      <w:pPr>
        <w:rPr>
          <w:sz w:val="24"/>
          <w:szCs w:val="24"/>
        </w:rPr>
      </w:pPr>
    </w:p>
    <w:p w:rsidRPr="00584898" w:rsidR="00C77923" w:rsidP="00C77923" w:rsidRDefault="00C77923">
      <w:pPr>
        <w:rPr>
          <w:sz w:val="24"/>
          <w:szCs w:val="24"/>
        </w:rPr>
      </w:pPr>
      <w:r w:rsidRPr="00584898">
        <w:rPr>
          <w:sz w:val="24"/>
          <w:szCs w:val="24"/>
        </w:rPr>
        <w:t xml:space="preserve">This information is also provided to </w:t>
      </w:r>
      <w:r>
        <w:rPr>
          <w:sz w:val="24"/>
          <w:szCs w:val="24"/>
        </w:rPr>
        <w:t xml:space="preserve">all </w:t>
      </w:r>
      <w:r w:rsidRPr="00584898">
        <w:rPr>
          <w:sz w:val="24"/>
          <w:szCs w:val="24"/>
        </w:rPr>
        <w:t xml:space="preserve">State departments of agriculture for review and made </w:t>
      </w:r>
      <w:r w:rsidR="00A64421">
        <w:rPr>
          <w:sz w:val="24"/>
          <w:szCs w:val="24"/>
        </w:rPr>
        <w:t xml:space="preserve">publicly </w:t>
      </w:r>
      <w:r w:rsidRPr="00584898">
        <w:rPr>
          <w:sz w:val="24"/>
          <w:szCs w:val="24"/>
        </w:rPr>
        <w:t xml:space="preserve">available </w:t>
      </w:r>
      <w:r w:rsidR="00A64421">
        <w:rPr>
          <w:sz w:val="24"/>
          <w:szCs w:val="24"/>
        </w:rPr>
        <w:t>via the internet (</w:t>
      </w:r>
      <w:r w:rsidRPr="00545495">
        <w:rPr>
          <w:sz w:val="24"/>
          <w:szCs w:val="24"/>
        </w:rPr>
        <w:t>https://www.aphis.usda.gov/aphis/ourfocus/biotechnology</w:t>
      </w:r>
      <w:r w:rsidR="00A64421">
        <w:rPr>
          <w:sz w:val="24"/>
          <w:szCs w:val="24"/>
        </w:rPr>
        <w:t>)</w:t>
      </w:r>
      <w:r>
        <w:rPr>
          <w:sz w:val="24"/>
          <w:szCs w:val="24"/>
        </w:rPr>
        <w:t xml:space="preserve"> </w:t>
      </w:r>
      <w:r w:rsidRPr="00584898">
        <w:rPr>
          <w:sz w:val="24"/>
          <w:szCs w:val="24"/>
        </w:rPr>
        <w:t xml:space="preserve">to ensure that all sectors are kept informed concerning any potential risks posed through the use of genetic engineering technology.   </w:t>
      </w:r>
    </w:p>
    <w:p w:rsidRPr="00584898" w:rsidR="00C77923" w:rsidP="00C77923" w:rsidRDefault="00C77923">
      <w:pPr>
        <w:rPr>
          <w:sz w:val="24"/>
          <w:szCs w:val="24"/>
        </w:rPr>
      </w:pPr>
    </w:p>
    <w:p w:rsidRPr="00584898" w:rsidR="00C77923" w:rsidP="00C77923" w:rsidRDefault="00C77923">
      <w:pPr>
        <w:rPr>
          <w:sz w:val="24"/>
          <w:szCs w:val="24"/>
        </w:rPr>
      </w:pPr>
      <w:r w:rsidRPr="00584898">
        <w:rPr>
          <w:sz w:val="24"/>
          <w:szCs w:val="24"/>
        </w:rPr>
        <w:t>The information currently requested is as follows:</w:t>
      </w:r>
    </w:p>
    <w:p w:rsidRPr="00584898" w:rsidR="00C77923" w:rsidP="00C77923" w:rsidRDefault="00C77923">
      <w:pPr>
        <w:rPr>
          <w:sz w:val="24"/>
          <w:szCs w:val="24"/>
        </w:rPr>
      </w:pPr>
    </w:p>
    <w:p w:rsidRPr="00637460" w:rsidR="00C77923" w:rsidP="00C77923" w:rsidRDefault="00C77923">
      <w:pPr>
        <w:rPr>
          <w:b/>
          <w:sz w:val="24"/>
          <w:szCs w:val="24"/>
          <w:u w:val="single"/>
        </w:rPr>
      </w:pPr>
      <w:r w:rsidRPr="00637460">
        <w:rPr>
          <w:b/>
          <w:sz w:val="24"/>
          <w:szCs w:val="24"/>
          <w:u w:val="single"/>
        </w:rPr>
        <w:t>Notification Procedures</w:t>
      </w:r>
      <w:r w:rsidR="00BF6BA8">
        <w:rPr>
          <w:b/>
          <w:sz w:val="24"/>
          <w:szCs w:val="24"/>
          <w:u w:val="single"/>
        </w:rPr>
        <w:t xml:space="preserve"> (APHIS 2000 or its equivalent)</w:t>
      </w:r>
      <w:r w:rsidRPr="00637460" w:rsidR="00637460">
        <w:rPr>
          <w:b/>
          <w:sz w:val="24"/>
          <w:szCs w:val="24"/>
          <w:u w:val="single"/>
        </w:rPr>
        <w:t xml:space="preserve">; </w:t>
      </w:r>
      <w:r w:rsidR="00637460">
        <w:rPr>
          <w:b/>
          <w:sz w:val="24"/>
          <w:szCs w:val="24"/>
          <w:u w:val="single"/>
        </w:rPr>
        <w:t>(</w:t>
      </w:r>
      <w:r w:rsidR="001E3DCA">
        <w:rPr>
          <w:b/>
          <w:sz w:val="24"/>
          <w:szCs w:val="24"/>
          <w:u w:val="single"/>
        </w:rPr>
        <w:t xml:space="preserve">7 CFR </w:t>
      </w:r>
      <w:r w:rsidRPr="00637460" w:rsidR="00637460">
        <w:rPr>
          <w:b/>
          <w:sz w:val="24"/>
          <w:szCs w:val="24"/>
          <w:u w:val="single"/>
        </w:rPr>
        <w:t>340.3(a-e)</w:t>
      </w:r>
      <w:r w:rsidR="00637460">
        <w:rPr>
          <w:b/>
          <w:sz w:val="24"/>
          <w:szCs w:val="24"/>
          <w:u w:val="single"/>
        </w:rPr>
        <w:t xml:space="preserve">); </w:t>
      </w:r>
      <w:r w:rsidRPr="00637460" w:rsidR="00637460">
        <w:rPr>
          <w:b/>
          <w:sz w:val="24"/>
          <w:szCs w:val="24"/>
          <w:u w:val="single"/>
        </w:rPr>
        <w:t>(Private Sector; State, Local, Tribal Gov’t)</w:t>
      </w:r>
    </w:p>
    <w:p w:rsidR="00C77923" w:rsidP="00C77923" w:rsidRDefault="00C77923">
      <w:pPr>
        <w:rPr>
          <w:sz w:val="24"/>
          <w:szCs w:val="24"/>
        </w:rPr>
      </w:pPr>
      <w:r w:rsidRPr="00CC4D88">
        <w:rPr>
          <w:sz w:val="24"/>
          <w:szCs w:val="24"/>
        </w:rPr>
        <w:t>Certain regulated articles may be introduced into the environment without a permit  provided the introduction i</w:t>
      </w:r>
      <w:r w:rsidRPr="00545495">
        <w:rPr>
          <w:sz w:val="24"/>
          <w:szCs w:val="24"/>
        </w:rPr>
        <w:t>s in compliance with the eligibility requirements and performance standards of 7 CFR § 340.3.  Notification must include contact information for the responsible person, all information necessary to identify the regulated article, the method by which the recipient organism was</w:t>
      </w:r>
      <w:r w:rsidRPr="00584898">
        <w:rPr>
          <w:sz w:val="24"/>
          <w:szCs w:val="24"/>
        </w:rPr>
        <w:t xml:space="preserve"> transformed, the names and locations of the origination and destination facilities for movement or the field site location for the environmental release, the size of the introduction, the date, and in the case of environmental release, the expected duration of the release.</w:t>
      </w:r>
      <w:r>
        <w:rPr>
          <w:sz w:val="24"/>
          <w:szCs w:val="24"/>
        </w:rPr>
        <w:t xml:space="preserve"> In addition, certain field tests may be required and field test reports must be submitted to APHIS within 6 months after termination of the field test.  Field test reports shall include the APHSI reference number, methods of observation, resulting data, and analysis regarding all deleterious effects on plants, nontarget organisms, and the environment. </w:t>
      </w:r>
    </w:p>
    <w:p w:rsidR="00C77923" w:rsidP="00C77923" w:rsidRDefault="00C77923">
      <w:pPr>
        <w:rPr>
          <w:sz w:val="24"/>
          <w:szCs w:val="24"/>
        </w:rPr>
      </w:pPr>
    </w:p>
    <w:p w:rsidRPr="00637460" w:rsidR="00637460" w:rsidP="00637460" w:rsidRDefault="00C77923">
      <w:pPr>
        <w:rPr>
          <w:b/>
          <w:sz w:val="24"/>
          <w:szCs w:val="24"/>
          <w:u w:val="single"/>
        </w:rPr>
      </w:pPr>
      <w:r w:rsidRPr="00637460">
        <w:rPr>
          <w:b/>
          <w:sz w:val="24"/>
          <w:szCs w:val="24"/>
          <w:u w:val="single"/>
        </w:rPr>
        <w:t>Perm</w:t>
      </w:r>
      <w:r w:rsidRPr="00637460" w:rsidR="00D04D50">
        <w:rPr>
          <w:b/>
          <w:sz w:val="24"/>
          <w:szCs w:val="24"/>
          <w:u w:val="single"/>
        </w:rPr>
        <w:t>it Application (</w:t>
      </w:r>
      <w:r w:rsidR="00BF6BA8">
        <w:rPr>
          <w:b/>
          <w:sz w:val="24"/>
          <w:szCs w:val="24"/>
          <w:u w:val="single"/>
        </w:rPr>
        <w:t>Includes Request for Container Variance and Courtesy Permit) (</w:t>
      </w:r>
      <w:r w:rsidRPr="00637460" w:rsidR="00D04D50">
        <w:rPr>
          <w:b/>
          <w:sz w:val="24"/>
          <w:szCs w:val="24"/>
          <w:u w:val="single"/>
        </w:rPr>
        <w:t>APHIS Form 2000 or its equivalent)</w:t>
      </w:r>
      <w:r w:rsidRPr="00637460" w:rsidR="00637460">
        <w:rPr>
          <w:b/>
          <w:sz w:val="24"/>
          <w:szCs w:val="24"/>
          <w:u w:val="single"/>
        </w:rPr>
        <w:t>;</w:t>
      </w:r>
      <w:r w:rsidR="00637460">
        <w:rPr>
          <w:b/>
          <w:sz w:val="24"/>
          <w:szCs w:val="24"/>
          <w:u w:val="single"/>
        </w:rPr>
        <w:t xml:space="preserve"> (</w:t>
      </w:r>
      <w:r w:rsidR="001E3DCA">
        <w:rPr>
          <w:b/>
          <w:sz w:val="24"/>
          <w:szCs w:val="24"/>
          <w:u w:val="single"/>
        </w:rPr>
        <w:t xml:space="preserve">7 CFR </w:t>
      </w:r>
      <w:r w:rsidRPr="00637460" w:rsidR="00637460">
        <w:rPr>
          <w:b/>
          <w:sz w:val="24"/>
          <w:szCs w:val="24"/>
          <w:u w:val="single"/>
        </w:rPr>
        <w:t>340.4(a-c), 340.4(h)(2), 340.8(c)</w:t>
      </w:r>
      <w:r w:rsidR="00637460">
        <w:rPr>
          <w:b/>
          <w:sz w:val="24"/>
          <w:szCs w:val="24"/>
          <w:u w:val="single"/>
        </w:rPr>
        <w:t>;</w:t>
      </w:r>
      <w:r w:rsidRPr="00637460" w:rsidR="00637460">
        <w:rPr>
          <w:b/>
          <w:sz w:val="24"/>
          <w:szCs w:val="24"/>
          <w:u w:val="single"/>
        </w:rPr>
        <w:t xml:space="preserve">  (Private Sector; State, Local, Tribal Gov’t)</w:t>
      </w:r>
    </w:p>
    <w:p w:rsidR="00C77923" w:rsidP="00C77923" w:rsidRDefault="00C77923">
      <w:pPr>
        <w:rPr>
          <w:sz w:val="24"/>
          <w:szCs w:val="24"/>
        </w:rPr>
      </w:pPr>
      <w:r w:rsidRPr="00CD117F">
        <w:rPr>
          <w:sz w:val="24"/>
          <w:szCs w:val="24"/>
        </w:rPr>
        <w:t>Any person planning to import, move interstate</w:t>
      </w:r>
      <w:r>
        <w:rPr>
          <w:sz w:val="24"/>
          <w:szCs w:val="24"/>
        </w:rPr>
        <w:t>,</w:t>
      </w:r>
      <w:r w:rsidRPr="00CD117F">
        <w:rPr>
          <w:sz w:val="24"/>
          <w:szCs w:val="24"/>
        </w:rPr>
        <w:t xml:space="preserve"> or release into the environment a genetically engineered organism that is a regulated article not eligible for introduction under the notification procedure in </w:t>
      </w:r>
      <w:r>
        <w:rPr>
          <w:sz w:val="24"/>
          <w:szCs w:val="24"/>
        </w:rPr>
        <w:t xml:space="preserve">7 CFR </w:t>
      </w:r>
      <w:r w:rsidRPr="00CD117F">
        <w:rPr>
          <w:sz w:val="24"/>
          <w:szCs w:val="24"/>
        </w:rPr>
        <w:t xml:space="preserve">§ 340.3 must submit a permit application under </w:t>
      </w:r>
      <w:r>
        <w:rPr>
          <w:sz w:val="24"/>
          <w:szCs w:val="24"/>
        </w:rPr>
        <w:t xml:space="preserve"> 7 CFR </w:t>
      </w:r>
      <w:r w:rsidRPr="00CD117F">
        <w:rPr>
          <w:sz w:val="24"/>
          <w:szCs w:val="24"/>
        </w:rPr>
        <w:t xml:space="preserve">§ 340.4.  The applicant must provide </w:t>
      </w:r>
      <w:r>
        <w:rPr>
          <w:sz w:val="24"/>
          <w:szCs w:val="24"/>
        </w:rPr>
        <w:t xml:space="preserve">contact information for the responsible person, contact information for those that developed and/or supplied the regulated article, </w:t>
      </w:r>
      <w:r w:rsidRPr="00CD117F">
        <w:rPr>
          <w:sz w:val="24"/>
          <w:szCs w:val="24"/>
        </w:rPr>
        <w:t>a complete description of the organism</w:t>
      </w:r>
      <w:r>
        <w:rPr>
          <w:sz w:val="24"/>
          <w:szCs w:val="24"/>
        </w:rPr>
        <w:t xml:space="preserve"> </w:t>
      </w:r>
      <w:r w:rsidRPr="00CD117F">
        <w:rPr>
          <w:sz w:val="24"/>
          <w:szCs w:val="24"/>
        </w:rPr>
        <w:t>including the donor organism, recipient organism, vector or vector agent, as well as a description of the expression of the altered genetic material, molecular biology of the system, any safeguards to be used in preventing escape,</w:t>
      </w:r>
      <w:r>
        <w:rPr>
          <w:sz w:val="24"/>
          <w:szCs w:val="24"/>
        </w:rPr>
        <w:t xml:space="preserve"> methods for final disposition,</w:t>
      </w:r>
      <w:r w:rsidRPr="00CD117F">
        <w:rPr>
          <w:sz w:val="24"/>
          <w:szCs w:val="24"/>
        </w:rPr>
        <w:t xml:space="preserve"> and the destination or field test locations.</w:t>
      </w:r>
    </w:p>
    <w:p w:rsidR="00C77923" w:rsidP="00C77923" w:rsidRDefault="00C77923">
      <w:pPr>
        <w:rPr>
          <w:sz w:val="24"/>
          <w:szCs w:val="24"/>
        </w:rPr>
      </w:pPr>
    </w:p>
    <w:p w:rsidRPr="00637460" w:rsidR="00637460" w:rsidP="00637460" w:rsidRDefault="00C77923">
      <w:pPr>
        <w:rPr>
          <w:b/>
          <w:sz w:val="24"/>
          <w:szCs w:val="24"/>
          <w:u w:val="single"/>
        </w:rPr>
      </w:pPr>
      <w:r w:rsidRPr="00637460">
        <w:rPr>
          <w:b/>
          <w:sz w:val="24"/>
          <w:szCs w:val="24"/>
          <w:u w:val="single"/>
        </w:rPr>
        <w:t>Report on Characteristics</w:t>
      </w:r>
      <w:r w:rsidR="00BF6BA8">
        <w:rPr>
          <w:b/>
          <w:sz w:val="24"/>
          <w:szCs w:val="24"/>
          <w:u w:val="single"/>
        </w:rPr>
        <w:t xml:space="preserve"> Permit</w:t>
      </w:r>
      <w:r w:rsidRPr="00637460" w:rsidR="00637460">
        <w:rPr>
          <w:b/>
          <w:sz w:val="24"/>
          <w:szCs w:val="24"/>
          <w:u w:val="single"/>
        </w:rPr>
        <w:t>; (</w:t>
      </w:r>
      <w:r w:rsidR="001E3DCA">
        <w:rPr>
          <w:b/>
          <w:sz w:val="24"/>
          <w:szCs w:val="24"/>
          <w:u w:val="single"/>
        </w:rPr>
        <w:t xml:space="preserve">7 CFR </w:t>
      </w:r>
      <w:r w:rsidRPr="00637460" w:rsidR="00637460">
        <w:rPr>
          <w:b/>
          <w:sz w:val="24"/>
          <w:szCs w:val="24"/>
          <w:u w:val="single"/>
        </w:rPr>
        <w:t>340.4(f, g)); (Private Sector; State, Local, Tribal Gov’t)</w:t>
      </w:r>
    </w:p>
    <w:p w:rsidR="00C77923" w:rsidP="00C77923" w:rsidRDefault="00C77923">
      <w:pPr>
        <w:rPr>
          <w:sz w:val="24"/>
          <w:szCs w:val="24"/>
        </w:rPr>
      </w:pPr>
      <w:r>
        <w:rPr>
          <w:sz w:val="24"/>
          <w:szCs w:val="24"/>
        </w:rPr>
        <w:t>T</w:t>
      </w:r>
      <w:r w:rsidRPr="00CD117F">
        <w:rPr>
          <w:sz w:val="24"/>
          <w:szCs w:val="24"/>
        </w:rPr>
        <w:t xml:space="preserve">he holder of a release permit is </w:t>
      </w:r>
      <w:r w:rsidR="00431964">
        <w:rPr>
          <w:sz w:val="24"/>
          <w:szCs w:val="24"/>
        </w:rPr>
        <w:t>g</w:t>
      </w:r>
      <w:r w:rsidRPr="00CD117F">
        <w:rPr>
          <w:sz w:val="24"/>
          <w:szCs w:val="24"/>
        </w:rPr>
        <w:t>enerally required to supplement this information with</w:t>
      </w:r>
      <w:r>
        <w:rPr>
          <w:sz w:val="24"/>
          <w:szCs w:val="24"/>
        </w:rPr>
        <w:t xml:space="preserve"> reports to BRS</w:t>
      </w:r>
      <w:r w:rsidRPr="00CD117F">
        <w:rPr>
          <w:sz w:val="24"/>
          <w:szCs w:val="24"/>
        </w:rPr>
        <w:t xml:space="preserve"> on performance characteristics of the regulated article over time in order to determine the stability o</w:t>
      </w:r>
      <w:r>
        <w:rPr>
          <w:sz w:val="24"/>
          <w:szCs w:val="24"/>
        </w:rPr>
        <w:t>f the genetic modifications.</w:t>
      </w:r>
    </w:p>
    <w:p w:rsidR="00D20A02" w:rsidP="00C77923" w:rsidRDefault="00D20A02">
      <w:pPr>
        <w:rPr>
          <w:b/>
          <w:sz w:val="24"/>
          <w:szCs w:val="24"/>
        </w:rPr>
      </w:pPr>
    </w:p>
    <w:p w:rsidR="00A64421" w:rsidP="00C77923" w:rsidRDefault="00A64421">
      <w:pPr>
        <w:rPr>
          <w:b/>
          <w:sz w:val="24"/>
          <w:szCs w:val="24"/>
        </w:rPr>
      </w:pPr>
    </w:p>
    <w:p w:rsidRPr="001E3DCA" w:rsidR="001E3DCA" w:rsidP="001E3DCA" w:rsidRDefault="00C77923">
      <w:pPr>
        <w:rPr>
          <w:b/>
          <w:sz w:val="24"/>
          <w:szCs w:val="24"/>
          <w:u w:val="single"/>
        </w:rPr>
      </w:pPr>
      <w:r w:rsidRPr="001E3DCA">
        <w:rPr>
          <w:b/>
          <w:sz w:val="24"/>
          <w:szCs w:val="24"/>
          <w:u w:val="single"/>
        </w:rPr>
        <w:lastRenderedPageBreak/>
        <w:t>Notification of Certain Occurences</w:t>
      </w:r>
      <w:r w:rsidRPr="001E3DCA" w:rsidR="001E3DCA">
        <w:rPr>
          <w:b/>
          <w:sz w:val="24"/>
          <w:szCs w:val="24"/>
          <w:u w:val="single"/>
        </w:rPr>
        <w:t>; (</w:t>
      </w:r>
      <w:r w:rsidR="001E3DCA">
        <w:rPr>
          <w:b/>
          <w:sz w:val="24"/>
          <w:szCs w:val="24"/>
          <w:u w:val="single"/>
        </w:rPr>
        <w:t xml:space="preserve">7 CFR </w:t>
      </w:r>
      <w:r w:rsidRPr="001E3DCA" w:rsidR="001E3DCA">
        <w:rPr>
          <w:b/>
          <w:sz w:val="24"/>
          <w:szCs w:val="24"/>
          <w:u w:val="single"/>
        </w:rPr>
        <w:t>340.4(f)(10)); (Private Sector; State, Local, Tribal Gov’t)</w:t>
      </w:r>
    </w:p>
    <w:p w:rsidRPr="00C509A9" w:rsidR="00C77923" w:rsidP="00C77923" w:rsidRDefault="00C77923">
      <w:pPr>
        <w:autoSpaceDE w:val="0"/>
        <w:autoSpaceDN w:val="0"/>
        <w:adjustRightInd w:val="0"/>
        <w:spacing w:line="240" w:lineRule="atLeast"/>
        <w:rPr>
          <w:color w:val="000000"/>
          <w:sz w:val="24"/>
          <w:szCs w:val="24"/>
        </w:rPr>
      </w:pPr>
      <w:r w:rsidRPr="00C509A9">
        <w:rPr>
          <w:color w:val="000000"/>
          <w:sz w:val="24"/>
          <w:szCs w:val="24"/>
        </w:rPr>
        <w:t xml:space="preserve">APHIS </w:t>
      </w:r>
      <w:r>
        <w:rPr>
          <w:color w:val="000000"/>
          <w:sz w:val="24"/>
          <w:szCs w:val="24"/>
        </w:rPr>
        <w:t>will</w:t>
      </w:r>
      <w:r w:rsidRPr="00C509A9">
        <w:rPr>
          <w:color w:val="000000"/>
          <w:sz w:val="24"/>
          <w:szCs w:val="24"/>
        </w:rPr>
        <w:t xml:space="preserve"> be notified within the time periods and manner as specified below, in the event of the following occurrences:</w:t>
      </w:r>
    </w:p>
    <w:p w:rsidRPr="00C509A9" w:rsidR="00C77923" w:rsidP="00C77923" w:rsidRDefault="00C77923">
      <w:pPr>
        <w:autoSpaceDE w:val="0"/>
        <w:autoSpaceDN w:val="0"/>
        <w:adjustRightInd w:val="0"/>
        <w:spacing w:line="240" w:lineRule="atLeast"/>
        <w:rPr>
          <w:color w:val="000000"/>
          <w:sz w:val="24"/>
          <w:szCs w:val="24"/>
        </w:rPr>
      </w:pPr>
    </w:p>
    <w:p w:rsidRPr="00C509A9" w:rsidR="00C77923" w:rsidP="00C77923" w:rsidRDefault="00C77923">
      <w:pPr>
        <w:autoSpaceDE w:val="0"/>
        <w:autoSpaceDN w:val="0"/>
        <w:adjustRightInd w:val="0"/>
        <w:spacing w:line="240" w:lineRule="atLeast"/>
        <w:rPr>
          <w:color w:val="000000"/>
          <w:sz w:val="24"/>
          <w:szCs w:val="24"/>
        </w:rPr>
      </w:pPr>
      <w:r w:rsidRPr="00C509A9">
        <w:rPr>
          <w:color w:val="000000"/>
          <w:sz w:val="24"/>
          <w:szCs w:val="24"/>
        </w:rPr>
        <w:t>1.  Orally notified immediately upon discovery and notif</w:t>
      </w:r>
      <w:r>
        <w:rPr>
          <w:color w:val="000000"/>
          <w:sz w:val="24"/>
          <w:szCs w:val="24"/>
        </w:rPr>
        <w:t>ied</w:t>
      </w:r>
      <w:r w:rsidRPr="00C509A9">
        <w:rPr>
          <w:color w:val="000000"/>
          <w:sz w:val="24"/>
          <w:szCs w:val="24"/>
        </w:rPr>
        <w:t xml:space="preserve"> in writing within 24 hours in the event of any accidental or unauthorized release of the related article;</w:t>
      </w:r>
    </w:p>
    <w:p w:rsidRPr="00C509A9" w:rsidR="00C77923" w:rsidP="00C77923" w:rsidRDefault="00C77923">
      <w:pPr>
        <w:autoSpaceDE w:val="0"/>
        <w:autoSpaceDN w:val="0"/>
        <w:adjustRightInd w:val="0"/>
        <w:spacing w:line="240" w:lineRule="atLeast"/>
        <w:rPr>
          <w:color w:val="000000"/>
          <w:sz w:val="24"/>
          <w:szCs w:val="24"/>
        </w:rPr>
      </w:pPr>
    </w:p>
    <w:p w:rsidR="00C77923" w:rsidP="00C77923" w:rsidRDefault="00C77923">
      <w:pPr>
        <w:rPr>
          <w:color w:val="000000"/>
          <w:sz w:val="24"/>
          <w:szCs w:val="24"/>
        </w:rPr>
      </w:pPr>
      <w:r w:rsidRPr="00C509A9">
        <w:rPr>
          <w:color w:val="000000"/>
          <w:sz w:val="24"/>
          <w:szCs w:val="24"/>
        </w:rPr>
        <w:t>2.  In writing</w:t>
      </w:r>
      <w:r>
        <w:rPr>
          <w:color w:val="000000"/>
          <w:sz w:val="24"/>
          <w:szCs w:val="24"/>
        </w:rPr>
        <w:t>, as soon</w:t>
      </w:r>
      <w:r w:rsidRPr="00C509A9">
        <w:rPr>
          <w:color w:val="000000"/>
          <w:sz w:val="24"/>
          <w:szCs w:val="24"/>
        </w:rPr>
        <w:t xml:space="preserve"> as possible</w:t>
      </w:r>
      <w:r>
        <w:rPr>
          <w:color w:val="000000"/>
          <w:sz w:val="24"/>
          <w:szCs w:val="24"/>
        </w:rPr>
        <w:t>,</w:t>
      </w:r>
      <w:r w:rsidRPr="00C509A9">
        <w:rPr>
          <w:color w:val="000000"/>
          <w:sz w:val="24"/>
          <w:szCs w:val="24"/>
        </w:rPr>
        <w:t xml:space="preserve"> but not later than within 5 working days if the regulated article or associated lost organism is found to have characteristics substantially different from those listed in the application for a permit or suffers any unusual occurrence (excessive mortality or morbidity, or unanticipated effect on non-target organisms).</w:t>
      </w:r>
    </w:p>
    <w:p w:rsidR="00C77923" w:rsidP="00C77923" w:rsidRDefault="00C77923">
      <w:pPr>
        <w:rPr>
          <w:b/>
          <w:sz w:val="24"/>
          <w:szCs w:val="24"/>
        </w:rPr>
      </w:pPr>
    </w:p>
    <w:p w:rsidRPr="001E3DCA" w:rsidR="001E3DCA" w:rsidP="001E3DCA" w:rsidRDefault="00C77923">
      <w:pPr>
        <w:rPr>
          <w:b/>
          <w:sz w:val="24"/>
          <w:szCs w:val="24"/>
          <w:u w:val="single"/>
        </w:rPr>
      </w:pPr>
      <w:r w:rsidRPr="001E3DCA">
        <w:rPr>
          <w:b/>
          <w:sz w:val="24"/>
          <w:szCs w:val="24"/>
          <w:u w:val="single"/>
        </w:rPr>
        <w:t>Appeal o</w:t>
      </w:r>
      <w:r w:rsidR="00BF6BA8">
        <w:rPr>
          <w:b/>
          <w:sz w:val="24"/>
          <w:szCs w:val="24"/>
          <w:u w:val="single"/>
        </w:rPr>
        <w:t>r</w:t>
      </w:r>
      <w:r w:rsidRPr="001E3DCA">
        <w:rPr>
          <w:b/>
          <w:sz w:val="24"/>
          <w:szCs w:val="24"/>
          <w:u w:val="single"/>
        </w:rPr>
        <w:t xml:space="preserve"> Withdrawal of Permit</w:t>
      </w:r>
      <w:r w:rsidRPr="001E3DCA" w:rsidR="001E3DCA">
        <w:rPr>
          <w:b/>
          <w:sz w:val="24"/>
          <w:szCs w:val="24"/>
          <w:u w:val="single"/>
        </w:rPr>
        <w:t>; (</w:t>
      </w:r>
      <w:r w:rsidR="001E3DCA">
        <w:rPr>
          <w:b/>
          <w:sz w:val="24"/>
          <w:szCs w:val="24"/>
          <w:u w:val="single"/>
        </w:rPr>
        <w:t xml:space="preserve">7 CFR </w:t>
      </w:r>
      <w:r w:rsidRPr="001E3DCA" w:rsidR="001E3DCA">
        <w:rPr>
          <w:b/>
          <w:sz w:val="24"/>
          <w:szCs w:val="24"/>
          <w:u w:val="single"/>
        </w:rPr>
        <w:t>340.4(g)); (Private Sector; State, Local, Tribal Gov’t)</w:t>
      </w:r>
    </w:p>
    <w:p w:rsidR="00C77923" w:rsidP="00C77923" w:rsidRDefault="00C77923">
      <w:pPr>
        <w:rPr>
          <w:b/>
          <w:sz w:val="24"/>
          <w:szCs w:val="24"/>
        </w:rPr>
      </w:pPr>
      <w:r w:rsidRPr="00CD117F">
        <w:rPr>
          <w:sz w:val="24"/>
          <w:szCs w:val="24"/>
        </w:rPr>
        <w:t>If a permit should be withdrawn because of a threat to plant health or any other reason, a permit holder may appeal the withdrawal of the permit in writing.  Such actions occur infrequently.</w:t>
      </w:r>
    </w:p>
    <w:p w:rsidR="00C77923" w:rsidP="00C77923" w:rsidRDefault="00C77923">
      <w:pPr>
        <w:rPr>
          <w:b/>
          <w:sz w:val="24"/>
          <w:szCs w:val="24"/>
        </w:rPr>
      </w:pPr>
    </w:p>
    <w:p w:rsidRPr="001E3DCA" w:rsidR="001E3DCA" w:rsidP="001E3DCA" w:rsidRDefault="00C77923">
      <w:pPr>
        <w:rPr>
          <w:b/>
          <w:sz w:val="24"/>
          <w:szCs w:val="24"/>
          <w:u w:val="single"/>
        </w:rPr>
      </w:pPr>
      <w:r w:rsidRPr="001E3DCA">
        <w:rPr>
          <w:b/>
          <w:sz w:val="24"/>
          <w:szCs w:val="24"/>
          <w:u w:val="single"/>
        </w:rPr>
        <w:t>Petition to Amend List of Organisms</w:t>
      </w:r>
      <w:r w:rsidRPr="001E3DCA" w:rsidR="001E3DCA">
        <w:rPr>
          <w:b/>
          <w:sz w:val="24"/>
          <w:szCs w:val="24"/>
          <w:u w:val="single"/>
        </w:rPr>
        <w:t>; (7 CFR 340.5); (Private Sector)</w:t>
      </w:r>
    </w:p>
    <w:p w:rsidR="00C77923" w:rsidP="00C77923" w:rsidRDefault="00C77923">
      <w:pPr>
        <w:rPr>
          <w:sz w:val="24"/>
          <w:szCs w:val="24"/>
        </w:rPr>
      </w:pPr>
      <w:r>
        <w:rPr>
          <w:sz w:val="24"/>
          <w:szCs w:val="24"/>
        </w:rPr>
        <w:t xml:space="preserve">Any person may submit to the Administrator a petition to amend the list of organisms in 7 CFR </w:t>
      </w:r>
    </w:p>
    <w:p w:rsidR="00C77923" w:rsidP="00C77923" w:rsidRDefault="00C77923">
      <w:pPr>
        <w:rPr>
          <w:sz w:val="24"/>
          <w:szCs w:val="24"/>
        </w:rPr>
      </w:pPr>
      <w:r>
        <w:rPr>
          <w:sz w:val="24"/>
          <w:szCs w:val="24"/>
        </w:rPr>
        <w:t>§ 340.2 by adding or deleting any genus, species, or subspecies.  A petition to amend the list of organisms will be submitted in accordance with the procedures and format specified by this section.</w:t>
      </w:r>
    </w:p>
    <w:p w:rsidRPr="00BE0746" w:rsidR="00C77923" w:rsidP="00C77923" w:rsidRDefault="00C77923">
      <w:pPr>
        <w:rPr>
          <w:sz w:val="24"/>
          <w:szCs w:val="24"/>
        </w:rPr>
      </w:pPr>
      <w:r>
        <w:rPr>
          <w:sz w:val="24"/>
          <w:szCs w:val="24"/>
        </w:rPr>
        <w:t xml:space="preserve">                                                </w:t>
      </w:r>
    </w:p>
    <w:p w:rsidR="00BF6BA8" w:rsidP="001E3DCA" w:rsidRDefault="00C77923">
      <w:pPr>
        <w:rPr>
          <w:b/>
          <w:sz w:val="24"/>
          <w:szCs w:val="24"/>
          <w:u w:val="single"/>
        </w:rPr>
      </w:pPr>
      <w:r w:rsidRPr="001E3DCA">
        <w:rPr>
          <w:b/>
          <w:sz w:val="24"/>
          <w:szCs w:val="24"/>
          <w:u w:val="single"/>
        </w:rPr>
        <w:t>Marking Identi</w:t>
      </w:r>
      <w:r w:rsidR="00BF6BA8">
        <w:rPr>
          <w:b/>
          <w:sz w:val="24"/>
          <w:szCs w:val="24"/>
          <w:u w:val="single"/>
        </w:rPr>
        <w:t>ty (Importation Interstate and Labels for Permits)</w:t>
      </w:r>
      <w:r w:rsidRPr="001E3DCA">
        <w:rPr>
          <w:b/>
          <w:sz w:val="24"/>
          <w:szCs w:val="24"/>
          <w:u w:val="single"/>
        </w:rPr>
        <w:t xml:space="preserve"> (APHIS 2050-2054)</w:t>
      </w:r>
      <w:r w:rsidRPr="001E3DCA" w:rsidR="001E3DCA">
        <w:rPr>
          <w:b/>
          <w:sz w:val="24"/>
          <w:szCs w:val="24"/>
          <w:u w:val="single"/>
        </w:rPr>
        <w:t>;</w:t>
      </w:r>
    </w:p>
    <w:p w:rsidRPr="001E3DCA" w:rsidR="001E3DCA" w:rsidP="001E3DCA" w:rsidRDefault="001E3DCA">
      <w:pPr>
        <w:rPr>
          <w:b/>
          <w:sz w:val="24"/>
          <w:szCs w:val="24"/>
          <w:u w:val="single"/>
        </w:rPr>
      </w:pPr>
      <w:r w:rsidRPr="001E3DCA">
        <w:rPr>
          <w:b/>
          <w:sz w:val="24"/>
          <w:szCs w:val="24"/>
          <w:u w:val="single"/>
        </w:rPr>
        <w:t>(7 CFR 340.4(f)(6) and 340.7); (Private Sector)</w:t>
      </w:r>
    </w:p>
    <w:p w:rsidRPr="00BE0746" w:rsidR="00C77923" w:rsidP="00C77923" w:rsidRDefault="00C77923">
      <w:pPr>
        <w:rPr>
          <w:sz w:val="24"/>
          <w:szCs w:val="24"/>
        </w:rPr>
      </w:pPr>
      <w:r>
        <w:rPr>
          <w:sz w:val="24"/>
          <w:szCs w:val="24"/>
        </w:rPr>
        <w:t>The movement provisions under</w:t>
      </w:r>
      <w:r w:rsidRPr="00BE0746">
        <w:rPr>
          <w:sz w:val="24"/>
          <w:szCs w:val="24"/>
        </w:rPr>
        <w:t xml:space="preserve"> 7 CFR</w:t>
      </w:r>
      <w:r>
        <w:rPr>
          <w:sz w:val="24"/>
          <w:szCs w:val="24"/>
        </w:rPr>
        <w:t xml:space="preserve"> § 340 are administered by BRS</w:t>
      </w:r>
      <w:r w:rsidRPr="00BE0746">
        <w:rPr>
          <w:sz w:val="24"/>
          <w:szCs w:val="24"/>
        </w:rPr>
        <w:t xml:space="preserve"> through the use of APHIS </w:t>
      </w:r>
      <w:r w:rsidR="00431964">
        <w:rPr>
          <w:sz w:val="24"/>
          <w:szCs w:val="24"/>
        </w:rPr>
        <w:t>L</w:t>
      </w:r>
      <w:r w:rsidRPr="00BE0746">
        <w:rPr>
          <w:sz w:val="24"/>
          <w:szCs w:val="24"/>
        </w:rPr>
        <w:t>abels 2050</w:t>
      </w:r>
      <w:r>
        <w:rPr>
          <w:sz w:val="24"/>
          <w:szCs w:val="24"/>
        </w:rPr>
        <w:t xml:space="preserve"> through</w:t>
      </w:r>
      <w:r w:rsidR="00431964">
        <w:rPr>
          <w:sz w:val="24"/>
          <w:szCs w:val="24"/>
        </w:rPr>
        <w:t xml:space="preserve"> </w:t>
      </w:r>
      <w:r w:rsidRPr="00BE0746">
        <w:rPr>
          <w:sz w:val="24"/>
          <w:szCs w:val="24"/>
        </w:rPr>
        <w:t xml:space="preserve">2054.  </w:t>
      </w:r>
      <w:r w:rsidR="00431964">
        <w:rPr>
          <w:sz w:val="24"/>
          <w:szCs w:val="24"/>
        </w:rPr>
        <w:t>L</w:t>
      </w:r>
      <w:r w:rsidRPr="00BE0746">
        <w:rPr>
          <w:sz w:val="24"/>
          <w:szCs w:val="24"/>
        </w:rPr>
        <w:t xml:space="preserve">abel 2050 facilitates the interstate movement of genetically engineered organisms and identifies the contents of the container, and </w:t>
      </w:r>
      <w:r w:rsidR="00431964">
        <w:rPr>
          <w:sz w:val="24"/>
          <w:szCs w:val="24"/>
        </w:rPr>
        <w:t>L</w:t>
      </w:r>
      <w:r w:rsidRPr="00BE0746">
        <w:rPr>
          <w:sz w:val="24"/>
          <w:szCs w:val="24"/>
        </w:rPr>
        <w:t>abels 2051</w:t>
      </w:r>
      <w:r>
        <w:rPr>
          <w:sz w:val="24"/>
          <w:szCs w:val="24"/>
        </w:rPr>
        <w:t xml:space="preserve"> through</w:t>
      </w:r>
      <w:r w:rsidR="00431964">
        <w:rPr>
          <w:sz w:val="24"/>
          <w:szCs w:val="24"/>
        </w:rPr>
        <w:t xml:space="preserve"> </w:t>
      </w:r>
      <w:r w:rsidRPr="00BE0746">
        <w:rPr>
          <w:sz w:val="24"/>
          <w:szCs w:val="24"/>
        </w:rPr>
        <w:t xml:space="preserve">2054 identify the designated port of entry into the United States for such organisms. </w:t>
      </w:r>
    </w:p>
    <w:p w:rsidR="00C77923" w:rsidP="00C77923" w:rsidRDefault="00C77923">
      <w:pPr>
        <w:rPr>
          <w:sz w:val="24"/>
          <w:szCs w:val="24"/>
        </w:rPr>
      </w:pPr>
    </w:p>
    <w:p w:rsidRPr="001E3DCA" w:rsidR="001E3DCA" w:rsidP="001E3DCA" w:rsidRDefault="00C77923">
      <w:pPr>
        <w:rPr>
          <w:b/>
          <w:sz w:val="24"/>
          <w:szCs w:val="24"/>
          <w:u w:val="single"/>
        </w:rPr>
      </w:pPr>
      <w:r w:rsidRPr="001E3DCA">
        <w:rPr>
          <w:b/>
          <w:sz w:val="24"/>
          <w:szCs w:val="24"/>
          <w:u w:val="single"/>
        </w:rPr>
        <w:t>Petition for Nonregulated Status</w:t>
      </w:r>
      <w:r w:rsidRPr="001E3DCA" w:rsidR="001E3DCA">
        <w:rPr>
          <w:b/>
          <w:sz w:val="24"/>
          <w:szCs w:val="24"/>
          <w:u w:val="single"/>
        </w:rPr>
        <w:t>; 7 CFR 340.6(a-d)); (Private Sector; State, Local, Tribal Gov’t)</w:t>
      </w:r>
    </w:p>
    <w:p w:rsidRPr="00BE0746" w:rsidR="00C77923" w:rsidP="00C77923" w:rsidRDefault="00431964">
      <w:pPr>
        <w:rPr>
          <w:sz w:val="24"/>
          <w:szCs w:val="24"/>
        </w:rPr>
      </w:pPr>
      <w:r>
        <w:rPr>
          <w:sz w:val="24"/>
          <w:szCs w:val="24"/>
        </w:rPr>
        <w:t xml:space="preserve">Any petitioner may submit </w:t>
      </w:r>
      <w:r w:rsidRPr="00BE0746" w:rsidR="00C77923">
        <w:rPr>
          <w:sz w:val="24"/>
          <w:szCs w:val="24"/>
        </w:rPr>
        <w:t xml:space="preserve">information and data to support a determination issued by </w:t>
      </w:r>
      <w:r w:rsidR="00C77923">
        <w:rPr>
          <w:sz w:val="24"/>
          <w:szCs w:val="24"/>
        </w:rPr>
        <w:t>A</w:t>
      </w:r>
      <w:r w:rsidRPr="00BE0746" w:rsidR="00C77923">
        <w:rPr>
          <w:sz w:val="24"/>
          <w:szCs w:val="24"/>
        </w:rPr>
        <w:t>PHIS that the regulated article is not a plant pest and should no long</w:t>
      </w:r>
      <w:r w:rsidR="00C77923">
        <w:rPr>
          <w:sz w:val="24"/>
          <w:szCs w:val="24"/>
        </w:rPr>
        <w:t>er be regulated under</w:t>
      </w:r>
      <w:r>
        <w:rPr>
          <w:sz w:val="24"/>
          <w:szCs w:val="24"/>
        </w:rPr>
        <w:t xml:space="preserve"> </w:t>
      </w:r>
      <w:r w:rsidR="00C77923">
        <w:rPr>
          <w:sz w:val="24"/>
          <w:szCs w:val="24"/>
        </w:rPr>
        <w:t>7 CFR §</w:t>
      </w:r>
      <w:r w:rsidRPr="00BE0746" w:rsidR="00C77923">
        <w:rPr>
          <w:sz w:val="24"/>
          <w:szCs w:val="24"/>
        </w:rPr>
        <w:t xml:space="preserve"> 340. </w:t>
      </w:r>
    </w:p>
    <w:p w:rsidRPr="00AB0693" w:rsidR="00C77923" w:rsidP="00C77923" w:rsidRDefault="00C77923">
      <w:pPr>
        <w:autoSpaceDE w:val="0"/>
        <w:autoSpaceDN w:val="0"/>
        <w:adjustRightInd w:val="0"/>
        <w:rPr>
          <w:color w:val="000000"/>
          <w:sz w:val="24"/>
          <w:szCs w:val="24"/>
        </w:rPr>
      </w:pPr>
    </w:p>
    <w:p w:rsidRPr="00C6604E" w:rsidR="00C77923" w:rsidP="00C77923" w:rsidRDefault="00C77923">
      <w:pPr>
        <w:rPr>
          <w:sz w:val="24"/>
          <w:szCs w:val="24"/>
        </w:rPr>
      </w:pPr>
      <w:r w:rsidRPr="00C6604E">
        <w:rPr>
          <w:sz w:val="24"/>
          <w:szCs w:val="24"/>
        </w:rPr>
        <w:t xml:space="preserve">After a genetically engineered crop has been field-tested extensively and the developer/applicant can show that the product does not pose a plant pest risk and can safely be removed from APHIS BRS oversight, the developer may file a petition for deregulation, or nonregulatory status.  APHIS BRS reviews the petition for completeness and often asks for additional data.  Once sufficient data have been received, the petition is deemed complete.  </w:t>
      </w:r>
    </w:p>
    <w:p w:rsidRPr="00C6604E" w:rsidR="00C77923" w:rsidP="00C77923" w:rsidRDefault="00C77923">
      <w:pPr>
        <w:rPr>
          <w:sz w:val="24"/>
          <w:szCs w:val="24"/>
        </w:rPr>
      </w:pPr>
    </w:p>
    <w:p w:rsidR="00C77923" w:rsidP="00C77923" w:rsidRDefault="00C77923">
      <w:pPr>
        <w:rPr>
          <w:sz w:val="24"/>
          <w:szCs w:val="24"/>
        </w:rPr>
      </w:pPr>
      <w:r w:rsidRPr="00C6604E">
        <w:rPr>
          <w:sz w:val="24"/>
          <w:szCs w:val="24"/>
        </w:rPr>
        <w:t>The petitioner shall be notified in writing of the Administrator's decision. The decision shall be placed in the public petition file in the offices of APHIS and notice of availability published in the Federal Register.</w:t>
      </w:r>
    </w:p>
    <w:p w:rsidRPr="00C6604E" w:rsidR="00431964" w:rsidP="00C77923" w:rsidRDefault="00431964">
      <w:pPr>
        <w:rPr>
          <w:sz w:val="24"/>
          <w:szCs w:val="24"/>
        </w:rPr>
      </w:pPr>
    </w:p>
    <w:p w:rsidRPr="001E3DCA" w:rsidR="001E3DCA" w:rsidP="001E3DCA" w:rsidRDefault="00C77923">
      <w:pPr>
        <w:rPr>
          <w:b/>
          <w:sz w:val="24"/>
          <w:szCs w:val="24"/>
          <w:u w:val="single"/>
        </w:rPr>
      </w:pPr>
      <w:r w:rsidRPr="001E3DCA">
        <w:rPr>
          <w:b/>
          <w:sz w:val="24"/>
          <w:szCs w:val="24"/>
          <w:u w:val="single"/>
        </w:rPr>
        <w:lastRenderedPageBreak/>
        <w:t>Request for Determination Extension</w:t>
      </w:r>
      <w:r w:rsidRPr="001E3DCA" w:rsidR="001E3DCA">
        <w:rPr>
          <w:b/>
          <w:sz w:val="24"/>
          <w:szCs w:val="24"/>
          <w:u w:val="single"/>
        </w:rPr>
        <w:t>; (7 CFR 340.6(e)); (Private Sector)</w:t>
      </w:r>
    </w:p>
    <w:p w:rsidRPr="00382A3A" w:rsidR="00C77923" w:rsidP="00C77923" w:rsidRDefault="00C77923">
      <w:pPr>
        <w:rPr>
          <w:sz w:val="24"/>
          <w:szCs w:val="24"/>
        </w:rPr>
      </w:pPr>
      <w:r w:rsidRPr="00382A3A">
        <w:rPr>
          <w:sz w:val="24"/>
          <w:szCs w:val="24"/>
        </w:rPr>
        <w:t>The Administrator may determine that a regulated article does not pose a potential for plant pest risk, and should therefore not be regulated under this part, based on the similarity of that organism to an antecedent organism.</w:t>
      </w:r>
    </w:p>
    <w:p w:rsidRPr="00382A3A" w:rsidR="00C77923" w:rsidP="00C77923" w:rsidRDefault="00C77923">
      <w:pPr>
        <w:rPr>
          <w:sz w:val="24"/>
          <w:szCs w:val="24"/>
        </w:rPr>
      </w:pPr>
    </w:p>
    <w:p w:rsidRPr="00382A3A" w:rsidR="00C77923" w:rsidP="00C77923" w:rsidRDefault="00C77923">
      <w:pPr>
        <w:rPr>
          <w:sz w:val="24"/>
          <w:szCs w:val="24"/>
        </w:rPr>
      </w:pPr>
      <w:r w:rsidRPr="00382A3A">
        <w:rPr>
          <w:sz w:val="24"/>
          <w:szCs w:val="24"/>
        </w:rPr>
        <w:t xml:space="preserve"> A person may request that APHIS extend a determination of nonregulated status to other organisms. Such a request </w:t>
      </w:r>
      <w:r>
        <w:rPr>
          <w:sz w:val="24"/>
          <w:szCs w:val="24"/>
        </w:rPr>
        <w:t>will</w:t>
      </w:r>
      <w:r w:rsidRPr="00382A3A">
        <w:rPr>
          <w:sz w:val="24"/>
          <w:szCs w:val="24"/>
        </w:rPr>
        <w:t xml:space="preserve"> include information to establish the similarity of the antecedent organism and the regulated articles in question.</w:t>
      </w:r>
    </w:p>
    <w:p w:rsidRPr="00382A3A" w:rsidR="00C77923" w:rsidP="00C77923" w:rsidRDefault="00C77923">
      <w:pPr>
        <w:rPr>
          <w:sz w:val="24"/>
          <w:szCs w:val="24"/>
        </w:rPr>
      </w:pPr>
    </w:p>
    <w:p w:rsidRPr="00382A3A" w:rsidR="00C77923" w:rsidP="00C77923" w:rsidRDefault="00C77923">
      <w:pPr>
        <w:rPr>
          <w:sz w:val="24"/>
          <w:szCs w:val="24"/>
        </w:rPr>
      </w:pPr>
      <w:r w:rsidRPr="00382A3A">
        <w:rPr>
          <w:sz w:val="24"/>
          <w:szCs w:val="24"/>
        </w:rPr>
        <w:t xml:space="preserve"> APHIS will announce in the Federal Register all preliminary decisions to extend determinations of nonregulated status 30 days before the decisions become final and effective. If additional information becomes available that APHIS believes justifies changing its decision, it will issue a revised decision.</w:t>
      </w:r>
    </w:p>
    <w:p w:rsidRPr="00382A3A" w:rsidR="00C77923" w:rsidP="00C77923" w:rsidRDefault="00C77923">
      <w:pPr>
        <w:rPr>
          <w:sz w:val="24"/>
          <w:szCs w:val="24"/>
        </w:rPr>
      </w:pPr>
    </w:p>
    <w:p w:rsidRPr="00382A3A" w:rsidR="00C77923" w:rsidP="00C77923" w:rsidRDefault="00C77923">
      <w:pPr>
        <w:rPr>
          <w:sz w:val="24"/>
          <w:szCs w:val="24"/>
        </w:rPr>
      </w:pPr>
      <w:r w:rsidRPr="00382A3A">
        <w:rPr>
          <w:sz w:val="24"/>
          <w:szCs w:val="24"/>
        </w:rPr>
        <w:t xml:space="preserve"> If a request to APHIS to extend a determination of nonregulated status under this part is denied, APHIS will inform the submitter of that request of the reasons for denial. The submitter may submit a modified request or a separate petition for determination of</w:t>
      </w:r>
      <w:r>
        <w:rPr>
          <w:sz w:val="24"/>
          <w:szCs w:val="24"/>
        </w:rPr>
        <w:t xml:space="preserve"> </w:t>
      </w:r>
      <w:r w:rsidRPr="00382A3A">
        <w:rPr>
          <w:sz w:val="24"/>
          <w:szCs w:val="24"/>
        </w:rPr>
        <w:t>nonregulated status without prejudice.</w:t>
      </w:r>
    </w:p>
    <w:p w:rsidR="00C77923" w:rsidP="00C77923" w:rsidRDefault="00C77923"/>
    <w:p w:rsidRPr="001E3DCA" w:rsidR="001E3DCA" w:rsidP="001E3DCA" w:rsidRDefault="00C77923">
      <w:pPr>
        <w:rPr>
          <w:b/>
          <w:sz w:val="24"/>
          <w:szCs w:val="24"/>
          <w:u w:val="single"/>
        </w:rPr>
      </w:pPr>
      <w:r w:rsidRPr="001E3DCA">
        <w:rPr>
          <w:b/>
          <w:sz w:val="24"/>
          <w:szCs w:val="24"/>
          <w:u w:val="single"/>
        </w:rPr>
        <w:t>Appeal of Denial of Petition</w:t>
      </w:r>
      <w:r w:rsidRPr="001E3DCA" w:rsidR="001E3DCA">
        <w:rPr>
          <w:b/>
          <w:sz w:val="24"/>
          <w:szCs w:val="24"/>
          <w:u w:val="single"/>
        </w:rPr>
        <w:t>; (7 CFR 340.6(e)); (Private Sector)</w:t>
      </w:r>
    </w:p>
    <w:p w:rsidRPr="00C509A9" w:rsidR="00C77923" w:rsidP="00C77923" w:rsidRDefault="00C77923">
      <w:pPr>
        <w:rPr>
          <w:b/>
          <w:sz w:val="24"/>
          <w:szCs w:val="24"/>
        </w:rPr>
      </w:pPr>
      <w:r w:rsidRPr="00C509A9">
        <w:rPr>
          <w:color w:val="000000"/>
          <w:sz w:val="24"/>
          <w:szCs w:val="24"/>
        </w:rPr>
        <w:t xml:space="preserve">The Administrator's written notification of denial of a petition shall briefly set forth the reason for such denial.  The written notification </w:t>
      </w:r>
      <w:r>
        <w:rPr>
          <w:color w:val="000000"/>
          <w:sz w:val="24"/>
          <w:szCs w:val="24"/>
        </w:rPr>
        <w:t>will</w:t>
      </w:r>
      <w:r w:rsidRPr="00C509A9">
        <w:rPr>
          <w:color w:val="000000"/>
          <w:sz w:val="24"/>
          <w:szCs w:val="24"/>
        </w:rPr>
        <w:t xml:space="preserve"> be sent by certified mail.  Any persons whose petition has been denied may appeal the determination in writing to the Administrator within 10 days from receipt of the written notification of denial.</w:t>
      </w:r>
    </w:p>
    <w:p w:rsidR="00C77923" w:rsidP="00C77923" w:rsidRDefault="00C77923">
      <w:pPr>
        <w:rPr>
          <w:b/>
          <w:sz w:val="24"/>
          <w:szCs w:val="24"/>
        </w:rPr>
      </w:pPr>
    </w:p>
    <w:p w:rsidRPr="001E3DCA" w:rsidR="001E3DCA" w:rsidP="001E3DCA" w:rsidRDefault="00C77923">
      <w:pPr>
        <w:rPr>
          <w:b/>
          <w:sz w:val="24"/>
          <w:szCs w:val="24"/>
          <w:u w:val="single"/>
        </w:rPr>
      </w:pPr>
      <w:r w:rsidRPr="001E3DCA">
        <w:rPr>
          <w:b/>
          <w:sz w:val="24"/>
          <w:szCs w:val="24"/>
          <w:u w:val="single"/>
        </w:rPr>
        <w:t>Submission of Field Test Reports</w:t>
      </w:r>
      <w:r w:rsidR="00402187">
        <w:rPr>
          <w:b/>
          <w:sz w:val="24"/>
          <w:szCs w:val="24"/>
          <w:u w:val="single"/>
        </w:rPr>
        <w:t xml:space="preserve"> (Notifications)</w:t>
      </w:r>
      <w:r w:rsidRPr="001E3DCA" w:rsidR="001E3DCA">
        <w:rPr>
          <w:b/>
          <w:sz w:val="24"/>
          <w:szCs w:val="24"/>
          <w:u w:val="single"/>
        </w:rPr>
        <w:t>; (7 CFR 340.3(d)(4)); (Private Sector; State, Local, Tribal Gov’t)</w:t>
      </w:r>
    </w:p>
    <w:p w:rsidRPr="00584898" w:rsidR="00C77923" w:rsidP="00C77923" w:rsidRDefault="00C77923">
      <w:pPr>
        <w:rPr>
          <w:sz w:val="24"/>
          <w:szCs w:val="24"/>
        </w:rPr>
      </w:pPr>
      <w:r>
        <w:rPr>
          <w:sz w:val="24"/>
          <w:szCs w:val="24"/>
        </w:rPr>
        <w:t>T</w:t>
      </w:r>
      <w:r w:rsidRPr="00584898">
        <w:rPr>
          <w:sz w:val="24"/>
          <w:szCs w:val="24"/>
        </w:rPr>
        <w:t xml:space="preserve">he holder of a notification acknowledged by APHIS must </w:t>
      </w:r>
      <w:r>
        <w:rPr>
          <w:sz w:val="24"/>
          <w:szCs w:val="24"/>
        </w:rPr>
        <w:t>provide field test reports to BRS</w:t>
      </w:r>
      <w:r w:rsidRPr="00584898">
        <w:rPr>
          <w:sz w:val="24"/>
          <w:szCs w:val="24"/>
        </w:rPr>
        <w:t xml:space="preserve"> which include an analysis of all deleterious effects on plants, nontarget organisms, or the environment and notification to APHIS of any unusual occurrences.</w:t>
      </w:r>
    </w:p>
    <w:p w:rsidR="00C77923" w:rsidP="00C77923" w:rsidRDefault="00C77923">
      <w:pPr>
        <w:autoSpaceDE w:val="0"/>
        <w:autoSpaceDN w:val="0"/>
        <w:adjustRightInd w:val="0"/>
        <w:rPr>
          <w:b/>
          <w:color w:val="000000"/>
          <w:sz w:val="24"/>
          <w:szCs w:val="24"/>
        </w:rPr>
      </w:pPr>
    </w:p>
    <w:p w:rsidRPr="001E3DCA" w:rsidR="001E3DCA" w:rsidP="001E3DCA" w:rsidRDefault="00C77923">
      <w:pPr>
        <w:rPr>
          <w:b/>
          <w:sz w:val="24"/>
          <w:szCs w:val="24"/>
          <w:u w:val="single"/>
        </w:rPr>
      </w:pPr>
      <w:r w:rsidRPr="001E3DCA">
        <w:rPr>
          <w:b/>
          <w:color w:val="000000"/>
          <w:sz w:val="24"/>
          <w:szCs w:val="24"/>
          <w:u w:val="single"/>
        </w:rPr>
        <w:t>Documentation for Approved Training Program</w:t>
      </w:r>
      <w:r w:rsidRPr="001E3DCA" w:rsidR="001E3DCA">
        <w:rPr>
          <w:b/>
          <w:sz w:val="24"/>
          <w:szCs w:val="24"/>
          <w:u w:val="single"/>
        </w:rPr>
        <w:t>; (7 C</w:t>
      </w:r>
      <w:r w:rsidR="001E3DCA">
        <w:rPr>
          <w:b/>
          <w:sz w:val="24"/>
          <w:szCs w:val="24"/>
          <w:u w:val="single"/>
        </w:rPr>
        <w:t xml:space="preserve">FR 340); </w:t>
      </w:r>
      <w:r w:rsidRPr="001E3DCA" w:rsidR="001E3DCA">
        <w:rPr>
          <w:b/>
          <w:sz w:val="24"/>
          <w:szCs w:val="24"/>
          <w:u w:val="single"/>
        </w:rPr>
        <w:t>(Private Sector; State, Local, Tribal Gov’t)</w:t>
      </w:r>
    </w:p>
    <w:p w:rsidRPr="00CE20C8" w:rsidR="00C77923" w:rsidP="00C77923" w:rsidRDefault="00C77923">
      <w:pPr>
        <w:autoSpaceDE w:val="0"/>
        <w:autoSpaceDN w:val="0"/>
        <w:adjustRightInd w:val="0"/>
        <w:rPr>
          <w:sz w:val="24"/>
          <w:szCs w:val="24"/>
        </w:rPr>
      </w:pPr>
      <w:r w:rsidRPr="00CE20C8">
        <w:rPr>
          <w:sz w:val="24"/>
          <w:szCs w:val="24"/>
        </w:rPr>
        <w:t>Access will be allowed for APHIS and State regulatory officials to inspect facilities and/or the field test site and any records necessary to evaluate compliance. The responsible person shipping a regulated article interstate shall keep records for one year demonstrating that the regulated article arrived at its intended destination.</w:t>
      </w:r>
      <w:r w:rsidRPr="00CE20C8" w:rsidR="00431964">
        <w:rPr>
          <w:sz w:val="24"/>
          <w:szCs w:val="24"/>
        </w:rPr>
        <w:t xml:space="preserve">  [WHERE IS THE TRAINING PROGRAM?]</w:t>
      </w:r>
      <w:r w:rsidRPr="00CE20C8">
        <w:rPr>
          <w:sz w:val="24"/>
          <w:szCs w:val="24"/>
        </w:rPr>
        <w:t xml:space="preserve">  </w:t>
      </w:r>
    </w:p>
    <w:p w:rsidRPr="00CE20C8" w:rsidR="00CE20C8" w:rsidP="00CE20C8" w:rsidRDefault="00CE20C8">
      <w:pPr>
        <w:rPr>
          <w:sz w:val="24"/>
          <w:szCs w:val="24"/>
        </w:rPr>
      </w:pPr>
    </w:p>
    <w:p w:rsidRPr="00CE20C8" w:rsidR="00CE20C8" w:rsidP="00CE20C8" w:rsidRDefault="00CE20C8">
      <w:pPr>
        <w:rPr>
          <w:sz w:val="24"/>
          <w:szCs w:val="24"/>
        </w:rPr>
      </w:pPr>
      <w:r w:rsidRPr="00CE20C8">
        <w:rPr>
          <w:sz w:val="24"/>
          <w:szCs w:val="24"/>
        </w:rPr>
        <w:t xml:space="preserve">The responsible party must keep records of interstate shipping of regulated materials for one year to demonstrate an approved amount of regulated material was shipped from an approved origin location to an approved destination location. The regulated community must train their staff and cooperators on internal processes that must be used for record keeping activities. BRAP reviews and approves training materials when reviewing permit applications for trials for plants that produce pharmaceutical or industrial compounds, but not when reviewing notification and traditional permit applications.  </w:t>
      </w:r>
    </w:p>
    <w:p w:rsidRPr="00CE20C8" w:rsidR="00CE20C8" w:rsidP="00CE20C8" w:rsidRDefault="00CE20C8">
      <w:pPr>
        <w:rPr>
          <w:sz w:val="24"/>
          <w:szCs w:val="24"/>
        </w:rPr>
      </w:pPr>
    </w:p>
    <w:p w:rsidRPr="00CE20C8" w:rsidR="00C77923" w:rsidP="00C77923" w:rsidRDefault="00C77923">
      <w:pPr>
        <w:rPr>
          <w:sz w:val="24"/>
          <w:szCs w:val="24"/>
        </w:rPr>
      </w:pPr>
    </w:p>
    <w:p w:rsidRPr="001E3DCA" w:rsidR="001E3DCA" w:rsidP="001E3DCA" w:rsidRDefault="00C77923">
      <w:pPr>
        <w:rPr>
          <w:b/>
          <w:sz w:val="24"/>
          <w:szCs w:val="24"/>
          <w:u w:val="single"/>
        </w:rPr>
      </w:pPr>
      <w:r w:rsidRPr="001E3DCA">
        <w:rPr>
          <w:b/>
          <w:sz w:val="24"/>
          <w:szCs w:val="24"/>
          <w:u w:val="single"/>
        </w:rPr>
        <w:lastRenderedPageBreak/>
        <w:t>Recordkeeping</w:t>
      </w:r>
      <w:r w:rsidRPr="001E3DCA" w:rsidR="001E3DCA">
        <w:rPr>
          <w:b/>
          <w:sz w:val="24"/>
          <w:szCs w:val="24"/>
          <w:u w:val="single"/>
        </w:rPr>
        <w:t>; (7 CF</w:t>
      </w:r>
      <w:r w:rsidR="001E3DCA">
        <w:rPr>
          <w:b/>
          <w:sz w:val="24"/>
          <w:szCs w:val="24"/>
          <w:u w:val="single"/>
        </w:rPr>
        <w:t xml:space="preserve">R 340); </w:t>
      </w:r>
      <w:r w:rsidRPr="001E3DCA" w:rsidR="001E3DCA">
        <w:rPr>
          <w:b/>
          <w:sz w:val="24"/>
          <w:szCs w:val="24"/>
          <w:u w:val="single"/>
        </w:rPr>
        <w:t>(Private Sector; State, Local, Tribal Gov’t)</w:t>
      </w:r>
    </w:p>
    <w:p w:rsidR="00C77923" w:rsidP="00C77923" w:rsidRDefault="00C77923">
      <w:pPr>
        <w:rPr>
          <w:sz w:val="24"/>
          <w:szCs w:val="24"/>
        </w:rPr>
      </w:pPr>
      <w:r>
        <w:rPr>
          <w:sz w:val="24"/>
          <w:szCs w:val="24"/>
        </w:rPr>
        <w:t xml:space="preserve">Records for documentation for approved training program and the APHIS Form 2000 Permit Application </w:t>
      </w:r>
      <w:r w:rsidRPr="00A12E40" w:rsidR="00A12E40">
        <w:rPr>
          <w:sz w:val="24"/>
          <w:szCs w:val="24"/>
        </w:rPr>
        <w:t xml:space="preserve">(or equivalent) and associated files, notification and associated files, data/monitoring reports, and petition files </w:t>
      </w:r>
      <w:r>
        <w:rPr>
          <w:sz w:val="24"/>
          <w:szCs w:val="24"/>
        </w:rPr>
        <w:t>must be retained for 5 years before being retired to the Federal Records Center and destroyed 30 years after the permit is issued or denied, according to the APHIS retention schedule.</w:t>
      </w:r>
    </w:p>
    <w:p w:rsidR="00C77923" w:rsidP="00C77923" w:rsidRDefault="00C77923">
      <w:pPr>
        <w:rPr>
          <w:sz w:val="24"/>
          <w:szCs w:val="24"/>
        </w:rPr>
      </w:pPr>
    </w:p>
    <w:p w:rsidRPr="001E3DCA" w:rsidR="001E3DCA" w:rsidP="001E3DCA" w:rsidRDefault="00C77923">
      <w:pPr>
        <w:rPr>
          <w:b/>
          <w:sz w:val="24"/>
          <w:szCs w:val="24"/>
          <w:u w:val="single"/>
        </w:rPr>
      </w:pPr>
      <w:r w:rsidRPr="00BF6BA8">
        <w:rPr>
          <w:rStyle w:val="InitialStyle"/>
          <w:rFonts w:ascii="Times New Roman" w:hAnsi="Times New Roman"/>
          <w:b/>
          <w:u w:val="single"/>
        </w:rPr>
        <w:t>State Review</w:t>
      </w:r>
      <w:r w:rsidRPr="00BF6BA8" w:rsidR="001E3DCA">
        <w:rPr>
          <w:rStyle w:val="InitialStyle"/>
          <w:rFonts w:ascii="Times New Roman" w:hAnsi="Times New Roman"/>
          <w:b/>
          <w:u w:val="single"/>
        </w:rPr>
        <w:t>; (7 CFR 340.3)</w:t>
      </w:r>
      <w:r w:rsidRPr="00BF6BA8" w:rsidR="001E3DCA">
        <w:rPr>
          <w:b/>
          <w:sz w:val="24"/>
          <w:szCs w:val="24"/>
          <w:u w:val="single"/>
        </w:rPr>
        <w:t>; (Pr</w:t>
      </w:r>
      <w:r w:rsidRPr="001E3DCA" w:rsidR="001E3DCA">
        <w:rPr>
          <w:b/>
          <w:sz w:val="24"/>
          <w:szCs w:val="24"/>
          <w:u w:val="single"/>
        </w:rPr>
        <w:t>ivate Sector; State, Local, Tribal Gov’t)</w:t>
      </w:r>
    </w:p>
    <w:p w:rsidR="00C77923" w:rsidP="00C77923" w:rsidRDefault="00402187">
      <w:pPr>
        <w:pStyle w:val="DefaultText"/>
        <w:rPr>
          <w:rStyle w:val="InitialStyle"/>
          <w:rFonts w:ascii="Times New Roman" w:hAnsi="Times New Roman"/>
        </w:rPr>
      </w:pPr>
      <w:r>
        <w:rPr>
          <w:rStyle w:val="InitialStyle"/>
          <w:rFonts w:ascii="Times New Roman" w:hAnsi="Times New Roman"/>
        </w:rPr>
        <w:t>Discontinued</w:t>
      </w:r>
    </w:p>
    <w:p w:rsidR="00CE20C8" w:rsidP="00C77923" w:rsidRDefault="00CE20C8">
      <w:pPr>
        <w:pStyle w:val="DefaultText"/>
        <w:rPr>
          <w:rStyle w:val="InitialStyle"/>
          <w:rFonts w:ascii="Times New Roman" w:hAnsi="Times New Roman"/>
        </w:rPr>
      </w:pPr>
    </w:p>
    <w:p w:rsidR="00402187" w:rsidP="00474CD5" w:rsidRDefault="00C77923">
      <w:pPr>
        <w:rPr>
          <w:b/>
          <w:sz w:val="24"/>
          <w:szCs w:val="24"/>
          <w:u w:val="single"/>
        </w:rPr>
      </w:pPr>
      <w:r w:rsidRPr="00D20A02">
        <w:rPr>
          <w:rStyle w:val="InitialStyle"/>
          <w:rFonts w:ascii="Times New Roman" w:hAnsi="Times New Roman"/>
          <w:b/>
          <w:u w:val="single"/>
        </w:rPr>
        <w:t>Nonregulatory Solution:  Am I Regulated Process</w:t>
      </w:r>
      <w:r w:rsidRPr="001E3DCA" w:rsidR="001E3DCA">
        <w:rPr>
          <w:b/>
          <w:sz w:val="24"/>
          <w:szCs w:val="24"/>
          <w:u w:val="single"/>
        </w:rPr>
        <w:t>; (Private Sector; State, Local, Tribal Gov’t)</w:t>
      </w:r>
    </w:p>
    <w:p w:rsidRPr="00563F05" w:rsidR="00474CD5" w:rsidP="00474CD5" w:rsidRDefault="00402187">
      <w:pPr>
        <w:rPr>
          <w:sz w:val="24"/>
          <w:szCs w:val="24"/>
        </w:rPr>
      </w:pPr>
      <w:r w:rsidRPr="00402187">
        <w:rPr>
          <w:b/>
          <w:sz w:val="24"/>
          <w:szCs w:val="24"/>
        </w:rPr>
        <w:t xml:space="preserve">(NEW) </w:t>
      </w:r>
      <w:r w:rsidRPr="00C77923" w:rsidR="00C77923">
        <w:rPr>
          <w:sz w:val="24"/>
          <w:szCs w:val="24"/>
        </w:rPr>
        <w:t>USDA provides oversight of certain genetically engineered (GE) organisms to protect plant health, by regulating the introduction—meaning the importation, interstate movement, and environmental release—of those GE organisms that may pose a pest risk to plants. The definition of a regulated article is found at 7 CFR § 340.1.</w:t>
      </w:r>
      <w:r w:rsidR="00474CD5">
        <w:rPr>
          <w:sz w:val="24"/>
          <w:szCs w:val="24"/>
        </w:rPr>
        <w:t xml:space="preserve">  If a</w:t>
      </w:r>
      <w:r w:rsidRPr="00563F05" w:rsidR="00474CD5">
        <w:rPr>
          <w:sz w:val="24"/>
          <w:szCs w:val="24"/>
        </w:rPr>
        <w:t xml:space="preserve"> GE organism meets the definitio</w:t>
      </w:r>
      <w:r w:rsidR="00474CD5">
        <w:rPr>
          <w:sz w:val="24"/>
          <w:szCs w:val="24"/>
        </w:rPr>
        <w:t>n of a regulated article and a developer</w:t>
      </w:r>
      <w:r w:rsidRPr="00563F05" w:rsidR="00474CD5">
        <w:rPr>
          <w:sz w:val="24"/>
          <w:szCs w:val="24"/>
        </w:rPr>
        <w:t xml:space="preserve"> plan</w:t>
      </w:r>
      <w:r w:rsidR="00474CD5">
        <w:rPr>
          <w:sz w:val="24"/>
          <w:szCs w:val="24"/>
        </w:rPr>
        <w:t>s</w:t>
      </w:r>
      <w:r w:rsidRPr="00563F05" w:rsidR="00474CD5">
        <w:rPr>
          <w:sz w:val="24"/>
          <w:szCs w:val="24"/>
        </w:rPr>
        <w:t xml:space="preserve"> to import it, move it interstate or release it into the environment, </w:t>
      </w:r>
      <w:r w:rsidR="00474CD5">
        <w:rPr>
          <w:sz w:val="24"/>
          <w:szCs w:val="24"/>
        </w:rPr>
        <w:t xml:space="preserve">they </w:t>
      </w:r>
      <w:r w:rsidRPr="00563F05" w:rsidR="00474CD5">
        <w:rPr>
          <w:sz w:val="24"/>
          <w:szCs w:val="24"/>
        </w:rPr>
        <w:t>will need to apply for a permit or notification</w:t>
      </w:r>
      <w:r w:rsidR="00474CD5">
        <w:rPr>
          <w:sz w:val="24"/>
          <w:szCs w:val="24"/>
        </w:rPr>
        <w:t xml:space="preserve"> as described above</w:t>
      </w:r>
      <w:r w:rsidRPr="00563F05" w:rsidR="00474CD5">
        <w:rPr>
          <w:sz w:val="24"/>
          <w:szCs w:val="24"/>
        </w:rPr>
        <w:t>.</w:t>
      </w:r>
    </w:p>
    <w:p w:rsidRPr="00563F05" w:rsidR="00474CD5" w:rsidP="00474CD5" w:rsidRDefault="00474CD5">
      <w:pPr>
        <w:rPr>
          <w:sz w:val="24"/>
          <w:szCs w:val="24"/>
        </w:rPr>
      </w:pPr>
    </w:p>
    <w:p w:rsidR="00474CD5" w:rsidP="00474CD5" w:rsidRDefault="00474CD5">
      <w:pPr>
        <w:rPr>
          <w:sz w:val="24"/>
          <w:szCs w:val="24"/>
          <w:lang w:val="en"/>
        </w:rPr>
      </w:pPr>
      <w:r w:rsidRPr="00563F05">
        <w:rPr>
          <w:sz w:val="24"/>
          <w:szCs w:val="24"/>
        </w:rPr>
        <w:t xml:space="preserve">If </w:t>
      </w:r>
      <w:r>
        <w:rPr>
          <w:sz w:val="24"/>
          <w:szCs w:val="24"/>
        </w:rPr>
        <w:t>a developer is unsure whether a</w:t>
      </w:r>
      <w:r w:rsidRPr="00563F05">
        <w:rPr>
          <w:sz w:val="24"/>
          <w:szCs w:val="24"/>
        </w:rPr>
        <w:t xml:space="preserve"> GE organism meets the definition of a regulated article as described in 7 CFR part 340, prior to proceeding with an application f</w:t>
      </w:r>
      <w:r>
        <w:rPr>
          <w:sz w:val="24"/>
          <w:szCs w:val="24"/>
        </w:rPr>
        <w:t>or a permit or notification, they</w:t>
      </w:r>
      <w:r w:rsidRPr="00563F05">
        <w:rPr>
          <w:sz w:val="24"/>
          <w:szCs w:val="24"/>
        </w:rPr>
        <w:t xml:space="preserve"> may seek a confirmation of regulatory status of the GE organism from USDA</w:t>
      </w:r>
      <w:r>
        <w:rPr>
          <w:sz w:val="24"/>
          <w:szCs w:val="24"/>
        </w:rPr>
        <w:t xml:space="preserve"> under the “Am I Regulated” process available at</w:t>
      </w:r>
      <w:r w:rsidR="009A730D">
        <w:rPr>
          <w:sz w:val="24"/>
          <w:szCs w:val="24"/>
        </w:rPr>
        <w:t xml:space="preserve"> the APHIS BRS website </w:t>
      </w:r>
      <w:r w:rsidR="00431964">
        <w:rPr>
          <w:sz w:val="24"/>
          <w:szCs w:val="24"/>
        </w:rPr>
        <w:t xml:space="preserve"> </w:t>
      </w:r>
      <w:r>
        <w:rPr>
          <w:sz w:val="24"/>
          <w:szCs w:val="24"/>
        </w:rPr>
        <w:t xml:space="preserve">  </w:t>
      </w:r>
      <w:r w:rsidRPr="00BF6BA8">
        <w:rPr>
          <w:sz w:val="24"/>
          <w:szCs w:val="24"/>
        </w:rPr>
        <w:t>https://www.aphis.usda.gov/aphis/ourfocus/biotechnology/am-i-regulated</w:t>
      </w:r>
      <w:r w:rsidRPr="004C0581">
        <w:rPr>
          <w:sz w:val="24"/>
          <w:szCs w:val="24"/>
        </w:rPr>
        <w:t xml:space="preserve">.  Using this link, developers are instructed to </w:t>
      </w:r>
      <w:r w:rsidRPr="004667A7">
        <w:rPr>
          <w:sz w:val="24"/>
          <w:szCs w:val="24"/>
          <w:lang w:val="en"/>
        </w:rPr>
        <w:t xml:space="preserve">follow the instructions in the </w:t>
      </w:r>
      <w:r w:rsidRPr="004667A7">
        <w:rPr>
          <w:rStyle w:val="Emphasis"/>
          <w:sz w:val="24"/>
          <w:szCs w:val="24"/>
          <w:lang w:val="en"/>
        </w:rPr>
        <w:t>Guidance for Submission of Am I Regulated Inquiries</w:t>
      </w:r>
      <w:r w:rsidRPr="004667A7">
        <w:rPr>
          <w:sz w:val="24"/>
          <w:szCs w:val="24"/>
          <w:lang w:val="en"/>
        </w:rPr>
        <w:t>.</w:t>
      </w:r>
      <w:r>
        <w:rPr>
          <w:sz w:val="24"/>
          <w:szCs w:val="24"/>
          <w:lang w:val="en"/>
        </w:rPr>
        <w:t xml:space="preserve">  </w:t>
      </w:r>
      <w:r w:rsidR="009A730D">
        <w:rPr>
          <w:sz w:val="24"/>
          <w:szCs w:val="24"/>
          <w:lang w:val="en"/>
        </w:rPr>
        <w:t>G</w:t>
      </w:r>
      <w:r>
        <w:rPr>
          <w:sz w:val="24"/>
          <w:szCs w:val="24"/>
          <w:lang w:val="en"/>
        </w:rPr>
        <w:t xml:space="preserve">uidance is </w:t>
      </w:r>
      <w:r w:rsidR="009A730D">
        <w:rPr>
          <w:sz w:val="24"/>
          <w:szCs w:val="24"/>
          <w:lang w:val="en"/>
        </w:rPr>
        <w:t xml:space="preserve">at </w:t>
      </w:r>
      <w:r w:rsidRPr="00BF6BA8">
        <w:rPr>
          <w:sz w:val="24"/>
          <w:szCs w:val="24"/>
          <w:lang w:val="en"/>
        </w:rPr>
        <w:t>https://www.aphis.usda.gov/brs/pdf/AIR_Guidance.pdf</w:t>
      </w:r>
    </w:p>
    <w:p w:rsidR="00C77923" w:rsidP="00C77923" w:rsidRDefault="00C77923">
      <w:pPr>
        <w:rPr>
          <w:sz w:val="24"/>
          <w:szCs w:val="24"/>
        </w:rPr>
      </w:pPr>
    </w:p>
    <w:p w:rsidRPr="006B5E0C" w:rsidR="006B5E0C" w:rsidP="006B5E0C" w:rsidRDefault="006B5E0C">
      <w:pPr>
        <w:rPr>
          <w:sz w:val="24"/>
          <w:szCs w:val="24"/>
        </w:rPr>
      </w:pPr>
      <w:r w:rsidRPr="006B5E0C">
        <w:rPr>
          <w:sz w:val="24"/>
          <w:szCs w:val="24"/>
        </w:rPr>
        <w:t>USDA APHIS BRS makes this non regulatory solution transparent to the public through our website by publishing previously reviewed letters of inquiry along with the Agency’s response to the developer.  We make this known through our website link here:  View AIR Letters of Inquiry and APHIS Responses</w:t>
      </w:r>
    </w:p>
    <w:p w:rsidR="003B40ED" w:rsidP="006B5E0C" w:rsidRDefault="003B40ED">
      <w:pPr>
        <w:rPr>
          <w:sz w:val="24"/>
          <w:szCs w:val="24"/>
        </w:rPr>
      </w:pPr>
    </w:p>
    <w:p w:rsidRPr="006B5E0C" w:rsidR="006B5E0C" w:rsidP="006B5E0C" w:rsidRDefault="006B5E0C">
      <w:pPr>
        <w:rPr>
          <w:sz w:val="24"/>
          <w:szCs w:val="24"/>
        </w:rPr>
      </w:pPr>
      <w:r w:rsidRPr="006B5E0C">
        <w:rPr>
          <w:sz w:val="24"/>
          <w:szCs w:val="24"/>
        </w:rPr>
        <w:t>We communicate with the developer upon first receipt of a letter of inquiry to determine if Confidential Business Information (CBI) has been claimed.  Before reviewing the inquiry and again before we publish the cbi deleted or no-cbi letter, USDA APHIS BRS communicates back to the developer in a letter stating the following:</w:t>
      </w:r>
    </w:p>
    <w:p w:rsidRPr="006B5E0C" w:rsidR="006B5E0C" w:rsidP="006B5E0C" w:rsidRDefault="006B5E0C">
      <w:pPr>
        <w:rPr>
          <w:sz w:val="24"/>
          <w:szCs w:val="24"/>
        </w:rPr>
      </w:pPr>
    </w:p>
    <w:p w:rsidR="006B5E0C" w:rsidP="009A730D" w:rsidRDefault="006B5E0C">
      <w:pPr>
        <w:ind w:left="360" w:right="720"/>
        <w:rPr>
          <w:sz w:val="24"/>
          <w:szCs w:val="24"/>
        </w:rPr>
      </w:pPr>
      <w:r>
        <w:rPr>
          <w:sz w:val="24"/>
          <w:szCs w:val="24"/>
        </w:rPr>
        <w:t>“</w:t>
      </w:r>
      <w:r w:rsidRPr="006B5E0C">
        <w:rPr>
          <w:sz w:val="24"/>
          <w:szCs w:val="24"/>
        </w:rPr>
        <w:t>To facilitate public transparency regarding the regulatory status of GE organisms, we intend to</w:t>
      </w:r>
      <w:r>
        <w:rPr>
          <w:sz w:val="24"/>
          <w:szCs w:val="24"/>
        </w:rPr>
        <w:t xml:space="preserve"> </w:t>
      </w:r>
      <w:r w:rsidRPr="006B5E0C">
        <w:rPr>
          <w:sz w:val="24"/>
          <w:szCs w:val="24"/>
        </w:rPr>
        <w:t>publish on our website the attached CBI‐deleted letter of inquiry to the agency and the agency</w:t>
      </w:r>
      <w:r>
        <w:rPr>
          <w:sz w:val="24"/>
          <w:szCs w:val="24"/>
        </w:rPr>
        <w:t xml:space="preserve"> </w:t>
      </w:r>
      <w:r w:rsidRPr="006B5E0C">
        <w:rPr>
          <w:sz w:val="24"/>
          <w:szCs w:val="24"/>
        </w:rPr>
        <w:t xml:space="preserve">response to your inquiry. APHIS‐BRS follows the practices of the APHIS Freedom of Information Act (FOIA) Office. Just as when APHIS‐FOIA responses to requests are shared with the public, we are notifying you that disclosure of your CBI‐deleted letter of inquiry is being considered for publication on our website. To protect trade secrets and CBI, we are providing you a final opportunity to provide any additional CBI claims to your letter (enclosed). If you are intending to alter or add any additional CBI claims, we will need both CBI and CBI‐deleted </w:t>
      </w:r>
      <w:r w:rsidRPr="006B5E0C">
        <w:rPr>
          <w:sz w:val="24"/>
          <w:szCs w:val="24"/>
        </w:rPr>
        <w:lastRenderedPageBreak/>
        <w:t>versions of your letter of inquiry, along with a CBI justification from you explaining how competitors could use your information to cause competitive harm to your business. We will need this response within 15 days of the date of this letter.</w:t>
      </w:r>
      <w:r>
        <w:rPr>
          <w:sz w:val="24"/>
          <w:szCs w:val="24"/>
        </w:rPr>
        <w:t>”</w:t>
      </w:r>
    </w:p>
    <w:p w:rsidR="003B40ED" w:rsidP="003B40ED" w:rsidRDefault="003B40ED">
      <w:pPr>
        <w:rPr>
          <w:sz w:val="24"/>
          <w:szCs w:val="24"/>
        </w:rPr>
      </w:pPr>
    </w:p>
    <w:p w:rsidR="00DA2D1A" w:rsidP="00DA2D1A" w:rsidRDefault="003B40ED">
      <w:pPr>
        <w:rPr>
          <w:sz w:val="24"/>
          <w:szCs w:val="24"/>
        </w:rPr>
      </w:pPr>
      <w:r>
        <w:rPr>
          <w:sz w:val="24"/>
          <w:szCs w:val="24"/>
        </w:rPr>
        <w:t>If a developer responds with additional claims of Confidential Business Information or now removes its original claims of CBI, we publish on our website the update cbi-delet</w:t>
      </w:r>
      <w:r w:rsidR="005907FE">
        <w:rPr>
          <w:sz w:val="24"/>
          <w:szCs w:val="24"/>
        </w:rPr>
        <w:t>ed and/or no-cbi version of the letter of inquiry</w:t>
      </w:r>
      <w:r w:rsidR="004575A8">
        <w:rPr>
          <w:sz w:val="24"/>
          <w:szCs w:val="24"/>
        </w:rPr>
        <w:t xml:space="preserve"> and any supporting material provided</w:t>
      </w:r>
      <w:r w:rsidR="005907FE">
        <w:rPr>
          <w:sz w:val="24"/>
          <w:szCs w:val="24"/>
        </w:rPr>
        <w:t>.</w:t>
      </w:r>
      <w:r w:rsidR="004575A8">
        <w:rPr>
          <w:sz w:val="24"/>
          <w:szCs w:val="24"/>
        </w:rPr>
        <w:t xml:space="preserve">  This response letter, along with our APHIS BRS determination of regulatory status response are all published on our public website as referenced above. </w:t>
      </w:r>
    </w:p>
    <w:p w:rsidR="00CE20C8" w:rsidP="00DA2D1A" w:rsidRDefault="00CE20C8">
      <w:pPr>
        <w:rPr>
          <w:sz w:val="24"/>
          <w:szCs w:val="24"/>
        </w:rPr>
      </w:pPr>
    </w:p>
    <w:p w:rsidRPr="00D32CE1" w:rsidR="00CE20C8" w:rsidP="00DA2D1A" w:rsidRDefault="00CE20C8">
      <w:pPr>
        <w:rPr>
          <w:b/>
          <w:sz w:val="24"/>
          <w:szCs w:val="24"/>
        </w:rPr>
      </w:pPr>
    </w:p>
    <w:p w:rsidR="00A67BE8" w:rsidP="00DA2D1A" w:rsidRDefault="00DA2D1A">
      <w:pPr>
        <w:rPr>
          <w:b/>
          <w:sz w:val="24"/>
          <w:szCs w:val="24"/>
        </w:rPr>
      </w:pPr>
      <w:r w:rsidRPr="00D32CE1">
        <w:rPr>
          <w:b/>
          <w:sz w:val="24"/>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67BE8" w:rsidP="00DA2D1A" w:rsidRDefault="00A67BE8">
      <w:pPr>
        <w:rPr>
          <w:b/>
          <w:sz w:val="24"/>
          <w:szCs w:val="24"/>
        </w:rPr>
      </w:pPr>
    </w:p>
    <w:p w:rsidR="00A64421" w:rsidP="00DA2D1A" w:rsidRDefault="00DA2D1A">
      <w:pPr>
        <w:rPr>
          <w:sz w:val="24"/>
          <w:szCs w:val="24"/>
        </w:rPr>
      </w:pPr>
      <w:r w:rsidRPr="00BE0746">
        <w:rPr>
          <w:sz w:val="24"/>
          <w:szCs w:val="24"/>
        </w:rPr>
        <w:t>Electronic t</w:t>
      </w:r>
      <w:r w:rsidR="00730BD7">
        <w:rPr>
          <w:sz w:val="24"/>
          <w:szCs w:val="24"/>
        </w:rPr>
        <w:t>ransfer technology is used by BRS</w:t>
      </w:r>
      <w:r w:rsidRPr="00BE0746">
        <w:rPr>
          <w:sz w:val="24"/>
          <w:szCs w:val="24"/>
        </w:rPr>
        <w:t xml:space="preserve"> in receiving and processing the information required for notification</w:t>
      </w:r>
      <w:r w:rsidR="00B92F6C">
        <w:rPr>
          <w:sz w:val="24"/>
          <w:szCs w:val="24"/>
        </w:rPr>
        <w:t>s</w:t>
      </w:r>
      <w:r w:rsidRPr="00BE0746">
        <w:rPr>
          <w:sz w:val="24"/>
          <w:szCs w:val="24"/>
        </w:rPr>
        <w:t xml:space="preserve"> under </w:t>
      </w:r>
      <w:r w:rsidR="00BF4AED">
        <w:rPr>
          <w:sz w:val="24"/>
          <w:szCs w:val="24"/>
        </w:rPr>
        <w:t xml:space="preserve">7 CFR § </w:t>
      </w:r>
      <w:r w:rsidRPr="00BE0746">
        <w:rPr>
          <w:sz w:val="24"/>
          <w:szCs w:val="24"/>
        </w:rPr>
        <w:t xml:space="preserve">340.3 </w:t>
      </w:r>
      <w:r w:rsidR="00B92F6C">
        <w:rPr>
          <w:sz w:val="24"/>
          <w:szCs w:val="24"/>
        </w:rPr>
        <w:t>and for permits under 7 CFR §</w:t>
      </w:r>
      <w:r w:rsidR="00084FA8">
        <w:rPr>
          <w:sz w:val="24"/>
          <w:szCs w:val="24"/>
        </w:rPr>
        <w:t xml:space="preserve"> 340</w:t>
      </w:r>
      <w:r w:rsidR="00B92F6C">
        <w:rPr>
          <w:sz w:val="24"/>
          <w:szCs w:val="24"/>
        </w:rPr>
        <w:t xml:space="preserve">.4 as described above.  </w:t>
      </w:r>
      <w:r w:rsidR="00856E4A">
        <w:rPr>
          <w:sz w:val="24"/>
          <w:szCs w:val="24"/>
        </w:rPr>
        <w:t xml:space="preserve">Both regulated activities are herein referred to as permitting activities. </w:t>
      </w:r>
      <w:r w:rsidR="00B92F6C">
        <w:rPr>
          <w:sz w:val="24"/>
          <w:szCs w:val="24"/>
        </w:rPr>
        <w:t>Currently, APHIS utilizes the APHIS Form 2000 to allow for electronic submissions of permit applications</w:t>
      </w:r>
      <w:r w:rsidR="00856E4A">
        <w:rPr>
          <w:sz w:val="24"/>
          <w:szCs w:val="24"/>
        </w:rPr>
        <w:t xml:space="preserve"> through its APHIS ePermit System</w:t>
      </w:r>
      <w:r w:rsidR="00B92F6C">
        <w:rPr>
          <w:sz w:val="24"/>
          <w:szCs w:val="24"/>
        </w:rPr>
        <w:t>.  This is a standardized form that allows for electronic transfer of permit</w:t>
      </w:r>
      <w:r w:rsidR="00856E4A">
        <w:rPr>
          <w:sz w:val="24"/>
          <w:szCs w:val="24"/>
        </w:rPr>
        <w:t xml:space="preserve"> </w:t>
      </w:r>
      <w:r w:rsidR="00B92F6C">
        <w:rPr>
          <w:sz w:val="24"/>
          <w:szCs w:val="24"/>
        </w:rPr>
        <w:t xml:space="preserve">information to APHIS.  </w:t>
      </w:r>
      <w:r w:rsidR="008851A5">
        <w:rPr>
          <w:sz w:val="24"/>
          <w:szCs w:val="24"/>
        </w:rPr>
        <w:t xml:space="preserve">Many applicants use commonly known “xml” files to import data fields into what becomes the electronic version of the APHIS form 2000.   </w:t>
      </w:r>
      <w:r w:rsidR="00D7052F">
        <w:rPr>
          <w:sz w:val="24"/>
          <w:szCs w:val="24"/>
        </w:rPr>
        <w:t xml:space="preserve">By </w:t>
      </w:r>
      <w:r w:rsidR="00B92F6C">
        <w:rPr>
          <w:sz w:val="24"/>
          <w:szCs w:val="24"/>
        </w:rPr>
        <w:t>receiv</w:t>
      </w:r>
      <w:r w:rsidR="00D7052F">
        <w:rPr>
          <w:sz w:val="24"/>
          <w:szCs w:val="24"/>
        </w:rPr>
        <w:t xml:space="preserve">ing </w:t>
      </w:r>
      <w:r w:rsidR="00B92F6C">
        <w:rPr>
          <w:sz w:val="24"/>
          <w:szCs w:val="24"/>
        </w:rPr>
        <w:t>electronic versions of notification</w:t>
      </w:r>
      <w:r w:rsidR="00D7052F">
        <w:rPr>
          <w:sz w:val="24"/>
          <w:szCs w:val="24"/>
        </w:rPr>
        <w:t xml:space="preserve"> and permit information</w:t>
      </w:r>
      <w:r w:rsidR="00402187">
        <w:rPr>
          <w:sz w:val="24"/>
          <w:szCs w:val="24"/>
        </w:rPr>
        <w:t>,</w:t>
      </w:r>
      <w:r w:rsidR="00D7052F">
        <w:rPr>
          <w:sz w:val="24"/>
          <w:szCs w:val="24"/>
        </w:rPr>
        <w:t xml:space="preserve"> this </w:t>
      </w:r>
      <w:r w:rsidR="00B92F6C">
        <w:rPr>
          <w:sz w:val="24"/>
          <w:szCs w:val="24"/>
        </w:rPr>
        <w:t>also help</w:t>
      </w:r>
      <w:r w:rsidR="00D7052F">
        <w:rPr>
          <w:sz w:val="24"/>
          <w:szCs w:val="24"/>
        </w:rPr>
        <w:t>s</w:t>
      </w:r>
      <w:r w:rsidR="00B92F6C">
        <w:rPr>
          <w:sz w:val="24"/>
          <w:szCs w:val="24"/>
        </w:rPr>
        <w:t xml:space="preserve"> alleviate the burden of hard copies.  </w:t>
      </w:r>
      <w:r w:rsidR="00AE2264">
        <w:rPr>
          <w:sz w:val="24"/>
          <w:szCs w:val="24"/>
        </w:rPr>
        <w:t>APHIS</w:t>
      </w:r>
      <w:r w:rsidR="00B92F6C">
        <w:rPr>
          <w:sz w:val="24"/>
          <w:szCs w:val="24"/>
        </w:rPr>
        <w:t xml:space="preserve"> </w:t>
      </w:r>
      <w:r w:rsidR="008851A5">
        <w:rPr>
          <w:sz w:val="24"/>
          <w:szCs w:val="24"/>
        </w:rPr>
        <w:t xml:space="preserve">sees nearly 100 percent usage </w:t>
      </w:r>
      <w:r w:rsidR="00831CA3">
        <w:rPr>
          <w:sz w:val="24"/>
          <w:szCs w:val="24"/>
        </w:rPr>
        <w:t>of electronic</w:t>
      </w:r>
      <w:r w:rsidR="00B92F6C">
        <w:rPr>
          <w:sz w:val="24"/>
          <w:szCs w:val="24"/>
        </w:rPr>
        <w:t xml:space="preserve"> versions, and also </w:t>
      </w:r>
      <w:r w:rsidR="008851A5">
        <w:rPr>
          <w:sz w:val="24"/>
          <w:szCs w:val="24"/>
        </w:rPr>
        <w:t xml:space="preserve">receives nearly 100 percent </w:t>
      </w:r>
      <w:r w:rsidR="00B92F6C">
        <w:rPr>
          <w:sz w:val="24"/>
          <w:szCs w:val="24"/>
        </w:rPr>
        <w:t>electronic data transfers from respondents, states, and interested parties to help relieve all document requirements (hard copies) as well.</w:t>
      </w:r>
      <w:r w:rsidR="001F0E86">
        <w:rPr>
          <w:sz w:val="24"/>
          <w:szCs w:val="24"/>
        </w:rPr>
        <w:t xml:space="preserve">  The </w:t>
      </w:r>
      <w:r w:rsidR="00402187">
        <w:rPr>
          <w:sz w:val="24"/>
          <w:szCs w:val="24"/>
        </w:rPr>
        <w:t>AP</w:t>
      </w:r>
      <w:r w:rsidR="001F0E86">
        <w:rPr>
          <w:sz w:val="24"/>
          <w:szCs w:val="24"/>
        </w:rPr>
        <w:t xml:space="preserve">HIS </w:t>
      </w:r>
      <w:r w:rsidR="00402187">
        <w:rPr>
          <w:sz w:val="24"/>
          <w:szCs w:val="24"/>
        </w:rPr>
        <w:t xml:space="preserve">2000 may be downloaded from </w:t>
      </w:r>
      <w:r w:rsidRPr="00122F85" w:rsidR="00122F85">
        <w:rPr>
          <w:sz w:val="24"/>
          <w:szCs w:val="24"/>
        </w:rPr>
        <w:t>www.aphis.usda.gov/</w:t>
      </w:r>
      <w:r w:rsidRPr="00402187" w:rsidR="00856E4A">
        <w:rPr>
          <w:sz w:val="24"/>
          <w:szCs w:val="24"/>
        </w:rPr>
        <w:t>brs/</w:t>
      </w:r>
      <w:r w:rsidR="00122F85">
        <w:rPr>
          <w:sz w:val="24"/>
          <w:szCs w:val="24"/>
        </w:rPr>
        <w:t xml:space="preserve"> </w:t>
      </w:r>
      <w:r w:rsidRPr="00402187" w:rsidR="00856E4A">
        <w:rPr>
          <w:sz w:val="24"/>
          <w:szCs w:val="24"/>
        </w:rPr>
        <w:t>pdf/2000.pdf</w:t>
      </w:r>
      <w:r w:rsidR="00402187">
        <w:rPr>
          <w:sz w:val="24"/>
          <w:szCs w:val="24"/>
        </w:rPr>
        <w:t>.</w:t>
      </w:r>
      <w:r w:rsidRPr="006F3F49" w:rsidR="00856E4A">
        <w:rPr>
          <w:sz w:val="24"/>
          <w:szCs w:val="24"/>
        </w:rPr>
        <w:t xml:space="preserve">  Using the APHIS ePermit System, applicants can directly input their application </w:t>
      </w:r>
      <w:r w:rsidR="00A64421">
        <w:rPr>
          <w:sz w:val="24"/>
          <w:szCs w:val="24"/>
        </w:rPr>
        <w:t xml:space="preserve">online </w:t>
      </w:r>
      <w:r w:rsidR="00122F85">
        <w:rPr>
          <w:sz w:val="24"/>
          <w:szCs w:val="24"/>
        </w:rPr>
        <w:t xml:space="preserve">at </w:t>
      </w:r>
      <w:r w:rsidRPr="00A64421" w:rsidR="00A64421">
        <w:rPr>
          <w:sz w:val="24"/>
          <w:szCs w:val="24"/>
        </w:rPr>
        <w:t>https://epermits.aphis.usda.gov/epermits/</w:t>
      </w:r>
    </w:p>
    <w:p w:rsidRPr="006F3F49" w:rsidR="00856E4A" w:rsidP="00DA2D1A" w:rsidRDefault="00D7052F">
      <w:pPr>
        <w:rPr>
          <w:color w:val="000000"/>
          <w:sz w:val="24"/>
          <w:szCs w:val="24"/>
        </w:rPr>
      </w:pPr>
      <w:r w:rsidRPr="00122F85">
        <w:rPr>
          <w:sz w:val="24"/>
          <w:szCs w:val="24"/>
        </w:rPr>
        <w:t>index.cfm?ACTION=applicantHome</w:t>
      </w:r>
      <w:r w:rsidRPr="006F3F49">
        <w:rPr>
          <w:color w:val="000000"/>
          <w:sz w:val="24"/>
          <w:szCs w:val="24"/>
        </w:rPr>
        <w:t xml:space="preserve">.  In addition, APHIS is currently developing a new system, APHIS eFile, that will aid our regulated community in completing the necessary information collection activities found in other APHIS programs. </w:t>
      </w:r>
      <w:r w:rsidR="008851A5">
        <w:rPr>
          <w:color w:val="000000"/>
          <w:sz w:val="24"/>
          <w:szCs w:val="24"/>
        </w:rPr>
        <w:t>This system will include continued availability to upload an xml file, which is preferred by our regulatory community.</w:t>
      </w:r>
      <w:r w:rsidRPr="006F3F49">
        <w:rPr>
          <w:color w:val="000000"/>
          <w:sz w:val="24"/>
          <w:szCs w:val="24"/>
        </w:rPr>
        <w:t xml:space="preserve"> This will further reduce the burden of time placed on our regulated community to produce and provide required information. </w:t>
      </w:r>
    </w:p>
    <w:p w:rsidR="00856E4A" w:rsidP="00DA2D1A" w:rsidRDefault="00856E4A">
      <w:pPr>
        <w:rPr>
          <w:color w:val="000000"/>
          <w:sz w:val="24"/>
          <w:szCs w:val="24"/>
        </w:rPr>
      </w:pPr>
    </w:p>
    <w:p w:rsidRPr="006F3F49" w:rsidR="00AE16A0" w:rsidP="00DA2D1A" w:rsidRDefault="00AE16A0">
      <w:pPr>
        <w:rPr>
          <w:color w:val="000000"/>
          <w:sz w:val="24"/>
          <w:szCs w:val="24"/>
        </w:rPr>
      </w:pPr>
    </w:p>
    <w:p w:rsidRPr="00D32CE1" w:rsidR="00DA2D1A" w:rsidP="00DA2D1A" w:rsidRDefault="00DA2D1A">
      <w:pPr>
        <w:rPr>
          <w:b/>
          <w:sz w:val="24"/>
          <w:szCs w:val="24"/>
        </w:rPr>
      </w:pPr>
      <w:r w:rsidRPr="00D32CE1">
        <w:rPr>
          <w:b/>
          <w:sz w:val="24"/>
          <w:szCs w:val="24"/>
        </w:rPr>
        <w:t xml:space="preserve">4.  Describe efforts to identify duplication.  Show specifically why any similar information already available cannot be used or modified for use for the purpose described in item 2 above. </w:t>
      </w:r>
    </w:p>
    <w:p w:rsidRPr="00BE0746" w:rsidR="00DA2D1A" w:rsidP="00DA2D1A" w:rsidRDefault="00DA2D1A">
      <w:pPr>
        <w:rPr>
          <w:sz w:val="24"/>
          <w:szCs w:val="24"/>
        </w:rPr>
      </w:pPr>
    </w:p>
    <w:p w:rsidR="00AB77E2" w:rsidP="00B82BA5" w:rsidRDefault="00D41729">
      <w:pPr>
        <w:rPr>
          <w:sz w:val="24"/>
          <w:szCs w:val="24"/>
        </w:rPr>
      </w:pPr>
      <w:r>
        <w:rPr>
          <w:sz w:val="24"/>
          <w:szCs w:val="24"/>
        </w:rPr>
        <w:t>APHIS is the only USDA agency charged with enforcing the regulations in 7 CFR §</w:t>
      </w:r>
      <w:r w:rsidRPr="00BE0746">
        <w:rPr>
          <w:sz w:val="24"/>
          <w:szCs w:val="24"/>
        </w:rPr>
        <w:t xml:space="preserve"> 340</w:t>
      </w:r>
      <w:r w:rsidR="00122F85">
        <w:rPr>
          <w:sz w:val="24"/>
          <w:szCs w:val="24"/>
        </w:rPr>
        <w:t xml:space="preserve">.  </w:t>
      </w:r>
      <w:r w:rsidR="00AB77E2">
        <w:rPr>
          <w:sz w:val="24"/>
          <w:szCs w:val="24"/>
        </w:rPr>
        <w:t>However, USDA works within a coordinated framework related to biotechnology regulatory authorities with the Food and Drug Administration (FDA) and the Environmental Protection Agency (EPA) to ensure no duplication of efforts.</w:t>
      </w:r>
    </w:p>
    <w:p w:rsidR="00AB77E2" w:rsidP="00AB77E2" w:rsidRDefault="00AB77E2">
      <w:pPr>
        <w:rPr>
          <w:sz w:val="24"/>
          <w:szCs w:val="24"/>
        </w:rPr>
      </w:pPr>
      <w:r>
        <w:rPr>
          <w:sz w:val="24"/>
          <w:szCs w:val="24"/>
        </w:rPr>
        <w:t xml:space="preserve">USDA APHIS </w:t>
      </w:r>
      <w:r w:rsidRPr="00AB77E2">
        <w:rPr>
          <w:sz w:val="24"/>
          <w:szCs w:val="24"/>
        </w:rPr>
        <w:t xml:space="preserve">BRS and members of FDA and EPA involved in review of biotechnology products participate in a monthly interagency conference call to share updates of submissions of permits, petitions and requests for regulated status. In addition, all three agencies </w:t>
      </w:r>
      <w:r>
        <w:rPr>
          <w:sz w:val="24"/>
          <w:szCs w:val="24"/>
        </w:rPr>
        <w:t xml:space="preserve">invite </w:t>
      </w:r>
      <w:r w:rsidRPr="00AB77E2">
        <w:rPr>
          <w:sz w:val="24"/>
          <w:szCs w:val="24"/>
        </w:rPr>
        <w:t xml:space="preserve">presubmission meetings for developers of biotechnology products so that information requirements can be discussed in advance and coordinated with other agencies so that the information requested can be most efficiently obtained while meeting the agencies’ needs, and safety and quality standards. Sometimes these presubmissions meetings are held jointly between </w:t>
      </w:r>
      <w:r>
        <w:rPr>
          <w:sz w:val="24"/>
          <w:szCs w:val="24"/>
        </w:rPr>
        <w:t xml:space="preserve">USDA APHIS </w:t>
      </w:r>
      <w:r w:rsidRPr="00AB77E2">
        <w:rPr>
          <w:sz w:val="24"/>
          <w:szCs w:val="24"/>
        </w:rPr>
        <w:t xml:space="preserve">BRS and the other relevant agencies. </w:t>
      </w:r>
    </w:p>
    <w:p w:rsidR="00AB77E2" w:rsidP="00AB77E2" w:rsidRDefault="00AB77E2">
      <w:pPr>
        <w:rPr>
          <w:sz w:val="24"/>
          <w:szCs w:val="24"/>
        </w:rPr>
      </w:pPr>
    </w:p>
    <w:p w:rsidRPr="00122F85" w:rsidR="00AB77E2" w:rsidP="00AB77E2" w:rsidRDefault="00AB77E2">
      <w:pPr>
        <w:rPr>
          <w:sz w:val="24"/>
          <w:szCs w:val="24"/>
        </w:rPr>
      </w:pPr>
      <w:r w:rsidRPr="00AB77E2">
        <w:rPr>
          <w:sz w:val="24"/>
          <w:szCs w:val="24"/>
        </w:rPr>
        <w:t>The 2017 Update to the Coordinated Framework (CF)</w:t>
      </w:r>
      <w:r w:rsidR="00122F85">
        <w:rPr>
          <w:sz w:val="24"/>
          <w:szCs w:val="24"/>
        </w:rPr>
        <w:t xml:space="preserve">, at </w:t>
      </w:r>
      <w:r w:rsidRPr="00122F85" w:rsidR="00122F85">
        <w:rPr>
          <w:sz w:val="24"/>
          <w:szCs w:val="24"/>
        </w:rPr>
        <w:t>https://www.aphis.usda.gov/ biotechnology/</w:t>
      </w:r>
      <w:r w:rsidRPr="00122F85">
        <w:rPr>
          <w:sz w:val="24"/>
          <w:szCs w:val="24"/>
        </w:rPr>
        <w:t>downloads/2017_coordinated_framework_update.pdf</w:t>
      </w:r>
      <w:r w:rsidRPr="00AB77E2">
        <w:rPr>
          <w:sz w:val="24"/>
          <w:szCs w:val="24"/>
        </w:rPr>
        <w:t>)</w:t>
      </w:r>
      <w:r w:rsidR="00122F85">
        <w:rPr>
          <w:sz w:val="24"/>
          <w:szCs w:val="24"/>
        </w:rPr>
        <w:t>,</w:t>
      </w:r>
      <w:r w:rsidRPr="00AB77E2">
        <w:rPr>
          <w:sz w:val="24"/>
          <w:szCs w:val="24"/>
        </w:rPr>
        <w:t xml:space="preserve"> clarified the </w:t>
      </w:r>
      <w:r w:rsidRPr="00122F85">
        <w:rPr>
          <w:iCs/>
          <w:sz w:val="24"/>
          <w:szCs w:val="24"/>
        </w:rPr>
        <w:t>current</w:t>
      </w:r>
      <w:r w:rsidRPr="00AB77E2">
        <w:rPr>
          <w:i/>
          <w:iCs/>
          <w:sz w:val="24"/>
          <w:szCs w:val="24"/>
        </w:rPr>
        <w:t xml:space="preserve"> </w:t>
      </w:r>
      <w:r w:rsidRPr="00AB77E2">
        <w:rPr>
          <w:sz w:val="24"/>
          <w:szCs w:val="24"/>
        </w:rPr>
        <w:t xml:space="preserve">roles and responsibilities of the primary agencies involved in the regulation of biotechnology products.  </w:t>
      </w:r>
      <w:r w:rsidRPr="00122F85">
        <w:rPr>
          <w:iCs/>
          <w:sz w:val="24"/>
          <w:szCs w:val="24"/>
        </w:rPr>
        <w:t>Section E</w:t>
      </w:r>
      <w:r w:rsidRPr="00122F85">
        <w:rPr>
          <w:sz w:val="24"/>
          <w:szCs w:val="24"/>
        </w:rPr>
        <w:t xml:space="preserve"> (p</w:t>
      </w:r>
      <w:r w:rsidRPr="00AB77E2">
        <w:rPr>
          <w:sz w:val="24"/>
          <w:szCs w:val="24"/>
        </w:rPr>
        <w:t>p 36-38) clarifies mechanisms in place, including three current Memorandums of Understanding (MOUs), that enable communication and information sharing, as appropriate and necessary, among EPA, FDA and APHIS. These mechanisms are helpful with respect to products that fall under the purview of more than one agency or may necessitate close coordination prior to decision making. These are also used to identify whether information which is or may be requested by another agency is similar to information which BRS could use to inform decisions under 7 CFR Part 340 and could thus be shared between agenc</w:t>
      </w:r>
      <w:r w:rsidRPr="00122F85">
        <w:rPr>
          <w:sz w:val="24"/>
          <w:szCs w:val="24"/>
        </w:rPr>
        <w:t>ies.  </w:t>
      </w:r>
      <w:r w:rsidRPr="00122F85">
        <w:rPr>
          <w:iCs/>
          <w:sz w:val="24"/>
          <w:szCs w:val="24"/>
        </w:rPr>
        <w:t>Also, due to the nature in which both agencies are given regulatory authority and the specific nature in the types of questions and information needed by both the EPA &amp; BRS, there may be times when some information is similar but the context and issues it addresses varies due to the complexity and specific nature of the questions and information the applicant is addressing and is required for a permit or notification.</w:t>
      </w:r>
      <w:r w:rsidRPr="00122F85">
        <w:rPr>
          <w:sz w:val="24"/>
          <w:szCs w:val="24"/>
        </w:rPr>
        <w:t xml:space="preserve">  </w:t>
      </w:r>
    </w:p>
    <w:p w:rsidRPr="00122F85" w:rsidR="00AB77E2" w:rsidP="00AB77E2" w:rsidRDefault="00AB77E2">
      <w:pPr>
        <w:rPr>
          <w:sz w:val="24"/>
          <w:szCs w:val="24"/>
        </w:rPr>
      </w:pPr>
    </w:p>
    <w:p w:rsidRPr="00AB77E2" w:rsidR="00AB77E2" w:rsidP="00AB77E2" w:rsidRDefault="00AB77E2">
      <w:pPr>
        <w:rPr>
          <w:sz w:val="24"/>
          <w:szCs w:val="24"/>
        </w:rPr>
      </w:pPr>
      <w:r w:rsidRPr="00122F85">
        <w:rPr>
          <w:sz w:val="24"/>
          <w:szCs w:val="24"/>
        </w:rPr>
        <w:t>Examples of coordination in information sharing inc</w:t>
      </w:r>
      <w:r w:rsidRPr="00AB77E2">
        <w:rPr>
          <w:sz w:val="24"/>
          <w:szCs w:val="24"/>
        </w:rPr>
        <w:t xml:space="preserve">lude 1) information submitted to and analyzed by EPA to support registration of a herbicide to be used with a plant engineered for resistance to that herbicide for which a petition for deregulation is pending with BRS can be used by BRS to support evaluation of cumulative impacts to human health, the environment, and selection of herbicide resistant weeds and effectiveness of management practices; 2) information submitted to EPA regarding exposure and the safety of PIPs or microbial pesticides to human health and nontargets can be used by BRS to support analysis of unintended impacts on nontargets organisms that could impact plant health  as well as analysis of cumulative impacts under the NEPA; 3) BRS frequently refers to safety and nutritional assessment information submitted to and analyzed by the FDA for voluntary premarket consultations of new foods derived from biotechnology to support NEPA cumulative impact analysis to human and animal health.  Sharing of information from FDA and EPA can also be used to inform decisions on </w:t>
      </w:r>
      <w:r>
        <w:rPr>
          <w:sz w:val="24"/>
          <w:szCs w:val="24"/>
        </w:rPr>
        <w:t xml:space="preserve">USDA APHIS </w:t>
      </w:r>
      <w:r w:rsidRPr="00AB77E2">
        <w:rPr>
          <w:sz w:val="24"/>
          <w:szCs w:val="24"/>
        </w:rPr>
        <w:t xml:space="preserve">BRS permit conditions or reporting requirements. </w:t>
      </w:r>
    </w:p>
    <w:p w:rsidRPr="00BE0746" w:rsidR="00842423" w:rsidP="00DA2D1A" w:rsidRDefault="00842423">
      <w:pPr>
        <w:rPr>
          <w:sz w:val="24"/>
          <w:szCs w:val="24"/>
        </w:rPr>
      </w:pPr>
    </w:p>
    <w:p w:rsidR="0007499A" w:rsidP="00DA2D1A" w:rsidRDefault="0007499A">
      <w:pPr>
        <w:rPr>
          <w:b/>
          <w:sz w:val="24"/>
          <w:szCs w:val="24"/>
        </w:rPr>
      </w:pPr>
    </w:p>
    <w:p w:rsidRPr="00D32CE1" w:rsidR="00DA2D1A" w:rsidP="00DA2D1A" w:rsidRDefault="00DA2D1A">
      <w:pPr>
        <w:rPr>
          <w:b/>
          <w:sz w:val="24"/>
          <w:szCs w:val="24"/>
        </w:rPr>
      </w:pPr>
      <w:r w:rsidRPr="00D32CE1">
        <w:rPr>
          <w:b/>
          <w:sz w:val="24"/>
          <w:szCs w:val="24"/>
        </w:rPr>
        <w:t>5.  If the collection of information impacts small businesses or other small entities, describe any methods used to minimize burden.</w:t>
      </w:r>
    </w:p>
    <w:p w:rsidRPr="006937A0" w:rsidR="00DA2D1A" w:rsidP="00DA2D1A" w:rsidRDefault="00DA2D1A">
      <w:pPr>
        <w:rPr>
          <w:b/>
          <w:sz w:val="24"/>
          <w:szCs w:val="24"/>
        </w:rPr>
      </w:pPr>
    </w:p>
    <w:p w:rsidRPr="00711EC5" w:rsidR="00711EC5" w:rsidP="00711EC5" w:rsidRDefault="005D7A5E">
      <w:pPr>
        <w:rPr>
          <w:sz w:val="24"/>
          <w:szCs w:val="24"/>
        </w:rPr>
      </w:pPr>
      <w:r w:rsidRPr="006937A0">
        <w:rPr>
          <w:sz w:val="24"/>
          <w:szCs w:val="24"/>
        </w:rPr>
        <w:t xml:space="preserve">APHIS estimates 2% of the respondents are small </w:t>
      </w:r>
      <w:r w:rsidRPr="006937A0" w:rsidR="006937A0">
        <w:rPr>
          <w:sz w:val="24"/>
          <w:szCs w:val="24"/>
        </w:rPr>
        <w:t>businesses</w:t>
      </w:r>
      <w:r w:rsidRPr="006937A0">
        <w:rPr>
          <w:sz w:val="24"/>
          <w:szCs w:val="24"/>
        </w:rPr>
        <w:t xml:space="preserve">.  </w:t>
      </w:r>
      <w:r w:rsidRPr="006937A0" w:rsidR="00711EC5">
        <w:rPr>
          <w:sz w:val="24"/>
          <w:szCs w:val="24"/>
        </w:rPr>
        <w:t>The information APHIS collects in connection with permitting and the notification process is the minimu</w:t>
      </w:r>
      <w:r w:rsidRPr="00711EC5" w:rsidR="00711EC5">
        <w:rPr>
          <w:sz w:val="24"/>
          <w:szCs w:val="24"/>
        </w:rPr>
        <w:t>m needed to ensure that regulated entities (such as importers) do not inadvertently introduce plant pests into the United States.  The information APHIS collects in connection to the “Am I Regulated” process is solely dependent upon what the developer voluntarily sends to USDA APHIS.  The “A</w:t>
      </w:r>
      <w:r w:rsidR="00D47BA6">
        <w:rPr>
          <w:sz w:val="24"/>
          <w:szCs w:val="24"/>
        </w:rPr>
        <w:t>m I Regulated” process is a non</w:t>
      </w:r>
      <w:r w:rsidRPr="00711EC5" w:rsidR="00711EC5">
        <w:rPr>
          <w:sz w:val="24"/>
          <w:szCs w:val="24"/>
        </w:rPr>
        <w:t xml:space="preserve">regulatory solution. </w:t>
      </w:r>
    </w:p>
    <w:p w:rsidR="00E12324" w:rsidP="00DA2D1A" w:rsidRDefault="00E12324">
      <w:pPr>
        <w:rPr>
          <w:sz w:val="24"/>
          <w:szCs w:val="24"/>
        </w:rPr>
      </w:pPr>
    </w:p>
    <w:p w:rsidR="00A64421" w:rsidP="00DA2D1A" w:rsidRDefault="00A64421">
      <w:pPr>
        <w:rPr>
          <w:sz w:val="24"/>
          <w:szCs w:val="24"/>
        </w:rPr>
      </w:pPr>
    </w:p>
    <w:p w:rsidRPr="00D32CE1" w:rsidR="00DA2D1A" w:rsidP="00DA2D1A" w:rsidRDefault="00DA2D1A">
      <w:pPr>
        <w:rPr>
          <w:b/>
          <w:sz w:val="24"/>
          <w:szCs w:val="24"/>
        </w:rPr>
      </w:pPr>
      <w:r w:rsidRPr="00D32CE1">
        <w:rPr>
          <w:b/>
          <w:sz w:val="24"/>
          <w:szCs w:val="24"/>
        </w:rPr>
        <w:t>6.  Describe the consequences to Federal program or policy activities if the collection is not conducted or is conducted less frequently, as well as any technical or legal obstacles to reducing burden.</w:t>
      </w:r>
    </w:p>
    <w:p w:rsidRPr="00D32CE1" w:rsidR="00DA2D1A" w:rsidP="00DA2D1A" w:rsidRDefault="00DA2D1A">
      <w:pPr>
        <w:rPr>
          <w:b/>
          <w:sz w:val="24"/>
          <w:szCs w:val="24"/>
        </w:rPr>
      </w:pPr>
    </w:p>
    <w:p w:rsidRPr="00BE0746" w:rsidR="00DA2D1A" w:rsidP="00DA2D1A" w:rsidRDefault="00DA2D1A">
      <w:pPr>
        <w:rPr>
          <w:sz w:val="24"/>
          <w:szCs w:val="24"/>
        </w:rPr>
      </w:pPr>
      <w:r w:rsidRPr="00BE0746">
        <w:rPr>
          <w:sz w:val="24"/>
          <w:szCs w:val="24"/>
        </w:rPr>
        <w:t>If the information required in 7 CFR</w:t>
      </w:r>
      <w:r w:rsidR="00BF4AED">
        <w:rPr>
          <w:sz w:val="24"/>
          <w:szCs w:val="24"/>
        </w:rPr>
        <w:t xml:space="preserve"> §</w:t>
      </w:r>
      <w:r w:rsidR="00C04E4C">
        <w:rPr>
          <w:sz w:val="24"/>
          <w:szCs w:val="24"/>
        </w:rPr>
        <w:t xml:space="preserve"> 340 were not collected, BRS</w:t>
      </w:r>
      <w:r w:rsidRPr="00BE0746">
        <w:rPr>
          <w:sz w:val="24"/>
          <w:szCs w:val="24"/>
        </w:rPr>
        <w:t xml:space="preserve"> could n</w:t>
      </w:r>
      <w:r w:rsidR="00964DDA">
        <w:rPr>
          <w:sz w:val="24"/>
          <w:szCs w:val="24"/>
        </w:rPr>
        <w:t>ot carry out its mission to prev</w:t>
      </w:r>
      <w:r w:rsidRPr="00BE0746">
        <w:rPr>
          <w:sz w:val="24"/>
          <w:szCs w:val="24"/>
        </w:rPr>
        <w:t xml:space="preserve">ent the introduction or dissemination of plant pests in the </w:t>
      </w:r>
      <w:smartTag w:uri="urn:schemas-microsoft-com:office:smarttags" w:element="country-region">
        <w:smartTag w:uri="urn:schemas-microsoft-com:office:smarttags" w:element="place">
          <w:r w:rsidRPr="00BE0746">
            <w:rPr>
              <w:sz w:val="24"/>
              <w:szCs w:val="24"/>
            </w:rPr>
            <w:t>United States</w:t>
          </w:r>
        </w:smartTag>
      </w:smartTag>
      <w:r w:rsidRPr="00BE0746">
        <w:rPr>
          <w:sz w:val="24"/>
          <w:szCs w:val="24"/>
        </w:rPr>
        <w:t>.  Les</w:t>
      </w:r>
      <w:r w:rsidR="00C04E4C">
        <w:rPr>
          <w:sz w:val="24"/>
          <w:szCs w:val="24"/>
        </w:rPr>
        <w:t>s</w:t>
      </w:r>
      <w:r w:rsidRPr="00BE0746">
        <w:rPr>
          <w:sz w:val="24"/>
          <w:szCs w:val="24"/>
        </w:rPr>
        <w:t xml:space="preserve"> frequent collection would not meet the requirements of the PPA</w:t>
      </w:r>
      <w:r w:rsidR="00C04E4C">
        <w:rPr>
          <w:sz w:val="24"/>
          <w:szCs w:val="24"/>
        </w:rPr>
        <w:t xml:space="preserve"> </w:t>
      </w:r>
      <w:r w:rsidRPr="00BE0746">
        <w:rPr>
          <w:sz w:val="24"/>
          <w:szCs w:val="24"/>
        </w:rPr>
        <w:t xml:space="preserve">and would prevent effective plant protection by APHIS for the </w:t>
      </w:r>
      <w:smartTag w:uri="urn:schemas-microsoft-com:office:smarttags" w:element="place">
        <w:smartTag w:uri="urn:schemas-microsoft-com:office:smarttags" w:element="country-region">
          <w:r w:rsidRPr="00BE0746">
            <w:rPr>
              <w:sz w:val="24"/>
              <w:szCs w:val="24"/>
            </w:rPr>
            <w:t>United States</w:t>
          </w:r>
        </w:smartTag>
      </w:smartTag>
      <w:r w:rsidRPr="00BE0746">
        <w:rPr>
          <w:sz w:val="24"/>
          <w:szCs w:val="24"/>
        </w:rPr>
        <w:t>.</w:t>
      </w:r>
    </w:p>
    <w:p w:rsidR="00DA2D1A" w:rsidP="00DA2D1A" w:rsidRDefault="00DA2D1A">
      <w:pPr>
        <w:rPr>
          <w:sz w:val="24"/>
          <w:szCs w:val="24"/>
        </w:rPr>
      </w:pPr>
    </w:p>
    <w:p w:rsidRPr="00BE0746" w:rsidR="00842423" w:rsidP="00DA2D1A" w:rsidRDefault="00842423">
      <w:pPr>
        <w:rPr>
          <w:sz w:val="24"/>
          <w:szCs w:val="24"/>
        </w:rPr>
      </w:pPr>
    </w:p>
    <w:p w:rsidR="00DA2D1A" w:rsidP="00DA2D1A" w:rsidRDefault="00DA2D1A">
      <w:pPr>
        <w:rPr>
          <w:b/>
          <w:sz w:val="24"/>
          <w:szCs w:val="24"/>
        </w:rPr>
      </w:pPr>
      <w:r w:rsidRPr="00D32CE1">
        <w:rPr>
          <w:b/>
          <w:sz w:val="24"/>
          <w:szCs w:val="24"/>
        </w:rPr>
        <w:t>7.  Explain any special circumstances that require the collection to be conducted in a manner</w:t>
      </w:r>
      <w:r w:rsidR="009F100F">
        <w:rPr>
          <w:b/>
          <w:sz w:val="24"/>
          <w:szCs w:val="24"/>
        </w:rPr>
        <w:t>:</w:t>
      </w:r>
      <w:r w:rsidRPr="00D32CE1">
        <w:rPr>
          <w:b/>
          <w:sz w:val="24"/>
          <w:szCs w:val="24"/>
        </w:rPr>
        <w:t xml:space="preserve"> </w:t>
      </w:r>
    </w:p>
    <w:p w:rsidR="00814140" w:rsidP="00DA2D1A" w:rsidRDefault="00814140">
      <w:pPr>
        <w:rPr>
          <w:b/>
          <w:sz w:val="24"/>
          <w:szCs w:val="24"/>
        </w:rPr>
      </w:pPr>
    </w:p>
    <w:p w:rsidR="00D20A02" w:rsidP="00B800DD" w:rsidRDefault="005A27C6">
      <w:pPr>
        <w:numPr>
          <w:ilvl w:val="0"/>
          <w:numId w:val="12"/>
        </w:numPr>
        <w:ind w:left="720"/>
        <w:rPr>
          <w:b/>
          <w:color w:val="000000"/>
          <w:sz w:val="24"/>
          <w:szCs w:val="24"/>
        </w:rPr>
      </w:pPr>
      <w:r>
        <w:rPr>
          <w:b/>
          <w:sz w:val="24"/>
        </w:rPr>
        <w:t>requiring respondents to report informa</w:t>
      </w:r>
      <w:r>
        <w:rPr>
          <w:b/>
          <w:sz w:val="24"/>
        </w:rPr>
        <w:softHyphen/>
        <w:t>tion to the agency more often than quarterly;</w:t>
      </w:r>
      <w:r w:rsidRPr="00D20A02" w:rsidR="00D20A02">
        <w:rPr>
          <w:b/>
          <w:color w:val="000000"/>
          <w:sz w:val="24"/>
          <w:szCs w:val="24"/>
        </w:rPr>
        <w:t xml:space="preserve"> </w:t>
      </w:r>
    </w:p>
    <w:p w:rsidR="00D20A02" w:rsidP="00B800DD" w:rsidRDefault="00D20A02">
      <w:pPr>
        <w:ind w:left="720"/>
        <w:rPr>
          <w:b/>
          <w:color w:val="000000"/>
          <w:sz w:val="24"/>
          <w:szCs w:val="24"/>
        </w:rPr>
      </w:pPr>
    </w:p>
    <w:p w:rsidRPr="00356FAB" w:rsidR="00D20A02" w:rsidP="00B800DD" w:rsidRDefault="00D20A02">
      <w:pPr>
        <w:ind w:left="720"/>
        <w:rPr>
          <w:color w:val="000000"/>
          <w:sz w:val="24"/>
          <w:szCs w:val="24"/>
        </w:rPr>
      </w:pPr>
      <w:r w:rsidRPr="00356FAB">
        <w:rPr>
          <w:color w:val="000000"/>
          <w:sz w:val="24"/>
          <w:szCs w:val="24"/>
        </w:rPr>
        <w:t xml:space="preserve">APHIS will be notified </w:t>
      </w:r>
      <w:r w:rsidR="00122F85">
        <w:rPr>
          <w:color w:val="000000"/>
          <w:sz w:val="24"/>
          <w:szCs w:val="24"/>
        </w:rPr>
        <w:t>(</w:t>
      </w:r>
      <w:r w:rsidRPr="00122F85" w:rsidR="00122F85">
        <w:rPr>
          <w:color w:val="000000"/>
          <w:sz w:val="24"/>
          <w:szCs w:val="24"/>
        </w:rPr>
        <w:t>Notification of Certain Occurrences</w:t>
      </w:r>
      <w:r w:rsidR="00122F85">
        <w:rPr>
          <w:color w:val="000000"/>
          <w:sz w:val="24"/>
          <w:szCs w:val="24"/>
        </w:rPr>
        <w:t xml:space="preserve">) </w:t>
      </w:r>
      <w:r w:rsidRPr="00356FAB">
        <w:rPr>
          <w:color w:val="000000"/>
          <w:sz w:val="24"/>
          <w:szCs w:val="24"/>
        </w:rPr>
        <w:t>within the time periods and manner as specified below, in the event of the following occurrences:</w:t>
      </w:r>
    </w:p>
    <w:p w:rsidRPr="00356FAB" w:rsidR="00D20A02" w:rsidP="00B800DD" w:rsidRDefault="00D20A02">
      <w:pPr>
        <w:ind w:left="720"/>
        <w:rPr>
          <w:color w:val="000000"/>
          <w:sz w:val="24"/>
          <w:szCs w:val="24"/>
        </w:rPr>
      </w:pPr>
    </w:p>
    <w:p w:rsidRPr="00356FAB" w:rsidR="00D20A02" w:rsidP="00B800DD" w:rsidRDefault="00D20A02">
      <w:pPr>
        <w:ind w:left="720"/>
        <w:rPr>
          <w:color w:val="000000"/>
          <w:sz w:val="24"/>
          <w:szCs w:val="24"/>
        </w:rPr>
      </w:pPr>
      <w:r w:rsidRPr="00356FAB">
        <w:rPr>
          <w:color w:val="000000"/>
          <w:sz w:val="24"/>
          <w:szCs w:val="24"/>
        </w:rPr>
        <w:t>1.  Orally notified immediately upon discovery and notified in writing within 24 hours in the event of any accidental or unauthorized release of the related article;</w:t>
      </w:r>
    </w:p>
    <w:p w:rsidRPr="00356FAB" w:rsidR="00D20A02" w:rsidP="00B800DD" w:rsidRDefault="00D20A02">
      <w:pPr>
        <w:ind w:left="720"/>
        <w:rPr>
          <w:color w:val="000000"/>
          <w:sz w:val="24"/>
          <w:szCs w:val="24"/>
        </w:rPr>
      </w:pPr>
    </w:p>
    <w:p w:rsidR="005A27C6" w:rsidP="00B800DD" w:rsidRDefault="00D20A02">
      <w:pPr>
        <w:ind w:left="720"/>
        <w:rPr>
          <w:color w:val="000000"/>
          <w:sz w:val="24"/>
          <w:szCs w:val="24"/>
        </w:rPr>
      </w:pPr>
      <w:r w:rsidRPr="00356FAB">
        <w:rPr>
          <w:color w:val="000000"/>
          <w:sz w:val="24"/>
          <w:szCs w:val="24"/>
        </w:rPr>
        <w:t>2.  In writing, as soon as possible, but not later than within 5 working days if the regulated article or associated lost organism is found to have characteristics substantially different from those listed in the application for a permit or suffers any unusual occurrence (excessive mortality or morbidity, or unanticipated effect on non-target organisms).</w:t>
      </w:r>
    </w:p>
    <w:p w:rsidR="00404296" w:rsidP="00B800DD" w:rsidRDefault="00404296">
      <w:pPr>
        <w:ind w:left="720"/>
        <w:rPr>
          <w:b/>
          <w:sz w:val="24"/>
        </w:rPr>
      </w:pPr>
    </w:p>
    <w:p w:rsidRPr="00356FAB" w:rsidR="00356FAB" w:rsidP="00B800DD" w:rsidRDefault="005A27C6">
      <w:pPr>
        <w:numPr>
          <w:ilvl w:val="0"/>
          <w:numId w:val="3"/>
        </w:numPr>
        <w:tabs>
          <w:tab w:val="clear" w:pos="360"/>
        </w:tabs>
        <w:ind w:left="720" w:hanging="446"/>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356FAB" w:rsidP="00B800DD" w:rsidRDefault="00356FAB">
      <w:pPr>
        <w:ind w:left="720"/>
        <w:rPr>
          <w:b/>
          <w:color w:val="000000"/>
          <w:sz w:val="24"/>
          <w:szCs w:val="24"/>
        </w:rPr>
      </w:pPr>
    </w:p>
    <w:p w:rsidRPr="00356FAB" w:rsidR="00356FAB" w:rsidP="00B800DD" w:rsidRDefault="00122F85">
      <w:pPr>
        <w:ind w:left="720"/>
        <w:rPr>
          <w:color w:val="000000"/>
          <w:sz w:val="24"/>
          <w:szCs w:val="24"/>
        </w:rPr>
      </w:pPr>
      <w:r w:rsidRPr="00356FAB">
        <w:rPr>
          <w:color w:val="000000"/>
          <w:sz w:val="24"/>
          <w:szCs w:val="24"/>
        </w:rPr>
        <w:t xml:space="preserve">APHIS will be notified </w:t>
      </w:r>
      <w:r>
        <w:rPr>
          <w:color w:val="000000"/>
          <w:sz w:val="24"/>
          <w:szCs w:val="24"/>
        </w:rPr>
        <w:t>(</w:t>
      </w:r>
      <w:r w:rsidRPr="00122F85">
        <w:rPr>
          <w:color w:val="000000"/>
          <w:sz w:val="24"/>
          <w:szCs w:val="24"/>
        </w:rPr>
        <w:t>Notification of Certain Occurrences</w:t>
      </w:r>
      <w:r>
        <w:rPr>
          <w:color w:val="000000"/>
          <w:sz w:val="24"/>
          <w:szCs w:val="24"/>
        </w:rPr>
        <w:t xml:space="preserve">) </w:t>
      </w:r>
      <w:r w:rsidRPr="00356FAB">
        <w:rPr>
          <w:color w:val="000000"/>
          <w:sz w:val="24"/>
          <w:szCs w:val="24"/>
        </w:rPr>
        <w:t>within</w:t>
      </w:r>
      <w:r w:rsidRPr="00356FAB" w:rsidR="00356FAB">
        <w:rPr>
          <w:color w:val="000000"/>
          <w:sz w:val="24"/>
          <w:szCs w:val="24"/>
        </w:rPr>
        <w:t xml:space="preserve"> the time periods and manner as specified below, in the event of the following occurrences:</w:t>
      </w:r>
    </w:p>
    <w:p w:rsidRPr="00356FAB" w:rsidR="00356FAB" w:rsidP="00B800DD" w:rsidRDefault="00356FAB">
      <w:pPr>
        <w:ind w:left="720"/>
        <w:rPr>
          <w:color w:val="000000"/>
          <w:sz w:val="24"/>
          <w:szCs w:val="24"/>
        </w:rPr>
      </w:pPr>
    </w:p>
    <w:p w:rsidRPr="00356FAB" w:rsidR="00356FAB" w:rsidP="00B800DD" w:rsidRDefault="00356FAB">
      <w:pPr>
        <w:ind w:left="720"/>
        <w:rPr>
          <w:color w:val="000000"/>
          <w:sz w:val="24"/>
          <w:szCs w:val="24"/>
        </w:rPr>
      </w:pPr>
      <w:r w:rsidRPr="00356FAB">
        <w:rPr>
          <w:color w:val="000000"/>
          <w:sz w:val="24"/>
          <w:szCs w:val="24"/>
        </w:rPr>
        <w:t>1.  Orally notified immediately upon discovery and notified in writing within 24 hours in the event of any accidental or unauthorized release of the related article;</w:t>
      </w:r>
    </w:p>
    <w:p w:rsidRPr="00356FAB" w:rsidR="00356FAB" w:rsidP="00B800DD" w:rsidRDefault="00356FAB">
      <w:pPr>
        <w:ind w:left="720"/>
        <w:rPr>
          <w:color w:val="000000"/>
          <w:sz w:val="24"/>
          <w:szCs w:val="24"/>
        </w:rPr>
      </w:pPr>
    </w:p>
    <w:p w:rsidRPr="00356FAB" w:rsidR="00356FAB" w:rsidP="00B800DD" w:rsidRDefault="00356FAB">
      <w:pPr>
        <w:ind w:left="720"/>
        <w:rPr>
          <w:color w:val="000000"/>
          <w:sz w:val="24"/>
          <w:szCs w:val="24"/>
        </w:rPr>
      </w:pPr>
      <w:r w:rsidRPr="00356FAB">
        <w:rPr>
          <w:color w:val="000000"/>
          <w:sz w:val="24"/>
          <w:szCs w:val="24"/>
        </w:rPr>
        <w:t>2.  In writing, as soon as possible, but not later than within 5 working days if the regulated article or associated lost organism is found to have characteristics substantially different from those listed in the application for a permit or suffers any unusual occurrence (excessive mortality or morbidity, or unanticipated effect on non-target organisms).</w:t>
      </w:r>
    </w:p>
    <w:p w:rsidR="005A27C6" w:rsidP="00B800DD" w:rsidRDefault="005A27C6">
      <w:pPr>
        <w:ind w:left="720"/>
        <w:rPr>
          <w:b/>
          <w:sz w:val="24"/>
        </w:rPr>
      </w:pPr>
    </w:p>
    <w:p w:rsidR="005A27C6" w:rsidP="00B800DD" w:rsidRDefault="005A27C6">
      <w:pPr>
        <w:numPr>
          <w:ilvl w:val="0"/>
          <w:numId w:val="6"/>
        </w:numPr>
        <w:spacing w:after="80"/>
        <w:ind w:hanging="450"/>
        <w:rPr>
          <w:b/>
          <w:sz w:val="24"/>
        </w:rPr>
      </w:pPr>
      <w:r>
        <w:rPr>
          <w:b/>
          <w:sz w:val="24"/>
        </w:rPr>
        <w:t>requiring respondents to submit more than an original and two copies of any docu</w:t>
      </w:r>
      <w:r>
        <w:rPr>
          <w:b/>
          <w:sz w:val="24"/>
        </w:rPr>
        <w:softHyphen/>
        <w:t>ment;</w:t>
      </w:r>
    </w:p>
    <w:p w:rsidR="00A21619" w:rsidP="00B800DD" w:rsidRDefault="005A27C6">
      <w:pPr>
        <w:numPr>
          <w:ilvl w:val="0"/>
          <w:numId w:val="6"/>
        </w:numPr>
        <w:ind w:hanging="446"/>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122F85" w:rsidP="00B800DD" w:rsidRDefault="00122F85">
      <w:pPr>
        <w:ind w:left="720"/>
        <w:rPr>
          <w:sz w:val="24"/>
          <w:szCs w:val="24"/>
        </w:rPr>
      </w:pPr>
    </w:p>
    <w:p w:rsidR="00A21619" w:rsidP="00B800DD" w:rsidRDefault="00A21619">
      <w:pPr>
        <w:ind w:left="720"/>
        <w:rPr>
          <w:sz w:val="24"/>
          <w:szCs w:val="24"/>
        </w:rPr>
      </w:pPr>
      <w:r>
        <w:rPr>
          <w:sz w:val="24"/>
          <w:szCs w:val="24"/>
        </w:rPr>
        <w:t xml:space="preserve">Records for documentation for approved training program and the APHIS Form 2000 Permit Application </w:t>
      </w:r>
      <w:r w:rsidRPr="00A12E40">
        <w:rPr>
          <w:sz w:val="24"/>
          <w:szCs w:val="24"/>
        </w:rPr>
        <w:t xml:space="preserve">(or equivalent) and associated files, notification and associated files, data/monitoring reports, and petition files </w:t>
      </w:r>
      <w:r>
        <w:rPr>
          <w:sz w:val="24"/>
          <w:szCs w:val="24"/>
        </w:rPr>
        <w:t>must be retained for 5 years before being retired to the Federal Records Center and destroyed 30 years after the permit is issued or denied according to the APHIS retention schedule.</w:t>
      </w:r>
    </w:p>
    <w:p w:rsidR="00404296" w:rsidP="00B800DD" w:rsidRDefault="00404296">
      <w:pPr>
        <w:ind w:left="720"/>
        <w:rPr>
          <w:sz w:val="24"/>
          <w:szCs w:val="24"/>
        </w:rPr>
      </w:pPr>
    </w:p>
    <w:p w:rsidR="005A27C6" w:rsidP="00B800DD" w:rsidRDefault="005A27C6">
      <w:pPr>
        <w:numPr>
          <w:ilvl w:val="0"/>
          <w:numId w:val="7"/>
        </w:numPr>
        <w:tabs>
          <w:tab w:val="clear" w:pos="360"/>
        </w:tabs>
        <w:spacing w:after="80"/>
        <w:ind w:left="720" w:hanging="450"/>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5A27C6" w:rsidP="00B800DD" w:rsidRDefault="005A27C6">
      <w:pPr>
        <w:numPr>
          <w:ilvl w:val="0"/>
          <w:numId w:val="8"/>
        </w:numPr>
        <w:tabs>
          <w:tab w:val="clear" w:pos="360"/>
        </w:tabs>
        <w:spacing w:after="80"/>
        <w:ind w:left="720" w:hanging="450"/>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5A27C6" w:rsidP="00B800DD" w:rsidRDefault="005A27C6">
      <w:pPr>
        <w:numPr>
          <w:ilvl w:val="0"/>
          <w:numId w:val="9"/>
        </w:numPr>
        <w:tabs>
          <w:tab w:val="clear" w:pos="360"/>
        </w:tabs>
        <w:spacing w:after="80"/>
        <w:ind w:left="720" w:hanging="450"/>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Pr="00CE48D1" w:rsidR="005A27C6" w:rsidP="00B800DD" w:rsidRDefault="005A27C6">
      <w:pPr>
        <w:numPr>
          <w:ilvl w:val="0"/>
          <w:numId w:val="10"/>
        </w:numPr>
        <w:tabs>
          <w:tab w:val="clear" w:pos="360"/>
          <w:tab w:val="num" w:pos="648"/>
        </w:tabs>
        <w:spacing w:after="80"/>
        <w:ind w:left="720" w:hanging="450"/>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5A27C6" w:rsidP="00B800DD" w:rsidRDefault="005A27C6">
      <w:pPr>
        <w:spacing w:after="80"/>
        <w:ind w:left="720"/>
        <w:rPr>
          <w:b/>
          <w:sz w:val="24"/>
        </w:rPr>
      </w:pPr>
    </w:p>
    <w:p w:rsidR="009F100F" w:rsidP="00D20A02" w:rsidRDefault="005A27C6">
      <w:pPr>
        <w:pStyle w:val="300"/>
        <w:rPr>
          <w:sz w:val="24"/>
          <w:szCs w:val="24"/>
        </w:rPr>
      </w:pPr>
      <w:r w:rsidRPr="006F3F49">
        <w:rPr>
          <w:sz w:val="24"/>
          <w:szCs w:val="24"/>
        </w:rPr>
        <w:t>No other special circumstances exist that would require this collection to be conducted in a manner inconsistent with the general information collection guidelines in 5 CFR 1320.5.</w:t>
      </w:r>
    </w:p>
    <w:p w:rsidR="009F100F" w:rsidP="00DA2D1A" w:rsidRDefault="009F100F">
      <w:pPr>
        <w:rPr>
          <w:b/>
          <w:sz w:val="24"/>
          <w:szCs w:val="24"/>
        </w:rPr>
      </w:pPr>
    </w:p>
    <w:p w:rsidR="00CE20C8" w:rsidP="00DA2D1A" w:rsidRDefault="00CE20C8">
      <w:pPr>
        <w:rPr>
          <w:b/>
          <w:sz w:val="24"/>
          <w:szCs w:val="24"/>
        </w:rPr>
      </w:pPr>
    </w:p>
    <w:p w:rsidRPr="00213759" w:rsidR="00DA2D1A" w:rsidP="00DA2D1A" w:rsidRDefault="00DA2D1A">
      <w:pPr>
        <w:rPr>
          <w:b/>
          <w:sz w:val="24"/>
          <w:szCs w:val="24"/>
        </w:rPr>
      </w:pPr>
      <w:r w:rsidRPr="00213759">
        <w:rPr>
          <w:b/>
          <w:sz w:val="24"/>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BE0746" w:rsidR="00DA2D1A" w:rsidP="00DA2D1A" w:rsidRDefault="00DA2D1A">
      <w:pPr>
        <w:rPr>
          <w:sz w:val="24"/>
          <w:szCs w:val="24"/>
        </w:rPr>
      </w:pPr>
    </w:p>
    <w:p w:rsidRPr="00BE0746" w:rsidR="008E3948" w:rsidP="00DA2D1A" w:rsidRDefault="00DA2D1A">
      <w:pPr>
        <w:rPr>
          <w:sz w:val="24"/>
          <w:szCs w:val="24"/>
        </w:rPr>
      </w:pPr>
      <w:r w:rsidRPr="00BE0746">
        <w:rPr>
          <w:sz w:val="24"/>
          <w:szCs w:val="24"/>
        </w:rPr>
        <w:t>APHIS’ efforts to consult with persons outside the agency to determine their views on the information co</w:t>
      </w:r>
      <w:r w:rsidR="009F6882">
        <w:rPr>
          <w:sz w:val="24"/>
          <w:szCs w:val="24"/>
        </w:rPr>
        <w:t>llection effort under 7 CFR §</w:t>
      </w:r>
      <w:r w:rsidRPr="00BE0746">
        <w:rPr>
          <w:sz w:val="24"/>
          <w:szCs w:val="24"/>
        </w:rPr>
        <w:t xml:space="preserve"> 340 take place on a nearly daily basis because of the interactive process through which the information is collected for both notification and permitting.  APHIS ensure</w:t>
      </w:r>
      <w:r w:rsidR="00127BC6">
        <w:rPr>
          <w:sz w:val="24"/>
          <w:szCs w:val="24"/>
        </w:rPr>
        <w:t>s</w:t>
      </w:r>
      <w:r w:rsidRPr="00BE0746">
        <w:rPr>
          <w:sz w:val="24"/>
          <w:szCs w:val="24"/>
        </w:rPr>
        <w:t xml:space="preserve"> that the information provided by the applicant is complete, and advises applicants of any deficiencies in a timely manner.  </w:t>
      </w:r>
    </w:p>
    <w:p w:rsidR="00D20A02" w:rsidP="00DA2D1A" w:rsidRDefault="00D20A02">
      <w:pPr>
        <w:rPr>
          <w:sz w:val="24"/>
          <w:szCs w:val="24"/>
        </w:rPr>
      </w:pPr>
    </w:p>
    <w:p w:rsidRPr="00034623" w:rsidR="006937A0" w:rsidP="00D11DFB" w:rsidRDefault="00DA2D1A">
      <w:pPr>
        <w:rPr>
          <w:sz w:val="24"/>
          <w:szCs w:val="24"/>
        </w:rPr>
      </w:pPr>
      <w:r w:rsidRPr="00BE0746">
        <w:rPr>
          <w:sz w:val="24"/>
          <w:szCs w:val="24"/>
        </w:rPr>
        <w:t>On a yearly basis, APHIS meets with representatives of all parties involved in the collectio</w:t>
      </w:r>
      <w:r w:rsidR="009F6882">
        <w:rPr>
          <w:sz w:val="24"/>
          <w:szCs w:val="24"/>
        </w:rPr>
        <w:t>n of information under 7 CFR §</w:t>
      </w:r>
      <w:r w:rsidRPr="00BE0746">
        <w:rPr>
          <w:sz w:val="24"/>
          <w:szCs w:val="24"/>
        </w:rPr>
        <w:t xml:space="preserve"> 340.  These efforts include presentations to and discussions with industry organizations, professional societies and groups, universities and colleges, and environmental organiz</w:t>
      </w:r>
      <w:r w:rsidRPr="006937A0">
        <w:rPr>
          <w:sz w:val="24"/>
          <w:szCs w:val="24"/>
        </w:rPr>
        <w:t>ations.</w:t>
      </w:r>
      <w:r w:rsidRPr="006937A0" w:rsidR="006937A0">
        <w:rPr>
          <w:sz w:val="24"/>
          <w:szCs w:val="24"/>
        </w:rPr>
        <w:t xml:space="preserve">  Other productive discussions take place daily and at public stakeholder meetings where </w:t>
      </w:r>
      <w:r w:rsidR="006937A0">
        <w:rPr>
          <w:sz w:val="24"/>
          <w:szCs w:val="24"/>
        </w:rPr>
        <w:t xml:space="preserve">the </w:t>
      </w:r>
      <w:r w:rsidR="00034623">
        <w:rPr>
          <w:sz w:val="24"/>
          <w:szCs w:val="24"/>
        </w:rPr>
        <w:t>agency p</w:t>
      </w:r>
      <w:r w:rsidRPr="006937A0" w:rsidR="006937A0">
        <w:rPr>
          <w:sz w:val="24"/>
          <w:szCs w:val="24"/>
        </w:rPr>
        <w:t>rovide</w:t>
      </w:r>
      <w:r w:rsidR="006937A0">
        <w:rPr>
          <w:sz w:val="24"/>
          <w:szCs w:val="24"/>
        </w:rPr>
        <w:t>s</w:t>
      </w:r>
      <w:r w:rsidRPr="006937A0" w:rsidR="006937A0">
        <w:rPr>
          <w:sz w:val="24"/>
          <w:szCs w:val="24"/>
        </w:rPr>
        <w:t xml:space="preserve"> responses to/clarification around </w:t>
      </w:r>
      <w:r w:rsidR="006937A0">
        <w:rPr>
          <w:sz w:val="24"/>
          <w:szCs w:val="24"/>
        </w:rPr>
        <w:t xml:space="preserve">its </w:t>
      </w:r>
      <w:r w:rsidRPr="006937A0" w:rsidR="006937A0">
        <w:rPr>
          <w:sz w:val="24"/>
          <w:szCs w:val="24"/>
        </w:rPr>
        <w:t>regulatory process.</w:t>
      </w:r>
      <w:r w:rsidR="006937A0">
        <w:rPr>
          <w:sz w:val="24"/>
          <w:szCs w:val="24"/>
        </w:rPr>
        <w:t xml:space="preserve">  </w:t>
      </w:r>
      <w:r w:rsidRPr="00BE0746">
        <w:rPr>
          <w:sz w:val="24"/>
          <w:szCs w:val="24"/>
        </w:rPr>
        <w:t xml:space="preserve">Productive consultations concerning </w:t>
      </w:r>
      <w:r w:rsidR="00AE2264">
        <w:rPr>
          <w:sz w:val="24"/>
          <w:szCs w:val="24"/>
        </w:rPr>
        <w:t>APHIS’</w:t>
      </w:r>
      <w:r w:rsidRPr="00BE0746">
        <w:rPr>
          <w:sz w:val="24"/>
          <w:szCs w:val="24"/>
        </w:rPr>
        <w:t xml:space="preserve"> information collection activities were </w:t>
      </w:r>
      <w:r w:rsidR="006937A0">
        <w:rPr>
          <w:sz w:val="24"/>
          <w:szCs w:val="24"/>
        </w:rPr>
        <w:t xml:space="preserve">also </w:t>
      </w:r>
      <w:r w:rsidRPr="00034623">
        <w:rPr>
          <w:sz w:val="24"/>
          <w:szCs w:val="24"/>
        </w:rPr>
        <w:t xml:space="preserve">made with the </w:t>
      </w:r>
      <w:r w:rsidRPr="00034623" w:rsidR="00034623">
        <w:rPr>
          <w:sz w:val="24"/>
          <w:szCs w:val="24"/>
        </w:rPr>
        <w:t xml:space="preserve">below listed </w:t>
      </w:r>
      <w:r w:rsidRPr="00034623">
        <w:rPr>
          <w:sz w:val="24"/>
          <w:szCs w:val="24"/>
        </w:rPr>
        <w:t>individuals (representing agr</w:t>
      </w:r>
      <w:r w:rsidRPr="00034623" w:rsidR="00BD5531">
        <w:rPr>
          <w:sz w:val="24"/>
          <w:szCs w:val="24"/>
        </w:rPr>
        <w:t>icultural companies)</w:t>
      </w:r>
      <w:r w:rsidRPr="00034623" w:rsidR="006937A0">
        <w:rPr>
          <w:sz w:val="24"/>
          <w:szCs w:val="24"/>
        </w:rPr>
        <w:t>.</w:t>
      </w:r>
    </w:p>
    <w:p w:rsidRPr="00034623" w:rsidR="006937A0" w:rsidP="00D11DFB" w:rsidRDefault="006937A0">
      <w:pPr>
        <w:rPr>
          <w:sz w:val="24"/>
          <w:szCs w:val="24"/>
        </w:rPr>
      </w:pPr>
    </w:p>
    <w:p w:rsidRPr="00034623" w:rsidR="00D11DFB" w:rsidP="00D11DFB" w:rsidRDefault="006937A0">
      <w:pPr>
        <w:rPr>
          <w:sz w:val="32"/>
          <w:szCs w:val="24"/>
        </w:rPr>
      </w:pPr>
      <w:r w:rsidRPr="00034623">
        <w:rPr>
          <w:sz w:val="24"/>
        </w:rPr>
        <w:t>Discussions included the staffing involved in submitting notifications, permits, petitions and  associated supplemental documents; recordkeeping requirements</w:t>
      </w:r>
      <w:r w:rsidRPr="00034623" w:rsidR="00034623">
        <w:rPr>
          <w:sz w:val="24"/>
        </w:rPr>
        <w:t xml:space="preserve">; and </w:t>
      </w:r>
      <w:r w:rsidRPr="00034623">
        <w:rPr>
          <w:sz w:val="24"/>
        </w:rPr>
        <w:t>staff</w:t>
      </w:r>
      <w:r w:rsidRPr="00034623" w:rsidR="00034623">
        <w:rPr>
          <w:sz w:val="24"/>
        </w:rPr>
        <w:t xml:space="preserve">ing </w:t>
      </w:r>
      <w:r w:rsidRPr="00034623">
        <w:rPr>
          <w:sz w:val="24"/>
        </w:rPr>
        <w:t xml:space="preserve">involved in reporting on characteristics related to permit conditions.  </w:t>
      </w:r>
      <w:r w:rsidRPr="00034623" w:rsidR="00034623">
        <w:rPr>
          <w:sz w:val="24"/>
        </w:rPr>
        <w:t>The agency was informed of the frequency respondents exchanged in</w:t>
      </w:r>
      <w:r w:rsidRPr="00034623">
        <w:rPr>
          <w:sz w:val="24"/>
        </w:rPr>
        <w:t xml:space="preserve">formation with </w:t>
      </w:r>
      <w:r w:rsidRPr="00034623" w:rsidR="00034623">
        <w:rPr>
          <w:sz w:val="24"/>
        </w:rPr>
        <w:t xml:space="preserve">the agency, and the number of </w:t>
      </w:r>
      <w:r w:rsidRPr="00034623">
        <w:rPr>
          <w:sz w:val="24"/>
        </w:rPr>
        <w:t xml:space="preserve">record keepers </w:t>
      </w:r>
      <w:r w:rsidRPr="00034623" w:rsidR="00034623">
        <w:rPr>
          <w:sz w:val="24"/>
        </w:rPr>
        <w:t xml:space="preserve">involved in this </w:t>
      </w:r>
      <w:r w:rsidRPr="00034623">
        <w:rPr>
          <w:sz w:val="24"/>
        </w:rPr>
        <w:t xml:space="preserve">process and </w:t>
      </w:r>
      <w:r w:rsidRPr="00034623" w:rsidR="00034623">
        <w:rPr>
          <w:sz w:val="24"/>
        </w:rPr>
        <w:t xml:space="preserve">the amount of time they </w:t>
      </w:r>
      <w:r w:rsidRPr="00034623">
        <w:rPr>
          <w:sz w:val="24"/>
        </w:rPr>
        <w:t xml:space="preserve">devoted to this </w:t>
      </w:r>
      <w:r w:rsidRPr="00034623" w:rsidR="00034623">
        <w:rPr>
          <w:sz w:val="24"/>
        </w:rPr>
        <w:t>activity</w:t>
      </w:r>
      <w:r w:rsidRPr="00034623">
        <w:rPr>
          <w:sz w:val="24"/>
        </w:rPr>
        <w:t xml:space="preserve">.  </w:t>
      </w:r>
      <w:r w:rsidRPr="00034623" w:rsidR="00034623">
        <w:rPr>
          <w:sz w:val="24"/>
        </w:rPr>
        <w:t xml:space="preserve">The agency solicited and was provided information for </w:t>
      </w:r>
      <w:r w:rsidRPr="00034623">
        <w:rPr>
          <w:sz w:val="24"/>
        </w:rPr>
        <w:t xml:space="preserve">how many people were involved in submitting field test reports and how long it takes to develop these reports.  For the Approved Training Program, </w:t>
      </w:r>
      <w:r w:rsidRPr="00034623" w:rsidR="00034623">
        <w:rPr>
          <w:sz w:val="24"/>
        </w:rPr>
        <w:t xml:space="preserve">respondents provided information on </w:t>
      </w:r>
      <w:r w:rsidRPr="00034623">
        <w:rPr>
          <w:sz w:val="24"/>
        </w:rPr>
        <w:t>how many people were in charge of training for permitting, dealing with compliance</w:t>
      </w:r>
      <w:r w:rsidRPr="00034623" w:rsidR="00034623">
        <w:rPr>
          <w:sz w:val="24"/>
        </w:rPr>
        <w:t xml:space="preserve">, </w:t>
      </w:r>
      <w:r w:rsidRPr="00034623">
        <w:rPr>
          <w:sz w:val="24"/>
        </w:rPr>
        <w:t>and the staff involved in creating/maintaining the training program</w:t>
      </w:r>
      <w:r w:rsidRPr="00034623" w:rsidR="00034623">
        <w:rPr>
          <w:sz w:val="24"/>
        </w:rPr>
        <w:t>.</w:t>
      </w:r>
    </w:p>
    <w:p w:rsidRPr="00034623" w:rsidR="006937A0" w:rsidP="00D11DFB" w:rsidRDefault="006937A0">
      <w:pPr>
        <w:rPr>
          <w:sz w:val="24"/>
          <w:szCs w:val="24"/>
        </w:rPr>
      </w:pPr>
    </w:p>
    <w:p w:rsidRPr="00D11DFB" w:rsidR="00D11DFB" w:rsidP="00D11DFB" w:rsidRDefault="00D11DFB">
      <w:pPr>
        <w:rPr>
          <w:sz w:val="24"/>
          <w:szCs w:val="24"/>
        </w:rPr>
      </w:pPr>
      <w:r w:rsidRPr="00034623">
        <w:rPr>
          <w:sz w:val="24"/>
          <w:szCs w:val="24"/>
        </w:rPr>
        <w:t>James Ligo</w:t>
      </w:r>
      <w:r w:rsidRPr="00D11DFB">
        <w:rPr>
          <w:sz w:val="24"/>
          <w:szCs w:val="24"/>
        </w:rPr>
        <w:t>n, Ph.D.</w:t>
      </w:r>
      <w:r w:rsidRPr="00D11DFB">
        <w:rPr>
          <w:sz w:val="24"/>
          <w:szCs w:val="24"/>
        </w:rPr>
        <w:br/>
        <w:t>VP, Regulatory Affairs and Stewardship</w:t>
      </w:r>
    </w:p>
    <w:p w:rsidRPr="00D11DFB" w:rsidR="00D11DFB" w:rsidP="00D11DFB" w:rsidRDefault="00D11DFB">
      <w:pPr>
        <w:rPr>
          <w:sz w:val="24"/>
          <w:szCs w:val="24"/>
        </w:rPr>
      </w:pPr>
      <w:r w:rsidRPr="00D11DFB">
        <w:rPr>
          <w:sz w:val="24"/>
          <w:szCs w:val="24"/>
        </w:rPr>
        <w:t>Agrivida, Inc. </w:t>
      </w:r>
      <w:r w:rsidRPr="00D11DFB">
        <w:rPr>
          <w:sz w:val="24"/>
          <w:szCs w:val="24"/>
        </w:rPr>
        <w:br/>
      </w:r>
      <w:r w:rsidRPr="002E26A9">
        <w:rPr>
          <w:sz w:val="24"/>
          <w:szCs w:val="24"/>
        </w:rPr>
        <w:t>www.agrivida.com</w:t>
      </w:r>
    </w:p>
    <w:p w:rsidR="008522C6" w:rsidP="008522C6" w:rsidRDefault="00D11DFB">
      <w:pPr>
        <w:rPr>
          <w:sz w:val="24"/>
          <w:szCs w:val="24"/>
        </w:rPr>
      </w:pPr>
      <w:r w:rsidRPr="002E26A9">
        <w:rPr>
          <w:sz w:val="24"/>
          <w:szCs w:val="24"/>
        </w:rPr>
        <w:t>jim.ligon@agrivida.com</w:t>
      </w:r>
      <w:r w:rsidRPr="00D11DFB">
        <w:rPr>
          <w:sz w:val="24"/>
          <w:szCs w:val="24"/>
        </w:rPr>
        <w:br/>
        <w:t>919-675-6666</w:t>
      </w:r>
      <w:r w:rsidRPr="00D11DFB">
        <w:rPr>
          <w:sz w:val="24"/>
          <w:szCs w:val="24"/>
        </w:rPr>
        <w:br/>
        <w:t>1023 Christopher Drive</w:t>
      </w:r>
      <w:r w:rsidRPr="00D11DFB">
        <w:rPr>
          <w:sz w:val="24"/>
          <w:szCs w:val="24"/>
        </w:rPr>
        <w:br/>
        <w:t>Chapel Hill, NC 27517</w:t>
      </w:r>
      <w:r w:rsidRPr="00D11DFB">
        <w:rPr>
          <w:sz w:val="24"/>
          <w:szCs w:val="24"/>
        </w:rPr>
        <w:br/>
      </w:r>
    </w:p>
    <w:p w:rsidRPr="008522C6" w:rsidR="008522C6" w:rsidP="008522C6" w:rsidRDefault="008522C6">
      <w:pPr>
        <w:rPr>
          <w:sz w:val="24"/>
          <w:szCs w:val="24"/>
        </w:rPr>
      </w:pPr>
      <w:r w:rsidRPr="008522C6">
        <w:rPr>
          <w:sz w:val="24"/>
          <w:szCs w:val="24"/>
        </w:rPr>
        <w:t>Kim Forrester    Global Biotech Compliance Lead</w:t>
      </w:r>
    </w:p>
    <w:p w:rsidRPr="008522C6" w:rsidR="008522C6" w:rsidP="008522C6" w:rsidRDefault="008522C6">
      <w:pPr>
        <w:rPr>
          <w:sz w:val="24"/>
          <w:szCs w:val="24"/>
        </w:rPr>
      </w:pPr>
      <w:r w:rsidRPr="008522C6">
        <w:rPr>
          <w:sz w:val="24"/>
          <w:szCs w:val="24"/>
        </w:rPr>
        <w:t>Scott Mundell    Sr. Manager, Global Biological Permitting and Compliance</w:t>
      </w:r>
    </w:p>
    <w:p w:rsidRPr="008522C6" w:rsidR="008522C6" w:rsidP="008522C6" w:rsidRDefault="008522C6">
      <w:pPr>
        <w:rPr>
          <w:sz w:val="24"/>
          <w:szCs w:val="24"/>
        </w:rPr>
      </w:pPr>
      <w:r w:rsidRPr="008522C6">
        <w:rPr>
          <w:sz w:val="24"/>
          <w:szCs w:val="24"/>
        </w:rPr>
        <w:t>Sally Catron        US Regulatory Manager</w:t>
      </w:r>
    </w:p>
    <w:p w:rsidRPr="008522C6" w:rsidR="008522C6" w:rsidP="008522C6" w:rsidRDefault="008522C6">
      <w:pPr>
        <w:rPr>
          <w:sz w:val="24"/>
          <w:szCs w:val="24"/>
        </w:rPr>
      </w:pPr>
      <w:r w:rsidRPr="008522C6">
        <w:rPr>
          <w:sz w:val="24"/>
          <w:szCs w:val="24"/>
        </w:rPr>
        <w:t>Daria Schmidt    Registration and Regulatory Affairs Director - NA</w:t>
      </w:r>
    </w:p>
    <w:p w:rsidRPr="008522C6" w:rsidR="008522C6" w:rsidP="008522C6" w:rsidRDefault="008522C6">
      <w:pPr>
        <w:rPr>
          <w:sz w:val="24"/>
          <w:szCs w:val="24"/>
        </w:rPr>
      </w:pPr>
      <w:r w:rsidRPr="008522C6">
        <w:rPr>
          <w:sz w:val="24"/>
          <w:szCs w:val="24"/>
        </w:rPr>
        <w:t>Corteva Agriscience</w:t>
      </w:r>
    </w:p>
    <w:p w:rsidRPr="008522C6" w:rsidR="008522C6" w:rsidP="008522C6" w:rsidRDefault="008522C6">
      <w:pPr>
        <w:rPr>
          <w:sz w:val="24"/>
          <w:szCs w:val="24"/>
        </w:rPr>
      </w:pPr>
      <w:r w:rsidRPr="008522C6">
        <w:rPr>
          <w:sz w:val="24"/>
          <w:szCs w:val="24"/>
        </w:rPr>
        <w:t>7100 NW 62</w:t>
      </w:r>
      <w:r w:rsidRPr="008522C6">
        <w:rPr>
          <w:sz w:val="24"/>
          <w:szCs w:val="24"/>
          <w:vertAlign w:val="superscript"/>
        </w:rPr>
        <w:t>nd</w:t>
      </w:r>
      <w:r w:rsidRPr="008522C6">
        <w:rPr>
          <w:sz w:val="24"/>
          <w:szCs w:val="24"/>
        </w:rPr>
        <w:t xml:space="preserve"> Ave</w:t>
      </w:r>
    </w:p>
    <w:p w:rsidRPr="008522C6" w:rsidR="008522C6" w:rsidP="008522C6" w:rsidRDefault="008522C6">
      <w:pPr>
        <w:rPr>
          <w:sz w:val="24"/>
          <w:szCs w:val="24"/>
        </w:rPr>
      </w:pPr>
      <w:r w:rsidRPr="008522C6">
        <w:rPr>
          <w:sz w:val="24"/>
          <w:szCs w:val="24"/>
        </w:rPr>
        <w:t>Johnston, IA 50131</w:t>
      </w:r>
    </w:p>
    <w:p w:rsidR="008522C6" w:rsidP="008522C6" w:rsidRDefault="008522C6">
      <w:pPr>
        <w:rPr>
          <w:sz w:val="24"/>
          <w:szCs w:val="24"/>
        </w:rPr>
      </w:pPr>
      <w:r w:rsidRPr="008522C6">
        <w:rPr>
          <w:sz w:val="24"/>
          <w:szCs w:val="24"/>
        </w:rPr>
        <w:t>(515) 535-3200</w:t>
      </w:r>
    </w:p>
    <w:p w:rsidRPr="008522C6" w:rsidR="008522C6" w:rsidP="008522C6" w:rsidRDefault="008522C6">
      <w:pPr>
        <w:rPr>
          <w:sz w:val="24"/>
          <w:szCs w:val="24"/>
        </w:rPr>
      </w:pPr>
    </w:p>
    <w:p w:rsidRPr="00607D29" w:rsidR="00607D29" w:rsidP="00607D29" w:rsidRDefault="00607D29">
      <w:pPr>
        <w:rPr>
          <w:sz w:val="24"/>
          <w:szCs w:val="24"/>
        </w:rPr>
      </w:pPr>
      <w:r w:rsidRPr="00D20A02">
        <w:rPr>
          <w:iCs/>
          <w:sz w:val="24"/>
          <w:szCs w:val="24"/>
        </w:rPr>
        <w:t>Dawn Latham</w:t>
      </w:r>
    </w:p>
    <w:p w:rsidRPr="00D20A02" w:rsidR="00607D29" w:rsidP="00607D29" w:rsidRDefault="00607D29">
      <w:pPr>
        <w:rPr>
          <w:sz w:val="24"/>
          <w:szCs w:val="24"/>
          <w:u w:val="single"/>
        </w:rPr>
      </w:pPr>
      <w:r w:rsidRPr="00D20A02">
        <w:rPr>
          <w:bCs/>
          <w:sz w:val="24"/>
          <w:szCs w:val="24"/>
          <w:u w:val="single"/>
        </w:rPr>
        <w:t>USDA Field Compliance</w:t>
      </w:r>
      <w:r w:rsidRPr="00D20A02">
        <w:rPr>
          <w:sz w:val="24"/>
          <w:szCs w:val="24"/>
          <w:u w:val="single"/>
        </w:rPr>
        <w:t> </w:t>
      </w:r>
    </w:p>
    <w:p w:rsidRPr="00607D29" w:rsidR="00607D29" w:rsidP="00607D29" w:rsidRDefault="00607D29">
      <w:pPr>
        <w:rPr>
          <w:sz w:val="24"/>
          <w:szCs w:val="24"/>
        </w:rPr>
      </w:pPr>
      <w:r w:rsidRPr="00607D29">
        <w:rPr>
          <w:sz w:val="24"/>
          <w:szCs w:val="24"/>
        </w:rPr>
        <w:t>Bayer U.S. - Crop Science</w:t>
      </w:r>
    </w:p>
    <w:p w:rsidRPr="00607D29" w:rsidR="00607D29" w:rsidP="00607D29" w:rsidRDefault="00607D29">
      <w:pPr>
        <w:rPr>
          <w:sz w:val="24"/>
          <w:szCs w:val="24"/>
        </w:rPr>
      </w:pPr>
      <w:r w:rsidRPr="00607D29">
        <w:rPr>
          <w:sz w:val="24"/>
          <w:szCs w:val="24"/>
        </w:rPr>
        <w:t>Monsanto Company</w:t>
      </w:r>
    </w:p>
    <w:p w:rsidRPr="00607D29" w:rsidR="00607D29" w:rsidP="00607D29" w:rsidRDefault="00607D29">
      <w:pPr>
        <w:rPr>
          <w:sz w:val="24"/>
          <w:szCs w:val="24"/>
        </w:rPr>
      </w:pPr>
      <w:r w:rsidRPr="00607D29">
        <w:rPr>
          <w:sz w:val="24"/>
          <w:szCs w:val="24"/>
        </w:rPr>
        <w:t>700 Chesterfield Parkway</w:t>
      </w:r>
    </w:p>
    <w:p w:rsidRPr="00607D29" w:rsidR="00607D29" w:rsidP="00607D29" w:rsidRDefault="00607D29">
      <w:pPr>
        <w:rPr>
          <w:sz w:val="24"/>
          <w:szCs w:val="24"/>
        </w:rPr>
      </w:pPr>
      <w:r w:rsidRPr="00607D29">
        <w:rPr>
          <w:sz w:val="24"/>
          <w:szCs w:val="24"/>
        </w:rPr>
        <w:t>Chesterfield, MO, 63017, USA</w:t>
      </w:r>
    </w:p>
    <w:p w:rsidRPr="00607D29" w:rsidR="00607D29" w:rsidP="00607D29" w:rsidRDefault="00607D29">
      <w:pPr>
        <w:rPr>
          <w:sz w:val="24"/>
          <w:szCs w:val="24"/>
        </w:rPr>
      </w:pPr>
      <w:r w:rsidRPr="00607D29">
        <w:rPr>
          <w:sz w:val="24"/>
          <w:szCs w:val="24"/>
          <w:lang w:val="pt-BR"/>
        </w:rPr>
        <w:t>Tel:  +1 636-737-9503</w:t>
      </w:r>
    </w:p>
    <w:p w:rsidRPr="00607D29" w:rsidR="00607D29" w:rsidP="00607D29" w:rsidRDefault="00607D29">
      <w:pPr>
        <w:rPr>
          <w:sz w:val="24"/>
          <w:szCs w:val="24"/>
        </w:rPr>
      </w:pPr>
      <w:r w:rsidRPr="00607D29">
        <w:rPr>
          <w:sz w:val="24"/>
          <w:szCs w:val="24"/>
          <w:lang w:val="pt-BR"/>
        </w:rPr>
        <w:t xml:space="preserve">E-mail:  </w:t>
      </w:r>
      <w:r w:rsidRPr="00B800DD">
        <w:rPr>
          <w:sz w:val="24"/>
          <w:szCs w:val="24"/>
          <w:lang w:val="pt-BR"/>
        </w:rPr>
        <w:t>Dawn.Latham@bayer.com</w:t>
      </w:r>
    </w:p>
    <w:p w:rsidRPr="00607D29" w:rsidR="00607D29" w:rsidP="00607D29" w:rsidRDefault="00607D29">
      <w:pPr>
        <w:rPr>
          <w:sz w:val="24"/>
          <w:szCs w:val="24"/>
        </w:rPr>
      </w:pPr>
      <w:r w:rsidRPr="00607D29">
        <w:rPr>
          <w:sz w:val="24"/>
          <w:szCs w:val="24"/>
        </w:rPr>
        <w:t>Web:  </w:t>
      </w:r>
      <w:r w:rsidR="00B800DD">
        <w:rPr>
          <w:sz w:val="24"/>
          <w:szCs w:val="24"/>
        </w:rPr>
        <w:t>h</w:t>
      </w:r>
      <w:r w:rsidRPr="00B800DD">
        <w:rPr>
          <w:sz w:val="24"/>
          <w:szCs w:val="24"/>
        </w:rPr>
        <w:t>ttp://www.bayer.com</w:t>
      </w:r>
    </w:p>
    <w:p w:rsidR="00112FF3" w:rsidP="00291797" w:rsidRDefault="00EA221E">
      <w:pPr>
        <w:pStyle w:val="300"/>
        <w:rPr>
          <w:sz w:val="24"/>
          <w:szCs w:val="24"/>
        </w:rPr>
      </w:pPr>
      <w:r w:rsidRPr="00404296">
        <w:rPr>
          <w:rStyle w:val="InitialStyle"/>
          <w:rFonts w:ascii="Times New Roman" w:hAnsi="Times New Roman"/>
          <w:szCs w:val="24"/>
        </w:rPr>
        <w:t xml:space="preserve">On </w:t>
      </w:r>
      <w:r w:rsidRPr="00404296" w:rsidR="00404296">
        <w:rPr>
          <w:rStyle w:val="InitialStyle"/>
          <w:rFonts w:ascii="Times New Roman" w:hAnsi="Times New Roman"/>
          <w:szCs w:val="24"/>
        </w:rPr>
        <w:t>Friday, October 25, 2019, A</w:t>
      </w:r>
      <w:r w:rsidRPr="00404296">
        <w:rPr>
          <w:sz w:val="24"/>
          <w:szCs w:val="24"/>
        </w:rPr>
        <w:t>PHIS published in the Federal Register</w:t>
      </w:r>
      <w:r w:rsidRPr="00404296" w:rsidR="00404296">
        <w:rPr>
          <w:sz w:val="24"/>
          <w:szCs w:val="24"/>
        </w:rPr>
        <w:t xml:space="preserve"> on pages 57385 and 57386</w:t>
      </w:r>
      <w:r w:rsidRPr="00404296">
        <w:rPr>
          <w:sz w:val="24"/>
          <w:szCs w:val="24"/>
        </w:rPr>
        <w:t>, a 60-day notice seeking public comments on its plan to request a 3-year renewal of this collection of information.</w:t>
      </w:r>
      <w:r w:rsidRPr="00404296" w:rsidR="008B0534">
        <w:rPr>
          <w:sz w:val="24"/>
          <w:szCs w:val="24"/>
        </w:rPr>
        <w:t xml:space="preserve"> </w:t>
      </w:r>
      <w:r w:rsidRPr="00404296" w:rsidR="00404296">
        <w:rPr>
          <w:sz w:val="24"/>
          <w:szCs w:val="24"/>
        </w:rPr>
        <w:t xml:space="preserve"> A</w:t>
      </w:r>
      <w:r w:rsidRPr="00404296" w:rsidR="00112FF3">
        <w:rPr>
          <w:sz w:val="24"/>
          <w:szCs w:val="24"/>
        </w:rPr>
        <w:t>PHIS received three comments.  One comment was not relevant to the information collection</w:t>
      </w:r>
      <w:r w:rsidRPr="00CE20C8" w:rsidR="00112FF3">
        <w:rPr>
          <w:sz w:val="24"/>
          <w:szCs w:val="24"/>
        </w:rPr>
        <w:t xml:space="preserve"> request.  </w:t>
      </w:r>
      <w:r w:rsidRPr="00CE20C8" w:rsidR="00CE20C8">
        <w:rPr>
          <w:sz w:val="24"/>
          <w:szCs w:val="24"/>
        </w:rPr>
        <w:t>Another commenter asked when APHIS will replace APHIS 2000 with an automated one.  APHIS is adopting the use of xml submissions to do this.</w:t>
      </w:r>
      <w:r w:rsidRPr="00CE20C8" w:rsidR="00112FF3">
        <w:rPr>
          <w:sz w:val="24"/>
          <w:szCs w:val="24"/>
        </w:rPr>
        <w:t xml:space="preserve">  The commenter also asked APH</w:t>
      </w:r>
      <w:r w:rsidRPr="00A64421" w:rsidR="00112FF3">
        <w:rPr>
          <w:sz w:val="24"/>
          <w:szCs w:val="24"/>
        </w:rPr>
        <w:t xml:space="preserve">IS to reevaluate its estimated responses for compliance reports.  APHIS has made adjustments with this information collection.  The third commenter remarked that the burden estimates were underestimated.  With the development of our ePermit and eFile systems, and the nearly 100% use of xml as an electronic submission, we strive to reduce the burden.  </w:t>
      </w:r>
      <w:r w:rsidRPr="00404296" w:rsidR="00112FF3">
        <w:rPr>
          <w:sz w:val="24"/>
          <w:szCs w:val="24"/>
        </w:rPr>
        <w:t>This same commenter stated that there has been no formal opportunity for affected stakeholders to provide input on information collections.  APHIS routinely reaches out to industry, academia, developers and our regulated community at large through public stakeholder meetings, on site visits, and regularly holds both in-person and conference calls to receive public feedback.  Changes to the CFR are processed in accordance with Federal rulemaking procedures.</w:t>
      </w:r>
    </w:p>
    <w:p w:rsidR="00404296" w:rsidP="00291797" w:rsidRDefault="00404296">
      <w:pPr>
        <w:pStyle w:val="300"/>
        <w:rPr>
          <w:sz w:val="24"/>
          <w:szCs w:val="24"/>
        </w:rPr>
      </w:pPr>
    </w:p>
    <w:p w:rsidRPr="00404296" w:rsidR="00404296" w:rsidP="00291797" w:rsidRDefault="00404296">
      <w:pPr>
        <w:pStyle w:val="300"/>
        <w:rPr>
          <w:sz w:val="24"/>
          <w:szCs w:val="24"/>
        </w:rPr>
      </w:pPr>
    </w:p>
    <w:p w:rsidRPr="00213759" w:rsidR="00DA2D1A" w:rsidP="00DA2D1A" w:rsidRDefault="00DA2D1A">
      <w:pPr>
        <w:rPr>
          <w:b/>
          <w:sz w:val="24"/>
          <w:szCs w:val="24"/>
        </w:rPr>
      </w:pPr>
      <w:r w:rsidRPr="00213759">
        <w:rPr>
          <w:b/>
          <w:sz w:val="24"/>
          <w:szCs w:val="24"/>
        </w:rPr>
        <w:t>9.   Explain any decision to provide any payment or gift to respondents, other than reenumeration of contractors or grantees.</w:t>
      </w:r>
    </w:p>
    <w:p w:rsidR="00DA2D1A" w:rsidP="00DA2D1A" w:rsidRDefault="00DA2D1A">
      <w:pPr>
        <w:rPr>
          <w:b/>
          <w:sz w:val="24"/>
          <w:szCs w:val="24"/>
        </w:rPr>
      </w:pPr>
    </w:p>
    <w:p w:rsidR="00A0087C" w:rsidP="00DA2D1A" w:rsidRDefault="00A0087C">
      <w:pPr>
        <w:rPr>
          <w:sz w:val="24"/>
          <w:szCs w:val="24"/>
        </w:rPr>
      </w:pPr>
      <w:r>
        <w:rPr>
          <w:sz w:val="24"/>
          <w:szCs w:val="24"/>
        </w:rPr>
        <w:t>This information collection activity</w:t>
      </w:r>
      <w:r w:rsidR="00C9415A">
        <w:rPr>
          <w:sz w:val="24"/>
          <w:szCs w:val="24"/>
        </w:rPr>
        <w:t xml:space="preserve"> involves no payments or gifts to respondents.</w:t>
      </w:r>
      <w:r w:rsidR="00831CA3">
        <w:rPr>
          <w:sz w:val="24"/>
          <w:szCs w:val="24"/>
        </w:rPr>
        <w:t xml:space="preserve"> The following is a list of all agreements and/or Memorandums of Understanding between USDA APHIS BRS and the listed party.</w:t>
      </w:r>
    </w:p>
    <w:p w:rsidR="00404296" w:rsidP="00DA2D1A" w:rsidRDefault="00404296">
      <w:pPr>
        <w:rPr>
          <w:sz w:val="24"/>
          <w:szCs w:val="24"/>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0"/>
        <w:gridCol w:w="1530"/>
        <w:gridCol w:w="630"/>
      </w:tblGrid>
      <w:tr w:rsidRPr="003800F6" w:rsidR="00404296" w:rsidTr="00A64421">
        <w:trPr>
          <w:trHeight w:val="264"/>
        </w:trPr>
        <w:tc>
          <w:tcPr>
            <w:tcW w:w="7200" w:type="dxa"/>
            <w:shd w:val="clear" w:color="auto" w:fill="auto"/>
            <w:noWrap/>
            <w:hideMark/>
          </w:tcPr>
          <w:p w:rsidRPr="003800F6" w:rsidR="00404296" w:rsidRDefault="00404296">
            <w:pPr>
              <w:rPr>
                <w:sz w:val="24"/>
                <w:szCs w:val="24"/>
              </w:rPr>
            </w:pPr>
            <w:r w:rsidRPr="003800F6">
              <w:rPr>
                <w:sz w:val="24"/>
                <w:szCs w:val="24"/>
              </w:rPr>
              <w:t>Dept. of Health &amp; Human Services</w:t>
            </w:r>
          </w:p>
        </w:tc>
        <w:tc>
          <w:tcPr>
            <w:tcW w:w="1530" w:type="dxa"/>
            <w:shd w:val="clear" w:color="auto" w:fill="auto"/>
            <w:noWrap/>
            <w:hideMark/>
          </w:tcPr>
          <w:p w:rsidRPr="003800F6" w:rsidR="00404296" w:rsidRDefault="00404296">
            <w:pPr>
              <w:rPr>
                <w:sz w:val="24"/>
                <w:szCs w:val="24"/>
              </w:rPr>
            </w:pPr>
            <w:r w:rsidRPr="003800F6">
              <w:rPr>
                <w:sz w:val="24"/>
                <w:szCs w:val="24"/>
              </w:rPr>
              <w:t>College Park</w:t>
            </w:r>
          </w:p>
        </w:tc>
        <w:tc>
          <w:tcPr>
            <w:tcW w:w="630" w:type="dxa"/>
            <w:shd w:val="clear" w:color="auto" w:fill="auto"/>
            <w:noWrap/>
            <w:hideMark/>
          </w:tcPr>
          <w:p w:rsidRPr="003800F6" w:rsidR="00404296" w:rsidRDefault="00404296">
            <w:pPr>
              <w:rPr>
                <w:sz w:val="24"/>
                <w:szCs w:val="24"/>
              </w:rPr>
            </w:pPr>
            <w:r w:rsidRPr="003800F6">
              <w:rPr>
                <w:sz w:val="24"/>
                <w:szCs w:val="24"/>
              </w:rPr>
              <w:t>MD</w:t>
            </w:r>
          </w:p>
        </w:tc>
      </w:tr>
      <w:tr w:rsidRPr="003800F6" w:rsidR="00404296" w:rsidTr="00A64421">
        <w:trPr>
          <w:trHeight w:val="264"/>
        </w:trPr>
        <w:tc>
          <w:tcPr>
            <w:tcW w:w="7200" w:type="dxa"/>
            <w:shd w:val="clear" w:color="auto" w:fill="auto"/>
            <w:noWrap/>
          </w:tcPr>
          <w:p w:rsidRPr="003800F6" w:rsidR="00404296" w:rsidP="00C0481C" w:rsidRDefault="00404296">
            <w:pPr>
              <w:rPr>
                <w:sz w:val="24"/>
                <w:szCs w:val="24"/>
              </w:rPr>
            </w:pPr>
            <w:r w:rsidRPr="003800F6">
              <w:rPr>
                <w:sz w:val="24"/>
                <w:szCs w:val="24"/>
              </w:rPr>
              <w:t>North Carolina Department of Agriculture and Consumer Services</w:t>
            </w:r>
          </w:p>
        </w:tc>
        <w:tc>
          <w:tcPr>
            <w:tcW w:w="1530" w:type="dxa"/>
            <w:shd w:val="clear" w:color="auto" w:fill="auto"/>
            <w:noWrap/>
          </w:tcPr>
          <w:p w:rsidRPr="003800F6" w:rsidR="00404296" w:rsidP="00C0481C" w:rsidRDefault="00404296">
            <w:pPr>
              <w:rPr>
                <w:sz w:val="24"/>
                <w:szCs w:val="24"/>
              </w:rPr>
            </w:pPr>
            <w:r w:rsidRPr="003800F6">
              <w:rPr>
                <w:sz w:val="24"/>
                <w:szCs w:val="24"/>
              </w:rPr>
              <w:t>Raleigh</w:t>
            </w:r>
          </w:p>
        </w:tc>
        <w:tc>
          <w:tcPr>
            <w:tcW w:w="630" w:type="dxa"/>
            <w:shd w:val="clear" w:color="auto" w:fill="auto"/>
            <w:noWrap/>
          </w:tcPr>
          <w:p w:rsidRPr="003800F6" w:rsidR="00404296" w:rsidP="00C0481C" w:rsidRDefault="00404296">
            <w:pPr>
              <w:rPr>
                <w:sz w:val="24"/>
                <w:szCs w:val="24"/>
              </w:rPr>
            </w:pPr>
            <w:r w:rsidRPr="003800F6">
              <w:rPr>
                <w:sz w:val="24"/>
                <w:szCs w:val="24"/>
              </w:rPr>
              <w:t>NC</w:t>
            </w:r>
          </w:p>
        </w:tc>
      </w:tr>
      <w:tr w:rsidRPr="003800F6" w:rsidR="00404296" w:rsidTr="00A64421">
        <w:trPr>
          <w:trHeight w:val="264"/>
        </w:trPr>
        <w:tc>
          <w:tcPr>
            <w:tcW w:w="7200" w:type="dxa"/>
            <w:shd w:val="clear" w:color="auto" w:fill="auto"/>
            <w:noWrap/>
          </w:tcPr>
          <w:p w:rsidRPr="003800F6" w:rsidR="00404296" w:rsidP="00C0481C" w:rsidRDefault="00404296">
            <w:pPr>
              <w:rPr>
                <w:sz w:val="24"/>
                <w:szCs w:val="24"/>
              </w:rPr>
            </w:pPr>
            <w:r w:rsidRPr="003800F6">
              <w:rPr>
                <w:sz w:val="24"/>
                <w:szCs w:val="24"/>
              </w:rPr>
              <w:t>Florida Department of Agriculture and Consumer Services</w:t>
            </w:r>
          </w:p>
        </w:tc>
        <w:tc>
          <w:tcPr>
            <w:tcW w:w="1530" w:type="dxa"/>
            <w:shd w:val="clear" w:color="auto" w:fill="auto"/>
            <w:noWrap/>
          </w:tcPr>
          <w:p w:rsidRPr="003800F6" w:rsidR="00404296" w:rsidP="00C0481C" w:rsidRDefault="00404296">
            <w:pPr>
              <w:rPr>
                <w:sz w:val="24"/>
                <w:szCs w:val="24"/>
              </w:rPr>
            </w:pPr>
            <w:r w:rsidRPr="003800F6">
              <w:rPr>
                <w:sz w:val="24"/>
                <w:szCs w:val="24"/>
              </w:rPr>
              <w:t>Tallahassee</w:t>
            </w:r>
          </w:p>
        </w:tc>
        <w:tc>
          <w:tcPr>
            <w:tcW w:w="630" w:type="dxa"/>
            <w:shd w:val="clear" w:color="auto" w:fill="auto"/>
            <w:noWrap/>
          </w:tcPr>
          <w:p w:rsidRPr="003800F6" w:rsidR="00404296" w:rsidP="00C0481C" w:rsidRDefault="00404296">
            <w:pPr>
              <w:rPr>
                <w:sz w:val="24"/>
                <w:szCs w:val="24"/>
              </w:rPr>
            </w:pPr>
            <w:r w:rsidRPr="003800F6">
              <w:rPr>
                <w:sz w:val="24"/>
                <w:szCs w:val="24"/>
              </w:rPr>
              <w:t>FL</w:t>
            </w:r>
          </w:p>
        </w:tc>
      </w:tr>
      <w:tr w:rsidRPr="003800F6" w:rsidR="00404296" w:rsidTr="00A64421">
        <w:trPr>
          <w:trHeight w:val="264"/>
        </w:trPr>
        <w:tc>
          <w:tcPr>
            <w:tcW w:w="7200" w:type="dxa"/>
            <w:shd w:val="clear" w:color="auto" w:fill="auto"/>
            <w:noWrap/>
            <w:hideMark/>
          </w:tcPr>
          <w:p w:rsidRPr="003800F6" w:rsidR="00404296" w:rsidP="00C0481C" w:rsidRDefault="00404296">
            <w:pPr>
              <w:rPr>
                <w:sz w:val="24"/>
                <w:szCs w:val="24"/>
              </w:rPr>
            </w:pPr>
            <w:r w:rsidRPr="003800F6">
              <w:rPr>
                <w:sz w:val="24"/>
                <w:szCs w:val="24"/>
              </w:rPr>
              <w:t>Kansas Department of Agriculture</w:t>
            </w:r>
          </w:p>
        </w:tc>
        <w:tc>
          <w:tcPr>
            <w:tcW w:w="1530" w:type="dxa"/>
            <w:shd w:val="clear" w:color="auto" w:fill="auto"/>
            <w:noWrap/>
            <w:hideMark/>
          </w:tcPr>
          <w:p w:rsidRPr="003800F6" w:rsidR="00404296" w:rsidP="00C0481C" w:rsidRDefault="00404296">
            <w:pPr>
              <w:rPr>
                <w:sz w:val="24"/>
                <w:szCs w:val="24"/>
              </w:rPr>
            </w:pPr>
            <w:r w:rsidRPr="003800F6">
              <w:rPr>
                <w:sz w:val="24"/>
                <w:szCs w:val="24"/>
              </w:rPr>
              <w:t>Topeka</w:t>
            </w:r>
          </w:p>
        </w:tc>
        <w:tc>
          <w:tcPr>
            <w:tcW w:w="630" w:type="dxa"/>
            <w:shd w:val="clear" w:color="auto" w:fill="auto"/>
            <w:noWrap/>
            <w:hideMark/>
          </w:tcPr>
          <w:p w:rsidRPr="003800F6" w:rsidR="00404296" w:rsidP="00C0481C" w:rsidRDefault="00404296">
            <w:pPr>
              <w:rPr>
                <w:sz w:val="24"/>
                <w:szCs w:val="24"/>
              </w:rPr>
            </w:pPr>
            <w:r w:rsidRPr="003800F6">
              <w:rPr>
                <w:sz w:val="24"/>
                <w:szCs w:val="24"/>
              </w:rPr>
              <w:t>KS</w:t>
            </w:r>
          </w:p>
        </w:tc>
      </w:tr>
      <w:tr w:rsidRPr="003800F6" w:rsidR="00404296" w:rsidTr="00A64421">
        <w:trPr>
          <w:trHeight w:val="264"/>
        </w:trPr>
        <w:tc>
          <w:tcPr>
            <w:tcW w:w="7200" w:type="dxa"/>
            <w:shd w:val="clear" w:color="auto" w:fill="auto"/>
            <w:noWrap/>
            <w:hideMark/>
          </w:tcPr>
          <w:p w:rsidRPr="003800F6" w:rsidR="00404296" w:rsidP="00C0481C" w:rsidRDefault="00404296">
            <w:pPr>
              <w:rPr>
                <w:sz w:val="24"/>
                <w:szCs w:val="24"/>
              </w:rPr>
            </w:pPr>
            <w:r w:rsidRPr="003800F6">
              <w:rPr>
                <w:sz w:val="24"/>
                <w:szCs w:val="24"/>
              </w:rPr>
              <w:t>USDA Agricultural Marketing Service</w:t>
            </w:r>
          </w:p>
        </w:tc>
        <w:tc>
          <w:tcPr>
            <w:tcW w:w="1530" w:type="dxa"/>
            <w:shd w:val="clear" w:color="auto" w:fill="auto"/>
            <w:noWrap/>
            <w:hideMark/>
          </w:tcPr>
          <w:p w:rsidRPr="003800F6" w:rsidR="00404296" w:rsidP="00C0481C" w:rsidRDefault="00404296">
            <w:pPr>
              <w:rPr>
                <w:sz w:val="24"/>
                <w:szCs w:val="24"/>
              </w:rPr>
            </w:pPr>
            <w:r w:rsidRPr="003800F6">
              <w:rPr>
                <w:sz w:val="24"/>
                <w:szCs w:val="24"/>
              </w:rPr>
              <w:t>Washington</w:t>
            </w:r>
          </w:p>
        </w:tc>
        <w:tc>
          <w:tcPr>
            <w:tcW w:w="630" w:type="dxa"/>
            <w:shd w:val="clear" w:color="auto" w:fill="auto"/>
            <w:noWrap/>
            <w:hideMark/>
          </w:tcPr>
          <w:p w:rsidRPr="003800F6" w:rsidR="00404296" w:rsidP="00C0481C" w:rsidRDefault="00404296">
            <w:pPr>
              <w:rPr>
                <w:sz w:val="24"/>
                <w:szCs w:val="24"/>
              </w:rPr>
            </w:pPr>
            <w:r w:rsidRPr="003800F6">
              <w:rPr>
                <w:sz w:val="24"/>
                <w:szCs w:val="24"/>
              </w:rPr>
              <w:t>DC</w:t>
            </w:r>
          </w:p>
        </w:tc>
      </w:tr>
      <w:tr w:rsidRPr="003800F6" w:rsidR="00404296" w:rsidTr="00A64421">
        <w:trPr>
          <w:trHeight w:val="264"/>
        </w:trPr>
        <w:tc>
          <w:tcPr>
            <w:tcW w:w="7200" w:type="dxa"/>
            <w:shd w:val="clear" w:color="auto" w:fill="auto"/>
            <w:noWrap/>
            <w:hideMark/>
          </w:tcPr>
          <w:p w:rsidRPr="003800F6" w:rsidR="00404296" w:rsidP="00C0481C" w:rsidRDefault="00404296">
            <w:pPr>
              <w:rPr>
                <w:sz w:val="24"/>
                <w:szCs w:val="24"/>
              </w:rPr>
            </w:pPr>
            <w:r w:rsidRPr="003800F6">
              <w:rPr>
                <w:sz w:val="24"/>
                <w:szCs w:val="24"/>
              </w:rPr>
              <w:t>USDA Grain Inspection, Packers &amp; Stockyards Administration</w:t>
            </w:r>
          </w:p>
        </w:tc>
        <w:tc>
          <w:tcPr>
            <w:tcW w:w="1530" w:type="dxa"/>
            <w:shd w:val="clear" w:color="auto" w:fill="auto"/>
            <w:noWrap/>
            <w:hideMark/>
          </w:tcPr>
          <w:p w:rsidRPr="003800F6" w:rsidR="00404296" w:rsidP="00C0481C" w:rsidRDefault="00404296">
            <w:pPr>
              <w:rPr>
                <w:sz w:val="24"/>
                <w:szCs w:val="24"/>
              </w:rPr>
            </w:pPr>
            <w:r w:rsidRPr="003800F6">
              <w:rPr>
                <w:sz w:val="24"/>
                <w:szCs w:val="24"/>
              </w:rPr>
              <w:t>Washington</w:t>
            </w:r>
          </w:p>
        </w:tc>
        <w:tc>
          <w:tcPr>
            <w:tcW w:w="630" w:type="dxa"/>
            <w:shd w:val="clear" w:color="auto" w:fill="auto"/>
            <w:noWrap/>
            <w:hideMark/>
          </w:tcPr>
          <w:p w:rsidRPr="003800F6" w:rsidR="00404296" w:rsidP="00C0481C" w:rsidRDefault="00404296">
            <w:pPr>
              <w:rPr>
                <w:sz w:val="24"/>
                <w:szCs w:val="24"/>
              </w:rPr>
            </w:pPr>
            <w:r w:rsidRPr="003800F6">
              <w:rPr>
                <w:sz w:val="24"/>
                <w:szCs w:val="24"/>
              </w:rPr>
              <w:t>DC</w:t>
            </w:r>
          </w:p>
        </w:tc>
      </w:tr>
      <w:tr w:rsidRPr="003800F6" w:rsidR="00404296" w:rsidTr="00A64421">
        <w:trPr>
          <w:trHeight w:val="264"/>
        </w:trPr>
        <w:tc>
          <w:tcPr>
            <w:tcW w:w="7200" w:type="dxa"/>
            <w:shd w:val="clear" w:color="auto" w:fill="auto"/>
            <w:noWrap/>
            <w:hideMark/>
          </w:tcPr>
          <w:p w:rsidRPr="003800F6" w:rsidR="00404296" w:rsidP="00C0481C" w:rsidRDefault="00404296">
            <w:pPr>
              <w:rPr>
                <w:sz w:val="24"/>
                <w:szCs w:val="24"/>
              </w:rPr>
            </w:pPr>
            <w:r w:rsidRPr="003800F6">
              <w:rPr>
                <w:sz w:val="24"/>
                <w:szCs w:val="24"/>
              </w:rPr>
              <w:t>Arkansas State Plant Board</w:t>
            </w:r>
          </w:p>
        </w:tc>
        <w:tc>
          <w:tcPr>
            <w:tcW w:w="1530" w:type="dxa"/>
            <w:shd w:val="clear" w:color="auto" w:fill="auto"/>
            <w:noWrap/>
            <w:hideMark/>
          </w:tcPr>
          <w:p w:rsidRPr="003800F6" w:rsidR="00404296" w:rsidP="00C0481C" w:rsidRDefault="00404296">
            <w:pPr>
              <w:rPr>
                <w:sz w:val="24"/>
                <w:szCs w:val="24"/>
              </w:rPr>
            </w:pPr>
            <w:r w:rsidRPr="003800F6">
              <w:rPr>
                <w:sz w:val="24"/>
                <w:szCs w:val="24"/>
              </w:rPr>
              <w:t>Little Rock</w:t>
            </w:r>
          </w:p>
        </w:tc>
        <w:tc>
          <w:tcPr>
            <w:tcW w:w="630" w:type="dxa"/>
            <w:shd w:val="clear" w:color="auto" w:fill="auto"/>
            <w:noWrap/>
            <w:hideMark/>
          </w:tcPr>
          <w:p w:rsidRPr="003800F6" w:rsidR="00404296" w:rsidP="00C0481C" w:rsidRDefault="00404296">
            <w:pPr>
              <w:rPr>
                <w:sz w:val="24"/>
                <w:szCs w:val="24"/>
              </w:rPr>
            </w:pPr>
            <w:r w:rsidRPr="003800F6">
              <w:rPr>
                <w:sz w:val="24"/>
                <w:szCs w:val="24"/>
              </w:rPr>
              <w:t>AR</w:t>
            </w:r>
          </w:p>
        </w:tc>
      </w:tr>
      <w:tr w:rsidRPr="003800F6" w:rsidR="00404296" w:rsidTr="00A64421">
        <w:trPr>
          <w:trHeight w:val="264"/>
        </w:trPr>
        <w:tc>
          <w:tcPr>
            <w:tcW w:w="7200" w:type="dxa"/>
            <w:shd w:val="clear" w:color="auto" w:fill="auto"/>
            <w:noWrap/>
            <w:hideMark/>
          </w:tcPr>
          <w:p w:rsidRPr="003800F6" w:rsidR="00404296" w:rsidP="00C0481C" w:rsidRDefault="00404296">
            <w:pPr>
              <w:rPr>
                <w:sz w:val="24"/>
                <w:szCs w:val="24"/>
              </w:rPr>
            </w:pPr>
            <w:r w:rsidRPr="003800F6">
              <w:rPr>
                <w:sz w:val="24"/>
                <w:szCs w:val="24"/>
              </w:rPr>
              <w:t>Wisconsin Department of Agriculture, Trade and Consumer Protection</w:t>
            </w:r>
          </w:p>
        </w:tc>
        <w:tc>
          <w:tcPr>
            <w:tcW w:w="1530" w:type="dxa"/>
            <w:shd w:val="clear" w:color="auto" w:fill="auto"/>
            <w:noWrap/>
            <w:hideMark/>
          </w:tcPr>
          <w:p w:rsidRPr="003800F6" w:rsidR="00404296" w:rsidP="00C0481C" w:rsidRDefault="00404296">
            <w:pPr>
              <w:rPr>
                <w:sz w:val="24"/>
                <w:szCs w:val="24"/>
              </w:rPr>
            </w:pPr>
            <w:r w:rsidRPr="003800F6">
              <w:rPr>
                <w:sz w:val="24"/>
                <w:szCs w:val="24"/>
              </w:rPr>
              <w:t>Madison</w:t>
            </w:r>
          </w:p>
        </w:tc>
        <w:tc>
          <w:tcPr>
            <w:tcW w:w="630" w:type="dxa"/>
            <w:shd w:val="clear" w:color="auto" w:fill="auto"/>
            <w:noWrap/>
            <w:hideMark/>
          </w:tcPr>
          <w:p w:rsidRPr="003800F6" w:rsidR="00404296" w:rsidP="00C0481C" w:rsidRDefault="00404296">
            <w:pPr>
              <w:rPr>
                <w:sz w:val="24"/>
                <w:szCs w:val="24"/>
              </w:rPr>
            </w:pPr>
            <w:r w:rsidRPr="003800F6">
              <w:rPr>
                <w:sz w:val="24"/>
                <w:szCs w:val="24"/>
              </w:rPr>
              <w:t>WI</w:t>
            </w:r>
          </w:p>
        </w:tc>
      </w:tr>
      <w:tr w:rsidRPr="003800F6" w:rsidR="00404296" w:rsidTr="00A64421">
        <w:trPr>
          <w:trHeight w:val="264"/>
        </w:trPr>
        <w:tc>
          <w:tcPr>
            <w:tcW w:w="7200" w:type="dxa"/>
            <w:shd w:val="clear" w:color="auto" w:fill="auto"/>
            <w:noWrap/>
            <w:hideMark/>
          </w:tcPr>
          <w:p w:rsidRPr="003800F6" w:rsidR="00404296" w:rsidP="00C0481C" w:rsidRDefault="00404296">
            <w:pPr>
              <w:rPr>
                <w:sz w:val="24"/>
                <w:szCs w:val="24"/>
              </w:rPr>
            </w:pPr>
            <w:r w:rsidRPr="003800F6">
              <w:rPr>
                <w:sz w:val="24"/>
                <w:szCs w:val="24"/>
              </w:rPr>
              <w:t>North Dakota Department of Agriculture</w:t>
            </w:r>
          </w:p>
        </w:tc>
        <w:tc>
          <w:tcPr>
            <w:tcW w:w="1530" w:type="dxa"/>
            <w:shd w:val="clear" w:color="auto" w:fill="auto"/>
            <w:noWrap/>
            <w:hideMark/>
          </w:tcPr>
          <w:p w:rsidRPr="003800F6" w:rsidR="00404296" w:rsidP="00C0481C" w:rsidRDefault="00404296">
            <w:pPr>
              <w:rPr>
                <w:sz w:val="24"/>
                <w:szCs w:val="24"/>
              </w:rPr>
            </w:pPr>
            <w:r w:rsidRPr="003800F6">
              <w:rPr>
                <w:sz w:val="24"/>
                <w:szCs w:val="24"/>
              </w:rPr>
              <w:t>Bismarck</w:t>
            </w:r>
          </w:p>
        </w:tc>
        <w:tc>
          <w:tcPr>
            <w:tcW w:w="630" w:type="dxa"/>
            <w:shd w:val="clear" w:color="auto" w:fill="auto"/>
            <w:noWrap/>
            <w:hideMark/>
          </w:tcPr>
          <w:p w:rsidRPr="003800F6" w:rsidR="00404296" w:rsidP="00C0481C" w:rsidRDefault="00404296">
            <w:pPr>
              <w:rPr>
                <w:sz w:val="24"/>
                <w:szCs w:val="24"/>
              </w:rPr>
            </w:pPr>
            <w:r w:rsidRPr="003800F6">
              <w:rPr>
                <w:sz w:val="24"/>
                <w:szCs w:val="24"/>
              </w:rPr>
              <w:t>ND</w:t>
            </w:r>
          </w:p>
        </w:tc>
      </w:tr>
    </w:tbl>
    <w:p w:rsidR="00404296" w:rsidP="00DA2D1A" w:rsidRDefault="00404296">
      <w:pPr>
        <w:rPr>
          <w:sz w:val="24"/>
          <w:szCs w:val="24"/>
        </w:rPr>
      </w:pPr>
    </w:p>
    <w:p w:rsidR="00DA2D1A" w:rsidP="00DA2D1A" w:rsidRDefault="000764D4">
      <w:pPr>
        <w:rPr>
          <w:sz w:val="24"/>
          <w:szCs w:val="24"/>
        </w:rPr>
      </w:pPr>
      <w:r>
        <w:rPr>
          <w:sz w:val="24"/>
          <w:szCs w:val="24"/>
        </w:rPr>
        <w:t xml:space="preserve">USDA APHIS BRS </w:t>
      </w:r>
      <w:r w:rsidR="00404296">
        <w:rPr>
          <w:sz w:val="24"/>
          <w:szCs w:val="24"/>
        </w:rPr>
        <w:t xml:space="preserve">uses the </w:t>
      </w:r>
      <w:r>
        <w:rPr>
          <w:sz w:val="24"/>
          <w:szCs w:val="24"/>
        </w:rPr>
        <w:t>SF 424</w:t>
      </w:r>
      <w:r w:rsidR="00404296">
        <w:rPr>
          <w:sz w:val="24"/>
          <w:szCs w:val="24"/>
        </w:rPr>
        <w:t xml:space="preserve">-series </w:t>
      </w:r>
      <w:r w:rsidR="00A64421">
        <w:rPr>
          <w:sz w:val="24"/>
          <w:szCs w:val="24"/>
        </w:rPr>
        <w:t xml:space="preserve">forms </w:t>
      </w:r>
      <w:r w:rsidR="00404296">
        <w:rPr>
          <w:sz w:val="24"/>
          <w:szCs w:val="24"/>
        </w:rPr>
        <w:t xml:space="preserve">to provide </w:t>
      </w:r>
      <w:r>
        <w:rPr>
          <w:sz w:val="24"/>
          <w:szCs w:val="24"/>
        </w:rPr>
        <w:t>grants</w:t>
      </w:r>
      <w:r w:rsidR="002E26A9">
        <w:rPr>
          <w:sz w:val="24"/>
          <w:szCs w:val="24"/>
        </w:rPr>
        <w:t>.  T</w:t>
      </w:r>
      <w:r>
        <w:rPr>
          <w:sz w:val="24"/>
          <w:szCs w:val="24"/>
        </w:rPr>
        <w:t xml:space="preserve">he burden time in using these forms is 1.1 hours. </w:t>
      </w:r>
    </w:p>
    <w:p w:rsidR="000764D4" w:rsidP="00DA2D1A" w:rsidRDefault="000764D4">
      <w:pPr>
        <w:rPr>
          <w:sz w:val="24"/>
          <w:szCs w:val="24"/>
        </w:rPr>
      </w:pPr>
    </w:p>
    <w:p w:rsidR="00B800DD" w:rsidP="00DA2D1A" w:rsidRDefault="00B800DD">
      <w:pPr>
        <w:rPr>
          <w:sz w:val="24"/>
          <w:szCs w:val="24"/>
        </w:rPr>
      </w:pPr>
    </w:p>
    <w:p w:rsidRPr="00213759" w:rsidR="00DA2D1A" w:rsidP="00DA2D1A" w:rsidRDefault="00DA2D1A">
      <w:pPr>
        <w:rPr>
          <w:b/>
          <w:sz w:val="24"/>
          <w:szCs w:val="24"/>
        </w:rPr>
      </w:pPr>
      <w:r w:rsidRPr="00213759">
        <w:rPr>
          <w:b/>
          <w:sz w:val="24"/>
          <w:szCs w:val="24"/>
        </w:rPr>
        <w:t>10.  Describe any assurance of confidentiality provided to respondents and the basis for the assurance in statute, regulation, or agency policy.</w:t>
      </w:r>
    </w:p>
    <w:p w:rsidRPr="00213759" w:rsidR="00DA2D1A" w:rsidP="00DA2D1A" w:rsidRDefault="00DA2D1A">
      <w:pPr>
        <w:rPr>
          <w:b/>
          <w:sz w:val="24"/>
          <w:szCs w:val="24"/>
        </w:rPr>
      </w:pPr>
    </w:p>
    <w:p w:rsidR="00A0087C" w:rsidP="00DA2D1A" w:rsidRDefault="00A0087C">
      <w:pPr>
        <w:rPr>
          <w:sz w:val="24"/>
          <w:szCs w:val="24"/>
        </w:rPr>
      </w:pPr>
      <w:r w:rsidRPr="00BE0746">
        <w:rPr>
          <w:sz w:val="24"/>
          <w:szCs w:val="24"/>
        </w:rPr>
        <w:t xml:space="preserve">Proprietary or trade secret information is protected as outlined in </w:t>
      </w:r>
      <w:r w:rsidR="00842423">
        <w:rPr>
          <w:sz w:val="24"/>
          <w:szCs w:val="24"/>
        </w:rPr>
        <w:t xml:space="preserve">the </w:t>
      </w:r>
      <w:r w:rsidRPr="00BE0746">
        <w:rPr>
          <w:sz w:val="24"/>
          <w:szCs w:val="24"/>
        </w:rPr>
        <w:t>“Policy Statement on the Protection of Privileged or Confidential Information,” which was published in the Federal Register on September 13, 1985.</w:t>
      </w:r>
    </w:p>
    <w:p w:rsidR="00DA2D1A" w:rsidP="00DA2D1A" w:rsidRDefault="00DA2D1A">
      <w:pPr>
        <w:rPr>
          <w:sz w:val="24"/>
          <w:szCs w:val="24"/>
        </w:rPr>
      </w:pPr>
    </w:p>
    <w:p w:rsidRPr="00BE0746" w:rsidR="009C31D6" w:rsidP="00DA2D1A" w:rsidRDefault="009C31D6">
      <w:pPr>
        <w:rPr>
          <w:sz w:val="24"/>
          <w:szCs w:val="24"/>
        </w:rPr>
      </w:pPr>
    </w:p>
    <w:p w:rsidRPr="00213759" w:rsidR="00DA2D1A" w:rsidP="00DA2D1A" w:rsidRDefault="00DA2D1A">
      <w:pPr>
        <w:rPr>
          <w:b/>
          <w:sz w:val="24"/>
          <w:szCs w:val="24"/>
        </w:rPr>
      </w:pPr>
      <w:r w:rsidRPr="00213759">
        <w:rPr>
          <w:b/>
          <w:sz w:val="24"/>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3759" w:rsidR="00DA2D1A" w:rsidP="00DA2D1A" w:rsidRDefault="00DA2D1A">
      <w:pPr>
        <w:rPr>
          <w:b/>
          <w:sz w:val="24"/>
          <w:szCs w:val="24"/>
        </w:rPr>
      </w:pPr>
    </w:p>
    <w:p w:rsidRPr="00BE0746" w:rsidR="00DA2D1A" w:rsidP="00DA2D1A" w:rsidRDefault="00DA2D1A">
      <w:pPr>
        <w:rPr>
          <w:sz w:val="24"/>
          <w:szCs w:val="24"/>
        </w:rPr>
      </w:pPr>
      <w:r w:rsidRPr="00BE0746">
        <w:rPr>
          <w:sz w:val="24"/>
          <w:szCs w:val="24"/>
        </w:rPr>
        <w:t>This information collection activity asks no questions of a personal or sensitive nature.</w:t>
      </w:r>
    </w:p>
    <w:p w:rsidR="00DA2D1A" w:rsidP="00DA2D1A" w:rsidRDefault="00DA2D1A">
      <w:pPr>
        <w:rPr>
          <w:sz w:val="24"/>
          <w:szCs w:val="24"/>
        </w:rPr>
      </w:pPr>
    </w:p>
    <w:p w:rsidR="00B800DD" w:rsidP="00DA2D1A" w:rsidRDefault="00B800DD">
      <w:pPr>
        <w:rPr>
          <w:sz w:val="24"/>
          <w:szCs w:val="24"/>
        </w:rPr>
      </w:pPr>
    </w:p>
    <w:p w:rsidRPr="00213759" w:rsidR="00DA2D1A" w:rsidP="00DA2D1A" w:rsidRDefault="00DA2D1A">
      <w:pPr>
        <w:rPr>
          <w:b/>
          <w:sz w:val="24"/>
          <w:szCs w:val="24"/>
        </w:rPr>
      </w:pPr>
      <w:r w:rsidRPr="00213759">
        <w:rPr>
          <w:b/>
          <w:sz w:val="24"/>
          <w:szCs w:val="24"/>
        </w:rPr>
        <w:t xml:space="preserve">12.  Provide estimates of the hour burden of the collection of information.  Indicate the number of respondents, frequency of response, annual hour burden, and an explanation of how the burden was estimated.   </w:t>
      </w:r>
    </w:p>
    <w:p w:rsidRPr="00213759" w:rsidR="00DA2D1A" w:rsidP="00DA2D1A" w:rsidRDefault="00DA2D1A">
      <w:pPr>
        <w:rPr>
          <w:b/>
          <w:sz w:val="24"/>
          <w:szCs w:val="24"/>
        </w:rPr>
      </w:pPr>
    </w:p>
    <w:p w:rsidRPr="00842423" w:rsidR="00DA2D1A" w:rsidP="00A64421" w:rsidRDefault="00DA2D1A">
      <w:pPr>
        <w:numPr>
          <w:ilvl w:val="0"/>
          <w:numId w:val="14"/>
        </w:numPr>
        <w:tabs>
          <w:tab w:val="left" w:pos="720"/>
        </w:tabs>
        <w:ind w:left="720"/>
        <w:rPr>
          <w:b/>
          <w:sz w:val="24"/>
          <w:szCs w:val="24"/>
        </w:rPr>
      </w:pPr>
      <w:r w:rsidRPr="00842423">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842423" w:rsidR="00DA2D1A" w:rsidP="00A64421" w:rsidRDefault="00DA2D1A">
      <w:pPr>
        <w:tabs>
          <w:tab w:val="left" w:pos="720"/>
        </w:tabs>
        <w:ind w:left="720" w:hanging="360"/>
        <w:rPr>
          <w:b/>
          <w:sz w:val="24"/>
          <w:szCs w:val="24"/>
        </w:rPr>
      </w:pPr>
    </w:p>
    <w:p w:rsidR="00B800DD" w:rsidP="00A64421" w:rsidRDefault="00DA2D1A">
      <w:pPr>
        <w:tabs>
          <w:tab w:val="left" w:pos="720"/>
        </w:tabs>
        <w:ind w:left="720"/>
        <w:rPr>
          <w:sz w:val="24"/>
          <w:szCs w:val="24"/>
        </w:rPr>
      </w:pPr>
      <w:r w:rsidRPr="00BE0746">
        <w:rPr>
          <w:sz w:val="24"/>
          <w:szCs w:val="24"/>
        </w:rPr>
        <w:t>See APHIS 71</w:t>
      </w:r>
      <w:r w:rsidR="002E26A9">
        <w:rPr>
          <w:sz w:val="24"/>
          <w:szCs w:val="24"/>
        </w:rPr>
        <w:t>.</w:t>
      </w:r>
    </w:p>
    <w:p w:rsidR="00A64421" w:rsidP="00A64421" w:rsidRDefault="00A64421">
      <w:pPr>
        <w:tabs>
          <w:tab w:val="left" w:pos="720"/>
        </w:tabs>
        <w:ind w:left="720"/>
        <w:rPr>
          <w:sz w:val="24"/>
          <w:szCs w:val="24"/>
        </w:rPr>
      </w:pPr>
    </w:p>
    <w:p w:rsidR="00D54366" w:rsidP="00A64421" w:rsidRDefault="00DA2D1A">
      <w:pPr>
        <w:numPr>
          <w:ilvl w:val="0"/>
          <w:numId w:val="14"/>
        </w:numPr>
        <w:tabs>
          <w:tab w:val="left" w:pos="720"/>
        </w:tabs>
        <w:ind w:left="720"/>
        <w:rPr>
          <w:sz w:val="24"/>
          <w:szCs w:val="24"/>
        </w:rPr>
      </w:pPr>
      <w:r w:rsidRPr="00842423">
        <w:rPr>
          <w:b/>
          <w:sz w:val="24"/>
          <w:szCs w:val="24"/>
        </w:rPr>
        <w:t>Provide estimates of annualized cost to respondents for the hour burdens for collections of information, identifying and using appropriate wage rate categories.</w:t>
      </w:r>
      <w:r w:rsidRPr="00D54366" w:rsidR="00D54366">
        <w:rPr>
          <w:sz w:val="24"/>
          <w:szCs w:val="24"/>
        </w:rPr>
        <w:t xml:space="preserve"> </w:t>
      </w:r>
    </w:p>
    <w:p w:rsidR="00D54366" w:rsidP="00A64421" w:rsidRDefault="00D54366">
      <w:pPr>
        <w:tabs>
          <w:tab w:val="left" w:pos="720"/>
        </w:tabs>
        <w:ind w:left="720" w:hanging="360"/>
        <w:rPr>
          <w:sz w:val="24"/>
          <w:szCs w:val="24"/>
        </w:rPr>
      </w:pPr>
    </w:p>
    <w:p w:rsidRPr="00B800DD" w:rsidR="00B800DD" w:rsidP="00A64421" w:rsidRDefault="00B800DD">
      <w:pPr>
        <w:tabs>
          <w:tab w:val="left" w:pos="720"/>
        </w:tabs>
        <w:ind w:left="720"/>
        <w:rPr>
          <w:rFonts w:eastAsia="Calibri"/>
          <w:sz w:val="24"/>
          <w:szCs w:val="24"/>
        </w:rPr>
      </w:pPr>
      <w:r w:rsidRPr="00B800DD">
        <w:rPr>
          <w:rFonts w:eastAsia="Calibri"/>
          <w:sz w:val="24"/>
          <w:szCs w:val="24"/>
        </w:rPr>
        <w:t>APHIS estimates the total annualized cost to the respondents to be $</w:t>
      </w:r>
      <w:r w:rsidR="009F3E3C">
        <w:rPr>
          <w:rFonts w:eastAsia="Calibri"/>
          <w:sz w:val="24"/>
          <w:szCs w:val="24"/>
        </w:rPr>
        <w:t>693,737</w:t>
      </w:r>
      <w:r w:rsidRPr="00B800DD">
        <w:rPr>
          <w:rFonts w:eastAsia="Calibri"/>
          <w:sz w:val="24"/>
          <w:szCs w:val="24"/>
        </w:rPr>
        <w:t>.  APHIS arrived at this figure by multiplying the total burden hours (</w:t>
      </w:r>
      <w:r w:rsidR="009F3E3C">
        <w:rPr>
          <w:rFonts w:eastAsia="Calibri"/>
          <w:sz w:val="24"/>
          <w:szCs w:val="24"/>
        </w:rPr>
        <w:t>12,983</w:t>
      </w:r>
      <w:r w:rsidRPr="00B800DD">
        <w:rPr>
          <w:rFonts w:eastAsia="Calibri"/>
          <w:sz w:val="24"/>
          <w:szCs w:val="24"/>
        </w:rPr>
        <w:t>) by the respondents’ estimated average hourly wage ($</w:t>
      </w:r>
      <w:r w:rsidR="009F3E3C">
        <w:rPr>
          <w:rFonts w:eastAsia="Calibri"/>
          <w:sz w:val="24"/>
          <w:szCs w:val="24"/>
        </w:rPr>
        <w:t>36.34</w:t>
      </w:r>
      <w:r w:rsidRPr="00B800DD">
        <w:rPr>
          <w:rFonts w:eastAsia="Calibri"/>
          <w:sz w:val="24"/>
          <w:szCs w:val="24"/>
        </w:rPr>
        <w:t>), and then multiplying the result by 1.4706 to capture benefit costs.</w:t>
      </w:r>
    </w:p>
    <w:p w:rsidRPr="00B800DD" w:rsidR="00B800DD" w:rsidP="00A64421" w:rsidRDefault="00B800DD">
      <w:pPr>
        <w:tabs>
          <w:tab w:val="left" w:pos="720"/>
        </w:tabs>
        <w:ind w:left="720" w:hanging="360"/>
        <w:rPr>
          <w:rFonts w:eastAsia="Calibri"/>
          <w:sz w:val="24"/>
          <w:szCs w:val="24"/>
          <w:highlight w:val="yellow"/>
        </w:rPr>
      </w:pPr>
    </w:p>
    <w:p w:rsidRPr="00B800DD" w:rsidR="00B800DD" w:rsidP="00A64421" w:rsidRDefault="00B800DD">
      <w:pPr>
        <w:tabs>
          <w:tab w:val="left" w:pos="720"/>
        </w:tabs>
        <w:ind w:left="720"/>
        <w:rPr>
          <w:rFonts w:eastAsia="Calibri"/>
          <w:sz w:val="24"/>
          <w:szCs w:val="24"/>
        </w:rPr>
      </w:pPr>
      <w:r w:rsidRPr="00B800DD">
        <w:rPr>
          <w:rFonts w:eastAsia="Calibri"/>
          <w:sz w:val="24"/>
          <w:szCs w:val="24"/>
        </w:rPr>
        <w:t xml:space="preserve">This estimated average hourly rate was derived from the wages for </w:t>
      </w:r>
      <w:r w:rsidR="009F3E3C">
        <w:rPr>
          <w:rFonts w:eastAsia="Calibri"/>
          <w:sz w:val="24"/>
          <w:szCs w:val="24"/>
        </w:rPr>
        <w:t>government agricultural officials ($38.43) and researchers</w:t>
      </w:r>
      <w:r w:rsidRPr="00B800DD">
        <w:rPr>
          <w:rFonts w:eastAsia="Calibri"/>
          <w:sz w:val="24"/>
          <w:szCs w:val="24"/>
        </w:rPr>
        <w:t xml:space="preserve"> </w:t>
      </w:r>
      <w:r w:rsidR="009F3E3C">
        <w:rPr>
          <w:rFonts w:eastAsia="Calibri"/>
          <w:sz w:val="24"/>
          <w:szCs w:val="24"/>
        </w:rPr>
        <w:t xml:space="preserve">($34.24) </w:t>
      </w:r>
      <w:r w:rsidRPr="00B800DD">
        <w:rPr>
          <w:rFonts w:eastAsia="Calibri"/>
          <w:sz w:val="24"/>
          <w:szCs w:val="24"/>
        </w:rPr>
        <w:t>as listed in the</w:t>
      </w:r>
      <w:r w:rsidRPr="00906803">
        <w:rPr>
          <w:rFonts w:eastAsia="Calibri"/>
          <w:sz w:val="24"/>
          <w:szCs w:val="24"/>
        </w:rPr>
        <w:t xml:space="preserve"> U.S. Department of Labor, Bureau of Labor Statistics May 201</w:t>
      </w:r>
      <w:r w:rsidR="00676422">
        <w:rPr>
          <w:rFonts w:eastAsia="Calibri"/>
          <w:sz w:val="24"/>
          <w:szCs w:val="24"/>
        </w:rPr>
        <w:t>8</w:t>
      </w:r>
      <w:r w:rsidRPr="00906803">
        <w:rPr>
          <w:rFonts w:eastAsia="Calibri"/>
          <w:sz w:val="24"/>
          <w:szCs w:val="24"/>
        </w:rPr>
        <w:t xml:space="preserve"> Report - Occupational Employment and Wages in the United States.  According to DOL BLS news release USDL-18-1499, dated September 18, 2018, benefits account for 32% of employee costs, and w</w:t>
      </w:r>
      <w:r w:rsidRPr="00B800DD">
        <w:rPr>
          <w:rFonts w:eastAsia="Calibri"/>
          <w:sz w:val="24"/>
          <w:szCs w:val="24"/>
        </w:rPr>
        <w:t>ages account for the remaining 68%.  Mathematically, total costs can be calculated as a function of wages using a multiplier of 1.4706.</w:t>
      </w:r>
    </w:p>
    <w:p w:rsidR="00842423" w:rsidP="00A64421" w:rsidRDefault="00842423">
      <w:pPr>
        <w:tabs>
          <w:tab w:val="left" w:pos="720"/>
        </w:tabs>
        <w:ind w:left="720" w:hanging="360"/>
        <w:rPr>
          <w:b/>
          <w:sz w:val="24"/>
          <w:szCs w:val="24"/>
        </w:rPr>
      </w:pPr>
    </w:p>
    <w:p w:rsidR="00CE75A5" w:rsidP="00A64421" w:rsidRDefault="00CE75A5">
      <w:pPr>
        <w:tabs>
          <w:tab w:val="left" w:pos="720"/>
        </w:tabs>
        <w:ind w:left="720" w:hanging="360"/>
        <w:rPr>
          <w:b/>
          <w:sz w:val="24"/>
          <w:szCs w:val="24"/>
        </w:rPr>
      </w:pPr>
    </w:p>
    <w:p w:rsidRPr="00213759" w:rsidR="00DA2D1A" w:rsidP="00DA2D1A" w:rsidRDefault="00DA2D1A">
      <w:pPr>
        <w:rPr>
          <w:b/>
          <w:sz w:val="24"/>
          <w:szCs w:val="24"/>
        </w:rPr>
      </w:pPr>
      <w:r w:rsidRPr="00213759">
        <w:rPr>
          <w:b/>
          <w:sz w:val="24"/>
          <w:szCs w:val="24"/>
        </w:rPr>
        <w:t xml:space="preserve">13.  Provide estimates of the total annual cost burden to respondents or recordkeepers resulting from the collection of </w:t>
      </w:r>
      <w:r w:rsidRPr="00213759" w:rsidR="0010160D">
        <w:rPr>
          <w:b/>
          <w:sz w:val="24"/>
          <w:szCs w:val="24"/>
        </w:rPr>
        <w:t>information</w:t>
      </w:r>
      <w:r w:rsidRPr="00213759">
        <w:rPr>
          <w:b/>
          <w:sz w:val="24"/>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213759" w:rsidR="00DA2D1A" w:rsidP="00DA2D1A" w:rsidRDefault="00DA2D1A">
      <w:pPr>
        <w:rPr>
          <w:b/>
          <w:sz w:val="24"/>
          <w:szCs w:val="24"/>
        </w:rPr>
      </w:pPr>
    </w:p>
    <w:p w:rsidRPr="00BE0746" w:rsidR="00DA2D1A" w:rsidP="00DA2D1A" w:rsidRDefault="00DA2D1A">
      <w:pPr>
        <w:rPr>
          <w:sz w:val="24"/>
          <w:szCs w:val="24"/>
        </w:rPr>
      </w:pPr>
      <w:r w:rsidRPr="00BE0746">
        <w:rPr>
          <w:sz w:val="24"/>
          <w:szCs w:val="24"/>
        </w:rPr>
        <w:t>There is zero annual cost burden associated with capital and</w:t>
      </w:r>
      <w:r w:rsidR="00891FB1">
        <w:rPr>
          <w:sz w:val="24"/>
          <w:szCs w:val="24"/>
        </w:rPr>
        <w:t xml:space="preserve"> </w:t>
      </w:r>
      <w:r w:rsidRPr="00BE0746">
        <w:rPr>
          <w:sz w:val="24"/>
          <w:szCs w:val="24"/>
        </w:rPr>
        <w:t>start-up costs, maintenance costs, and purchase of services in connection with this program.</w:t>
      </w:r>
    </w:p>
    <w:p w:rsidR="00DA2D1A" w:rsidP="00DA2D1A" w:rsidRDefault="00DA2D1A">
      <w:pPr>
        <w:rPr>
          <w:sz w:val="24"/>
          <w:szCs w:val="24"/>
        </w:rPr>
      </w:pPr>
    </w:p>
    <w:p w:rsidRPr="00213759" w:rsidR="00DA2D1A" w:rsidP="00DA2D1A" w:rsidRDefault="00DA2D1A">
      <w:pPr>
        <w:rPr>
          <w:b/>
          <w:sz w:val="24"/>
          <w:szCs w:val="24"/>
        </w:rPr>
      </w:pPr>
      <w:r w:rsidRPr="00213759">
        <w:rPr>
          <w:b/>
          <w:sz w:val="24"/>
          <w:szCs w:val="24"/>
        </w:rPr>
        <w:t>14.  Provide estimates of annualized cost to the Federal government.  Provide a description of the method used to estimate cost and any other expense that would not have been incurred without this collection of information.</w:t>
      </w:r>
    </w:p>
    <w:p w:rsidRPr="00213759" w:rsidR="00DA2D1A" w:rsidP="00DA2D1A" w:rsidRDefault="00DA2D1A">
      <w:pPr>
        <w:rPr>
          <w:b/>
          <w:sz w:val="24"/>
          <w:szCs w:val="24"/>
        </w:rPr>
      </w:pPr>
    </w:p>
    <w:p w:rsidRPr="00CE75A5" w:rsidR="00CE75A5" w:rsidP="00CE75A5" w:rsidRDefault="00CE75A5">
      <w:pPr>
        <w:rPr>
          <w:rFonts w:eastAsia="Calibri"/>
          <w:sz w:val="24"/>
          <w:szCs w:val="24"/>
        </w:rPr>
      </w:pPr>
      <w:r w:rsidRPr="00CE75A5">
        <w:rPr>
          <w:rFonts w:eastAsia="Calibri"/>
          <w:sz w:val="24"/>
          <w:szCs w:val="24"/>
        </w:rPr>
        <w:t>See APHIS Form 79.  The estimated annual cost for the Federal Government is $</w:t>
      </w:r>
      <w:r>
        <w:rPr>
          <w:rFonts w:eastAsia="Calibri"/>
          <w:sz w:val="24"/>
          <w:szCs w:val="24"/>
        </w:rPr>
        <w:t>1,</w:t>
      </w:r>
      <w:r w:rsidR="00CE20C8">
        <w:rPr>
          <w:rFonts w:eastAsia="Calibri"/>
          <w:sz w:val="24"/>
          <w:szCs w:val="24"/>
        </w:rPr>
        <w:t>883,504</w:t>
      </w:r>
      <w:r w:rsidRPr="00CE75A5">
        <w:rPr>
          <w:rFonts w:eastAsia="Calibri"/>
          <w:sz w:val="24"/>
          <w:szCs w:val="24"/>
        </w:rPr>
        <w:t>.</w:t>
      </w:r>
    </w:p>
    <w:p w:rsidRPr="00CE75A5" w:rsidR="00CE75A5" w:rsidP="00CE75A5" w:rsidRDefault="00CE75A5">
      <w:pPr>
        <w:rPr>
          <w:rFonts w:eastAsia="Calibri"/>
          <w:sz w:val="24"/>
          <w:szCs w:val="24"/>
        </w:rPr>
      </w:pPr>
    </w:p>
    <w:p w:rsidRPr="00CE75A5" w:rsidR="00CE75A5" w:rsidP="00CE75A5" w:rsidRDefault="00CE75A5">
      <w:pPr>
        <w:rPr>
          <w:rFonts w:eastAsia="Calibri"/>
          <w:sz w:val="24"/>
          <w:szCs w:val="24"/>
        </w:rPr>
      </w:pPr>
    </w:p>
    <w:p w:rsidRPr="00CE75A5" w:rsidR="00CE75A5" w:rsidP="00CE75A5" w:rsidRDefault="00CE75A5">
      <w:pPr>
        <w:rPr>
          <w:rFonts w:eastAsia="Calibri"/>
          <w:b/>
          <w:sz w:val="24"/>
          <w:szCs w:val="24"/>
        </w:rPr>
      </w:pPr>
      <w:r w:rsidRPr="00CE75A5">
        <w:rPr>
          <w:rFonts w:eastAsia="Calibri"/>
          <w:b/>
          <w:sz w:val="24"/>
          <w:szCs w:val="24"/>
        </w:rPr>
        <w:t>15.  Explain the reasons for any program changes or adjustments reported in Items 13 or 14 of the OMB Form 83-1.</w:t>
      </w:r>
    </w:p>
    <w:p w:rsidR="00CE75A5" w:rsidP="00DA2D1A" w:rsidRDefault="00CE75A5">
      <w:pPr>
        <w:rPr>
          <w:b/>
          <w:sz w:val="24"/>
          <w:szCs w:val="24"/>
        </w:rPr>
      </w:pPr>
    </w:p>
    <w:tbl>
      <w:tblPr>
        <w:tblStyle w:val="TableGrid"/>
        <w:tblW w:w="9355" w:type="dxa"/>
        <w:tblLook w:val="04A0" w:firstRow="1" w:lastRow="0" w:firstColumn="1" w:lastColumn="0" w:noHBand="0" w:noVBand="1"/>
      </w:tblPr>
      <w:tblGrid>
        <w:gridCol w:w="1558"/>
        <w:gridCol w:w="1299"/>
        <w:gridCol w:w="1300"/>
        <w:gridCol w:w="1299"/>
        <w:gridCol w:w="1300"/>
        <w:gridCol w:w="1299"/>
        <w:gridCol w:w="1300"/>
      </w:tblGrid>
      <w:tr w:rsidR="00C21EFD" w:rsidTr="00C21EFD">
        <w:tc>
          <w:tcPr>
            <w:tcW w:w="1558" w:type="dxa"/>
          </w:tcPr>
          <w:p w:rsidR="00C21EFD" w:rsidP="00C21EFD" w:rsidRDefault="00C21EFD">
            <w:pPr>
              <w:rPr>
                <w:b/>
                <w:sz w:val="24"/>
                <w:szCs w:val="24"/>
              </w:rPr>
            </w:pPr>
          </w:p>
        </w:tc>
        <w:tc>
          <w:tcPr>
            <w:tcW w:w="1299" w:type="dxa"/>
            <w:vAlign w:val="center"/>
          </w:tcPr>
          <w:p w:rsidRPr="00E24BFA" w:rsidR="00C21EFD" w:rsidP="00C21EFD" w:rsidRDefault="00C21EFD">
            <w:pPr>
              <w:jc w:val="center"/>
              <w:rPr>
                <w:rFonts w:eastAsia="Calibri"/>
                <w:b/>
                <w:bCs/>
                <w:sz w:val="18"/>
                <w:szCs w:val="24"/>
              </w:rPr>
            </w:pPr>
            <w:r w:rsidRPr="00E24BFA">
              <w:rPr>
                <w:rFonts w:eastAsia="Calibri"/>
                <w:b/>
                <w:bCs/>
                <w:sz w:val="18"/>
                <w:szCs w:val="24"/>
              </w:rPr>
              <w:t>Requested</w:t>
            </w:r>
          </w:p>
        </w:tc>
        <w:tc>
          <w:tcPr>
            <w:tcW w:w="1300" w:type="dxa"/>
            <w:vAlign w:val="center"/>
          </w:tcPr>
          <w:p w:rsidRPr="00E24BFA" w:rsidR="00C21EFD" w:rsidP="00C21EFD" w:rsidRDefault="00C21EFD">
            <w:pPr>
              <w:jc w:val="center"/>
              <w:rPr>
                <w:rFonts w:eastAsia="Calibri"/>
                <w:b/>
                <w:bCs/>
                <w:sz w:val="18"/>
                <w:szCs w:val="24"/>
              </w:rPr>
            </w:pPr>
            <w:r w:rsidRPr="00E24BFA">
              <w:rPr>
                <w:rFonts w:eastAsia="Calibri"/>
                <w:b/>
                <w:bCs/>
                <w:sz w:val="18"/>
                <w:szCs w:val="24"/>
              </w:rPr>
              <w:t>Program Change Due to New Statute</w:t>
            </w:r>
          </w:p>
        </w:tc>
        <w:tc>
          <w:tcPr>
            <w:tcW w:w="1299" w:type="dxa"/>
            <w:vAlign w:val="center"/>
          </w:tcPr>
          <w:p w:rsidRPr="00E24BFA" w:rsidR="00C21EFD" w:rsidP="00C21EFD" w:rsidRDefault="00C21EFD">
            <w:pPr>
              <w:jc w:val="center"/>
              <w:rPr>
                <w:rFonts w:eastAsia="Calibri"/>
                <w:b/>
                <w:bCs/>
                <w:sz w:val="18"/>
                <w:szCs w:val="24"/>
              </w:rPr>
            </w:pPr>
            <w:r w:rsidRPr="00E24BFA">
              <w:rPr>
                <w:rFonts w:eastAsia="Calibri"/>
                <w:b/>
                <w:bCs/>
                <w:sz w:val="18"/>
                <w:szCs w:val="24"/>
              </w:rPr>
              <w:t>Program Change Due to Agency Discretion</w:t>
            </w:r>
          </w:p>
        </w:tc>
        <w:tc>
          <w:tcPr>
            <w:tcW w:w="1300" w:type="dxa"/>
            <w:vAlign w:val="center"/>
          </w:tcPr>
          <w:p w:rsidRPr="00E24BFA" w:rsidR="00C21EFD" w:rsidP="00C21EFD" w:rsidRDefault="00C21EFD">
            <w:pPr>
              <w:jc w:val="center"/>
              <w:rPr>
                <w:rFonts w:eastAsia="Calibri"/>
                <w:b/>
                <w:bCs/>
                <w:sz w:val="18"/>
                <w:szCs w:val="24"/>
              </w:rPr>
            </w:pPr>
            <w:r w:rsidRPr="00E24BFA">
              <w:rPr>
                <w:rFonts w:eastAsia="Calibri"/>
                <w:b/>
                <w:bCs/>
                <w:sz w:val="18"/>
                <w:szCs w:val="24"/>
              </w:rPr>
              <w:t>Change Due to Adjustment in Agency Estimate</w:t>
            </w:r>
          </w:p>
        </w:tc>
        <w:tc>
          <w:tcPr>
            <w:tcW w:w="1299" w:type="dxa"/>
            <w:vAlign w:val="center"/>
          </w:tcPr>
          <w:p w:rsidRPr="00E24BFA" w:rsidR="00C21EFD" w:rsidP="00C21EFD" w:rsidRDefault="00C21EFD">
            <w:pPr>
              <w:jc w:val="center"/>
              <w:rPr>
                <w:rFonts w:eastAsia="Calibri"/>
                <w:b/>
                <w:bCs/>
                <w:sz w:val="18"/>
                <w:szCs w:val="24"/>
              </w:rPr>
            </w:pPr>
            <w:r w:rsidRPr="00E24BFA">
              <w:rPr>
                <w:rFonts w:eastAsia="Calibri"/>
                <w:b/>
                <w:bCs/>
                <w:sz w:val="18"/>
                <w:szCs w:val="24"/>
              </w:rPr>
              <w:t>Change Due to Potential Violation of the PRA</w:t>
            </w:r>
          </w:p>
        </w:tc>
        <w:tc>
          <w:tcPr>
            <w:tcW w:w="1300" w:type="dxa"/>
            <w:vAlign w:val="center"/>
          </w:tcPr>
          <w:p w:rsidRPr="00E24BFA" w:rsidR="00C21EFD" w:rsidP="00C21EFD" w:rsidRDefault="00C21EFD">
            <w:pPr>
              <w:jc w:val="center"/>
              <w:rPr>
                <w:rFonts w:eastAsia="Calibri"/>
                <w:b/>
                <w:bCs/>
                <w:sz w:val="18"/>
                <w:szCs w:val="24"/>
              </w:rPr>
            </w:pPr>
            <w:r>
              <w:rPr>
                <w:rFonts w:eastAsia="Calibri"/>
                <w:b/>
                <w:bCs/>
                <w:sz w:val="18"/>
                <w:szCs w:val="24"/>
              </w:rPr>
              <w:t>Previously Approved</w:t>
            </w:r>
          </w:p>
        </w:tc>
      </w:tr>
      <w:tr w:rsidR="00C21EFD" w:rsidTr="00C21EFD">
        <w:tc>
          <w:tcPr>
            <w:tcW w:w="1558" w:type="dxa"/>
            <w:vAlign w:val="center"/>
          </w:tcPr>
          <w:p w:rsidR="00C21EFD" w:rsidP="00C21EFD" w:rsidRDefault="00C21EFD">
            <w:pPr>
              <w:rPr>
                <w:b/>
                <w:sz w:val="24"/>
                <w:szCs w:val="24"/>
              </w:rPr>
            </w:pPr>
            <w:r w:rsidRPr="00E24BFA">
              <w:rPr>
                <w:rFonts w:eastAsia="Calibri"/>
                <w:sz w:val="18"/>
                <w:szCs w:val="22"/>
              </w:rPr>
              <w:t>Annual Number of Responses</w:t>
            </w:r>
          </w:p>
        </w:tc>
        <w:tc>
          <w:tcPr>
            <w:tcW w:w="1299" w:type="dxa"/>
            <w:vAlign w:val="center"/>
          </w:tcPr>
          <w:p w:rsidRPr="00C21EFD" w:rsidR="00C21EFD" w:rsidP="00C21EFD" w:rsidRDefault="00C21EFD">
            <w:pPr>
              <w:jc w:val="center"/>
              <w:rPr>
                <w:sz w:val="22"/>
                <w:szCs w:val="24"/>
              </w:rPr>
            </w:pPr>
            <w:r w:rsidRPr="00C21EFD">
              <w:rPr>
                <w:sz w:val="22"/>
                <w:szCs w:val="24"/>
              </w:rPr>
              <w:t>8,780</w:t>
            </w:r>
          </w:p>
        </w:tc>
        <w:tc>
          <w:tcPr>
            <w:tcW w:w="1300" w:type="dxa"/>
            <w:vAlign w:val="center"/>
          </w:tcPr>
          <w:p w:rsidRPr="00C21EFD" w:rsidR="00C21EFD" w:rsidP="00C21EFD" w:rsidRDefault="00C21EFD">
            <w:pPr>
              <w:jc w:val="center"/>
              <w:rPr>
                <w:sz w:val="22"/>
                <w:szCs w:val="24"/>
              </w:rPr>
            </w:pPr>
            <w:r>
              <w:rPr>
                <w:sz w:val="22"/>
                <w:szCs w:val="24"/>
              </w:rPr>
              <w:t>0</w:t>
            </w:r>
          </w:p>
        </w:tc>
        <w:tc>
          <w:tcPr>
            <w:tcW w:w="1299" w:type="dxa"/>
            <w:vAlign w:val="center"/>
          </w:tcPr>
          <w:p w:rsidRPr="00C21EFD" w:rsidR="00C21EFD" w:rsidP="00C21EFD" w:rsidRDefault="00C21EFD">
            <w:pPr>
              <w:jc w:val="center"/>
              <w:rPr>
                <w:sz w:val="22"/>
                <w:szCs w:val="24"/>
              </w:rPr>
            </w:pPr>
            <w:r>
              <w:rPr>
                <w:sz w:val="22"/>
                <w:szCs w:val="24"/>
              </w:rPr>
              <w:t>1,455</w:t>
            </w:r>
          </w:p>
        </w:tc>
        <w:tc>
          <w:tcPr>
            <w:tcW w:w="1300" w:type="dxa"/>
            <w:vAlign w:val="center"/>
          </w:tcPr>
          <w:p w:rsidRPr="00C21EFD" w:rsidR="00C21EFD" w:rsidP="00C21EFD" w:rsidRDefault="00C21EFD">
            <w:pPr>
              <w:jc w:val="center"/>
              <w:rPr>
                <w:sz w:val="22"/>
                <w:szCs w:val="24"/>
              </w:rPr>
            </w:pPr>
            <w:r>
              <w:rPr>
                <w:sz w:val="22"/>
                <w:szCs w:val="24"/>
              </w:rPr>
              <w:t>3,824</w:t>
            </w:r>
          </w:p>
        </w:tc>
        <w:tc>
          <w:tcPr>
            <w:tcW w:w="1299" w:type="dxa"/>
            <w:vAlign w:val="center"/>
          </w:tcPr>
          <w:p w:rsidRPr="00C21EFD" w:rsidR="00C21EFD" w:rsidP="00C21EFD" w:rsidRDefault="00C21EFD">
            <w:pPr>
              <w:jc w:val="center"/>
              <w:rPr>
                <w:sz w:val="22"/>
                <w:szCs w:val="24"/>
              </w:rPr>
            </w:pPr>
            <w:r>
              <w:rPr>
                <w:sz w:val="22"/>
                <w:szCs w:val="24"/>
              </w:rPr>
              <w:t>0</w:t>
            </w:r>
          </w:p>
        </w:tc>
        <w:tc>
          <w:tcPr>
            <w:tcW w:w="1300" w:type="dxa"/>
            <w:vAlign w:val="center"/>
          </w:tcPr>
          <w:p w:rsidRPr="00C21EFD" w:rsidR="00C21EFD" w:rsidP="00C21EFD" w:rsidRDefault="00C21EFD">
            <w:pPr>
              <w:jc w:val="center"/>
              <w:rPr>
                <w:sz w:val="22"/>
                <w:szCs w:val="24"/>
              </w:rPr>
            </w:pPr>
            <w:r>
              <w:rPr>
                <w:sz w:val="22"/>
                <w:szCs w:val="24"/>
              </w:rPr>
              <w:t>3,501</w:t>
            </w:r>
          </w:p>
        </w:tc>
      </w:tr>
      <w:tr w:rsidR="00C21EFD" w:rsidTr="00C21EFD">
        <w:tc>
          <w:tcPr>
            <w:tcW w:w="1558" w:type="dxa"/>
            <w:vAlign w:val="center"/>
          </w:tcPr>
          <w:p w:rsidR="00C21EFD" w:rsidP="00C21EFD" w:rsidRDefault="00C21EFD">
            <w:pPr>
              <w:rPr>
                <w:b/>
                <w:sz w:val="24"/>
                <w:szCs w:val="24"/>
              </w:rPr>
            </w:pPr>
            <w:r w:rsidRPr="00E24BFA">
              <w:rPr>
                <w:rFonts w:eastAsia="Calibri"/>
                <w:sz w:val="18"/>
                <w:szCs w:val="22"/>
              </w:rPr>
              <w:t>Annual Time</w:t>
            </w:r>
            <w:r w:rsidRPr="00CE75A5">
              <w:rPr>
                <w:rFonts w:eastAsia="Calibri"/>
                <w:sz w:val="24"/>
                <w:szCs w:val="22"/>
              </w:rPr>
              <w:t xml:space="preserve"> </w:t>
            </w:r>
            <w:r w:rsidRPr="00E24BFA">
              <w:rPr>
                <w:rFonts w:eastAsia="Calibri"/>
                <w:sz w:val="18"/>
                <w:szCs w:val="22"/>
              </w:rPr>
              <w:t>Burden (Hr)</w:t>
            </w:r>
          </w:p>
        </w:tc>
        <w:tc>
          <w:tcPr>
            <w:tcW w:w="1299" w:type="dxa"/>
            <w:vAlign w:val="center"/>
          </w:tcPr>
          <w:p w:rsidRPr="00C21EFD" w:rsidR="00C21EFD" w:rsidP="00C21EFD" w:rsidRDefault="00C21EFD">
            <w:pPr>
              <w:jc w:val="center"/>
              <w:rPr>
                <w:sz w:val="22"/>
                <w:szCs w:val="24"/>
              </w:rPr>
            </w:pPr>
            <w:r>
              <w:rPr>
                <w:sz w:val="22"/>
                <w:szCs w:val="24"/>
              </w:rPr>
              <w:t>12,983</w:t>
            </w:r>
          </w:p>
        </w:tc>
        <w:tc>
          <w:tcPr>
            <w:tcW w:w="1300" w:type="dxa"/>
            <w:vAlign w:val="center"/>
          </w:tcPr>
          <w:p w:rsidRPr="00C21EFD" w:rsidR="00C21EFD" w:rsidP="00C21EFD" w:rsidRDefault="00C21EFD">
            <w:pPr>
              <w:jc w:val="center"/>
              <w:rPr>
                <w:sz w:val="22"/>
                <w:szCs w:val="24"/>
              </w:rPr>
            </w:pPr>
            <w:r>
              <w:rPr>
                <w:sz w:val="22"/>
                <w:szCs w:val="24"/>
              </w:rPr>
              <w:t>0</w:t>
            </w:r>
          </w:p>
        </w:tc>
        <w:tc>
          <w:tcPr>
            <w:tcW w:w="1299" w:type="dxa"/>
            <w:vAlign w:val="center"/>
          </w:tcPr>
          <w:p w:rsidRPr="00C21EFD" w:rsidR="00C21EFD" w:rsidP="00C21EFD" w:rsidRDefault="00C21EFD">
            <w:pPr>
              <w:jc w:val="center"/>
              <w:rPr>
                <w:sz w:val="22"/>
                <w:szCs w:val="24"/>
              </w:rPr>
            </w:pPr>
            <w:r>
              <w:rPr>
                <w:sz w:val="22"/>
                <w:szCs w:val="24"/>
              </w:rPr>
              <w:t>2,687</w:t>
            </w:r>
          </w:p>
        </w:tc>
        <w:tc>
          <w:tcPr>
            <w:tcW w:w="1300" w:type="dxa"/>
            <w:vAlign w:val="center"/>
          </w:tcPr>
          <w:p w:rsidRPr="00C21EFD" w:rsidR="00C21EFD" w:rsidP="00C21EFD" w:rsidRDefault="00C21EFD">
            <w:pPr>
              <w:jc w:val="center"/>
              <w:rPr>
                <w:sz w:val="22"/>
                <w:szCs w:val="24"/>
              </w:rPr>
            </w:pPr>
            <w:r>
              <w:rPr>
                <w:sz w:val="22"/>
                <w:szCs w:val="24"/>
              </w:rPr>
              <w:t>6,981</w:t>
            </w:r>
          </w:p>
        </w:tc>
        <w:tc>
          <w:tcPr>
            <w:tcW w:w="1299" w:type="dxa"/>
            <w:vAlign w:val="center"/>
          </w:tcPr>
          <w:p w:rsidRPr="00C21EFD" w:rsidR="00C21EFD" w:rsidP="00C21EFD" w:rsidRDefault="00C21EFD">
            <w:pPr>
              <w:jc w:val="center"/>
              <w:rPr>
                <w:sz w:val="22"/>
                <w:szCs w:val="24"/>
              </w:rPr>
            </w:pPr>
            <w:r>
              <w:rPr>
                <w:sz w:val="22"/>
                <w:szCs w:val="24"/>
              </w:rPr>
              <w:t>0</w:t>
            </w:r>
          </w:p>
        </w:tc>
        <w:tc>
          <w:tcPr>
            <w:tcW w:w="1300" w:type="dxa"/>
            <w:vAlign w:val="center"/>
          </w:tcPr>
          <w:p w:rsidRPr="00C21EFD" w:rsidR="00C21EFD" w:rsidP="00C21EFD" w:rsidRDefault="00C21EFD">
            <w:pPr>
              <w:jc w:val="center"/>
              <w:rPr>
                <w:sz w:val="22"/>
                <w:szCs w:val="24"/>
              </w:rPr>
            </w:pPr>
            <w:r>
              <w:rPr>
                <w:sz w:val="22"/>
                <w:szCs w:val="24"/>
              </w:rPr>
              <w:t>3,315</w:t>
            </w:r>
          </w:p>
        </w:tc>
      </w:tr>
    </w:tbl>
    <w:p w:rsidRPr="00E24BFA" w:rsidR="00C21EFD" w:rsidP="00DA2D1A" w:rsidRDefault="00C21EFD">
      <w:pPr>
        <w:rPr>
          <w:b/>
          <w:sz w:val="24"/>
          <w:szCs w:val="24"/>
        </w:rPr>
      </w:pPr>
    </w:p>
    <w:p w:rsidRPr="00E24BFA" w:rsidR="008E3948" w:rsidP="00DA2D1A" w:rsidRDefault="00C91FC4">
      <w:pPr>
        <w:rPr>
          <w:sz w:val="24"/>
          <w:szCs w:val="24"/>
        </w:rPr>
      </w:pPr>
      <w:r w:rsidRPr="00E24BFA">
        <w:rPr>
          <w:sz w:val="24"/>
          <w:szCs w:val="24"/>
        </w:rPr>
        <w:t>This information collection request includes 483 respondents.  This increase of 372 over the previous submission is due to adding State, Local, and Tribal Government officials as respondents to current activities, and revising the estimated number of respondents for permit applications.</w:t>
      </w:r>
      <w:r w:rsidRPr="00E24BFA" w:rsidR="00B1562F">
        <w:rPr>
          <w:sz w:val="24"/>
          <w:szCs w:val="24"/>
        </w:rPr>
        <w:t xml:space="preserve">  Further estimate adjustments and discretionary changes also resulted in 5,279 additional responses and 9,668 additional burden hours over the previous submission.</w:t>
      </w:r>
    </w:p>
    <w:p w:rsidRPr="00E24BFA" w:rsidR="00C91FC4" w:rsidP="00DA2D1A" w:rsidRDefault="00C91FC4">
      <w:pPr>
        <w:rPr>
          <w:sz w:val="24"/>
          <w:szCs w:val="24"/>
        </w:rPr>
      </w:pPr>
    </w:p>
    <w:p w:rsidRPr="00B260BF" w:rsidR="00B260BF" w:rsidP="00E24BFA" w:rsidRDefault="00B260BF">
      <w:pPr>
        <w:rPr>
          <w:sz w:val="24"/>
          <w:szCs w:val="24"/>
          <w:u w:val="single"/>
        </w:rPr>
      </w:pPr>
      <w:r w:rsidRPr="00B260BF">
        <w:rPr>
          <w:sz w:val="24"/>
          <w:szCs w:val="24"/>
          <w:u w:val="single"/>
        </w:rPr>
        <w:t xml:space="preserve">Estimate </w:t>
      </w:r>
      <w:r w:rsidR="00DA4BA7">
        <w:rPr>
          <w:sz w:val="24"/>
          <w:szCs w:val="24"/>
          <w:u w:val="single"/>
        </w:rPr>
        <w:t>Adjustments</w:t>
      </w:r>
    </w:p>
    <w:p w:rsidR="00B260BF" w:rsidP="00E24BFA" w:rsidRDefault="00B260BF">
      <w:pPr>
        <w:rPr>
          <w:sz w:val="24"/>
          <w:szCs w:val="24"/>
        </w:rPr>
      </w:pPr>
    </w:p>
    <w:p w:rsidRPr="00E24BFA" w:rsidR="00DA4BA7" w:rsidP="00DA4BA7" w:rsidRDefault="00B260BF">
      <w:pPr>
        <w:rPr>
          <w:sz w:val="24"/>
          <w:szCs w:val="24"/>
        </w:rPr>
      </w:pPr>
      <w:r w:rsidRPr="00E24BFA">
        <w:rPr>
          <w:sz w:val="24"/>
          <w:szCs w:val="24"/>
        </w:rPr>
        <w:t>All but four activities have increased estimates for number of respondents and estimated total responses.</w:t>
      </w:r>
      <w:r w:rsidR="00DA4BA7">
        <w:rPr>
          <w:sz w:val="24"/>
          <w:szCs w:val="24"/>
        </w:rPr>
        <w:t xml:space="preserve"> </w:t>
      </w:r>
      <w:r w:rsidRPr="00E24BFA" w:rsidR="00DA4BA7">
        <w:rPr>
          <w:sz w:val="24"/>
          <w:szCs w:val="24"/>
        </w:rPr>
        <w:t>Six activities had their response times increased.</w:t>
      </w:r>
      <w:r w:rsidR="00DA4BA7">
        <w:rPr>
          <w:sz w:val="24"/>
          <w:szCs w:val="24"/>
        </w:rPr>
        <w:t xml:space="preserve">  These estimate changes resulted in an increase of 3,824 responses and 6,981 hours of burden. </w:t>
      </w:r>
    </w:p>
    <w:p w:rsidRPr="00E24BFA" w:rsidR="00B260BF" w:rsidP="00B260BF" w:rsidRDefault="00B260BF">
      <w:pPr>
        <w:rPr>
          <w:sz w:val="24"/>
          <w:szCs w:val="24"/>
        </w:rPr>
      </w:pPr>
    </w:p>
    <w:p w:rsidRPr="00B260BF" w:rsidR="00E24BFA" w:rsidP="00E24BFA" w:rsidRDefault="00E24BFA">
      <w:pPr>
        <w:rPr>
          <w:sz w:val="24"/>
          <w:szCs w:val="24"/>
          <w:u w:val="single"/>
        </w:rPr>
      </w:pPr>
      <w:r w:rsidRPr="00B260BF">
        <w:rPr>
          <w:sz w:val="24"/>
          <w:szCs w:val="24"/>
          <w:u w:val="single"/>
        </w:rPr>
        <w:t>Discretionary Changes</w:t>
      </w:r>
    </w:p>
    <w:p w:rsidR="00E24BFA" w:rsidP="00E24BFA" w:rsidRDefault="00E24BFA">
      <w:pPr>
        <w:rPr>
          <w:sz w:val="24"/>
          <w:szCs w:val="24"/>
        </w:rPr>
      </w:pPr>
    </w:p>
    <w:p w:rsidRPr="00E24BFA" w:rsidR="00E24BFA" w:rsidP="00E24BFA" w:rsidRDefault="00E24BFA">
      <w:pPr>
        <w:rPr>
          <w:sz w:val="24"/>
          <w:szCs w:val="24"/>
        </w:rPr>
      </w:pPr>
      <w:r w:rsidRPr="00E24BFA">
        <w:rPr>
          <w:sz w:val="24"/>
          <w:szCs w:val="24"/>
        </w:rPr>
        <w:t>Seven activities added State, Local, or Tribal Government respondents as respondent types, and one added Private Sector.  This accounts for 1,3</w:t>
      </w:r>
      <w:r w:rsidR="00701E3D">
        <w:rPr>
          <w:sz w:val="24"/>
          <w:szCs w:val="24"/>
        </w:rPr>
        <w:t>55</w:t>
      </w:r>
      <w:r w:rsidRPr="00E24BFA">
        <w:rPr>
          <w:sz w:val="24"/>
          <w:szCs w:val="24"/>
        </w:rPr>
        <w:t xml:space="preserve"> responses and 2,</w:t>
      </w:r>
      <w:r w:rsidR="00EC248F">
        <w:rPr>
          <w:sz w:val="24"/>
          <w:szCs w:val="24"/>
        </w:rPr>
        <w:t>2</w:t>
      </w:r>
      <w:r w:rsidR="00DA4BA7">
        <w:rPr>
          <w:sz w:val="24"/>
          <w:szCs w:val="24"/>
        </w:rPr>
        <w:t>29</w:t>
      </w:r>
      <w:r w:rsidRPr="00E24BFA">
        <w:rPr>
          <w:sz w:val="24"/>
          <w:szCs w:val="24"/>
        </w:rPr>
        <w:t xml:space="preserve"> hours of burden.</w:t>
      </w:r>
    </w:p>
    <w:p w:rsidRPr="00E24BFA" w:rsidR="00E24BFA" w:rsidP="00E24BFA" w:rsidRDefault="00E24BFA">
      <w:pPr>
        <w:rPr>
          <w:sz w:val="24"/>
          <w:szCs w:val="24"/>
        </w:rPr>
      </w:pPr>
    </w:p>
    <w:p w:rsidRPr="00E24BFA" w:rsidR="00C91FC4" w:rsidP="00DA2D1A" w:rsidRDefault="003174CA">
      <w:pPr>
        <w:rPr>
          <w:sz w:val="24"/>
          <w:szCs w:val="24"/>
        </w:rPr>
      </w:pPr>
      <w:r w:rsidRPr="00E24BFA">
        <w:rPr>
          <w:sz w:val="24"/>
          <w:szCs w:val="24"/>
        </w:rPr>
        <w:t xml:space="preserve">All of the activities except two added </w:t>
      </w:r>
      <w:r w:rsidRPr="00E24BFA" w:rsidR="00C91FC4">
        <w:rPr>
          <w:sz w:val="24"/>
          <w:szCs w:val="24"/>
        </w:rPr>
        <w:t>recordkeeping requirements</w:t>
      </w:r>
      <w:r w:rsidR="00B260BF">
        <w:rPr>
          <w:sz w:val="24"/>
          <w:szCs w:val="24"/>
        </w:rPr>
        <w:t xml:space="preserve"> resulting in an increase of 6</w:t>
      </w:r>
      <w:r w:rsidR="00DA4BA7">
        <w:rPr>
          <w:sz w:val="24"/>
          <w:szCs w:val="24"/>
        </w:rPr>
        <w:t>1</w:t>
      </w:r>
      <w:r w:rsidR="00B260BF">
        <w:rPr>
          <w:sz w:val="24"/>
          <w:szCs w:val="24"/>
        </w:rPr>
        <w:t xml:space="preserve"> responses and 2</w:t>
      </w:r>
      <w:r w:rsidR="00DA4BA7">
        <w:rPr>
          <w:sz w:val="24"/>
          <w:szCs w:val="24"/>
        </w:rPr>
        <w:t>29</w:t>
      </w:r>
      <w:r w:rsidR="00B260BF">
        <w:rPr>
          <w:sz w:val="24"/>
          <w:szCs w:val="24"/>
        </w:rPr>
        <w:t xml:space="preserve"> hours of burden.</w:t>
      </w:r>
      <w:r w:rsidRPr="00E24BFA" w:rsidR="00C91FC4">
        <w:rPr>
          <w:sz w:val="24"/>
          <w:szCs w:val="24"/>
        </w:rPr>
        <w:t xml:space="preserve">  </w:t>
      </w:r>
    </w:p>
    <w:p w:rsidR="00C91FC4" w:rsidP="00DA2D1A" w:rsidRDefault="00C91FC4">
      <w:pPr>
        <w:rPr>
          <w:sz w:val="24"/>
          <w:szCs w:val="24"/>
        </w:rPr>
      </w:pPr>
    </w:p>
    <w:p w:rsidRPr="00E24BFA" w:rsidR="004C4E38" w:rsidP="00DA2D1A" w:rsidRDefault="004C4E38">
      <w:pPr>
        <w:rPr>
          <w:sz w:val="24"/>
          <w:szCs w:val="24"/>
        </w:rPr>
      </w:pPr>
      <w:r w:rsidRPr="00E24BFA">
        <w:rPr>
          <w:sz w:val="24"/>
          <w:szCs w:val="24"/>
        </w:rPr>
        <w:t>One activity, State Review, was discontinued, removing 1 response and 1 hour of burden.</w:t>
      </w:r>
    </w:p>
    <w:p w:rsidRPr="00E24BFA" w:rsidR="004C4E38" w:rsidP="00DA2D1A" w:rsidRDefault="004C4E38">
      <w:pPr>
        <w:rPr>
          <w:sz w:val="24"/>
          <w:szCs w:val="24"/>
        </w:rPr>
      </w:pPr>
    </w:p>
    <w:p w:rsidRPr="00E24BFA" w:rsidR="004C4E38" w:rsidP="00DA2D1A" w:rsidRDefault="004C4E38">
      <w:pPr>
        <w:rPr>
          <w:sz w:val="24"/>
          <w:szCs w:val="24"/>
        </w:rPr>
      </w:pPr>
      <w:r w:rsidRPr="00E24BFA">
        <w:rPr>
          <w:sz w:val="24"/>
          <w:szCs w:val="24"/>
        </w:rPr>
        <w:t xml:space="preserve">One new activity was added.  “Am I Regulated” Process adds </w:t>
      </w:r>
      <w:r w:rsidR="00DA4BA7">
        <w:rPr>
          <w:sz w:val="24"/>
          <w:szCs w:val="24"/>
        </w:rPr>
        <w:t>40</w:t>
      </w:r>
      <w:r w:rsidRPr="00E24BFA">
        <w:rPr>
          <w:sz w:val="24"/>
          <w:szCs w:val="24"/>
        </w:rPr>
        <w:t xml:space="preserve"> responses and 2</w:t>
      </w:r>
      <w:r w:rsidR="00DA4BA7">
        <w:rPr>
          <w:sz w:val="24"/>
          <w:szCs w:val="24"/>
        </w:rPr>
        <w:t>30</w:t>
      </w:r>
      <w:r w:rsidRPr="00E24BFA">
        <w:rPr>
          <w:sz w:val="24"/>
          <w:szCs w:val="24"/>
        </w:rPr>
        <w:t xml:space="preserve"> hours of burden.</w:t>
      </w:r>
    </w:p>
    <w:p w:rsidR="00E24BFA" w:rsidP="00DA2D1A" w:rsidRDefault="00E24BFA">
      <w:pPr>
        <w:rPr>
          <w:sz w:val="24"/>
          <w:szCs w:val="24"/>
        </w:rPr>
      </w:pPr>
    </w:p>
    <w:p w:rsidR="003563AC" w:rsidP="00DA2D1A" w:rsidRDefault="003563AC">
      <w:pPr>
        <w:rPr>
          <w:sz w:val="24"/>
          <w:szCs w:val="24"/>
        </w:rPr>
      </w:pPr>
      <w:r>
        <w:rPr>
          <w:sz w:val="24"/>
          <w:szCs w:val="24"/>
        </w:rPr>
        <w:t xml:space="preserve">See “0579-0085 2020 </w:t>
      </w:r>
      <w:r w:rsidR="009C5C94">
        <w:rPr>
          <w:sz w:val="24"/>
          <w:szCs w:val="24"/>
        </w:rPr>
        <w:t>Summary of ICR C</w:t>
      </w:r>
      <w:r>
        <w:rPr>
          <w:sz w:val="24"/>
          <w:szCs w:val="24"/>
        </w:rPr>
        <w:t xml:space="preserve">hanges.xls” for a side by side comparison of </w:t>
      </w:r>
      <w:r w:rsidR="00187573">
        <w:rPr>
          <w:sz w:val="24"/>
          <w:szCs w:val="24"/>
        </w:rPr>
        <w:t xml:space="preserve">responses and burden hours for </w:t>
      </w:r>
      <w:r>
        <w:rPr>
          <w:sz w:val="24"/>
          <w:szCs w:val="24"/>
        </w:rPr>
        <w:t>the activities reported in 2017 with those in this submission.</w:t>
      </w:r>
    </w:p>
    <w:p w:rsidR="003563AC" w:rsidP="00DA2D1A" w:rsidRDefault="003563AC">
      <w:pPr>
        <w:rPr>
          <w:sz w:val="24"/>
          <w:szCs w:val="24"/>
        </w:rPr>
      </w:pPr>
      <w:bookmarkStart w:name="_GoBack" w:id="0"/>
      <w:bookmarkEnd w:id="0"/>
    </w:p>
    <w:p w:rsidRPr="00213759" w:rsidR="00DA2D1A" w:rsidP="00DA2D1A" w:rsidRDefault="00845D62">
      <w:pPr>
        <w:rPr>
          <w:b/>
          <w:sz w:val="24"/>
          <w:szCs w:val="24"/>
        </w:rPr>
      </w:pPr>
      <w:r>
        <w:rPr>
          <w:b/>
          <w:sz w:val="24"/>
          <w:szCs w:val="24"/>
        </w:rPr>
        <w:t>16.</w:t>
      </w:r>
      <w:r w:rsidRPr="00213759" w:rsidR="00DA2D1A">
        <w:rPr>
          <w:b/>
          <w:sz w:val="24"/>
          <w:szCs w:val="24"/>
        </w:rPr>
        <w:t xml:space="preserve">  For collections of information whose results are planned to be published, outline plans for tabulation and publication.</w:t>
      </w:r>
    </w:p>
    <w:p w:rsidRPr="00213759" w:rsidR="00DA2D1A" w:rsidP="00DA2D1A" w:rsidRDefault="00DA2D1A">
      <w:pPr>
        <w:rPr>
          <w:b/>
          <w:sz w:val="24"/>
          <w:szCs w:val="24"/>
        </w:rPr>
      </w:pPr>
    </w:p>
    <w:p w:rsidRPr="00BE0746" w:rsidR="00DA2D1A" w:rsidP="00DA2D1A" w:rsidRDefault="00A35FC3">
      <w:pPr>
        <w:rPr>
          <w:sz w:val="24"/>
          <w:szCs w:val="24"/>
        </w:rPr>
      </w:pPr>
      <w:r>
        <w:rPr>
          <w:sz w:val="24"/>
          <w:szCs w:val="24"/>
        </w:rPr>
        <w:t>APHIS has</w:t>
      </w:r>
      <w:r w:rsidRPr="00BE0746" w:rsidR="00DA2D1A">
        <w:rPr>
          <w:sz w:val="24"/>
          <w:szCs w:val="24"/>
        </w:rPr>
        <w:t xml:space="preserve"> no plans to tabula</w:t>
      </w:r>
      <w:r w:rsidR="004C2B8B">
        <w:rPr>
          <w:sz w:val="24"/>
          <w:szCs w:val="24"/>
        </w:rPr>
        <w:t xml:space="preserve">te or publish the information </w:t>
      </w:r>
      <w:r>
        <w:rPr>
          <w:sz w:val="24"/>
          <w:szCs w:val="24"/>
        </w:rPr>
        <w:t>c</w:t>
      </w:r>
      <w:r w:rsidR="004C2B8B">
        <w:rPr>
          <w:sz w:val="24"/>
          <w:szCs w:val="24"/>
        </w:rPr>
        <w:t>ollect</w:t>
      </w:r>
      <w:r>
        <w:rPr>
          <w:sz w:val="24"/>
          <w:szCs w:val="24"/>
        </w:rPr>
        <w:t>ed</w:t>
      </w:r>
      <w:r w:rsidR="004C2B8B">
        <w:rPr>
          <w:sz w:val="24"/>
          <w:szCs w:val="24"/>
        </w:rPr>
        <w:t>.</w:t>
      </w:r>
    </w:p>
    <w:p w:rsidR="00DA2D1A" w:rsidP="00DA2D1A" w:rsidRDefault="00DA2D1A">
      <w:pPr>
        <w:rPr>
          <w:sz w:val="24"/>
          <w:szCs w:val="24"/>
        </w:rPr>
      </w:pPr>
    </w:p>
    <w:p w:rsidR="003563AC" w:rsidP="00DA2D1A" w:rsidRDefault="003563AC">
      <w:pPr>
        <w:rPr>
          <w:sz w:val="24"/>
          <w:szCs w:val="24"/>
        </w:rPr>
      </w:pPr>
    </w:p>
    <w:p w:rsidRPr="00213759" w:rsidR="00DA2D1A" w:rsidP="00DA2D1A" w:rsidRDefault="00DA2D1A">
      <w:pPr>
        <w:rPr>
          <w:b/>
          <w:sz w:val="24"/>
          <w:szCs w:val="24"/>
        </w:rPr>
      </w:pPr>
      <w:r w:rsidRPr="00213759">
        <w:rPr>
          <w:b/>
          <w:sz w:val="24"/>
          <w:szCs w:val="24"/>
        </w:rPr>
        <w:t>17.  If seeking approval to not display the expiration date for OMB approval of the information collection, explain the reasons that display would be inappropriate.</w:t>
      </w:r>
    </w:p>
    <w:p w:rsidRPr="00213759" w:rsidR="00DA2D1A" w:rsidP="00DA2D1A" w:rsidRDefault="00DA2D1A">
      <w:pPr>
        <w:rPr>
          <w:b/>
          <w:sz w:val="24"/>
          <w:szCs w:val="24"/>
        </w:rPr>
      </w:pPr>
    </w:p>
    <w:p w:rsidRPr="00811A95" w:rsidR="00DA2D1A" w:rsidP="00DA2D1A" w:rsidRDefault="00811A95">
      <w:pPr>
        <w:rPr>
          <w:sz w:val="24"/>
          <w:szCs w:val="24"/>
        </w:rPr>
      </w:pPr>
      <w:r w:rsidRPr="00811A95">
        <w:rPr>
          <w:sz w:val="24"/>
          <w:szCs w:val="24"/>
        </w:rPr>
        <w:t>Not applica</w:t>
      </w:r>
      <w:r w:rsidR="00940F02">
        <w:rPr>
          <w:sz w:val="24"/>
          <w:szCs w:val="24"/>
        </w:rPr>
        <w:t xml:space="preserve">ble.  </w:t>
      </w:r>
    </w:p>
    <w:p w:rsidRPr="00BE0746" w:rsidR="00A35FC3" w:rsidP="00DA2D1A" w:rsidRDefault="00A35FC3">
      <w:pPr>
        <w:rPr>
          <w:sz w:val="24"/>
          <w:szCs w:val="24"/>
        </w:rPr>
      </w:pPr>
    </w:p>
    <w:p w:rsidR="00300C02" w:rsidP="00DA2D1A" w:rsidRDefault="00300C02">
      <w:pPr>
        <w:rPr>
          <w:b/>
          <w:sz w:val="24"/>
          <w:szCs w:val="24"/>
        </w:rPr>
      </w:pPr>
    </w:p>
    <w:p w:rsidRPr="00213759" w:rsidR="00DA2D1A" w:rsidP="00DA2D1A" w:rsidRDefault="00DA2D1A">
      <w:pPr>
        <w:rPr>
          <w:b/>
          <w:sz w:val="24"/>
          <w:szCs w:val="24"/>
        </w:rPr>
      </w:pPr>
      <w:r w:rsidRPr="00213759">
        <w:rPr>
          <w:b/>
          <w:sz w:val="24"/>
          <w:szCs w:val="24"/>
        </w:rPr>
        <w:t xml:space="preserve">18.  Explain each exception to the certification </w:t>
      </w:r>
      <w:r w:rsidR="00213759">
        <w:rPr>
          <w:b/>
          <w:sz w:val="24"/>
          <w:szCs w:val="24"/>
        </w:rPr>
        <w:t xml:space="preserve">statement identified in </w:t>
      </w:r>
      <w:r w:rsidR="00831CA3">
        <w:rPr>
          <w:b/>
          <w:sz w:val="24"/>
          <w:szCs w:val="24"/>
        </w:rPr>
        <w:t>the</w:t>
      </w:r>
      <w:r w:rsidRPr="00213759" w:rsidR="00831CA3">
        <w:rPr>
          <w:b/>
          <w:sz w:val="24"/>
          <w:szCs w:val="24"/>
        </w:rPr>
        <w:t xml:space="preserve"> “Certification</w:t>
      </w:r>
      <w:r w:rsidRPr="00213759">
        <w:rPr>
          <w:b/>
          <w:sz w:val="24"/>
          <w:szCs w:val="24"/>
        </w:rPr>
        <w:t xml:space="preserve"> for Paperwork Reduction Act."</w:t>
      </w:r>
    </w:p>
    <w:p w:rsidRPr="00213759" w:rsidR="00DA2D1A" w:rsidP="00DA2D1A" w:rsidRDefault="00DA2D1A">
      <w:pPr>
        <w:rPr>
          <w:b/>
          <w:sz w:val="24"/>
          <w:szCs w:val="24"/>
        </w:rPr>
      </w:pPr>
    </w:p>
    <w:p w:rsidR="00DA2D1A" w:rsidP="00DA2D1A" w:rsidRDefault="00257E89">
      <w:pPr>
        <w:rPr>
          <w:sz w:val="24"/>
          <w:szCs w:val="24"/>
        </w:rPr>
      </w:pPr>
      <w:r>
        <w:rPr>
          <w:sz w:val="24"/>
          <w:szCs w:val="24"/>
        </w:rPr>
        <w:t>APHIS is</w:t>
      </w:r>
      <w:r w:rsidRPr="00BE0746" w:rsidR="00DA2D1A">
        <w:rPr>
          <w:sz w:val="24"/>
          <w:szCs w:val="24"/>
        </w:rPr>
        <w:t xml:space="preserve"> able to certify compliance with </w:t>
      </w:r>
      <w:r w:rsidR="00213759">
        <w:rPr>
          <w:sz w:val="24"/>
          <w:szCs w:val="24"/>
        </w:rPr>
        <w:t>all the provisions in the Act</w:t>
      </w:r>
      <w:r w:rsidRPr="00BE0746" w:rsidR="00DA2D1A">
        <w:rPr>
          <w:sz w:val="24"/>
          <w:szCs w:val="24"/>
        </w:rPr>
        <w:t>.</w:t>
      </w:r>
    </w:p>
    <w:p w:rsidR="00297ECA" w:rsidP="00DA2D1A" w:rsidRDefault="00297ECA">
      <w:pPr>
        <w:rPr>
          <w:sz w:val="24"/>
          <w:szCs w:val="24"/>
        </w:rPr>
      </w:pPr>
    </w:p>
    <w:p w:rsidR="008E3948" w:rsidP="00DA2D1A" w:rsidRDefault="008E3948">
      <w:pPr>
        <w:rPr>
          <w:sz w:val="24"/>
          <w:szCs w:val="24"/>
        </w:rPr>
      </w:pPr>
    </w:p>
    <w:p w:rsidRPr="00EC1C5E" w:rsidR="00DA2D1A" w:rsidP="00791A16" w:rsidRDefault="00791A16">
      <w:pPr>
        <w:rPr>
          <w:b/>
          <w:sz w:val="24"/>
          <w:szCs w:val="24"/>
        </w:rPr>
      </w:pPr>
      <w:r>
        <w:rPr>
          <w:b/>
          <w:sz w:val="24"/>
          <w:szCs w:val="24"/>
        </w:rPr>
        <w:t xml:space="preserve">B.  </w:t>
      </w:r>
      <w:r w:rsidR="00297ECA">
        <w:rPr>
          <w:b/>
          <w:sz w:val="24"/>
          <w:szCs w:val="24"/>
        </w:rPr>
        <w:t>C</w:t>
      </w:r>
      <w:r w:rsidRPr="00EC1C5E" w:rsidR="00DA2D1A">
        <w:rPr>
          <w:b/>
          <w:sz w:val="24"/>
          <w:szCs w:val="24"/>
        </w:rPr>
        <w:t>ollections of Information Employing Statistical Methods</w:t>
      </w:r>
    </w:p>
    <w:p w:rsidRPr="00BE0746" w:rsidR="00EC1C5E" w:rsidP="00EC1C5E" w:rsidRDefault="00EC1C5E">
      <w:pPr>
        <w:ind w:left="360"/>
        <w:rPr>
          <w:sz w:val="24"/>
          <w:szCs w:val="24"/>
        </w:rPr>
      </w:pPr>
    </w:p>
    <w:p w:rsidR="00DA2D1A" w:rsidP="00DA2D1A" w:rsidRDefault="00DA2D1A">
      <w:pPr>
        <w:rPr>
          <w:sz w:val="24"/>
          <w:szCs w:val="24"/>
        </w:rPr>
      </w:pPr>
      <w:r w:rsidRPr="00BE0746">
        <w:rPr>
          <w:sz w:val="24"/>
          <w:szCs w:val="24"/>
        </w:rPr>
        <w:t>Statistical methods are not used in this information</w:t>
      </w:r>
      <w:r w:rsidR="0082439D">
        <w:rPr>
          <w:sz w:val="24"/>
          <w:szCs w:val="24"/>
        </w:rPr>
        <w:t xml:space="preserve"> collection. </w:t>
      </w:r>
      <w:r w:rsidRPr="00BE0746">
        <w:rPr>
          <w:sz w:val="24"/>
          <w:szCs w:val="24"/>
        </w:rPr>
        <w:t xml:space="preserve">    </w:t>
      </w:r>
    </w:p>
    <w:sectPr w:rsidR="00DA2D1A" w:rsidSect="002E26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E13" w:rsidRDefault="00840E13" w:rsidP="006F3F49">
      <w:r>
        <w:separator/>
      </w:r>
    </w:p>
  </w:endnote>
  <w:endnote w:type="continuationSeparator" w:id="0">
    <w:p w:rsidR="00840E13" w:rsidRDefault="00840E13" w:rsidP="006F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E13" w:rsidRDefault="00840E13" w:rsidP="006F3F49">
      <w:r>
        <w:separator/>
      </w:r>
    </w:p>
  </w:footnote>
  <w:footnote w:type="continuationSeparator" w:id="0">
    <w:p w:rsidR="00840E13" w:rsidRDefault="00840E13" w:rsidP="006F3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3623FB9"/>
    <w:multiLevelType w:val="hybridMultilevel"/>
    <w:tmpl w:val="F17A70B6"/>
    <w:lvl w:ilvl="0" w:tplc="18A608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945A1"/>
    <w:multiLevelType w:val="hybridMultilevel"/>
    <w:tmpl w:val="546C401A"/>
    <w:lvl w:ilvl="0" w:tplc="DD6E3F0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406B80"/>
    <w:multiLevelType w:val="multilevel"/>
    <w:tmpl w:val="98A6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442A8"/>
    <w:multiLevelType w:val="hybridMultilevel"/>
    <w:tmpl w:val="B538D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E80ABE"/>
    <w:multiLevelType w:val="hybridMultilevel"/>
    <w:tmpl w:val="FE70A904"/>
    <w:lvl w:ilvl="0" w:tplc="C1209F90">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8B30AC"/>
    <w:multiLevelType w:val="hybridMultilevel"/>
    <w:tmpl w:val="9432CD2A"/>
    <w:lvl w:ilvl="0" w:tplc="04090001">
      <w:start w:val="1"/>
      <w:numFmt w:val="bullet"/>
      <w:lvlText w:val=""/>
      <w:lvlJc w:val="left"/>
      <w:pPr>
        <w:ind w:left="1080" w:hanging="360"/>
      </w:pPr>
      <w:rPr>
        <w:rFonts w:ascii="Symbol" w:hAnsi="Symbol" w:hint="default"/>
      </w:rPr>
    </w:lvl>
    <w:lvl w:ilvl="1" w:tplc="1BA6FB9A">
      <w:numFmt w:val="bullet"/>
      <w:lvlText w:val="•"/>
      <w:lvlJc w:val="left"/>
      <w:pPr>
        <w:ind w:left="1800" w:hanging="360"/>
      </w:pPr>
      <w:rPr>
        <w:rFonts w:ascii="Times New Roman" w:eastAsia="Times New Roman" w:hAnsi="Times New Roman" w:cs="Times New Roman"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A95FD6"/>
    <w:multiLevelType w:val="singleLevel"/>
    <w:tmpl w:val="04090001"/>
    <w:lvl w:ilvl="0">
      <w:start w:val="1"/>
      <w:numFmt w:val="bullet"/>
      <w:lvlText w:val=""/>
      <w:lvlJc w:val="left"/>
      <w:pPr>
        <w:ind w:left="720" w:hanging="360"/>
      </w:pPr>
      <w:rPr>
        <w:rFonts w:ascii="Symbol" w:hAnsi="Symbol" w:hint="default"/>
      </w:rPr>
    </w:lvl>
  </w:abstractNum>
  <w:num w:numId="1">
    <w:abstractNumId w:val="10"/>
  </w:num>
  <w:num w:numId="2">
    <w:abstractNumId w:val="1"/>
  </w:num>
  <w:num w:numId="3">
    <w:abstractNumId w:val="3"/>
  </w:num>
  <w:num w:numId="4">
    <w:abstractNumId w:val="12"/>
  </w:num>
  <w:num w:numId="5">
    <w:abstractNumId w:val="4"/>
  </w:num>
  <w:num w:numId="6">
    <w:abstractNumId w:val="13"/>
  </w:num>
  <w:num w:numId="7">
    <w:abstractNumId w:val="8"/>
  </w:num>
  <w:num w:numId="8">
    <w:abstractNumId w:val="2"/>
  </w:num>
  <w:num w:numId="9">
    <w:abstractNumId w:val="7"/>
  </w:num>
  <w:num w:numId="10">
    <w:abstractNumId w:val="9"/>
  </w:num>
  <w:num w:numId="11">
    <w:abstractNumId w:val="5"/>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1A"/>
    <w:rsid w:val="00005C51"/>
    <w:rsid w:val="00010F0B"/>
    <w:rsid w:val="000169E9"/>
    <w:rsid w:val="0002486D"/>
    <w:rsid w:val="00027994"/>
    <w:rsid w:val="00034623"/>
    <w:rsid w:val="00035584"/>
    <w:rsid w:val="00036392"/>
    <w:rsid w:val="000532BA"/>
    <w:rsid w:val="00056FF7"/>
    <w:rsid w:val="00070406"/>
    <w:rsid w:val="0007499A"/>
    <w:rsid w:val="000753C4"/>
    <w:rsid w:val="000764D4"/>
    <w:rsid w:val="000771BC"/>
    <w:rsid w:val="00084FA8"/>
    <w:rsid w:val="000923FD"/>
    <w:rsid w:val="0009448D"/>
    <w:rsid w:val="000A1804"/>
    <w:rsid w:val="000A631F"/>
    <w:rsid w:val="000B68A5"/>
    <w:rsid w:val="000C48DA"/>
    <w:rsid w:val="0010160D"/>
    <w:rsid w:val="00104EF3"/>
    <w:rsid w:val="0011261F"/>
    <w:rsid w:val="00112FF3"/>
    <w:rsid w:val="00122F85"/>
    <w:rsid w:val="001250BB"/>
    <w:rsid w:val="00127BC6"/>
    <w:rsid w:val="00134555"/>
    <w:rsid w:val="00143AF0"/>
    <w:rsid w:val="001569FD"/>
    <w:rsid w:val="00182C2E"/>
    <w:rsid w:val="00183760"/>
    <w:rsid w:val="00184F65"/>
    <w:rsid w:val="001853E1"/>
    <w:rsid w:val="00187573"/>
    <w:rsid w:val="0019362C"/>
    <w:rsid w:val="001B2869"/>
    <w:rsid w:val="001B53D0"/>
    <w:rsid w:val="001C4675"/>
    <w:rsid w:val="001D53F3"/>
    <w:rsid w:val="001D7DE7"/>
    <w:rsid w:val="001E3DCA"/>
    <w:rsid w:val="001F0E86"/>
    <w:rsid w:val="00213759"/>
    <w:rsid w:val="00220C94"/>
    <w:rsid w:val="00225609"/>
    <w:rsid w:val="00227554"/>
    <w:rsid w:val="00255345"/>
    <w:rsid w:val="00257E89"/>
    <w:rsid w:val="00287A8D"/>
    <w:rsid w:val="00291797"/>
    <w:rsid w:val="00297ECA"/>
    <w:rsid w:val="002C1B24"/>
    <w:rsid w:val="002C664C"/>
    <w:rsid w:val="002C6B9C"/>
    <w:rsid w:val="002E26A9"/>
    <w:rsid w:val="002F4ABB"/>
    <w:rsid w:val="002F7F62"/>
    <w:rsid w:val="00300C02"/>
    <w:rsid w:val="00301E96"/>
    <w:rsid w:val="0030665C"/>
    <w:rsid w:val="003140BA"/>
    <w:rsid w:val="003174CA"/>
    <w:rsid w:val="00324729"/>
    <w:rsid w:val="00350C18"/>
    <w:rsid w:val="00356124"/>
    <w:rsid w:val="003563AC"/>
    <w:rsid w:val="00356FAB"/>
    <w:rsid w:val="003800F6"/>
    <w:rsid w:val="0038266B"/>
    <w:rsid w:val="00382A3A"/>
    <w:rsid w:val="003832F4"/>
    <w:rsid w:val="00385B29"/>
    <w:rsid w:val="003B1965"/>
    <w:rsid w:val="003B40ED"/>
    <w:rsid w:val="003B4BC6"/>
    <w:rsid w:val="003F003B"/>
    <w:rsid w:val="00402187"/>
    <w:rsid w:val="00404296"/>
    <w:rsid w:val="00411BF1"/>
    <w:rsid w:val="004137D3"/>
    <w:rsid w:val="00431964"/>
    <w:rsid w:val="00452261"/>
    <w:rsid w:val="004575A8"/>
    <w:rsid w:val="004674E9"/>
    <w:rsid w:val="00474CD5"/>
    <w:rsid w:val="00484399"/>
    <w:rsid w:val="0048782D"/>
    <w:rsid w:val="004A4E79"/>
    <w:rsid w:val="004C2B8B"/>
    <w:rsid w:val="004C4E38"/>
    <w:rsid w:val="004F3B58"/>
    <w:rsid w:val="0050095E"/>
    <w:rsid w:val="0053110A"/>
    <w:rsid w:val="00545495"/>
    <w:rsid w:val="00553A3F"/>
    <w:rsid w:val="0058370A"/>
    <w:rsid w:val="00583A22"/>
    <w:rsid w:val="00583FBC"/>
    <w:rsid w:val="00584898"/>
    <w:rsid w:val="005907FE"/>
    <w:rsid w:val="00596D9D"/>
    <w:rsid w:val="005A1726"/>
    <w:rsid w:val="005A27C6"/>
    <w:rsid w:val="005B2528"/>
    <w:rsid w:val="005C6C6D"/>
    <w:rsid w:val="005C7C9D"/>
    <w:rsid w:val="005D7A5E"/>
    <w:rsid w:val="00607D29"/>
    <w:rsid w:val="00610FE8"/>
    <w:rsid w:val="00637460"/>
    <w:rsid w:val="006622FD"/>
    <w:rsid w:val="00676422"/>
    <w:rsid w:val="0068574B"/>
    <w:rsid w:val="006937A0"/>
    <w:rsid w:val="00696A1B"/>
    <w:rsid w:val="006B5E0C"/>
    <w:rsid w:val="006C76AE"/>
    <w:rsid w:val="006D577D"/>
    <w:rsid w:val="006F3F49"/>
    <w:rsid w:val="006F62DB"/>
    <w:rsid w:val="00701E3D"/>
    <w:rsid w:val="00711EC5"/>
    <w:rsid w:val="00730BD7"/>
    <w:rsid w:val="00733129"/>
    <w:rsid w:val="0073613A"/>
    <w:rsid w:val="00740EAE"/>
    <w:rsid w:val="00742452"/>
    <w:rsid w:val="00762A22"/>
    <w:rsid w:val="00767E6A"/>
    <w:rsid w:val="0077302E"/>
    <w:rsid w:val="00790969"/>
    <w:rsid w:val="00791A16"/>
    <w:rsid w:val="007C118A"/>
    <w:rsid w:val="007E1EA0"/>
    <w:rsid w:val="007F3A56"/>
    <w:rsid w:val="00811A95"/>
    <w:rsid w:val="00814140"/>
    <w:rsid w:val="008167E5"/>
    <w:rsid w:val="008224EE"/>
    <w:rsid w:val="0082439D"/>
    <w:rsid w:val="00830671"/>
    <w:rsid w:val="00831CA3"/>
    <w:rsid w:val="00837AD0"/>
    <w:rsid w:val="00840E13"/>
    <w:rsid w:val="00842423"/>
    <w:rsid w:val="0084533F"/>
    <w:rsid w:val="00845D62"/>
    <w:rsid w:val="008522C6"/>
    <w:rsid w:val="0085559E"/>
    <w:rsid w:val="00856E4A"/>
    <w:rsid w:val="008760E9"/>
    <w:rsid w:val="008812F4"/>
    <w:rsid w:val="00883C18"/>
    <w:rsid w:val="008851A5"/>
    <w:rsid w:val="00891FB1"/>
    <w:rsid w:val="008B0534"/>
    <w:rsid w:val="008B7C58"/>
    <w:rsid w:val="008D3FBB"/>
    <w:rsid w:val="008E3948"/>
    <w:rsid w:val="008F6D12"/>
    <w:rsid w:val="00906803"/>
    <w:rsid w:val="009157C5"/>
    <w:rsid w:val="0091659B"/>
    <w:rsid w:val="00927FAC"/>
    <w:rsid w:val="00940F02"/>
    <w:rsid w:val="00941A55"/>
    <w:rsid w:val="00946965"/>
    <w:rsid w:val="00951CEF"/>
    <w:rsid w:val="0096193C"/>
    <w:rsid w:val="00964DDA"/>
    <w:rsid w:val="00977E96"/>
    <w:rsid w:val="0098426C"/>
    <w:rsid w:val="0098521E"/>
    <w:rsid w:val="00994861"/>
    <w:rsid w:val="009A44C0"/>
    <w:rsid w:val="009A730D"/>
    <w:rsid w:val="009C31D6"/>
    <w:rsid w:val="009C57CF"/>
    <w:rsid w:val="009C5C94"/>
    <w:rsid w:val="009D5D1E"/>
    <w:rsid w:val="009D7B7E"/>
    <w:rsid w:val="009E33A2"/>
    <w:rsid w:val="009E3A6A"/>
    <w:rsid w:val="009F100F"/>
    <w:rsid w:val="009F3E3C"/>
    <w:rsid w:val="009F50F8"/>
    <w:rsid w:val="009F6882"/>
    <w:rsid w:val="00A0087C"/>
    <w:rsid w:val="00A03FB8"/>
    <w:rsid w:val="00A12E40"/>
    <w:rsid w:val="00A14FE5"/>
    <w:rsid w:val="00A21619"/>
    <w:rsid w:val="00A248F5"/>
    <w:rsid w:val="00A3423E"/>
    <w:rsid w:val="00A35FC3"/>
    <w:rsid w:val="00A64421"/>
    <w:rsid w:val="00A64EEA"/>
    <w:rsid w:val="00A67BE8"/>
    <w:rsid w:val="00A77EB7"/>
    <w:rsid w:val="00AB0693"/>
    <w:rsid w:val="00AB77E2"/>
    <w:rsid w:val="00AE16A0"/>
    <w:rsid w:val="00AE2264"/>
    <w:rsid w:val="00AF04D9"/>
    <w:rsid w:val="00AF0C57"/>
    <w:rsid w:val="00AF5708"/>
    <w:rsid w:val="00B06050"/>
    <w:rsid w:val="00B116B7"/>
    <w:rsid w:val="00B1562F"/>
    <w:rsid w:val="00B16E15"/>
    <w:rsid w:val="00B260BF"/>
    <w:rsid w:val="00B41263"/>
    <w:rsid w:val="00B650A8"/>
    <w:rsid w:val="00B667AC"/>
    <w:rsid w:val="00B800DD"/>
    <w:rsid w:val="00B82BA5"/>
    <w:rsid w:val="00B83CDC"/>
    <w:rsid w:val="00B86206"/>
    <w:rsid w:val="00B92589"/>
    <w:rsid w:val="00B92F6C"/>
    <w:rsid w:val="00BA41EF"/>
    <w:rsid w:val="00BB21B5"/>
    <w:rsid w:val="00BB5D05"/>
    <w:rsid w:val="00BC24DB"/>
    <w:rsid w:val="00BD0741"/>
    <w:rsid w:val="00BD5531"/>
    <w:rsid w:val="00BE0746"/>
    <w:rsid w:val="00BE3FCA"/>
    <w:rsid w:val="00BF4AED"/>
    <w:rsid w:val="00BF6BA8"/>
    <w:rsid w:val="00C01A95"/>
    <w:rsid w:val="00C0481C"/>
    <w:rsid w:val="00C04E4C"/>
    <w:rsid w:val="00C21EFD"/>
    <w:rsid w:val="00C264CD"/>
    <w:rsid w:val="00C33600"/>
    <w:rsid w:val="00C37092"/>
    <w:rsid w:val="00C44D1D"/>
    <w:rsid w:val="00C509A9"/>
    <w:rsid w:val="00C560DB"/>
    <w:rsid w:val="00C62631"/>
    <w:rsid w:val="00C6604E"/>
    <w:rsid w:val="00C75ECE"/>
    <w:rsid w:val="00C77923"/>
    <w:rsid w:val="00C85399"/>
    <w:rsid w:val="00C91FC4"/>
    <w:rsid w:val="00C9415A"/>
    <w:rsid w:val="00CC33F6"/>
    <w:rsid w:val="00CC4D88"/>
    <w:rsid w:val="00CC5D8B"/>
    <w:rsid w:val="00CD117F"/>
    <w:rsid w:val="00CD6185"/>
    <w:rsid w:val="00CD62C6"/>
    <w:rsid w:val="00CE0C08"/>
    <w:rsid w:val="00CE20C8"/>
    <w:rsid w:val="00CE75A5"/>
    <w:rsid w:val="00D04D50"/>
    <w:rsid w:val="00D11DFB"/>
    <w:rsid w:val="00D20A02"/>
    <w:rsid w:val="00D22541"/>
    <w:rsid w:val="00D24C7B"/>
    <w:rsid w:val="00D32CE1"/>
    <w:rsid w:val="00D35FFF"/>
    <w:rsid w:val="00D41729"/>
    <w:rsid w:val="00D47BA6"/>
    <w:rsid w:val="00D54366"/>
    <w:rsid w:val="00D61341"/>
    <w:rsid w:val="00D7052F"/>
    <w:rsid w:val="00D8262F"/>
    <w:rsid w:val="00DA1CA5"/>
    <w:rsid w:val="00DA2D1A"/>
    <w:rsid w:val="00DA4BA7"/>
    <w:rsid w:val="00DB3D54"/>
    <w:rsid w:val="00DB570F"/>
    <w:rsid w:val="00DC5D62"/>
    <w:rsid w:val="00DD2653"/>
    <w:rsid w:val="00DE39F8"/>
    <w:rsid w:val="00DF527E"/>
    <w:rsid w:val="00E02E75"/>
    <w:rsid w:val="00E12324"/>
    <w:rsid w:val="00E13F67"/>
    <w:rsid w:val="00E24290"/>
    <w:rsid w:val="00E24BFA"/>
    <w:rsid w:val="00E50739"/>
    <w:rsid w:val="00E55616"/>
    <w:rsid w:val="00E60805"/>
    <w:rsid w:val="00E6544B"/>
    <w:rsid w:val="00E943FD"/>
    <w:rsid w:val="00EA160B"/>
    <w:rsid w:val="00EA1C9E"/>
    <w:rsid w:val="00EA221E"/>
    <w:rsid w:val="00EA2A38"/>
    <w:rsid w:val="00EB3271"/>
    <w:rsid w:val="00EB40A2"/>
    <w:rsid w:val="00EB6E96"/>
    <w:rsid w:val="00EC1C5E"/>
    <w:rsid w:val="00EC248F"/>
    <w:rsid w:val="00ED029E"/>
    <w:rsid w:val="00F07026"/>
    <w:rsid w:val="00F13ADB"/>
    <w:rsid w:val="00F60298"/>
    <w:rsid w:val="00F60AC8"/>
    <w:rsid w:val="00FA0731"/>
    <w:rsid w:val="00FB1D42"/>
    <w:rsid w:val="00FC10E6"/>
    <w:rsid w:val="00FC1741"/>
    <w:rsid w:val="00FE7AAB"/>
    <w:rsid w:val="00FF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200BB43F-A8DA-4FD7-8C02-3D92E308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6E15"/>
    <w:rPr>
      <w:rFonts w:ascii="Tahoma" w:hAnsi="Tahoma" w:cs="Tahoma"/>
      <w:sz w:val="16"/>
      <w:szCs w:val="16"/>
    </w:rPr>
  </w:style>
  <w:style w:type="paragraph" w:styleId="List">
    <w:name w:val="List"/>
    <w:basedOn w:val="Normal"/>
    <w:rsid w:val="00C6604E"/>
    <w:pPr>
      <w:ind w:left="360" w:hanging="360"/>
    </w:pPr>
    <w:rPr>
      <w:sz w:val="24"/>
      <w:szCs w:val="24"/>
    </w:rPr>
  </w:style>
  <w:style w:type="paragraph" w:styleId="BodyText">
    <w:name w:val="Body Text"/>
    <w:basedOn w:val="Normal"/>
    <w:rsid w:val="00C6604E"/>
    <w:pPr>
      <w:spacing w:after="120"/>
    </w:pPr>
    <w:rPr>
      <w:sz w:val="24"/>
      <w:szCs w:val="24"/>
    </w:rPr>
  </w:style>
  <w:style w:type="paragraph" w:styleId="BodyTextIndent">
    <w:name w:val="Body Text Indent"/>
    <w:basedOn w:val="Normal"/>
    <w:rsid w:val="00C6604E"/>
    <w:pPr>
      <w:spacing w:after="120"/>
      <w:ind w:left="360"/>
    </w:pPr>
    <w:rPr>
      <w:sz w:val="24"/>
      <w:szCs w:val="24"/>
    </w:rPr>
  </w:style>
  <w:style w:type="character" w:customStyle="1" w:styleId="InitialStyle">
    <w:name w:val="InitialStyle"/>
    <w:rsid w:val="00EA221E"/>
    <w:rPr>
      <w:rFonts w:ascii="Courier New" w:hAnsi="Courier New"/>
      <w:color w:val="auto"/>
      <w:spacing w:val="0"/>
      <w:sz w:val="24"/>
    </w:rPr>
  </w:style>
  <w:style w:type="paragraph" w:customStyle="1" w:styleId="DefaultText">
    <w:name w:val="Default Text"/>
    <w:basedOn w:val="Normal"/>
    <w:rsid w:val="00EA221E"/>
    <w:pPr>
      <w:overflowPunct w:val="0"/>
      <w:autoSpaceDE w:val="0"/>
      <w:autoSpaceDN w:val="0"/>
      <w:adjustRightInd w:val="0"/>
      <w:textAlignment w:val="baseline"/>
    </w:pPr>
    <w:rPr>
      <w:sz w:val="24"/>
    </w:rPr>
  </w:style>
  <w:style w:type="paragraph" w:customStyle="1" w:styleId="Default">
    <w:name w:val="Default"/>
    <w:rsid w:val="00C33600"/>
    <w:pPr>
      <w:autoSpaceDE w:val="0"/>
      <w:autoSpaceDN w:val="0"/>
      <w:adjustRightInd w:val="0"/>
    </w:pPr>
    <w:rPr>
      <w:rFonts w:ascii="Garamond" w:hAnsi="Garamond" w:cs="Garamond"/>
      <w:color w:val="000000"/>
      <w:sz w:val="24"/>
      <w:szCs w:val="24"/>
    </w:rPr>
  </w:style>
  <w:style w:type="character" w:styleId="Hyperlink">
    <w:name w:val="Hyperlink"/>
    <w:rsid w:val="006622FD"/>
    <w:rPr>
      <w:color w:val="0000FF"/>
      <w:u w:val="single"/>
    </w:rPr>
  </w:style>
  <w:style w:type="character" w:styleId="FollowedHyperlink">
    <w:name w:val="FollowedHyperlink"/>
    <w:rsid w:val="00856E4A"/>
    <w:rPr>
      <w:color w:val="800080"/>
      <w:u w:val="single"/>
    </w:rPr>
  </w:style>
  <w:style w:type="paragraph" w:customStyle="1" w:styleId="300">
    <w:name w:val="300"/>
    <w:basedOn w:val="Normal"/>
    <w:rsid w:val="005A27C6"/>
    <w:pPr>
      <w:overflowPunct w:val="0"/>
      <w:autoSpaceDE w:val="0"/>
      <w:autoSpaceDN w:val="0"/>
      <w:adjustRightInd w:val="0"/>
      <w:textAlignment w:val="baseline"/>
    </w:pPr>
  </w:style>
  <w:style w:type="character" w:styleId="CommentReference">
    <w:name w:val="annotation reference"/>
    <w:rsid w:val="006F3F49"/>
    <w:rPr>
      <w:sz w:val="16"/>
      <w:szCs w:val="16"/>
    </w:rPr>
  </w:style>
  <w:style w:type="paragraph" w:styleId="CommentText">
    <w:name w:val="annotation text"/>
    <w:basedOn w:val="Normal"/>
    <w:link w:val="CommentTextChar"/>
    <w:rsid w:val="006F3F49"/>
  </w:style>
  <w:style w:type="character" w:customStyle="1" w:styleId="CommentTextChar">
    <w:name w:val="Comment Text Char"/>
    <w:basedOn w:val="DefaultParagraphFont"/>
    <w:link w:val="CommentText"/>
    <w:rsid w:val="006F3F49"/>
  </w:style>
  <w:style w:type="paragraph" w:styleId="CommentSubject">
    <w:name w:val="annotation subject"/>
    <w:basedOn w:val="CommentText"/>
    <w:next w:val="CommentText"/>
    <w:link w:val="CommentSubjectChar"/>
    <w:rsid w:val="006F3F49"/>
    <w:rPr>
      <w:b/>
      <w:bCs/>
    </w:rPr>
  </w:style>
  <w:style w:type="character" w:customStyle="1" w:styleId="CommentSubjectChar">
    <w:name w:val="Comment Subject Char"/>
    <w:link w:val="CommentSubject"/>
    <w:rsid w:val="006F3F49"/>
    <w:rPr>
      <w:b/>
      <w:bCs/>
    </w:rPr>
  </w:style>
  <w:style w:type="paragraph" w:styleId="Revision">
    <w:name w:val="Revision"/>
    <w:hidden/>
    <w:uiPriority w:val="99"/>
    <w:semiHidden/>
    <w:rsid w:val="0030665C"/>
  </w:style>
  <w:style w:type="character" w:styleId="Emphasis">
    <w:name w:val="Emphasis"/>
    <w:uiPriority w:val="20"/>
    <w:qFormat/>
    <w:rsid w:val="00474CD5"/>
    <w:rPr>
      <w:i/>
      <w:iCs/>
    </w:rPr>
  </w:style>
  <w:style w:type="table" w:styleId="TableGrid">
    <w:name w:val="Table Grid"/>
    <w:basedOn w:val="TableNormal"/>
    <w:rsid w:val="00C04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9152">
      <w:bodyDiv w:val="1"/>
      <w:marLeft w:val="0"/>
      <w:marRight w:val="0"/>
      <w:marTop w:val="0"/>
      <w:marBottom w:val="0"/>
      <w:divBdr>
        <w:top w:val="none" w:sz="0" w:space="0" w:color="auto"/>
        <w:left w:val="none" w:sz="0" w:space="0" w:color="auto"/>
        <w:bottom w:val="none" w:sz="0" w:space="0" w:color="auto"/>
        <w:right w:val="none" w:sz="0" w:space="0" w:color="auto"/>
      </w:divBdr>
    </w:div>
    <w:div w:id="254481776">
      <w:bodyDiv w:val="1"/>
      <w:marLeft w:val="0"/>
      <w:marRight w:val="0"/>
      <w:marTop w:val="0"/>
      <w:marBottom w:val="0"/>
      <w:divBdr>
        <w:top w:val="none" w:sz="0" w:space="0" w:color="auto"/>
        <w:left w:val="none" w:sz="0" w:space="0" w:color="auto"/>
        <w:bottom w:val="none" w:sz="0" w:space="0" w:color="auto"/>
        <w:right w:val="none" w:sz="0" w:space="0" w:color="auto"/>
      </w:divBdr>
    </w:div>
    <w:div w:id="463158008">
      <w:bodyDiv w:val="1"/>
      <w:marLeft w:val="0"/>
      <w:marRight w:val="0"/>
      <w:marTop w:val="0"/>
      <w:marBottom w:val="0"/>
      <w:divBdr>
        <w:top w:val="none" w:sz="0" w:space="0" w:color="auto"/>
        <w:left w:val="none" w:sz="0" w:space="0" w:color="auto"/>
        <w:bottom w:val="none" w:sz="0" w:space="0" w:color="auto"/>
        <w:right w:val="none" w:sz="0" w:space="0" w:color="auto"/>
      </w:divBdr>
    </w:div>
    <w:div w:id="1065030584">
      <w:bodyDiv w:val="1"/>
      <w:marLeft w:val="0"/>
      <w:marRight w:val="0"/>
      <w:marTop w:val="0"/>
      <w:marBottom w:val="0"/>
      <w:divBdr>
        <w:top w:val="none" w:sz="0" w:space="0" w:color="auto"/>
        <w:left w:val="none" w:sz="0" w:space="0" w:color="auto"/>
        <w:bottom w:val="none" w:sz="0" w:space="0" w:color="auto"/>
        <w:right w:val="none" w:sz="0" w:space="0" w:color="auto"/>
      </w:divBdr>
    </w:div>
    <w:div w:id="1237589126">
      <w:bodyDiv w:val="1"/>
      <w:marLeft w:val="0"/>
      <w:marRight w:val="0"/>
      <w:marTop w:val="0"/>
      <w:marBottom w:val="0"/>
      <w:divBdr>
        <w:top w:val="none" w:sz="0" w:space="0" w:color="auto"/>
        <w:left w:val="none" w:sz="0" w:space="0" w:color="auto"/>
        <w:bottom w:val="none" w:sz="0" w:space="0" w:color="auto"/>
        <w:right w:val="none" w:sz="0" w:space="0" w:color="auto"/>
      </w:divBdr>
    </w:div>
    <w:div w:id="1318801658">
      <w:bodyDiv w:val="1"/>
      <w:marLeft w:val="0"/>
      <w:marRight w:val="0"/>
      <w:marTop w:val="0"/>
      <w:marBottom w:val="0"/>
      <w:divBdr>
        <w:top w:val="none" w:sz="0" w:space="0" w:color="auto"/>
        <w:left w:val="none" w:sz="0" w:space="0" w:color="auto"/>
        <w:bottom w:val="none" w:sz="0" w:space="0" w:color="auto"/>
        <w:right w:val="none" w:sz="0" w:space="0" w:color="auto"/>
      </w:divBdr>
    </w:div>
    <w:div w:id="1529565570">
      <w:bodyDiv w:val="1"/>
      <w:marLeft w:val="0"/>
      <w:marRight w:val="0"/>
      <w:marTop w:val="0"/>
      <w:marBottom w:val="0"/>
      <w:divBdr>
        <w:top w:val="none" w:sz="0" w:space="0" w:color="auto"/>
        <w:left w:val="none" w:sz="0" w:space="0" w:color="auto"/>
        <w:bottom w:val="none" w:sz="0" w:space="0" w:color="auto"/>
        <w:right w:val="none" w:sz="0" w:space="0" w:color="auto"/>
      </w:divBdr>
    </w:div>
    <w:div w:id="1614903752">
      <w:bodyDiv w:val="1"/>
      <w:marLeft w:val="0"/>
      <w:marRight w:val="0"/>
      <w:marTop w:val="0"/>
      <w:marBottom w:val="0"/>
      <w:divBdr>
        <w:top w:val="none" w:sz="0" w:space="0" w:color="auto"/>
        <w:left w:val="none" w:sz="0" w:space="0" w:color="auto"/>
        <w:bottom w:val="none" w:sz="0" w:space="0" w:color="auto"/>
        <w:right w:val="none" w:sz="0" w:space="0" w:color="auto"/>
      </w:divBdr>
    </w:div>
    <w:div w:id="1831944764">
      <w:bodyDiv w:val="1"/>
      <w:marLeft w:val="0"/>
      <w:marRight w:val="0"/>
      <w:marTop w:val="0"/>
      <w:marBottom w:val="0"/>
      <w:divBdr>
        <w:top w:val="none" w:sz="0" w:space="0" w:color="auto"/>
        <w:left w:val="none" w:sz="0" w:space="0" w:color="auto"/>
        <w:bottom w:val="none" w:sz="0" w:space="0" w:color="auto"/>
        <w:right w:val="none" w:sz="0" w:space="0" w:color="auto"/>
      </w:divBdr>
      <w:divsChild>
        <w:div w:id="387266510">
          <w:marLeft w:val="0"/>
          <w:marRight w:val="0"/>
          <w:marTop w:val="0"/>
          <w:marBottom w:val="0"/>
          <w:divBdr>
            <w:top w:val="none" w:sz="0" w:space="0" w:color="auto"/>
            <w:left w:val="none" w:sz="0" w:space="0" w:color="auto"/>
            <w:bottom w:val="none" w:sz="0" w:space="0" w:color="auto"/>
            <w:right w:val="none" w:sz="0" w:space="0" w:color="auto"/>
          </w:divBdr>
          <w:divsChild>
            <w:div w:id="1799643827">
              <w:marLeft w:val="0"/>
              <w:marRight w:val="0"/>
              <w:marTop w:val="0"/>
              <w:marBottom w:val="0"/>
              <w:divBdr>
                <w:top w:val="single" w:sz="6" w:space="11" w:color="FCFCFC"/>
                <w:left w:val="single" w:sz="6" w:space="11" w:color="ECECEC"/>
                <w:bottom w:val="single" w:sz="6" w:space="4" w:color="ECECEC"/>
                <w:right w:val="single" w:sz="6" w:space="11" w:color="ECECEC"/>
              </w:divBdr>
              <w:divsChild>
                <w:div w:id="2162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5499</Words>
  <Characters>31526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1</vt:lpstr>
    </vt:vector>
  </TitlesOfParts>
  <Company>USDA APHIS</Company>
  <LinksUpToDate>false</LinksUpToDate>
  <CharactersWithSpaces>36952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Linda Toran</dc:creator>
  <cp:keywords/>
  <cp:lastModifiedBy>Moxey, Joseph  - APHIS</cp:lastModifiedBy>
  <cp:revision>5</cp:revision>
  <cp:lastPrinted>2020-01-30T18:13:00Z</cp:lastPrinted>
  <dcterms:created xsi:type="dcterms:W3CDTF">2020-02-11T18:26:00Z</dcterms:created>
  <dcterms:modified xsi:type="dcterms:W3CDTF">2020-02-12T20:25:00Z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