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5B59" w:rsidR="00D07F97" w:rsidRDefault="00D07F97" w14:paraId="055C9A86" w14:textId="77777777">
      <w:pPr>
        <w:pStyle w:val="Title"/>
        <w:rPr>
          <w:rFonts w:cs="Arial"/>
          <w:szCs w:val="24"/>
        </w:rPr>
      </w:pPr>
      <w:r w:rsidRPr="00435B59">
        <w:rPr>
          <w:rFonts w:cs="Arial"/>
          <w:szCs w:val="24"/>
        </w:rPr>
        <w:t>SUPPORTING STATEMENT</w:t>
      </w:r>
    </w:p>
    <w:p w:rsidRPr="00435B59" w:rsidR="00C10354" w:rsidRDefault="00C10354" w14:paraId="4CA0BEF3" w14:textId="77777777">
      <w:pPr>
        <w:pStyle w:val="Title"/>
        <w:rPr>
          <w:rFonts w:cs="Arial"/>
          <w:szCs w:val="24"/>
        </w:rPr>
      </w:pPr>
      <w:r w:rsidRPr="00435B59">
        <w:rPr>
          <w:rFonts w:cs="Arial"/>
          <w:szCs w:val="24"/>
        </w:rPr>
        <w:t>United States Patent and Trademark Office</w:t>
      </w:r>
    </w:p>
    <w:p w:rsidRPr="00435B59" w:rsidR="00C10354" w:rsidRDefault="00C10354" w14:paraId="4DCA59ED" w14:textId="77777777">
      <w:pPr>
        <w:pStyle w:val="Title"/>
        <w:rPr>
          <w:rFonts w:cs="Arial"/>
          <w:szCs w:val="24"/>
        </w:rPr>
      </w:pPr>
      <w:r w:rsidRPr="00435B59">
        <w:rPr>
          <w:rFonts w:cs="Arial"/>
          <w:szCs w:val="24"/>
        </w:rPr>
        <w:t>Deposit of Biological Materials</w:t>
      </w:r>
    </w:p>
    <w:p w:rsidRPr="00435B59" w:rsidR="00D07F97" w:rsidRDefault="00D07F97" w14:paraId="66E8B748" w14:textId="77777777">
      <w:pPr>
        <w:jc w:val="center"/>
        <w:rPr>
          <w:rFonts w:ascii="Arial" w:hAnsi="Arial" w:cs="Arial"/>
          <w:b/>
          <w:sz w:val="24"/>
          <w:szCs w:val="24"/>
        </w:rPr>
      </w:pPr>
      <w:r w:rsidRPr="00435B59">
        <w:rPr>
          <w:rFonts w:ascii="Arial" w:hAnsi="Arial" w:cs="Arial"/>
          <w:b/>
          <w:sz w:val="24"/>
          <w:szCs w:val="24"/>
        </w:rPr>
        <w:t>OMB CONTROL NUMBER 0651-0022</w:t>
      </w:r>
    </w:p>
    <w:p w:rsidRPr="00AF4628" w:rsidR="00D07F97" w:rsidRDefault="004347F1" w14:paraId="08CC2B5D" w14:textId="77777777">
      <w:pPr>
        <w:jc w:val="center"/>
        <w:rPr>
          <w:rFonts w:ascii="Arial" w:hAnsi="Arial" w:cs="Arial"/>
          <w:b/>
          <w:sz w:val="24"/>
          <w:szCs w:val="24"/>
        </w:rPr>
      </w:pPr>
      <w:r w:rsidRPr="00AF4628">
        <w:rPr>
          <w:rFonts w:ascii="Arial" w:hAnsi="Arial" w:cs="Arial"/>
          <w:b/>
          <w:sz w:val="24"/>
          <w:szCs w:val="24"/>
        </w:rPr>
        <w:t>January 2020</w:t>
      </w:r>
    </w:p>
    <w:p w:rsidRPr="00435B59" w:rsidR="00D07F97" w:rsidRDefault="00D07F97" w14:paraId="1BA838F9" w14:textId="77777777">
      <w:pPr>
        <w:pStyle w:val="Heading1"/>
        <w:rPr>
          <w:rFonts w:cs="Arial"/>
          <w:szCs w:val="24"/>
        </w:rPr>
      </w:pPr>
    </w:p>
    <w:p w:rsidRPr="00AF4628" w:rsidR="00D07F97" w:rsidRDefault="00D07F97" w14:paraId="1F9E660D" w14:textId="77777777">
      <w:pPr>
        <w:rPr>
          <w:rFonts w:ascii="Arial" w:hAnsi="Arial" w:cs="Arial"/>
          <w:sz w:val="24"/>
          <w:szCs w:val="24"/>
        </w:rPr>
      </w:pPr>
    </w:p>
    <w:p w:rsidRPr="00435B59" w:rsidR="00D07F97" w:rsidRDefault="00D07F97" w14:paraId="1ABDC00A" w14:textId="77777777">
      <w:pPr>
        <w:pStyle w:val="Heading1"/>
        <w:rPr>
          <w:rFonts w:cs="Arial"/>
          <w:szCs w:val="24"/>
        </w:rPr>
      </w:pPr>
      <w:r w:rsidRPr="00435B59">
        <w:rPr>
          <w:rFonts w:cs="Arial"/>
          <w:szCs w:val="24"/>
        </w:rPr>
        <w:t>A.</w:t>
      </w:r>
      <w:r w:rsidRPr="00435B59">
        <w:rPr>
          <w:rFonts w:cs="Arial"/>
          <w:szCs w:val="24"/>
        </w:rPr>
        <w:tab/>
        <w:t>JUSTIFICATION</w:t>
      </w:r>
    </w:p>
    <w:p w:rsidR="00D07F97" w:rsidRDefault="00D07F97" w14:paraId="7C7D05C3" w14:textId="77777777">
      <w:pPr>
        <w:rPr>
          <w:rFonts w:ascii="Arial" w:hAnsi="Arial" w:cs="Arial"/>
          <w:sz w:val="24"/>
          <w:szCs w:val="24"/>
        </w:rPr>
      </w:pPr>
    </w:p>
    <w:p w:rsidRPr="00AF4628" w:rsidR="00237965" w:rsidP="00237965" w:rsidRDefault="00237965" w14:paraId="63530AA4" w14:textId="77777777">
      <w:pPr>
        <w:widowControl w:val="0"/>
        <w:numPr>
          <w:ilvl w:val="0"/>
          <w:numId w:val="13"/>
        </w:numPr>
        <w:autoSpaceDE w:val="0"/>
        <w:autoSpaceDN w:val="0"/>
        <w:adjustRightInd w:val="0"/>
        <w:rPr>
          <w:rFonts w:ascii="Arial" w:hAnsi="Arial" w:cs="Arial"/>
          <w:b/>
          <w:sz w:val="24"/>
          <w:szCs w:val="24"/>
        </w:rPr>
      </w:pPr>
      <w:r w:rsidRPr="00B40822">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B40822">
        <w:rPr>
          <w:rFonts w:ascii="Arial" w:hAnsi="Arial" w:cs="Arial"/>
          <w:b/>
          <w:sz w:val="24"/>
          <w:szCs w:val="24"/>
        </w:rPr>
        <w:t>collection. Attach a copy of the appropriate section of each statute and regulation mandating or authorizing the collection of information</w:t>
      </w:r>
      <w:r w:rsidRPr="00AF4628">
        <w:rPr>
          <w:rFonts w:ascii="Arial" w:hAnsi="Arial" w:cs="Arial"/>
          <w:b/>
          <w:sz w:val="24"/>
          <w:szCs w:val="24"/>
        </w:rPr>
        <w:t xml:space="preserve">. </w:t>
      </w:r>
    </w:p>
    <w:p w:rsidRPr="00AF4628" w:rsidR="00237965" w:rsidRDefault="00237965" w14:paraId="03CC18B6" w14:textId="77777777">
      <w:pPr>
        <w:rPr>
          <w:rFonts w:ascii="Arial" w:hAnsi="Arial" w:cs="Arial"/>
          <w:sz w:val="24"/>
          <w:szCs w:val="24"/>
        </w:rPr>
      </w:pPr>
    </w:p>
    <w:p w:rsidRPr="00237965" w:rsidR="00EB6281" w:rsidP="00237965" w:rsidRDefault="00237965" w14:paraId="47DCBD82" w14:textId="693F2908">
      <w:pPr>
        <w:pStyle w:val="BodyText"/>
        <w:rPr>
          <w:rFonts w:cs="Arial"/>
          <w:b w:val="0"/>
          <w:sz w:val="24"/>
          <w:szCs w:val="24"/>
        </w:rPr>
      </w:pPr>
      <w:r w:rsidRPr="00237965">
        <w:rPr>
          <w:rFonts w:cs="Arial"/>
          <w:b w:val="0"/>
          <w:sz w:val="24"/>
          <w:szCs w:val="24"/>
        </w:rPr>
        <w:t>Thi</w:t>
      </w:r>
      <w:r>
        <w:rPr>
          <w:rFonts w:cs="Arial"/>
          <w:b w:val="0"/>
          <w:sz w:val="24"/>
          <w:szCs w:val="24"/>
        </w:rPr>
        <w:t xml:space="preserve">s information collection covers information </w:t>
      </w:r>
      <w:r w:rsidRPr="00237965">
        <w:rPr>
          <w:rFonts w:cs="Arial"/>
          <w:b w:val="0"/>
          <w:sz w:val="24"/>
          <w:szCs w:val="24"/>
        </w:rPr>
        <w:t>from patent applicants who seek to</w:t>
      </w:r>
      <w:r>
        <w:rPr>
          <w:rFonts w:cs="Arial"/>
          <w:b w:val="0"/>
          <w:sz w:val="24"/>
          <w:szCs w:val="24"/>
        </w:rPr>
        <w:t xml:space="preserve"> </w:t>
      </w:r>
      <w:r w:rsidRPr="00237965">
        <w:rPr>
          <w:rFonts w:cs="Arial"/>
          <w:b w:val="0"/>
          <w:sz w:val="24"/>
          <w:szCs w:val="24"/>
        </w:rPr>
        <w:t>deposit biological materials as part of a</w:t>
      </w:r>
      <w:r>
        <w:rPr>
          <w:rFonts w:cs="Arial"/>
          <w:b w:val="0"/>
          <w:sz w:val="24"/>
          <w:szCs w:val="24"/>
        </w:rPr>
        <w:t xml:space="preserve"> </w:t>
      </w:r>
      <w:r w:rsidRPr="00237965">
        <w:rPr>
          <w:rFonts w:cs="Arial"/>
          <w:b w:val="0"/>
          <w:sz w:val="24"/>
          <w:szCs w:val="24"/>
        </w:rPr>
        <w:t>patent application</w:t>
      </w:r>
      <w:r w:rsidR="00A437F8">
        <w:rPr>
          <w:rFonts w:cs="Arial"/>
          <w:b w:val="0"/>
          <w:sz w:val="24"/>
          <w:szCs w:val="24"/>
        </w:rPr>
        <w:t xml:space="preserve"> in accordance with the America Invents Act</w:t>
      </w:r>
      <w:r w:rsidRPr="00237965">
        <w:rPr>
          <w:rFonts w:cs="Arial"/>
          <w:b w:val="0"/>
          <w:sz w:val="24"/>
          <w:szCs w:val="24"/>
        </w:rPr>
        <w:t xml:space="preserve">. The </w:t>
      </w:r>
      <w:r>
        <w:rPr>
          <w:rFonts w:cs="Arial"/>
          <w:b w:val="0"/>
          <w:sz w:val="24"/>
          <w:szCs w:val="24"/>
        </w:rPr>
        <w:t xml:space="preserve">information </w:t>
      </w:r>
      <w:r w:rsidRPr="00237965">
        <w:rPr>
          <w:rFonts w:cs="Arial"/>
          <w:b w:val="0"/>
          <w:sz w:val="24"/>
          <w:szCs w:val="24"/>
        </w:rPr>
        <w:t>collected from such patent applicants</w:t>
      </w:r>
      <w:r>
        <w:rPr>
          <w:rFonts w:cs="Arial"/>
          <w:b w:val="0"/>
          <w:sz w:val="24"/>
          <w:szCs w:val="24"/>
        </w:rPr>
        <w:t xml:space="preserve"> </w:t>
      </w:r>
      <w:r w:rsidRPr="00237965">
        <w:rPr>
          <w:rFonts w:cs="Arial"/>
          <w:b w:val="0"/>
          <w:sz w:val="24"/>
          <w:szCs w:val="24"/>
        </w:rPr>
        <w:t>consists of information and</w:t>
      </w:r>
      <w:r>
        <w:rPr>
          <w:rFonts w:cs="Arial"/>
          <w:b w:val="0"/>
          <w:sz w:val="24"/>
          <w:szCs w:val="24"/>
        </w:rPr>
        <w:t xml:space="preserve"> </w:t>
      </w:r>
      <w:r w:rsidRPr="00237965">
        <w:rPr>
          <w:rFonts w:cs="Arial"/>
          <w:b w:val="0"/>
          <w:sz w:val="24"/>
          <w:szCs w:val="24"/>
        </w:rPr>
        <w:t>documentation demonstrating the</w:t>
      </w:r>
      <w:r>
        <w:rPr>
          <w:rFonts w:cs="Arial"/>
          <w:b w:val="0"/>
          <w:sz w:val="24"/>
          <w:szCs w:val="24"/>
        </w:rPr>
        <w:t xml:space="preserve"> </w:t>
      </w:r>
      <w:r w:rsidRPr="00237965">
        <w:rPr>
          <w:rFonts w:cs="Arial"/>
          <w:b w:val="0"/>
          <w:sz w:val="24"/>
          <w:szCs w:val="24"/>
        </w:rPr>
        <w:t>applicant’s compliance with regulatory</w:t>
      </w:r>
      <w:r>
        <w:rPr>
          <w:rFonts w:cs="Arial"/>
          <w:b w:val="0"/>
          <w:sz w:val="24"/>
          <w:szCs w:val="24"/>
        </w:rPr>
        <w:t xml:space="preserve"> </w:t>
      </w:r>
      <w:r w:rsidRPr="00237965">
        <w:rPr>
          <w:rFonts w:cs="Arial"/>
          <w:b w:val="0"/>
          <w:sz w:val="24"/>
          <w:szCs w:val="24"/>
        </w:rPr>
        <w:t>requirements, as well as information</w:t>
      </w:r>
      <w:r>
        <w:rPr>
          <w:rFonts w:cs="Arial"/>
          <w:b w:val="0"/>
          <w:sz w:val="24"/>
          <w:szCs w:val="24"/>
        </w:rPr>
        <w:t xml:space="preserve"> </w:t>
      </w:r>
      <w:r w:rsidRPr="00237965">
        <w:rPr>
          <w:rFonts w:cs="Arial"/>
          <w:b w:val="0"/>
          <w:sz w:val="24"/>
          <w:szCs w:val="24"/>
        </w:rPr>
        <w:t>regarding the biological sample after it</w:t>
      </w:r>
      <w:r>
        <w:rPr>
          <w:rFonts w:cs="Arial"/>
          <w:b w:val="0"/>
          <w:sz w:val="24"/>
          <w:szCs w:val="24"/>
        </w:rPr>
        <w:t xml:space="preserve"> </w:t>
      </w:r>
      <w:r w:rsidRPr="00237965">
        <w:rPr>
          <w:rFonts w:cs="Arial"/>
          <w:b w:val="0"/>
          <w:sz w:val="24"/>
          <w:szCs w:val="24"/>
        </w:rPr>
        <w:t>is deposited. This</w:t>
      </w:r>
      <w:r w:rsidR="008E3252">
        <w:rPr>
          <w:rFonts w:cs="Arial"/>
          <w:b w:val="0"/>
          <w:sz w:val="24"/>
          <w:szCs w:val="24"/>
        </w:rPr>
        <w:t xml:space="preserve"> information</w:t>
      </w:r>
      <w:r w:rsidRPr="00237965">
        <w:rPr>
          <w:rFonts w:cs="Arial"/>
          <w:b w:val="0"/>
          <w:sz w:val="24"/>
          <w:szCs w:val="24"/>
        </w:rPr>
        <w:t xml:space="preserve"> collection also covers</w:t>
      </w:r>
      <w:r>
        <w:rPr>
          <w:rFonts w:cs="Arial"/>
          <w:b w:val="0"/>
          <w:sz w:val="24"/>
          <w:szCs w:val="24"/>
        </w:rPr>
        <w:t xml:space="preserve"> </w:t>
      </w:r>
      <w:r w:rsidRPr="00237965">
        <w:rPr>
          <w:rFonts w:cs="Arial"/>
          <w:b w:val="0"/>
          <w:sz w:val="24"/>
          <w:szCs w:val="24"/>
        </w:rPr>
        <w:t>applications from institutions that wish</w:t>
      </w:r>
      <w:r>
        <w:rPr>
          <w:rFonts w:cs="Arial"/>
          <w:b w:val="0"/>
          <w:sz w:val="24"/>
          <w:szCs w:val="24"/>
        </w:rPr>
        <w:t xml:space="preserve"> </w:t>
      </w:r>
      <w:r w:rsidRPr="00237965">
        <w:rPr>
          <w:rFonts w:cs="Arial"/>
          <w:b w:val="0"/>
          <w:sz w:val="24"/>
          <w:szCs w:val="24"/>
        </w:rPr>
        <w:t xml:space="preserve">to be recognized by the </w:t>
      </w:r>
      <w:r w:rsidR="001E0599">
        <w:rPr>
          <w:rFonts w:cs="Arial"/>
          <w:b w:val="0"/>
          <w:sz w:val="24"/>
          <w:szCs w:val="24"/>
        </w:rPr>
        <w:t>United States Patent and Trademark Office (</w:t>
      </w:r>
      <w:r w:rsidRPr="00237965">
        <w:rPr>
          <w:rFonts w:cs="Arial"/>
          <w:b w:val="0"/>
          <w:sz w:val="24"/>
          <w:szCs w:val="24"/>
        </w:rPr>
        <w:t>USPTO</w:t>
      </w:r>
      <w:r w:rsidR="001E0599">
        <w:rPr>
          <w:rFonts w:cs="Arial"/>
          <w:b w:val="0"/>
          <w:sz w:val="24"/>
          <w:szCs w:val="24"/>
        </w:rPr>
        <w:t>)</w:t>
      </w:r>
      <w:r w:rsidRPr="00237965">
        <w:rPr>
          <w:rFonts w:cs="Arial"/>
          <w:b w:val="0"/>
          <w:sz w:val="24"/>
          <w:szCs w:val="24"/>
        </w:rPr>
        <w:t xml:space="preserve"> as a</w:t>
      </w:r>
      <w:r>
        <w:rPr>
          <w:rFonts w:cs="Arial"/>
          <w:b w:val="0"/>
          <w:sz w:val="24"/>
          <w:szCs w:val="24"/>
        </w:rPr>
        <w:t xml:space="preserve"> </w:t>
      </w:r>
      <w:r w:rsidRPr="00237965">
        <w:rPr>
          <w:rFonts w:cs="Arial"/>
          <w:b w:val="0"/>
          <w:sz w:val="24"/>
          <w:szCs w:val="24"/>
        </w:rPr>
        <w:t>suitable depository to receive deposits</w:t>
      </w:r>
      <w:r>
        <w:rPr>
          <w:rFonts w:cs="Arial"/>
          <w:b w:val="0"/>
          <w:sz w:val="24"/>
          <w:szCs w:val="24"/>
        </w:rPr>
        <w:t xml:space="preserve"> </w:t>
      </w:r>
      <w:r w:rsidRPr="00237965">
        <w:rPr>
          <w:rFonts w:cs="Arial"/>
          <w:b w:val="0"/>
          <w:sz w:val="24"/>
          <w:szCs w:val="24"/>
        </w:rPr>
        <w:t>for patent purposes. The information</w:t>
      </w:r>
      <w:r>
        <w:rPr>
          <w:rFonts w:cs="Arial"/>
          <w:b w:val="0"/>
          <w:sz w:val="24"/>
          <w:szCs w:val="24"/>
        </w:rPr>
        <w:t xml:space="preserve"> </w:t>
      </w:r>
      <w:r w:rsidRPr="00237965">
        <w:rPr>
          <w:rFonts w:cs="Arial"/>
          <w:b w:val="0"/>
          <w:sz w:val="24"/>
          <w:szCs w:val="24"/>
        </w:rPr>
        <w:t>collection requirements for these actions</w:t>
      </w:r>
      <w:r>
        <w:rPr>
          <w:rFonts w:cs="Arial"/>
          <w:b w:val="0"/>
          <w:sz w:val="24"/>
          <w:szCs w:val="24"/>
        </w:rPr>
        <w:t xml:space="preserve"> </w:t>
      </w:r>
      <w:r w:rsidRPr="00237965">
        <w:rPr>
          <w:rFonts w:cs="Arial"/>
          <w:b w:val="0"/>
          <w:sz w:val="24"/>
          <w:szCs w:val="24"/>
        </w:rPr>
        <w:t>are separate, as further discussed below.</w:t>
      </w:r>
    </w:p>
    <w:p w:rsidR="00237965" w:rsidP="00EB6281" w:rsidRDefault="00237965" w14:paraId="7A5EF153" w14:textId="77777777">
      <w:pPr>
        <w:pStyle w:val="BodyText"/>
        <w:rPr>
          <w:rFonts w:cs="Arial"/>
          <w:b w:val="0"/>
          <w:bCs/>
          <w:sz w:val="24"/>
          <w:szCs w:val="24"/>
        </w:rPr>
      </w:pPr>
    </w:p>
    <w:p w:rsidRPr="00B40822" w:rsidR="00EB6281" w:rsidP="00237965" w:rsidRDefault="00EB6281" w14:paraId="275CF9D6" w14:textId="77777777">
      <w:pPr>
        <w:pStyle w:val="BodyText"/>
        <w:numPr>
          <w:ilvl w:val="0"/>
          <w:numId w:val="15"/>
        </w:numPr>
        <w:rPr>
          <w:rFonts w:cs="Arial"/>
          <w:b w:val="0"/>
          <w:bCs/>
          <w:sz w:val="24"/>
          <w:szCs w:val="24"/>
          <w:u w:val="single"/>
        </w:rPr>
      </w:pPr>
      <w:r w:rsidRPr="00B40822">
        <w:rPr>
          <w:rFonts w:cs="Arial"/>
          <w:b w:val="0"/>
          <w:bCs/>
          <w:sz w:val="24"/>
          <w:szCs w:val="24"/>
          <w:u w:val="single"/>
        </w:rPr>
        <w:t>Deposits of Biological Materials</w:t>
      </w:r>
    </w:p>
    <w:p w:rsidRPr="003D0D82" w:rsidR="00EA2D84" w:rsidRDefault="00EA2D84" w14:paraId="34E943CF" w14:textId="77777777">
      <w:pPr>
        <w:pStyle w:val="BodyText"/>
        <w:rPr>
          <w:rFonts w:cs="Arial"/>
          <w:b w:val="0"/>
          <w:bCs/>
          <w:sz w:val="24"/>
          <w:szCs w:val="24"/>
        </w:rPr>
      </w:pPr>
    </w:p>
    <w:p w:rsidRPr="00726E90" w:rsidR="00726E90" w:rsidP="00726E90" w:rsidRDefault="00726E90" w14:paraId="73DB3776" w14:textId="02650E2F">
      <w:pPr>
        <w:pStyle w:val="BodyText2"/>
        <w:rPr>
          <w:rFonts w:cs="Arial"/>
          <w:szCs w:val="24"/>
        </w:rPr>
      </w:pPr>
      <w:r w:rsidRPr="00726E90">
        <w:rPr>
          <w:rFonts w:cs="Arial"/>
          <w:szCs w:val="24"/>
        </w:rPr>
        <w:t>The dep</w:t>
      </w:r>
      <w:r>
        <w:rPr>
          <w:rFonts w:cs="Arial"/>
          <w:szCs w:val="24"/>
        </w:rPr>
        <w:t xml:space="preserve">osit of biological materials as </w:t>
      </w:r>
      <w:r w:rsidRPr="00726E90">
        <w:rPr>
          <w:rFonts w:cs="Arial"/>
          <w:szCs w:val="24"/>
        </w:rPr>
        <w:t>part of a patent application is</w:t>
      </w:r>
      <w:r>
        <w:rPr>
          <w:rFonts w:cs="Arial"/>
          <w:szCs w:val="24"/>
        </w:rPr>
        <w:t xml:space="preserve"> </w:t>
      </w:r>
      <w:r w:rsidRPr="00726E90">
        <w:rPr>
          <w:rFonts w:cs="Arial"/>
          <w:szCs w:val="24"/>
        </w:rPr>
        <w:t>authorized by 35 U.S.C. 2(b</w:t>
      </w:r>
      <w:proofErr w:type="gramStart"/>
      <w:r w:rsidRPr="00726E90">
        <w:rPr>
          <w:rFonts w:cs="Arial"/>
          <w:szCs w:val="24"/>
        </w:rPr>
        <w:t>)(</w:t>
      </w:r>
      <w:proofErr w:type="gramEnd"/>
      <w:r w:rsidRPr="00726E90">
        <w:rPr>
          <w:rFonts w:cs="Arial"/>
          <w:szCs w:val="24"/>
        </w:rPr>
        <w:t>2). The</w:t>
      </w:r>
      <w:r>
        <w:rPr>
          <w:rFonts w:cs="Arial"/>
          <w:szCs w:val="24"/>
        </w:rPr>
        <w:t xml:space="preserve"> </w:t>
      </w:r>
      <w:r w:rsidRPr="00726E90">
        <w:rPr>
          <w:rFonts w:cs="Arial"/>
          <w:szCs w:val="24"/>
        </w:rPr>
        <w:t>term ‘‘biological material’’ is defined in</w:t>
      </w:r>
      <w:r>
        <w:rPr>
          <w:rFonts w:cs="Arial"/>
          <w:szCs w:val="24"/>
        </w:rPr>
        <w:t xml:space="preserve"> </w:t>
      </w:r>
      <w:r w:rsidRPr="00726E90">
        <w:rPr>
          <w:rFonts w:cs="Arial"/>
          <w:szCs w:val="24"/>
        </w:rPr>
        <w:t>37 CFR 1.801 as including material that</w:t>
      </w:r>
      <w:r>
        <w:rPr>
          <w:rFonts w:cs="Arial"/>
          <w:szCs w:val="24"/>
        </w:rPr>
        <w:t xml:space="preserve"> </w:t>
      </w:r>
      <w:r w:rsidRPr="00726E90">
        <w:rPr>
          <w:rFonts w:cs="Arial"/>
          <w:szCs w:val="24"/>
        </w:rPr>
        <w:t>is capable of self-replication, either</w:t>
      </w:r>
      <w:r>
        <w:rPr>
          <w:rFonts w:cs="Arial"/>
          <w:szCs w:val="24"/>
        </w:rPr>
        <w:t xml:space="preserve"> </w:t>
      </w:r>
      <w:r w:rsidRPr="00726E90">
        <w:rPr>
          <w:rFonts w:cs="Arial"/>
          <w:szCs w:val="24"/>
        </w:rPr>
        <w:t>directly or indirectly. When an</w:t>
      </w:r>
      <w:r>
        <w:rPr>
          <w:rFonts w:cs="Arial"/>
          <w:szCs w:val="24"/>
        </w:rPr>
        <w:t xml:space="preserve"> </w:t>
      </w:r>
      <w:r w:rsidRPr="00726E90">
        <w:rPr>
          <w:rFonts w:cs="Arial"/>
          <w:szCs w:val="24"/>
        </w:rPr>
        <w:t>invention involves a biological material,</w:t>
      </w:r>
      <w:r>
        <w:rPr>
          <w:rFonts w:cs="Arial"/>
          <w:szCs w:val="24"/>
        </w:rPr>
        <w:t xml:space="preserve"> </w:t>
      </w:r>
      <w:r w:rsidRPr="00726E90">
        <w:rPr>
          <w:rFonts w:cs="Arial"/>
          <w:szCs w:val="24"/>
        </w:rPr>
        <w:t>sometimes words and figures are not</w:t>
      </w:r>
      <w:r>
        <w:rPr>
          <w:rFonts w:cs="Arial"/>
          <w:szCs w:val="24"/>
        </w:rPr>
        <w:t xml:space="preserve"> </w:t>
      </w:r>
      <w:r w:rsidRPr="00726E90">
        <w:rPr>
          <w:rFonts w:cs="Arial"/>
          <w:szCs w:val="24"/>
        </w:rPr>
        <w:t>sufficient to satisfy the statutory</w:t>
      </w:r>
      <w:r>
        <w:rPr>
          <w:rFonts w:cs="Arial"/>
          <w:szCs w:val="24"/>
        </w:rPr>
        <w:t xml:space="preserve"> </w:t>
      </w:r>
      <w:r w:rsidRPr="00726E90">
        <w:rPr>
          <w:rFonts w:cs="Arial"/>
          <w:szCs w:val="24"/>
        </w:rPr>
        <w:t>requirement for patentability under 35</w:t>
      </w:r>
      <w:r>
        <w:rPr>
          <w:rFonts w:cs="Arial"/>
          <w:szCs w:val="24"/>
        </w:rPr>
        <w:t xml:space="preserve"> </w:t>
      </w:r>
      <w:r w:rsidRPr="00726E90">
        <w:rPr>
          <w:rFonts w:cs="Arial"/>
          <w:szCs w:val="24"/>
        </w:rPr>
        <w:t>U.S.C. 112 (every patent must contain a</w:t>
      </w:r>
      <w:r>
        <w:rPr>
          <w:rFonts w:cs="Arial"/>
          <w:szCs w:val="24"/>
        </w:rPr>
        <w:t xml:space="preserve"> </w:t>
      </w:r>
      <w:r w:rsidRPr="00726E90">
        <w:rPr>
          <w:rFonts w:cs="Arial"/>
          <w:szCs w:val="24"/>
        </w:rPr>
        <w:t>description of the invention sufficient to</w:t>
      </w:r>
      <w:r>
        <w:rPr>
          <w:rFonts w:cs="Arial"/>
          <w:szCs w:val="24"/>
        </w:rPr>
        <w:t xml:space="preserve"> </w:t>
      </w:r>
      <w:r w:rsidRPr="00726E90">
        <w:rPr>
          <w:rFonts w:cs="Arial"/>
          <w:szCs w:val="24"/>
        </w:rPr>
        <w:t>enable a person (knowledgeable in the</w:t>
      </w:r>
      <w:r>
        <w:rPr>
          <w:rFonts w:cs="Arial"/>
          <w:szCs w:val="24"/>
        </w:rPr>
        <w:t xml:space="preserve"> </w:t>
      </w:r>
      <w:r w:rsidRPr="00726E90">
        <w:rPr>
          <w:rFonts w:cs="Arial"/>
          <w:szCs w:val="24"/>
        </w:rPr>
        <w:t>relevant science), to make and use the</w:t>
      </w:r>
      <w:r>
        <w:rPr>
          <w:rFonts w:cs="Arial"/>
          <w:szCs w:val="24"/>
        </w:rPr>
        <w:t xml:space="preserve"> </w:t>
      </w:r>
      <w:r w:rsidRPr="00726E90">
        <w:rPr>
          <w:rFonts w:cs="Arial"/>
          <w:szCs w:val="24"/>
        </w:rPr>
        <w:t>invention as specified by 35 U.S.C. 112).</w:t>
      </w:r>
      <w:r>
        <w:rPr>
          <w:rFonts w:cs="Arial"/>
          <w:szCs w:val="24"/>
        </w:rPr>
        <w:t xml:space="preserve"> </w:t>
      </w:r>
      <w:r w:rsidRPr="00726E90">
        <w:rPr>
          <w:rFonts w:cs="Arial"/>
          <w:szCs w:val="24"/>
        </w:rPr>
        <w:t>In such cases, the required biological</w:t>
      </w:r>
      <w:r>
        <w:rPr>
          <w:rFonts w:cs="Arial"/>
          <w:szCs w:val="24"/>
        </w:rPr>
        <w:t xml:space="preserve"> </w:t>
      </w:r>
      <w:r w:rsidRPr="00726E90">
        <w:rPr>
          <w:rFonts w:cs="Arial"/>
          <w:szCs w:val="24"/>
        </w:rPr>
        <w:t>material must either be: (1) Known and</w:t>
      </w:r>
      <w:r>
        <w:rPr>
          <w:rFonts w:cs="Arial"/>
          <w:szCs w:val="24"/>
        </w:rPr>
        <w:t xml:space="preserve"> </w:t>
      </w:r>
      <w:r w:rsidRPr="00726E90">
        <w:rPr>
          <w:rFonts w:cs="Arial"/>
          <w:szCs w:val="24"/>
        </w:rPr>
        <w:t>readily available (neither condition</w:t>
      </w:r>
      <w:r>
        <w:rPr>
          <w:rFonts w:cs="Arial"/>
          <w:szCs w:val="24"/>
        </w:rPr>
        <w:t xml:space="preserve"> </w:t>
      </w:r>
      <w:r w:rsidRPr="00726E90">
        <w:rPr>
          <w:rFonts w:cs="Arial"/>
          <w:szCs w:val="24"/>
        </w:rPr>
        <w:t>alone is sufficient) or (2) deposited in a</w:t>
      </w:r>
      <w:r>
        <w:rPr>
          <w:rFonts w:cs="Arial"/>
          <w:szCs w:val="24"/>
        </w:rPr>
        <w:t xml:space="preserve"> </w:t>
      </w:r>
      <w:r w:rsidRPr="00726E90">
        <w:rPr>
          <w:rFonts w:cs="Arial"/>
          <w:szCs w:val="24"/>
        </w:rPr>
        <w:t>suitable depository that has been</w:t>
      </w:r>
      <w:r>
        <w:rPr>
          <w:rFonts w:cs="Arial"/>
          <w:szCs w:val="24"/>
        </w:rPr>
        <w:t xml:space="preserve"> recognized as an International </w:t>
      </w:r>
      <w:r w:rsidRPr="00726E90">
        <w:rPr>
          <w:rFonts w:cs="Arial"/>
          <w:szCs w:val="24"/>
        </w:rPr>
        <w:t>Depositary Authority (IDA) established</w:t>
      </w:r>
      <w:r>
        <w:rPr>
          <w:rFonts w:cs="Arial"/>
          <w:szCs w:val="24"/>
        </w:rPr>
        <w:t xml:space="preserve"> </w:t>
      </w:r>
      <w:r w:rsidRPr="00726E90">
        <w:rPr>
          <w:rFonts w:cs="Arial"/>
          <w:szCs w:val="24"/>
        </w:rPr>
        <w:t>under the Budapest Treaty, or a</w:t>
      </w:r>
      <w:r>
        <w:rPr>
          <w:rFonts w:cs="Arial"/>
          <w:szCs w:val="24"/>
        </w:rPr>
        <w:t xml:space="preserve"> </w:t>
      </w:r>
      <w:r w:rsidRPr="00726E90">
        <w:rPr>
          <w:rFonts w:cs="Arial"/>
          <w:szCs w:val="24"/>
        </w:rPr>
        <w:t>depository recognized by the USPTO to</w:t>
      </w:r>
      <w:r>
        <w:rPr>
          <w:rFonts w:cs="Arial"/>
          <w:szCs w:val="24"/>
        </w:rPr>
        <w:t xml:space="preserve"> </w:t>
      </w:r>
      <w:r w:rsidRPr="00726E90">
        <w:rPr>
          <w:rFonts w:cs="Arial"/>
          <w:szCs w:val="24"/>
        </w:rPr>
        <w:t>meet the requirements of 35 U.S.C. 112.</w:t>
      </w:r>
      <w:r>
        <w:rPr>
          <w:rFonts w:cs="Arial"/>
          <w:szCs w:val="24"/>
        </w:rPr>
        <w:t xml:space="preserve"> </w:t>
      </w:r>
      <w:r w:rsidRPr="00726E90">
        <w:rPr>
          <w:rFonts w:cs="Arial"/>
          <w:szCs w:val="24"/>
        </w:rPr>
        <w:t>Under the authority of 35 U.S.C. 2(b</w:t>
      </w:r>
      <w:proofErr w:type="gramStart"/>
      <w:r w:rsidRPr="00726E90">
        <w:rPr>
          <w:rFonts w:cs="Arial"/>
          <w:szCs w:val="24"/>
        </w:rPr>
        <w:t>)(</w:t>
      </w:r>
      <w:proofErr w:type="gramEnd"/>
      <w:r w:rsidRPr="00726E90">
        <w:rPr>
          <w:rFonts w:cs="Arial"/>
          <w:szCs w:val="24"/>
        </w:rPr>
        <w:t>2),</w:t>
      </w:r>
      <w:r>
        <w:rPr>
          <w:rFonts w:cs="Arial"/>
          <w:szCs w:val="24"/>
        </w:rPr>
        <w:t xml:space="preserve"> </w:t>
      </w:r>
      <w:r w:rsidRPr="00726E90">
        <w:rPr>
          <w:rFonts w:cs="Arial"/>
          <w:szCs w:val="24"/>
        </w:rPr>
        <w:t>the deposit rules (37 CFR 1.801–1.809)</w:t>
      </w:r>
      <w:r>
        <w:rPr>
          <w:rFonts w:cs="Arial"/>
          <w:szCs w:val="24"/>
        </w:rPr>
        <w:t xml:space="preserve"> </w:t>
      </w:r>
      <w:r w:rsidRPr="00726E90">
        <w:rPr>
          <w:rFonts w:cs="Arial"/>
          <w:szCs w:val="24"/>
        </w:rPr>
        <w:t>set forth examining procedures and</w:t>
      </w:r>
      <w:r>
        <w:rPr>
          <w:rFonts w:cs="Arial"/>
          <w:szCs w:val="24"/>
        </w:rPr>
        <w:t xml:space="preserve"> </w:t>
      </w:r>
      <w:r w:rsidRPr="00726E90">
        <w:rPr>
          <w:rFonts w:cs="Arial"/>
          <w:szCs w:val="24"/>
        </w:rPr>
        <w:t>conditions of deposit which must be</w:t>
      </w:r>
      <w:r>
        <w:rPr>
          <w:rFonts w:cs="Arial"/>
          <w:szCs w:val="24"/>
        </w:rPr>
        <w:t xml:space="preserve"> </w:t>
      </w:r>
      <w:r w:rsidRPr="00726E90">
        <w:rPr>
          <w:rFonts w:cs="Arial"/>
          <w:szCs w:val="24"/>
        </w:rPr>
        <w:t>satisfied in the event a deposit is</w:t>
      </w:r>
      <w:r>
        <w:rPr>
          <w:rFonts w:cs="Arial"/>
          <w:szCs w:val="24"/>
        </w:rPr>
        <w:t xml:space="preserve"> </w:t>
      </w:r>
      <w:r w:rsidRPr="00726E90">
        <w:rPr>
          <w:rFonts w:cs="Arial"/>
          <w:szCs w:val="24"/>
        </w:rPr>
        <w:t>required. The rules do not address the</w:t>
      </w:r>
      <w:r>
        <w:rPr>
          <w:rFonts w:cs="Arial"/>
          <w:szCs w:val="24"/>
        </w:rPr>
        <w:t xml:space="preserve"> </w:t>
      </w:r>
      <w:r w:rsidRPr="00726E90">
        <w:rPr>
          <w:rFonts w:cs="Arial"/>
          <w:szCs w:val="24"/>
        </w:rPr>
        <w:t>substantive issue of whether a deposit is</w:t>
      </w:r>
      <w:r>
        <w:rPr>
          <w:rFonts w:cs="Arial"/>
          <w:szCs w:val="24"/>
        </w:rPr>
        <w:t xml:space="preserve"> </w:t>
      </w:r>
      <w:r w:rsidRPr="00726E90">
        <w:rPr>
          <w:rFonts w:cs="Arial"/>
          <w:szCs w:val="24"/>
        </w:rPr>
        <w:t>required under any particular set of</w:t>
      </w:r>
      <w:r>
        <w:rPr>
          <w:rFonts w:cs="Arial"/>
          <w:szCs w:val="24"/>
        </w:rPr>
        <w:t xml:space="preserve"> </w:t>
      </w:r>
      <w:r w:rsidRPr="00726E90">
        <w:rPr>
          <w:rFonts w:cs="Arial"/>
          <w:szCs w:val="24"/>
        </w:rPr>
        <w:t>facts.</w:t>
      </w:r>
    </w:p>
    <w:p w:rsidR="00726E90" w:rsidP="00726E90" w:rsidRDefault="00726E90" w14:paraId="3BEB8CD9" w14:textId="77777777">
      <w:pPr>
        <w:pStyle w:val="BodyText2"/>
        <w:rPr>
          <w:rFonts w:cs="Arial"/>
          <w:szCs w:val="24"/>
        </w:rPr>
      </w:pPr>
    </w:p>
    <w:p w:rsidR="00EF6D6C" w:rsidP="00726E90" w:rsidRDefault="00726E90" w14:paraId="568738B9" w14:textId="77777777">
      <w:pPr>
        <w:pStyle w:val="BodyText2"/>
        <w:rPr>
          <w:rFonts w:cs="Arial"/>
          <w:szCs w:val="24"/>
        </w:rPr>
      </w:pPr>
      <w:r w:rsidRPr="00726E90">
        <w:rPr>
          <w:rFonts w:cs="Arial"/>
          <w:szCs w:val="24"/>
        </w:rPr>
        <w:t>In cases where a deposit is necessary,</w:t>
      </w:r>
      <w:r>
        <w:rPr>
          <w:rFonts w:cs="Arial"/>
          <w:szCs w:val="24"/>
        </w:rPr>
        <w:t xml:space="preserve"> </w:t>
      </w:r>
      <w:r w:rsidRPr="00726E90">
        <w:rPr>
          <w:rFonts w:cs="Arial"/>
          <w:szCs w:val="24"/>
        </w:rPr>
        <w:t>the USPTO collects information to</w:t>
      </w:r>
      <w:r>
        <w:rPr>
          <w:rFonts w:cs="Arial"/>
          <w:szCs w:val="24"/>
        </w:rPr>
        <w:t xml:space="preserve"> </w:t>
      </w:r>
      <w:r w:rsidRPr="00726E90">
        <w:rPr>
          <w:rFonts w:cs="Arial"/>
          <w:szCs w:val="24"/>
        </w:rPr>
        <w:t>determine whether the depositor is in</w:t>
      </w:r>
      <w:r>
        <w:rPr>
          <w:rFonts w:cs="Arial"/>
          <w:szCs w:val="24"/>
        </w:rPr>
        <w:t xml:space="preserve"> </w:t>
      </w:r>
      <w:r w:rsidRPr="00726E90">
        <w:rPr>
          <w:rFonts w:cs="Arial"/>
          <w:szCs w:val="24"/>
        </w:rPr>
        <w:t>compliance with the deposit rules. This</w:t>
      </w:r>
      <w:r>
        <w:rPr>
          <w:rFonts w:cs="Arial"/>
          <w:szCs w:val="24"/>
        </w:rPr>
        <w:t xml:space="preserve"> </w:t>
      </w:r>
      <w:r w:rsidRPr="00726E90">
        <w:rPr>
          <w:rFonts w:cs="Arial"/>
          <w:szCs w:val="24"/>
        </w:rPr>
        <w:t>includes statements proving notification</w:t>
      </w:r>
      <w:r>
        <w:rPr>
          <w:rFonts w:cs="Arial"/>
          <w:szCs w:val="24"/>
        </w:rPr>
        <w:t xml:space="preserve"> </w:t>
      </w:r>
      <w:r w:rsidRPr="00726E90">
        <w:rPr>
          <w:rFonts w:cs="Arial"/>
          <w:szCs w:val="24"/>
        </w:rPr>
        <w:t>to the interested public on where to</w:t>
      </w:r>
      <w:r>
        <w:rPr>
          <w:rFonts w:cs="Arial"/>
          <w:szCs w:val="24"/>
        </w:rPr>
        <w:t xml:space="preserve"> </w:t>
      </w:r>
      <w:r w:rsidRPr="00726E90">
        <w:rPr>
          <w:rFonts w:cs="Arial"/>
          <w:szCs w:val="24"/>
        </w:rPr>
        <w:t>obtain samples of the deposits and</w:t>
      </w:r>
      <w:r>
        <w:rPr>
          <w:rFonts w:cs="Arial"/>
          <w:szCs w:val="24"/>
        </w:rPr>
        <w:t xml:space="preserve"> </w:t>
      </w:r>
      <w:r w:rsidRPr="00726E90">
        <w:rPr>
          <w:rFonts w:cs="Arial"/>
          <w:szCs w:val="24"/>
        </w:rPr>
        <w:t>confirming that all restriction on access</w:t>
      </w:r>
      <w:r>
        <w:rPr>
          <w:rFonts w:cs="Arial"/>
          <w:szCs w:val="24"/>
        </w:rPr>
        <w:t xml:space="preserve"> </w:t>
      </w:r>
      <w:r w:rsidRPr="00726E90">
        <w:rPr>
          <w:rFonts w:cs="Arial"/>
          <w:szCs w:val="24"/>
        </w:rPr>
        <w:t>to the deposit will be irrevocably</w:t>
      </w:r>
      <w:r>
        <w:rPr>
          <w:rFonts w:cs="Arial"/>
          <w:szCs w:val="24"/>
        </w:rPr>
        <w:t xml:space="preserve"> </w:t>
      </w:r>
      <w:r w:rsidRPr="00726E90">
        <w:rPr>
          <w:rFonts w:cs="Arial"/>
          <w:szCs w:val="24"/>
        </w:rPr>
        <w:t xml:space="preserve">removed </w:t>
      </w:r>
      <w:r w:rsidRPr="00726E90">
        <w:rPr>
          <w:rFonts w:cs="Arial"/>
          <w:szCs w:val="24"/>
        </w:rPr>
        <w:lastRenderedPageBreak/>
        <w:t>upon issuance of the patent. A</w:t>
      </w:r>
      <w:r>
        <w:rPr>
          <w:rFonts w:cs="Arial"/>
          <w:szCs w:val="24"/>
        </w:rPr>
        <w:t xml:space="preserve"> </w:t>
      </w:r>
      <w:r w:rsidRPr="00726E90">
        <w:rPr>
          <w:rFonts w:cs="Arial"/>
          <w:szCs w:val="24"/>
        </w:rPr>
        <w:t>viability statement also must be</w:t>
      </w:r>
      <w:r>
        <w:rPr>
          <w:rFonts w:cs="Arial"/>
          <w:szCs w:val="24"/>
        </w:rPr>
        <w:t xml:space="preserve"> </w:t>
      </w:r>
      <w:r w:rsidRPr="00726E90">
        <w:rPr>
          <w:rFonts w:cs="Arial"/>
          <w:szCs w:val="24"/>
        </w:rPr>
        <w:t>submitted to the USPTO showing that</w:t>
      </w:r>
      <w:r>
        <w:rPr>
          <w:rFonts w:cs="Arial"/>
          <w:szCs w:val="24"/>
        </w:rPr>
        <w:t xml:space="preserve"> </w:t>
      </w:r>
      <w:r w:rsidRPr="00726E90">
        <w:rPr>
          <w:rFonts w:cs="Arial"/>
          <w:szCs w:val="24"/>
        </w:rPr>
        <w:t>the biological material was tested by the</w:t>
      </w:r>
      <w:r>
        <w:rPr>
          <w:rFonts w:cs="Arial"/>
          <w:szCs w:val="24"/>
        </w:rPr>
        <w:t xml:space="preserve"> </w:t>
      </w:r>
      <w:r w:rsidRPr="00726E90">
        <w:rPr>
          <w:rFonts w:cs="Arial"/>
          <w:szCs w:val="24"/>
        </w:rPr>
        <w:t>depository or another, the conditions of</w:t>
      </w:r>
      <w:r>
        <w:rPr>
          <w:rFonts w:cs="Arial"/>
          <w:szCs w:val="24"/>
        </w:rPr>
        <w:t xml:space="preserve"> </w:t>
      </w:r>
      <w:r w:rsidRPr="00726E90">
        <w:rPr>
          <w:rFonts w:cs="Arial"/>
          <w:szCs w:val="24"/>
        </w:rPr>
        <w:t>the test, and that it is a viable or</w:t>
      </w:r>
      <w:r>
        <w:rPr>
          <w:rFonts w:cs="Arial"/>
          <w:szCs w:val="24"/>
        </w:rPr>
        <w:t xml:space="preserve"> </w:t>
      </w:r>
      <w:r w:rsidRPr="00726E90">
        <w:rPr>
          <w:rFonts w:cs="Arial"/>
          <w:szCs w:val="24"/>
        </w:rPr>
        <w:t>acceptable deposit. A viability statement</w:t>
      </w:r>
      <w:r>
        <w:rPr>
          <w:rFonts w:cs="Arial"/>
          <w:szCs w:val="24"/>
        </w:rPr>
        <w:t xml:space="preserve"> </w:t>
      </w:r>
      <w:r w:rsidRPr="00726E90">
        <w:rPr>
          <w:rFonts w:cs="Arial"/>
          <w:szCs w:val="24"/>
        </w:rPr>
        <w:t>is not required when a deposit is made</w:t>
      </w:r>
      <w:r>
        <w:rPr>
          <w:rFonts w:cs="Arial"/>
          <w:szCs w:val="24"/>
        </w:rPr>
        <w:t xml:space="preserve"> </w:t>
      </w:r>
      <w:r w:rsidRPr="00726E90">
        <w:rPr>
          <w:rFonts w:cs="Arial"/>
          <w:szCs w:val="24"/>
        </w:rPr>
        <w:t>and accepted under the Budapest</w:t>
      </w:r>
      <w:r>
        <w:rPr>
          <w:rFonts w:cs="Arial"/>
          <w:szCs w:val="24"/>
        </w:rPr>
        <w:t xml:space="preserve"> </w:t>
      </w:r>
      <w:r w:rsidRPr="00726E90">
        <w:rPr>
          <w:rFonts w:cs="Arial"/>
          <w:szCs w:val="24"/>
        </w:rPr>
        <w:t>Treaty.</w:t>
      </w:r>
      <w:r>
        <w:rPr>
          <w:rFonts w:cs="Arial"/>
          <w:szCs w:val="24"/>
        </w:rPr>
        <w:t xml:space="preserve"> </w:t>
      </w:r>
    </w:p>
    <w:p w:rsidR="00EF6D6C" w:rsidP="00726E90" w:rsidRDefault="00EF6D6C" w14:paraId="1C97ED85" w14:textId="77777777">
      <w:pPr>
        <w:pStyle w:val="BodyText2"/>
        <w:rPr>
          <w:rFonts w:cs="Arial"/>
          <w:szCs w:val="24"/>
        </w:rPr>
      </w:pPr>
    </w:p>
    <w:p w:rsidR="00EF6D6C" w:rsidP="00726E90" w:rsidRDefault="00726E90" w14:paraId="0B7FD8C4" w14:textId="77777777">
      <w:pPr>
        <w:pStyle w:val="BodyText2"/>
        <w:rPr>
          <w:rFonts w:cs="Arial"/>
          <w:szCs w:val="24"/>
        </w:rPr>
      </w:pPr>
      <w:r w:rsidRPr="00726E90">
        <w:rPr>
          <w:rFonts w:cs="Arial"/>
          <w:szCs w:val="24"/>
        </w:rPr>
        <w:t xml:space="preserve">This </w:t>
      </w:r>
      <w:r w:rsidR="008E3252">
        <w:rPr>
          <w:rFonts w:cs="Arial"/>
          <w:szCs w:val="24"/>
        </w:rPr>
        <w:t xml:space="preserve">information </w:t>
      </w:r>
      <w:r w:rsidRPr="00726E90">
        <w:rPr>
          <w:rFonts w:cs="Arial"/>
          <w:szCs w:val="24"/>
        </w:rPr>
        <w:t>collection also covers additional</w:t>
      </w:r>
      <w:r>
        <w:rPr>
          <w:rFonts w:cs="Arial"/>
          <w:szCs w:val="24"/>
        </w:rPr>
        <w:t xml:space="preserve"> </w:t>
      </w:r>
      <w:r w:rsidRPr="00726E90">
        <w:rPr>
          <w:rFonts w:cs="Arial"/>
          <w:szCs w:val="24"/>
        </w:rPr>
        <w:t>information that may be gathered by the</w:t>
      </w:r>
      <w:r>
        <w:rPr>
          <w:rFonts w:cs="Arial"/>
          <w:szCs w:val="24"/>
        </w:rPr>
        <w:t xml:space="preserve"> </w:t>
      </w:r>
      <w:r w:rsidRPr="00726E90">
        <w:rPr>
          <w:rFonts w:cs="Arial"/>
          <w:szCs w:val="24"/>
        </w:rPr>
        <w:t>USPTO after a biological material is</w:t>
      </w:r>
      <w:r>
        <w:rPr>
          <w:rFonts w:cs="Arial"/>
          <w:szCs w:val="24"/>
        </w:rPr>
        <w:t xml:space="preserve"> </w:t>
      </w:r>
      <w:r w:rsidRPr="00726E90">
        <w:rPr>
          <w:rFonts w:cs="Arial"/>
          <w:szCs w:val="24"/>
        </w:rPr>
        <w:t>deposited into the recognized</w:t>
      </w:r>
      <w:r>
        <w:rPr>
          <w:rFonts w:cs="Arial"/>
          <w:szCs w:val="24"/>
        </w:rPr>
        <w:t xml:space="preserve"> </w:t>
      </w:r>
      <w:r w:rsidRPr="00726E90">
        <w:rPr>
          <w:rFonts w:cs="Arial"/>
          <w:szCs w:val="24"/>
        </w:rPr>
        <w:t>depository. For example, depositors</w:t>
      </w:r>
      <w:r>
        <w:rPr>
          <w:rFonts w:cs="Arial"/>
          <w:szCs w:val="24"/>
        </w:rPr>
        <w:t xml:space="preserve"> </w:t>
      </w:r>
      <w:r w:rsidRPr="00726E90">
        <w:rPr>
          <w:rFonts w:cs="Arial"/>
          <w:szCs w:val="24"/>
        </w:rPr>
        <w:t>may be required to submit verification</w:t>
      </w:r>
      <w:r>
        <w:rPr>
          <w:rFonts w:cs="Arial"/>
          <w:szCs w:val="24"/>
        </w:rPr>
        <w:t xml:space="preserve"> </w:t>
      </w:r>
      <w:r w:rsidRPr="00726E90">
        <w:rPr>
          <w:rFonts w:cs="Arial"/>
          <w:szCs w:val="24"/>
        </w:rPr>
        <w:t>statements for biological materials</w:t>
      </w:r>
      <w:r>
        <w:rPr>
          <w:rFonts w:cs="Arial"/>
          <w:szCs w:val="24"/>
        </w:rPr>
        <w:t xml:space="preserve"> </w:t>
      </w:r>
      <w:r w:rsidRPr="00726E90">
        <w:rPr>
          <w:rFonts w:cs="Arial"/>
          <w:szCs w:val="24"/>
        </w:rPr>
        <w:t>deposited after the effective filing date</w:t>
      </w:r>
      <w:r>
        <w:rPr>
          <w:rFonts w:cs="Arial"/>
          <w:szCs w:val="24"/>
        </w:rPr>
        <w:t xml:space="preserve"> </w:t>
      </w:r>
      <w:r w:rsidRPr="00726E90">
        <w:rPr>
          <w:rFonts w:cs="Arial"/>
          <w:szCs w:val="24"/>
        </w:rPr>
        <w:t>of a patent application or written</w:t>
      </w:r>
      <w:r>
        <w:rPr>
          <w:rFonts w:cs="Arial"/>
          <w:szCs w:val="24"/>
        </w:rPr>
        <w:t xml:space="preserve"> </w:t>
      </w:r>
      <w:r w:rsidRPr="00726E90">
        <w:rPr>
          <w:rFonts w:cs="Arial"/>
          <w:szCs w:val="24"/>
        </w:rPr>
        <w:t>notification that an acceptable deposit</w:t>
      </w:r>
      <w:r>
        <w:rPr>
          <w:rFonts w:cs="Arial"/>
          <w:szCs w:val="24"/>
        </w:rPr>
        <w:t xml:space="preserve"> </w:t>
      </w:r>
      <w:r w:rsidRPr="00726E90">
        <w:rPr>
          <w:rFonts w:cs="Arial"/>
          <w:szCs w:val="24"/>
        </w:rPr>
        <w:t>will be made. Occasionally a deposit</w:t>
      </w:r>
      <w:r>
        <w:rPr>
          <w:rFonts w:cs="Arial"/>
          <w:szCs w:val="24"/>
        </w:rPr>
        <w:t xml:space="preserve"> </w:t>
      </w:r>
      <w:r w:rsidRPr="00726E90">
        <w:rPr>
          <w:rFonts w:cs="Arial"/>
          <w:szCs w:val="24"/>
        </w:rPr>
        <w:t>may be lost, contaminated, or otherwise</w:t>
      </w:r>
      <w:r>
        <w:rPr>
          <w:rFonts w:cs="Arial"/>
          <w:szCs w:val="24"/>
        </w:rPr>
        <w:t xml:space="preserve"> </w:t>
      </w:r>
      <w:r w:rsidRPr="00726E90">
        <w:rPr>
          <w:rFonts w:cs="Arial"/>
          <w:szCs w:val="24"/>
        </w:rPr>
        <w:t>is not able to self-replicate, and a</w:t>
      </w:r>
      <w:r>
        <w:rPr>
          <w:rFonts w:cs="Arial"/>
          <w:szCs w:val="24"/>
        </w:rPr>
        <w:t xml:space="preserve"> </w:t>
      </w:r>
      <w:r w:rsidRPr="00726E90">
        <w:rPr>
          <w:rFonts w:cs="Arial"/>
          <w:szCs w:val="24"/>
        </w:rPr>
        <w:t>replacement or supplemental deposit</w:t>
      </w:r>
      <w:r>
        <w:rPr>
          <w:rFonts w:cs="Arial"/>
          <w:szCs w:val="24"/>
        </w:rPr>
        <w:t xml:space="preserve"> </w:t>
      </w:r>
      <w:r w:rsidRPr="00726E90">
        <w:rPr>
          <w:rFonts w:cs="Arial"/>
          <w:szCs w:val="24"/>
        </w:rPr>
        <w:t>needs to be made. In that event, this</w:t>
      </w:r>
      <w:r>
        <w:rPr>
          <w:rFonts w:cs="Arial"/>
          <w:szCs w:val="24"/>
        </w:rPr>
        <w:t xml:space="preserve"> </w:t>
      </w:r>
      <w:r w:rsidR="008E3252">
        <w:rPr>
          <w:rFonts w:cs="Arial"/>
          <w:szCs w:val="24"/>
        </w:rPr>
        <w:t xml:space="preserve">information </w:t>
      </w:r>
      <w:r w:rsidRPr="00726E90">
        <w:rPr>
          <w:rFonts w:cs="Arial"/>
          <w:szCs w:val="24"/>
        </w:rPr>
        <w:t>collection covers the requirement that</w:t>
      </w:r>
      <w:r>
        <w:rPr>
          <w:rFonts w:cs="Arial"/>
          <w:szCs w:val="24"/>
        </w:rPr>
        <w:t xml:space="preserve"> </w:t>
      </w:r>
      <w:r w:rsidRPr="00726E90">
        <w:rPr>
          <w:rFonts w:cs="Arial"/>
          <w:szCs w:val="24"/>
        </w:rPr>
        <w:t>the depositor submit a written</w:t>
      </w:r>
      <w:r>
        <w:rPr>
          <w:rFonts w:cs="Arial"/>
          <w:szCs w:val="24"/>
        </w:rPr>
        <w:t xml:space="preserve"> </w:t>
      </w:r>
      <w:r w:rsidRPr="00726E90">
        <w:rPr>
          <w:rFonts w:cs="Arial"/>
          <w:szCs w:val="24"/>
        </w:rPr>
        <w:t>notification to the USPTO concerning</w:t>
      </w:r>
      <w:r>
        <w:rPr>
          <w:rFonts w:cs="Arial"/>
          <w:szCs w:val="24"/>
        </w:rPr>
        <w:t xml:space="preserve"> </w:t>
      </w:r>
      <w:r w:rsidRPr="00726E90">
        <w:rPr>
          <w:rFonts w:cs="Arial"/>
          <w:szCs w:val="24"/>
        </w:rPr>
        <w:t>the particulars of the situation and</w:t>
      </w:r>
      <w:r>
        <w:rPr>
          <w:rFonts w:cs="Arial"/>
          <w:szCs w:val="24"/>
        </w:rPr>
        <w:t xml:space="preserve"> </w:t>
      </w:r>
      <w:r w:rsidRPr="00726E90">
        <w:rPr>
          <w:rFonts w:cs="Arial"/>
          <w:szCs w:val="24"/>
        </w:rPr>
        <w:t>request a certificate of correction by the</w:t>
      </w:r>
      <w:r>
        <w:rPr>
          <w:rFonts w:cs="Arial"/>
          <w:szCs w:val="24"/>
        </w:rPr>
        <w:t xml:space="preserve"> </w:t>
      </w:r>
      <w:r w:rsidRPr="00726E90">
        <w:rPr>
          <w:rFonts w:cs="Arial"/>
          <w:szCs w:val="24"/>
        </w:rPr>
        <w:t>USPTO authorizing the replacement or</w:t>
      </w:r>
      <w:r>
        <w:rPr>
          <w:rFonts w:cs="Arial"/>
          <w:szCs w:val="24"/>
        </w:rPr>
        <w:t xml:space="preserve"> </w:t>
      </w:r>
      <w:r w:rsidRPr="00726E90">
        <w:rPr>
          <w:rFonts w:cs="Arial"/>
          <w:szCs w:val="24"/>
        </w:rPr>
        <w:t>supplemental deposit.</w:t>
      </w:r>
      <w:r>
        <w:rPr>
          <w:rFonts w:cs="Arial"/>
          <w:szCs w:val="24"/>
        </w:rPr>
        <w:t xml:space="preserve"> </w:t>
      </w:r>
    </w:p>
    <w:p w:rsidR="00EF6D6C" w:rsidP="00726E90" w:rsidRDefault="00EF6D6C" w14:paraId="42AB9BB0" w14:textId="77777777">
      <w:pPr>
        <w:pStyle w:val="BodyText2"/>
        <w:rPr>
          <w:rFonts w:cs="Arial"/>
          <w:szCs w:val="24"/>
        </w:rPr>
      </w:pPr>
    </w:p>
    <w:p w:rsidR="00D07F97" w:rsidP="00726E90" w:rsidRDefault="00726E90" w14:paraId="4C808986" w14:textId="77777777">
      <w:pPr>
        <w:pStyle w:val="BodyText2"/>
        <w:rPr>
          <w:rFonts w:cs="Arial"/>
          <w:szCs w:val="24"/>
        </w:rPr>
      </w:pPr>
      <w:r w:rsidRPr="00726E90">
        <w:rPr>
          <w:rFonts w:cs="Arial"/>
          <w:szCs w:val="24"/>
        </w:rPr>
        <w:t>There are no forms associated with</w:t>
      </w:r>
      <w:r>
        <w:rPr>
          <w:rFonts w:cs="Arial"/>
          <w:szCs w:val="24"/>
        </w:rPr>
        <w:t xml:space="preserve"> </w:t>
      </w:r>
      <w:r w:rsidRPr="00726E90">
        <w:rPr>
          <w:rFonts w:cs="Arial"/>
          <w:szCs w:val="24"/>
        </w:rPr>
        <w:t>the information collected by the USPTO</w:t>
      </w:r>
      <w:r>
        <w:rPr>
          <w:rFonts w:cs="Arial"/>
          <w:szCs w:val="24"/>
        </w:rPr>
        <w:t xml:space="preserve"> </w:t>
      </w:r>
      <w:r w:rsidRPr="00726E90">
        <w:rPr>
          <w:rFonts w:cs="Arial"/>
          <w:szCs w:val="24"/>
        </w:rPr>
        <w:t>in connection with the deposit of</w:t>
      </w:r>
      <w:r>
        <w:rPr>
          <w:rFonts w:cs="Arial"/>
          <w:szCs w:val="24"/>
        </w:rPr>
        <w:t xml:space="preserve"> </w:t>
      </w:r>
      <w:r w:rsidRPr="00726E90">
        <w:rPr>
          <w:rFonts w:cs="Arial"/>
          <w:szCs w:val="24"/>
        </w:rPr>
        <w:t>biological materials.</w:t>
      </w:r>
    </w:p>
    <w:p w:rsidRPr="00AF4628" w:rsidR="00726E90" w:rsidP="00726E90" w:rsidRDefault="00726E90" w14:paraId="7A28CAAB" w14:textId="77777777">
      <w:pPr>
        <w:pStyle w:val="BodyText2"/>
        <w:rPr>
          <w:rFonts w:cs="Arial"/>
          <w:szCs w:val="24"/>
        </w:rPr>
      </w:pPr>
    </w:p>
    <w:p w:rsidRPr="00AF4628" w:rsidR="00D07F97" w:rsidP="00237965" w:rsidRDefault="00D07F97" w14:paraId="09F3FF08" w14:textId="77777777">
      <w:pPr>
        <w:pStyle w:val="BodyText2"/>
        <w:numPr>
          <w:ilvl w:val="0"/>
          <w:numId w:val="15"/>
        </w:numPr>
        <w:rPr>
          <w:rFonts w:cs="Arial"/>
          <w:szCs w:val="24"/>
        </w:rPr>
      </w:pPr>
      <w:r w:rsidRPr="00AF4628">
        <w:rPr>
          <w:rFonts w:cs="Arial"/>
          <w:szCs w:val="24"/>
          <w:u w:val="single"/>
        </w:rPr>
        <w:t>Depositories</w:t>
      </w:r>
    </w:p>
    <w:p w:rsidRPr="00AF4628" w:rsidR="00D07F97" w:rsidRDefault="00D07F97" w14:paraId="708B8196" w14:textId="77777777">
      <w:pPr>
        <w:pStyle w:val="BodyText2"/>
        <w:rPr>
          <w:rFonts w:cs="Arial"/>
          <w:szCs w:val="24"/>
        </w:rPr>
      </w:pPr>
    </w:p>
    <w:p w:rsidRPr="00AF4628" w:rsidR="00D07F97" w:rsidP="00EF6D6C" w:rsidRDefault="00EF6D6C" w14:paraId="32F753B9" w14:textId="289B805D">
      <w:pPr>
        <w:pStyle w:val="BodyText2"/>
        <w:rPr>
          <w:rFonts w:cs="Arial"/>
          <w:szCs w:val="24"/>
        </w:rPr>
      </w:pPr>
      <w:r w:rsidRPr="00EF6D6C">
        <w:rPr>
          <w:rFonts w:cs="Arial"/>
          <w:szCs w:val="24"/>
        </w:rPr>
        <w:t>Institut</w:t>
      </w:r>
      <w:r>
        <w:rPr>
          <w:rFonts w:cs="Arial"/>
          <w:szCs w:val="24"/>
        </w:rPr>
        <w:t xml:space="preserve">ions that wish to be recognized </w:t>
      </w:r>
      <w:r w:rsidRPr="00EF6D6C">
        <w:rPr>
          <w:rFonts w:cs="Arial"/>
          <w:szCs w:val="24"/>
        </w:rPr>
        <w:t>by the USPTO as a suitable depository</w:t>
      </w:r>
      <w:r>
        <w:rPr>
          <w:rFonts w:cs="Arial"/>
          <w:szCs w:val="24"/>
        </w:rPr>
        <w:t xml:space="preserve"> </w:t>
      </w:r>
      <w:r w:rsidRPr="00EF6D6C">
        <w:rPr>
          <w:rFonts w:cs="Arial"/>
          <w:szCs w:val="24"/>
        </w:rPr>
        <w:t>to receive deposits for patent purposes,</w:t>
      </w:r>
      <w:r>
        <w:rPr>
          <w:rFonts w:cs="Arial"/>
          <w:szCs w:val="24"/>
        </w:rPr>
        <w:t xml:space="preserve"> </w:t>
      </w:r>
      <w:r w:rsidRPr="00EF6D6C">
        <w:rPr>
          <w:rFonts w:cs="Arial"/>
          <w:szCs w:val="24"/>
        </w:rPr>
        <w:t>are required by 37 CFR 1.803 to make</w:t>
      </w:r>
      <w:r>
        <w:rPr>
          <w:rFonts w:cs="Arial"/>
          <w:szCs w:val="24"/>
        </w:rPr>
        <w:t xml:space="preserve"> </w:t>
      </w:r>
      <w:r w:rsidRPr="00EF6D6C">
        <w:rPr>
          <w:rFonts w:cs="Arial"/>
          <w:szCs w:val="24"/>
        </w:rPr>
        <w:t>a request demonstrating that they are</w:t>
      </w:r>
      <w:r>
        <w:rPr>
          <w:rFonts w:cs="Arial"/>
          <w:szCs w:val="24"/>
        </w:rPr>
        <w:t xml:space="preserve"> </w:t>
      </w:r>
      <w:r w:rsidRPr="00EF6D6C">
        <w:rPr>
          <w:rFonts w:cs="Arial"/>
          <w:szCs w:val="24"/>
        </w:rPr>
        <w:t>qualified to store and test the biological</w:t>
      </w:r>
      <w:r>
        <w:rPr>
          <w:rFonts w:cs="Arial"/>
          <w:szCs w:val="24"/>
        </w:rPr>
        <w:t xml:space="preserve"> </w:t>
      </w:r>
      <w:r w:rsidRPr="00EF6D6C">
        <w:rPr>
          <w:rFonts w:cs="Arial"/>
          <w:szCs w:val="24"/>
        </w:rPr>
        <w:t>materials submitted to them under</w:t>
      </w:r>
      <w:r>
        <w:rPr>
          <w:rFonts w:cs="Arial"/>
          <w:szCs w:val="24"/>
        </w:rPr>
        <w:t xml:space="preserve"> </w:t>
      </w:r>
      <w:r w:rsidRPr="00EF6D6C">
        <w:rPr>
          <w:rFonts w:cs="Arial"/>
          <w:szCs w:val="24"/>
        </w:rPr>
        <w:t>patent applications. This</w:t>
      </w:r>
      <w:r w:rsidR="008E3252">
        <w:rPr>
          <w:rFonts w:cs="Arial"/>
          <w:szCs w:val="24"/>
        </w:rPr>
        <w:t xml:space="preserve"> information</w:t>
      </w:r>
      <w:r w:rsidRPr="00EF6D6C">
        <w:rPr>
          <w:rFonts w:cs="Arial"/>
          <w:szCs w:val="24"/>
        </w:rPr>
        <w:t xml:space="preserve"> collection</w:t>
      </w:r>
      <w:r>
        <w:rPr>
          <w:rFonts w:cs="Arial"/>
          <w:szCs w:val="24"/>
        </w:rPr>
        <w:t xml:space="preserve"> </w:t>
      </w:r>
      <w:r w:rsidRPr="00EF6D6C">
        <w:rPr>
          <w:rFonts w:cs="Arial"/>
          <w:szCs w:val="24"/>
        </w:rPr>
        <w:t>covers the information gathered in the</w:t>
      </w:r>
      <w:r>
        <w:rPr>
          <w:rFonts w:cs="Arial"/>
          <w:szCs w:val="24"/>
        </w:rPr>
        <w:t xml:space="preserve"> </w:t>
      </w:r>
      <w:r w:rsidRPr="00EF6D6C">
        <w:rPr>
          <w:rFonts w:cs="Arial"/>
          <w:szCs w:val="24"/>
        </w:rPr>
        <w:t>request to allow the USPTO to evaluate</w:t>
      </w:r>
      <w:r>
        <w:rPr>
          <w:rFonts w:cs="Arial"/>
          <w:szCs w:val="24"/>
        </w:rPr>
        <w:t xml:space="preserve"> </w:t>
      </w:r>
      <w:r w:rsidRPr="00EF6D6C">
        <w:rPr>
          <w:rFonts w:cs="Arial"/>
          <w:szCs w:val="24"/>
        </w:rPr>
        <w:t>whether such an institution has</w:t>
      </w:r>
      <w:r>
        <w:rPr>
          <w:rFonts w:cs="Arial"/>
          <w:szCs w:val="24"/>
        </w:rPr>
        <w:t xml:space="preserve"> </w:t>
      </w:r>
      <w:r w:rsidRPr="00EF6D6C">
        <w:rPr>
          <w:rFonts w:cs="Arial"/>
          <w:szCs w:val="24"/>
        </w:rPr>
        <w:t>demonstrated that its internal practices</w:t>
      </w:r>
      <w:r>
        <w:rPr>
          <w:rFonts w:cs="Arial"/>
          <w:szCs w:val="24"/>
        </w:rPr>
        <w:t xml:space="preserve"> </w:t>
      </w:r>
      <w:r w:rsidRPr="00EF6D6C">
        <w:rPr>
          <w:rFonts w:cs="Arial"/>
          <w:szCs w:val="24"/>
        </w:rPr>
        <w:t>(both technical and administrative) and</w:t>
      </w:r>
      <w:r>
        <w:rPr>
          <w:rFonts w:cs="Arial"/>
          <w:szCs w:val="24"/>
        </w:rPr>
        <w:t xml:space="preserve"> </w:t>
      </w:r>
      <w:r w:rsidRPr="00EF6D6C">
        <w:rPr>
          <w:rFonts w:cs="Arial"/>
          <w:szCs w:val="24"/>
        </w:rPr>
        <w:t>the technical ability of the staff and the</w:t>
      </w:r>
      <w:r>
        <w:rPr>
          <w:rFonts w:cs="Arial"/>
          <w:szCs w:val="24"/>
        </w:rPr>
        <w:t xml:space="preserve"> </w:t>
      </w:r>
      <w:r w:rsidRPr="00EF6D6C">
        <w:rPr>
          <w:rFonts w:cs="Arial"/>
          <w:szCs w:val="24"/>
        </w:rPr>
        <w:t>facility are sufficient to protect the</w:t>
      </w:r>
      <w:r>
        <w:rPr>
          <w:rFonts w:cs="Arial"/>
          <w:szCs w:val="24"/>
        </w:rPr>
        <w:t xml:space="preserve"> </w:t>
      </w:r>
      <w:r w:rsidRPr="00EF6D6C">
        <w:rPr>
          <w:rFonts w:cs="Arial"/>
          <w:szCs w:val="24"/>
        </w:rPr>
        <w:t>integrity of the biological materials</w:t>
      </w:r>
      <w:r>
        <w:rPr>
          <w:rFonts w:cs="Arial"/>
          <w:szCs w:val="24"/>
        </w:rPr>
        <w:t xml:space="preserve"> </w:t>
      </w:r>
      <w:r w:rsidRPr="00EF6D6C">
        <w:rPr>
          <w:rFonts w:cs="Arial"/>
          <w:szCs w:val="24"/>
        </w:rPr>
        <w:t>being stored. For example, this</w:t>
      </w:r>
      <w:r>
        <w:rPr>
          <w:rFonts w:cs="Arial"/>
          <w:szCs w:val="24"/>
        </w:rPr>
        <w:t xml:space="preserve"> </w:t>
      </w:r>
      <w:r w:rsidR="00655F88">
        <w:rPr>
          <w:rFonts w:cs="Arial"/>
          <w:szCs w:val="24"/>
        </w:rPr>
        <w:t>activity</w:t>
      </w:r>
      <w:r w:rsidRPr="00EF6D6C">
        <w:rPr>
          <w:rFonts w:cs="Arial"/>
          <w:szCs w:val="24"/>
        </w:rPr>
        <w:t xml:space="preserve"> covers documentation from</w:t>
      </w:r>
      <w:r>
        <w:rPr>
          <w:rFonts w:cs="Arial"/>
          <w:szCs w:val="24"/>
        </w:rPr>
        <w:t xml:space="preserve"> </w:t>
      </w:r>
      <w:r w:rsidRPr="00EF6D6C">
        <w:rPr>
          <w:rFonts w:cs="Arial"/>
          <w:szCs w:val="24"/>
        </w:rPr>
        <w:t>depositories that verifies that their</w:t>
      </w:r>
      <w:r>
        <w:rPr>
          <w:rFonts w:cs="Arial"/>
          <w:szCs w:val="24"/>
        </w:rPr>
        <w:t xml:space="preserve"> </w:t>
      </w:r>
      <w:r w:rsidRPr="00EF6D6C">
        <w:rPr>
          <w:rFonts w:cs="Arial"/>
          <w:szCs w:val="24"/>
        </w:rPr>
        <w:t>practices and procedures, the technical</w:t>
      </w:r>
      <w:r>
        <w:rPr>
          <w:rFonts w:cs="Arial"/>
          <w:szCs w:val="24"/>
        </w:rPr>
        <w:t xml:space="preserve"> </w:t>
      </w:r>
      <w:r w:rsidRPr="00EF6D6C">
        <w:rPr>
          <w:rFonts w:cs="Arial"/>
          <w:szCs w:val="24"/>
        </w:rPr>
        <w:t>competence of their staff, and their</w:t>
      </w:r>
      <w:r>
        <w:rPr>
          <w:rFonts w:cs="Arial"/>
          <w:szCs w:val="24"/>
        </w:rPr>
        <w:t xml:space="preserve"> </w:t>
      </w:r>
      <w:r w:rsidRPr="00EF6D6C">
        <w:rPr>
          <w:rFonts w:cs="Arial"/>
          <w:szCs w:val="24"/>
        </w:rPr>
        <w:t>facilities fulfill the stringent</w:t>
      </w:r>
      <w:r>
        <w:rPr>
          <w:rFonts w:cs="Arial"/>
          <w:szCs w:val="24"/>
        </w:rPr>
        <w:t xml:space="preserve"> </w:t>
      </w:r>
      <w:r w:rsidRPr="00EF6D6C">
        <w:rPr>
          <w:rFonts w:cs="Arial"/>
          <w:szCs w:val="24"/>
        </w:rPr>
        <w:t>requirements spelled out under the</w:t>
      </w:r>
      <w:r>
        <w:rPr>
          <w:rFonts w:cs="Arial"/>
          <w:szCs w:val="24"/>
        </w:rPr>
        <w:t xml:space="preserve"> </w:t>
      </w:r>
      <w:r w:rsidR="00655F88">
        <w:rPr>
          <w:rFonts w:cs="Arial"/>
          <w:szCs w:val="24"/>
        </w:rPr>
        <w:t>regulations</w:t>
      </w:r>
      <w:r w:rsidRPr="00EF6D6C">
        <w:rPr>
          <w:rFonts w:cs="Arial"/>
          <w:szCs w:val="24"/>
        </w:rPr>
        <w:t>.</w:t>
      </w:r>
    </w:p>
    <w:p w:rsidR="00EF6D6C" w:rsidP="00EF6D6C" w:rsidRDefault="00EF6D6C" w14:paraId="5553C057" w14:textId="77777777">
      <w:pPr>
        <w:pStyle w:val="BodyText2"/>
        <w:rPr>
          <w:rFonts w:cs="Arial"/>
          <w:szCs w:val="24"/>
        </w:rPr>
      </w:pPr>
    </w:p>
    <w:p w:rsidRPr="003408EA" w:rsidR="00D07F97" w:rsidP="00EF6D6C" w:rsidRDefault="00EF6D6C" w14:paraId="0906A52C" w14:textId="4747792A">
      <w:pPr>
        <w:pStyle w:val="BodyText2"/>
        <w:rPr>
          <w:rFonts w:cs="Arial"/>
          <w:szCs w:val="24"/>
        </w:rPr>
      </w:pPr>
      <w:r w:rsidRPr="00EF6D6C">
        <w:rPr>
          <w:rFonts w:cs="Arial"/>
          <w:szCs w:val="24"/>
        </w:rPr>
        <w:t>This</w:t>
      </w:r>
      <w:r w:rsidR="008E3252">
        <w:rPr>
          <w:rFonts w:cs="Arial"/>
          <w:szCs w:val="24"/>
        </w:rPr>
        <w:t xml:space="preserve"> </w:t>
      </w:r>
      <w:r w:rsidR="00655F88">
        <w:rPr>
          <w:rFonts w:cs="Arial"/>
          <w:szCs w:val="24"/>
        </w:rPr>
        <w:t>activity</w:t>
      </w:r>
      <w:r>
        <w:rPr>
          <w:rFonts w:cs="Arial"/>
          <w:szCs w:val="24"/>
        </w:rPr>
        <w:t xml:space="preserve"> also covers additional </w:t>
      </w:r>
      <w:r w:rsidRPr="00EF6D6C">
        <w:rPr>
          <w:rFonts w:cs="Arial"/>
          <w:szCs w:val="24"/>
        </w:rPr>
        <w:t>information gathered by the USPTO that</w:t>
      </w:r>
      <w:r>
        <w:rPr>
          <w:rFonts w:cs="Arial"/>
          <w:szCs w:val="24"/>
        </w:rPr>
        <w:t xml:space="preserve"> </w:t>
      </w:r>
      <w:r w:rsidRPr="00EF6D6C">
        <w:rPr>
          <w:rFonts w:cs="Arial"/>
          <w:szCs w:val="24"/>
        </w:rPr>
        <w:t>may be needed after a depository has</w:t>
      </w:r>
      <w:r>
        <w:rPr>
          <w:rFonts w:cs="Arial"/>
          <w:szCs w:val="24"/>
        </w:rPr>
        <w:t xml:space="preserve"> </w:t>
      </w:r>
      <w:r w:rsidRPr="00EF6D6C">
        <w:rPr>
          <w:rFonts w:cs="Arial"/>
          <w:szCs w:val="24"/>
        </w:rPr>
        <w:t>been recognized by the USPTO. For</w:t>
      </w:r>
      <w:r>
        <w:rPr>
          <w:rFonts w:cs="Arial"/>
          <w:szCs w:val="24"/>
        </w:rPr>
        <w:t xml:space="preserve"> </w:t>
      </w:r>
      <w:r w:rsidRPr="00EF6D6C">
        <w:rPr>
          <w:rFonts w:cs="Arial"/>
          <w:szCs w:val="24"/>
        </w:rPr>
        <w:t xml:space="preserve">example, this </w:t>
      </w:r>
      <w:r w:rsidR="008E3252">
        <w:rPr>
          <w:rFonts w:cs="Arial"/>
          <w:szCs w:val="24"/>
        </w:rPr>
        <w:t xml:space="preserve">information </w:t>
      </w:r>
      <w:r w:rsidRPr="00EF6D6C">
        <w:rPr>
          <w:rFonts w:cs="Arial"/>
          <w:szCs w:val="24"/>
        </w:rPr>
        <w:t>collection covers requests</w:t>
      </w:r>
      <w:r>
        <w:rPr>
          <w:rFonts w:cs="Arial"/>
          <w:szCs w:val="24"/>
        </w:rPr>
        <w:t xml:space="preserve"> </w:t>
      </w:r>
      <w:r w:rsidRPr="00EF6D6C">
        <w:rPr>
          <w:rFonts w:cs="Arial"/>
          <w:szCs w:val="24"/>
        </w:rPr>
        <w:t>to handle additional types of biological</w:t>
      </w:r>
      <w:r>
        <w:rPr>
          <w:rFonts w:cs="Arial"/>
          <w:szCs w:val="24"/>
        </w:rPr>
        <w:t xml:space="preserve"> </w:t>
      </w:r>
      <w:r w:rsidRPr="00EF6D6C">
        <w:rPr>
          <w:rFonts w:cs="Arial"/>
          <w:szCs w:val="24"/>
        </w:rPr>
        <w:t>materials other than the material</w:t>
      </w:r>
      <w:r>
        <w:rPr>
          <w:rFonts w:cs="Arial"/>
          <w:szCs w:val="24"/>
        </w:rPr>
        <w:t xml:space="preserve"> </w:t>
      </w:r>
      <w:r w:rsidRPr="00EF6D6C">
        <w:rPr>
          <w:rFonts w:cs="Arial"/>
          <w:szCs w:val="24"/>
        </w:rPr>
        <w:t>originally recognized, and viability</w:t>
      </w:r>
      <w:r>
        <w:rPr>
          <w:rFonts w:cs="Arial"/>
          <w:szCs w:val="24"/>
        </w:rPr>
        <w:t xml:space="preserve"> </w:t>
      </w:r>
      <w:r w:rsidRPr="00EF6D6C">
        <w:rPr>
          <w:rFonts w:cs="Arial"/>
          <w:szCs w:val="24"/>
        </w:rPr>
        <w:t>statements that depositories may submit</w:t>
      </w:r>
      <w:r>
        <w:rPr>
          <w:rFonts w:cs="Arial"/>
          <w:szCs w:val="24"/>
        </w:rPr>
        <w:t xml:space="preserve"> </w:t>
      </w:r>
      <w:r w:rsidRPr="00EF6D6C">
        <w:rPr>
          <w:rFonts w:cs="Arial"/>
          <w:szCs w:val="24"/>
        </w:rPr>
        <w:t>(on behalf of depositors) for deposits</w:t>
      </w:r>
      <w:r>
        <w:rPr>
          <w:rFonts w:cs="Arial"/>
          <w:szCs w:val="24"/>
        </w:rPr>
        <w:t xml:space="preserve"> </w:t>
      </w:r>
      <w:r w:rsidRPr="00EF6D6C">
        <w:rPr>
          <w:rFonts w:cs="Arial"/>
          <w:szCs w:val="24"/>
        </w:rPr>
        <w:t>tested at the depository and/or</w:t>
      </w:r>
      <w:r>
        <w:rPr>
          <w:rFonts w:cs="Arial"/>
          <w:szCs w:val="24"/>
        </w:rPr>
        <w:t xml:space="preserve"> </w:t>
      </w:r>
      <w:r w:rsidRPr="00EF6D6C">
        <w:rPr>
          <w:rFonts w:cs="Arial"/>
          <w:szCs w:val="24"/>
        </w:rPr>
        <w:t>documentation proving the public has</w:t>
      </w:r>
      <w:r>
        <w:rPr>
          <w:rFonts w:cs="Arial"/>
          <w:szCs w:val="24"/>
        </w:rPr>
        <w:t xml:space="preserve"> </w:t>
      </w:r>
      <w:r w:rsidRPr="00EF6D6C">
        <w:rPr>
          <w:rFonts w:cs="Arial"/>
          <w:szCs w:val="24"/>
        </w:rPr>
        <w:t>been notified about where to obtain</w:t>
      </w:r>
      <w:r>
        <w:rPr>
          <w:rFonts w:cs="Arial"/>
          <w:szCs w:val="24"/>
        </w:rPr>
        <w:t xml:space="preserve"> </w:t>
      </w:r>
      <w:r w:rsidRPr="00EF6D6C">
        <w:rPr>
          <w:rFonts w:cs="Arial"/>
          <w:szCs w:val="24"/>
        </w:rPr>
        <w:t>samples.</w:t>
      </w:r>
    </w:p>
    <w:p w:rsidR="00EF6D6C" w:rsidP="00EF6D6C" w:rsidRDefault="00EF6D6C" w14:paraId="5EFB3B1C" w14:textId="77777777">
      <w:pPr>
        <w:jc w:val="both"/>
        <w:rPr>
          <w:rFonts w:ascii="Arial" w:hAnsi="Arial" w:cs="Arial"/>
          <w:sz w:val="24"/>
          <w:szCs w:val="24"/>
        </w:rPr>
      </w:pPr>
    </w:p>
    <w:p w:rsidRPr="00AF4628" w:rsidR="004322FE" w:rsidP="00EF6D6C" w:rsidRDefault="00AB564A" w14:paraId="67178EDD" w14:textId="3BC073D8">
      <w:pPr>
        <w:jc w:val="both"/>
        <w:rPr>
          <w:rFonts w:ascii="Arial" w:hAnsi="Arial" w:cs="Arial"/>
          <w:sz w:val="24"/>
          <w:szCs w:val="24"/>
        </w:rPr>
      </w:pPr>
      <w:r>
        <w:rPr>
          <w:rFonts w:ascii="Arial" w:hAnsi="Arial" w:cs="Arial"/>
          <w:sz w:val="24"/>
          <w:szCs w:val="24"/>
        </w:rPr>
        <w:t>There are</w:t>
      </w:r>
      <w:r w:rsidRPr="00EF6D6C" w:rsidR="00EF6D6C">
        <w:rPr>
          <w:rFonts w:ascii="Arial" w:hAnsi="Arial" w:cs="Arial"/>
          <w:sz w:val="24"/>
          <w:szCs w:val="24"/>
        </w:rPr>
        <w:t xml:space="preserve"> no form</w:t>
      </w:r>
      <w:r>
        <w:rPr>
          <w:rFonts w:ascii="Arial" w:hAnsi="Arial" w:cs="Arial"/>
          <w:sz w:val="24"/>
          <w:szCs w:val="24"/>
        </w:rPr>
        <w:t>s</w:t>
      </w:r>
      <w:r w:rsidR="00EF6D6C">
        <w:rPr>
          <w:rFonts w:ascii="Arial" w:hAnsi="Arial" w:cs="Arial"/>
          <w:sz w:val="24"/>
          <w:szCs w:val="24"/>
        </w:rPr>
        <w:t xml:space="preserve"> </w:t>
      </w:r>
      <w:r w:rsidRPr="00EF6D6C" w:rsidR="00EF6D6C">
        <w:rPr>
          <w:rFonts w:ascii="Arial" w:hAnsi="Arial" w:cs="Arial"/>
          <w:sz w:val="24"/>
          <w:szCs w:val="24"/>
        </w:rPr>
        <w:t>associated with requests to become a</w:t>
      </w:r>
      <w:r w:rsidR="00EF6D6C">
        <w:rPr>
          <w:rFonts w:ascii="Arial" w:hAnsi="Arial" w:cs="Arial"/>
          <w:sz w:val="24"/>
          <w:szCs w:val="24"/>
        </w:rPr>
        <w:t xml:space="preserve"> </w:t>
      </w:r>
      <w:r w:rsidRPr="00EF6D6C" w:rsidR="00EF6D6C">
        <w:rPr>
          <w:rFonts w:ascii="Arial" w:hAnsi="Arial" w:cs="Arial"/>
          <w:sz w:val="24"/>
          <w:szCs w:val="24"/>
        </w:rPr>
        <w:t>recognized depository.</w:t>
      </w:r>
    </w:p>
    <w:p w:rsidRPr="00AF4628" w:rsidR="00EA2D84" w:rsidRDefault="00EA2D84" w14:paraId="0DD0B17E" w14:textId="77777777">
      <w:pPr>
        <w:tabs>
          <w:tab w:val="left" w:pos="720"/>
        </w:tabs>
        <w:jc w:val="both"/>
        <w:rPr>
          <w:rFonts w:ascii="Arial" w:hAnsi="Arial" w:cs="Arial"/>
          <w:b/>
          <w:sz w:val="24"/>
          <w:szCs w:val="24"/>
        </w:rPr>
      </w:pPr>
    </w:p>
    <w:p w:rsidRPr="00B40822" w:rsidR="00EA2D84" w:rsidP="00AF4628" w:rsidRDefault="00EA2D84" w14:paraId="1A35F642" w14:textId="77777777">
      <w:pPr>
        <w:numPr>
          <w:ilvl w:val="0"/>
          <w:numId w:val="13"/>
        </w:numPr>
        <w:jc w:val="both"/>
        <w:rPr>
          <w:rFonts w:ascii="Arial" w:hAnsi="Arial" w:eastAsia="Calibri" w:cs="Arial"/>
          <w:b/>
          <w:sz w:val="24"/>
          <w:szCs w:val="24"/>
        </w:rPr>
      </w:pPr>
      <w:r w:rsidRPr="00AF4628">
        <w:rPr>
          <w:rFonts w:ascii="Arial" w:hAnsi="Arial" w:eastAsia="Calibri" w:cs="Arial"/>
          <w:b/>
          <w:sz w:val="24"/>
          <w:szCs w:val="24"/>
        </w:rPr>
        <w:t xml:space="preserve">Indicate how, by whom, and for what purpose the information is to be used. Except for a new </w:t>
      </w:r>
      <w:r w:rsidR="00B40822">
        <w:rPr>
          <w:rFonts w:ascii="Arial" w:hAnsi="Arial" w:eastAsia="Calibri" w:cs="Arial"/>
          <w:b/>
          <w:sz w:val="24"/>
          <w:szCs w:val="24"/>
        </w:rPr>
        <w:t xml:space="preserve">information </w:t>
      </w:r>
      <w:r w:rsidRPr="00B40822">
        <w:rPr>
          <w:rFonts w:ascii="Arial" w:hAnsi="Arial" w:eastAsia="Calibri" w:cs="Arial"/>
          <w:b/>
          <w:sz w:val="24"/>
          <w:szCs w:val="24"/>
        </w:rPr>
        <w:t>collection, indicate the actual use the agency has made of the information received from the current</w:t>
      </w:r>
      <w:r w:rsidR="00B40822">
        <w:rPr>
          <w:rFonts w:ascii="Arial" w:hAnsi="Arial" w:eastAsia="Calibri" w:cs="Arial"/>
          <w:b/>
          <w:sz w:val="24"/>
          <w:szCs w:val="24"/>
        </w:rPr>
        <w:t xml:space="preserve"> information</w:t>
      </w:r>
      <w:r w:rsidRPr="00B40822">
        <w:rPr>
          <w:rFonts w:ascii="Arial" w:hAnsi="Arial" w:eastAsia="Calibri" w:cs="Arial"/>
          <w:b/>
          <w:sz w:val="24"/>
          <w:szCs w:val="24"/>
        </w:rPr>
        <w:t xml:space="preserve"> collection.</w:t>
      </w:r>
    </w:p>
    <w:p w:rsidRPr="003408EA" w:rsidR="00D07F97" w:rsidRDefault="00D07F97" w14:paraId="23350065" w14:textId="77777777">
      <w:pPr>
        <w:tabs>
          <w:tab w:val="left" w:pos="720"/>
        </w:tabs>
        <w:jc w:val="both"/>
        <w:rPr>
          <w:rFonts w:ascii="Arial" w:hAnsi="Arial" w:cs="Arial"/>
          <w:sz w:val="24"/>
          <w:szCs w:val="24"/>
        </w:rPr>
      </w:pPr>
    </w:p>
    <w:p w:rsidRPr="003A502D" w:rsidR="00D07F97" w:rsidRDefault="00D07F97" w14:paraId="435CE1EE" w14:textId="77777777">
      <w:pPr>
        <w:pStyle w:val="BodyText2"/>
        <w:tabs>
          <w:tab w:val="left" w:pos="720"/>
        </w:tabs>
        <w:rPr>
          <w:rFonts w:cs="Arial"/>
          <w:szCs w:val="24"/>
        </w:rPr>
      </w:pPr>
      <w:r w:rsidRPr="003408EA">
        <w:rPr>
          <w:rFonts w:cs="Arial"/>
          <w:szCs w:val="24"/>
        </w:rPr>
        <w:lastRenderedPageBreak/>
        <w:t>This infor</w:t>
      </w:r>
      <w:r w:rsidRPr="003A502D">
        <w:rPr>
          <w:rFonts w:cs="Arial"/>
          <w:szCs w:val="24"/>
        </w:rPr>
        <w:t xml:space="preserve">mation is used by </w:t>
      </w:r>
      <w:r w:rsidRPr="003A502D" w:rsidR="00B236ED">
        <w:rPr>
          <w:rFonts w:cs="Arial"/>
          <w:szCs w:val="24"/>
        </w:rPr>
        <w:t>t</w:t>
      </w:r>
      <w:r w:rsidRPr="003A502D">
        <w:rPr>
          <w:rFonts w:cs="Arial"/>
          <w:szCs w:val="24"/>
        </w:rPr>
        <w:t xml:space="preserve">he USPTO to determine whether the applicant has met the requirements of the patent regulations regarding deposits of biological materials.  The USPTO also uses the information to determine the suitability of a respondent depository based upon administrative and technical competence and the depository’s agreement to comply with the requirements set forth by the USPTO.  </w:t>
      </w:r>
    </w:p>
    <w:p w:rsidRPr="00BA6DDB" w:rsidR="00AB2A8E" w:rsidRDefault="00AB2A8E" w14:paraId="5D544CFD" w14:textId="77777777">
      <w:pPr>
        <w:pStyle w:val="BodyText2"/>
        <w:tabs>
          <w:tab w:val="left" w:pos="720"/>
        </w:tabs>
        <w:rPr>
          <w:rFonts w:cs="Arial"/>
          <w:szCs w:val="24"/>
        </w:rPr>
      </w:pPr>
    </w:p>
    <w:p w:rsidRPr="00AF4628" w:rsidR="00D07F97" w:rsidRDefault="00AB2A8E" w14:paraId="061A6479" w14:textId="77777777">
      <w:pPr>
        <w:tabs>
          <w:tab w:val="left" w:pos="720"/>
        </w:tabs>
        <w:jc w:val="both"/>
        <w:rPr>
          <w:rFonts w:ascii="Arial" w:hAnsi="Arial" w:cs="Arial"/>
          <w:sz w:val="24"/>
          <w:szCs w:val="24"/>
        </w:rPr>
      </w:pPr>
      <w:r w:rsidRPr="00AF4628">
        <w:rPr>
          <w:rFonts w:ascii="Arial" w:hAnsi="Arial" w:cs="Arial"/>
          <w:sz w:val="24"/>
          <w:szCs w:val="24"/>
        </w:rPr>
        <w:t xml:space="preserve">The information collected, maintained, and used in this </w:t>
      </w:r>
      <w:r w:rsidRPr="00AF4628" w:rsidR="00C32BF0">
        <w:rPr>
          <w:rFonts w:ascii="Arial" w:hAnsi="Arial" w:cs="Arial"/>
          <w:sz w:val="24"/>
          <w:szCs w:val="24"/>
        </w:rPr>
        <w:t xml:space="preserve">information </w:t>
      </w:r>
      <w:r w:rsidRPr="00AF4628">
        <w:rPr>
          <w:rFonts w:ascii="Arial" w:hAnsi="Arial" w:cs="Arial"/>
          <w:sz w:val="24"/>
          <w:szCs w:val="24"/>
        </w:rPr>
        <w:t>collection is based on OMB and USPTO guidelines.  This includes the basic information quality standards established in the Paperwork Reduction Act (44 U.S.C. Chapter 35), in OMB Circular A-130, and in the USPTO information quality guidelines.</w:t>
      </w:r>
    </w:p>
    <w:p w:rsidRPr="00AF4628" w:rsidR="00AB2A8E" w:rsidRDefault="00AB2A8E" w14:paraId="3D8D3246" w14:textId="77777777">
      <w:pPr>
        <w:tabs>
          <w:tab w:val="left" w:pos="720"/>
        </w:tabs>
        <w:jc w:val="both"/>
        <w:rPr>
          <w:rFonts w:ascii="Arial" w:hAnsi="Arial" w:cs="Arial"/>
          <w:sz w:val="24"/>
          <w:szCs w:val="24"/>
        </w:rPr>
      </w:pPr>
    </w:p>
    <w:p w:rsidRPr="00435B59" w:rsidR="00E01C7B" w:rsidP="00E01C7B" w:rsidRDefault="00E01C7B" w14:paraId="4A86D720" w14:textId="77777777">
      <w:pPr>
        <w:tabs>
          <w:tab w:val="left" w:pos="720"/>
        </w:tabs>
        <w:jc w:val="both"/>
        <w:rPr>
          <w:rFonts w:ascii="Arial" w:hAnsi="Arial" w:cs="Arial"/>
          <w:sz w:val="24"/>
          <w:szCs w:val="24"/>
        </w:rPr>
      </w:pPr>
      <w:r w:rsidRPr="00AF4628">
        <w:rPr>
          <w:rFonts w:ascii="Arial" w:hAnsi="Arial" w:cs="Arial"/>
          <w:sz w:val="24"/>
          <w:szCs w:val="24"/>
        </w:rPr>
        <w:t xml:space="preserve">Table 1 provides the specific statutes and </w:t>
      </w:r>
      <w:r w:rsidR="00B40822">
        <w:rPr>
          <w:rFonts w:ascii="Arial" w:hAnsi="Arial" w:cs="Arial"/>
          <w:sz w:val="24"/>
          <w:szCs w:val="24"/>
        </w:rPr>
        <w:t>regulations</w:t>
      </w:r>
      <w:r w:rsidRPr="00B40822" w:rsidR="00B40822">
        <w:rPr>
          <w:rFonts w:ascii="Arial" w:hAnsi="Arial" w:cs="Arial"/>
          <w:sz w:val="24"/>
          <w:szCs w:val="24"/>
        </w:rPr>
        <w:t xml:space="preserve"> </w:t>
      </w:r>
      <w:r w:rsidRPr="00B40822">
        <w:rPr>
          <w:rFonts w:ascii="Arial" w:hAnsi="Arial" w:cs="Arial"/>
          <w:sz w:val="24"/>
          <w:szCs w:val="24"/>
        </w:rPr>
        <w:t>requiring the USPTO to collect the information discussed above</w:t>
      </w:r>
      <w:r w:rsidRPr="00AF4628">
        <w:rPr>
          <w:rFonts w:ascii="Arial" w:hAnsi="Arial" w:cs="Arial"/>
          <w:sz w:val="24"/>
          <w:szCs w:val="24"/>
        </w:rPr>
        <w:t xml:space="preserve"> </w:t>
      </w:r>
      <w:r w:rsidRPr="00435B59">
        <w:rPr>
          <w:rFonts w:ascii="Arial" w:hAnsi="Arial" w:cs="Arial"/>
          <w:sz w:val="24"/>
          <w:szCs w:val="24"/>
        </w:rPr>
        <w:t xml:space="preserve">and how this information is used by the public and the USPTO.  </w:t>
      </w:r>
    </w:p>
    <w:p w:rsidRPr="003408EA" w:rsidR="00CC5309" w:rsidRDefault="00CC5309" w14:paraId="31F7BAC5" w14:textId="77777777">
      <w:pPr>
        <w:tabs>
          <w:tab w:val="left" w:pos="720"/>
        </w:tabs>
        <w:jc w:val="both"/>
        <w:rPr>
          <w:rFonts w:ascii="Arial" w:hAnsi="Arial" w:cs="Arial"/>
          <w:sz w:val="24"/>
          <w:szCs w:val="24"/>
        </w:rPr>
      </w:pPr>
    </w:p>
    <w:p w:rsidRPr="00AF4628" w:rsidR="00626A05" w:rsidP="00063D5F" w:rsidRDefault="00CC5309" w14:paraId="07C4F0BC" w14:textId="77777777">
      <w:pPr>
        <w:pStyle w:val="Heading3"/>
        <w:rPr>
          <w:rFonts w:cs="Arial"/>
          <w:sz w:val="24"/>
          <w:szCs w:val="24"/>
        </w:rPr>
      </w:pPr>
      <w:r w:rsidRPr="00AF4628">
        <w:rPr>
          <w:rFonts w:cs="Arial"/>
          <w:sz w:val="24"/>
          <w:szCs w:val="24"/>
        </w:rPr>
        <w:t xml:space="preserve">Table </w:t>
      </w:r>
      <w:r w:rsidRPr="00AF4628" w:rsidR="004322FE">
        <w:rPr>
          <w:rFonts w:cs="Arial"/>
          <w:sz w:val="24"/>
          <w:szCs w:val="24"/>
        </w:rPr>
        <w:t>1</w:t>
      </w:r>
      <w:r w:rsidRPr="00AF4628">
        <w:rPr>
          <w:rFonts w:cs="Arial"/>
          <w:sz w:val="24"/>
          <w:szCs w:val="24"/>
        </w:rPr>
        <w:t xml:space="preserve">:  </w:t>
      </w:r>
      <w:r w:rsidRPr="00AF4628" w:rsidR="004322FE">
        <w:rPr>
          <w:rFonts w:cs="Arial"/>
          <w:sz w:val="24"/>
          <w:szCs w:val="24"/>
        </w:rPr>
        <w:t xml:space="preserve">Information Requirements and </w:t>
      </w:r>
      <w:r w:rsidRPr="00AF4628">
        <w:rPr>
          <w:rFonts w:cs="Arial"/>
          <w:sz w:val="24"/>
          <w:szCs w:val="24"/>
        </w:rPr>
        <w:t>Needs and Uses</w:t>
      </w:r>
      <w:r w:rsidRPr="00AF4628" w:rsidR="00A12CA2">
        <w:rPr>
          <w:rFonts w:cs="Arial"/>
          <w:sz w:val="24"/>
          <w:szCs w:val="24"/>
        </w:rPr>
        <w:t xml:space="preserve"> of Information Collected</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0"/>
        <w:gridCol w:w="1704"/>
        <w:gridCol w:w="1512"/>
        <w:gridCol w:w="1456"/>
        <w:gridCol w:w="885"/>
        <w:gridCol w:w="3093"/>
      </w:tblGrid>
      <w:tr w:rsidRPr="00AF4628" w:rsidR="00F92C66" w:rsidTr="00F15DE5" w14:paraId="66E0D138" w14:textId="77777777">
        <w:trPr>
          <w:tblHeader/>
        </w:trPr>
        <w:tc>
          <w:tcPr>
            <w:tcW w:w="545" w:type="dxa"/>
          </w:tcPr>
          <w:p w:rsidRPr="00AF4628" w:rsidR="00F15DE5" w:rsidP="00216EF7" w:rsidRDefault="00F15DE5" w14:paraId="2954159E" w14:textId="77777777">
            <w:pPr>
              <w:pStyle w:val="BodyText2"/>
              <w:jc w:val="center"/>
              <w:rPr>
                <w:rFonts w:cs="Arial"/>
                <w:b/>
                <w:bCs/>
                <w:szCs w:val="24"/>
              </w:rPr>
            </w:pPr>
          </w:p>
          <w:p w:rsidRPr="00AF4628" w:rsidR="00F92C66" w:rsidP="00216EF7" w:rsidRDefault="00216EF7" w14:paraId="19CE2684" w14:textId="77777777">
            <w:pPr>
              <w:pStyle w:val="BodyText2"/>
              <w:jc w:val="center"/>
              <w:rPr>
                <w:rFonts w:cs="Arial"/>
                <w:b/>
                <w:bCs/>
                <w:szCs w:val="24"/>
              </w:rPr>
            </w:pPr>
            <w:r w:rsidRPr="00AF4628">
              <w:rPr>
                <w:rFonts w:cs="Arial"/>
                <w:b/>
                <w:bCs/>
                <w:szCs w:val="24"/>
              </w:rPr>
              <w:t>Item</w:t>
            </w:r>
          </w:p>
          <w:p w:rsidRPr="00AF4628" w:rsidR="00216EF7" w:rsidP="00216EF7" w:rsidRDefault="00216EF7" w14:paraId="14A860CF" w14:textId="77777777">
            <w:pPr>
              <w:pStyle w:val="BodyText2"/>
              <w:jc w:val="center"/>
              <w:rPr>
                <w:rFonts w:cs="Arial"/>
                <w:b/>
                <w:bCs/>
                <w:szCs w:val="24"/>
              </w:rPr>
            </w:pPr>
            <w:r w:rsidRPr="00AF4628">
              <w:rPr>
                <w:rFonts w:cs="Arial"/>
                <w:b/>
                <w:bCs/>
                <w:szCs w:val="24"/>
              </w:rPr>
              <w:t>#</w:t>
            </w:r>
          </w:p>
        </w:tc>
        <w:tc>
          <w:tcPr>
            <w:tcW w:w="1709" w:type="dxa"/>
          </w:tcPr>
          <w:p w:rsidRPr="00AF4628" w:rsidR="00F92C66" w:rsidP="009209D1" w:rsidRDefault="00F92C66" w14:paraId="1A96AA49" w14:textId="77777777">
            <w:pPr>
              <w:pStyle w:val="BodyText2"/>
              <w:rPr>
                <w:rFonts w:cs="Arial"/>
                <w:b/>
                <w:bCs/>
                <w:szCs w:val="24"/>
              </w:rPr>
            </w:pPr>
          </w:p>
          <w:p w:rsidRPr="00AF4628" w:rsidR="00F92C66" w:rsidP="009209D1" w:rsidRDefault="00F92C66" w14:paraId="210F7821" w14:textId="77777777">
            <w:pPr>
              <w:pStyle w:val="BodyText2"/>
              <w:rPr>
                <w:rFonts w:cs="Arial"/>
                <w:b/>
                <w:bCs/>
                <w:szCs w:val="24"/>
              </w:rPr>
            </w:pPr>
            <w:r w:rsidRPr="00AF4628">
              <w:rPr>
                <w:rFonts w:cs="Arial"/>
                <w:b/>
                <w:bCs/>
                <w:szCs w:val="24"/>
              </w:rPr>
              <w:t>Requirement</w:t>
            </w:r>
          </w:p>
        </w:tc>
        <w:tc>
          <w:tcPr>
            <w:tcW w:w="1619" w:type="dxa"/>
          </w:tcPr>
          <w:p w:rsidRPr="00AF4628" w:rsidR="00F92C66" w:rsidP="009209D1" w:rsidRDefault="00F92C66" w14:paraId="69805A02" w14:textId="77777777">
            <w:pPr>
              <w:pStyle w:val="BodyText2"/>
              <w:rPr>
                <w:rFonts w:cs="Arial"/>
                <w:b/>
                <w:bCs/>
                <w:szCs w:val="24"/>
              </w:rPr>
            </w:pPr>
          </w:p>
          <w:p w:rsidRPr="00AF4628" w:rsidR="00F92C66" w:rsidP="009209D1" w:rsidRDefault="00F92C66" w14:paraId="7C09FEA0" w14:textId="77777777">
            <w:pPr>
              <w:pStyle w:val="BodyText2"/>
              <w:rPr>
                <w:rFonts w:cs="Arial"/>
                <w:b/>
                <w:bCs/>
                <w:szCs w:val="24"/>
              </w:rPr>
            </w:pPr>
            <w:r w:rsidRPr="00AF4628">
              <w:rPr>
                <w:rFonts w:cs="Arial"/>
                <w:b/>
                <w:bCs/>
                <w:szCs w:val="24"/>
              </w:rPr>
              <w:t>Statute</w:t>
            </w:r>
          </w:p>
        </w:tc>
        <w:tc>
          <w:tcPr>
            <w:tcW w:w="1257" w:type="dxa"/>
          </w:tcPr>
          <w:p w:rsidRPr="00AF4628" w:rsidR="00F92C66" w:rsidP="009209D1" w:rsidRDefault="00F92C66" w14:paraId="267A42A7" w14:textId="77777777">
            <w:pPr>
              <w:pStyle w:val="BodyText2"/>
              <w:rPr>
                <w:rFonts w:cs="Arial"/>
                <w:b/>
                <w:bCs/>
                <w:szCs w:val="24"/>
              </w:rPr>
            </w:pPr>
          </w:p>
          <w:p w:rsidRPr="00AF4628" w:rsidR="00F92C66" w:rsidP="009209D1" w:rsidRDefault="00B40822" w14:paraId="3B5BC454" w14:textId="77777777">
            <w:pPr>
              <w:pStyle w:val="BodyText2"/>
              <w:rPr>
                <w:rFonts w:cs="Arial"/>
                <w:b/>
                <w:bCs/>
                <w:szCs w:val="24"/>
              </w:rPr>
            </w:pPr>
            <w:r>
              <w:rPr>
                <w:rFonts w:cs="Arial"/>
                <w:b/>
                <w:bCs/>
                <w:szCs w:val="24"/>
              </w:rPr>
              <w:t>Regulation</w:t>
            </w:r>
          </w:p>
        </w:tc>
        <w:tc>
          <w:tcPr>
            <w:tcW w:w="900" w:type="dxa"/>
          </w:tcPr>
          <w:p w:rsidRPr="00AF4628" w:rsidR="00F15DE5" w:rsidP="00F15DE5" w:rsidRDefault="00F15DE5" w14:paraId="4A87A52E" w14:textId="77777777">
            <w:pPr>
              <w:pStyle w:val="BodyText2"/>
              <w:jc w:val="center"/>
              <w:rPr>
                <w:rFonts w:cs="Arial"/>
                <w:b/>
                <w:bCs/>
                <w:szCs w:val="24"/>
              </w:rPr>
            </w:pPr>
          </w:p>
          <w:p w:rsidRPr="00AF4628" w:rsidR="00F92C66" w:rsidP="00F15DE5" w:rsidRDefault="00F15DE5" w14:paraId="50D8A74F" w14:textId="77777777">
            <w:pPr>
              <w:pStyle w:val="BodyText2"/>
              <w:jc w:val="center"/>
              <w:rPr>
                <w:rFonts w:cs="Arial"/>
                <w:b/>
                <w:bCs/>
                <w:szCs w:val="24"/>
              </w:rPr>
            </w:pPr>
            <w:r w:rsidRPr="00AF4628">
              <w:rPr>
                <w:rFonts w:cs="Arial"/>
                <w:b/>
                <w:bCs/>
                <w:szCs w:val="24"/>
              </w:rPr>
              <w:t>Form</w:t>
            </w:r>
          </w:p>
          <w:p w:rsidRPr="00AF4628" w:rsidR="00F92C66" w:rsidP="00F15DE5" w:rsidRDefault="00F92C66" w14:paraId="2297541F" w14:textId="77777777">
            <w:pPr>
              <w:pStyle w:val="BodyText2"/>
              <w:jc w:val="center"/>
              <w:rPr>
                <w:rFonts w:cs="Arial"/>
                <w:b/>
                <w:bCs/>
                <w:szCs w:val="24"/>
              </w:rPr>
            </w:pPr>
            <w:r w:rsidRPr="00AF4628">
              <w:rPr>
                <w:rFonts w:cs="Arial"/>
                <w:b/>
                <w:bCs/>
                <w:szCs w:val="24"/>
              </w:rPr>
              <w:t>#</w:t>
            </w:r>
          </w:p>
        </w:tc>
        <w:tc>
          <w:tcPr>
            <w:tcW w:w="3330" w:type="dxa"/>
          </w:tcPr>
          <w:p w:rsidRPr="00AF4628" w:rsidR="00F92C66" w:rsidP="009209D1" w:rsidRDefault="00F92C66" w14:paraId="2282FB9C" w14:textId="77777777">
            <w:pPr>
              <w:pStyle w:val="BodyText2"/>
              <w:rPr>
                <w:rFonts w:cs="Arial"/>
                <w:b/>
                <w:bCs/>
                <w:szCs w:val="24"/>
              </w:rPr>
            </w:pPr>
          </w:p>
          <w:p w:rsidRPr="00AF4628" w:rsidR="00F92C66" w:rsidP="009209D1" w:rsidRDefault="00F92C66" w14:paraId="15FB5B0D" w14:textId="77777777">
            <w:pPr>
              <w:pStyle w:val="BodyText2"/>
              <w:rPr>
                <w:rFonts w:cs="Arial"/>
                <w:b/>
                <w:bCs/>
                <w:szCs w:val="24"/>
              </w:rPr>
            </w:pPr>
            <w:r w:rsidRPr="00AF4628">
              <w:rPr>
                <w:rFonts w:cs="Arial"/>
                <w:b/>
                <w:bCs/>
                <w:szCs w:val="24"/>
              </w:rPr>
              <w:t>Needs and Uses</w:t>
            </w:r>
          </w:p>
        </w:tc>
      </w:tr>
      <w:tr w:rsidRPr="00AF4628" w:rsidR="00F92C66" w:rsidTr="00F15DE5" w14:paraId="10D68DCA" w14:textId="77777777">
        <w:tc>
          <w:tcPr>
            <w:tcW w:w="545" w:type="dxa"/>
          </w:tcPr>
          <w:p w:rsidRPr="00AF4628" w:rsidR="00F92C66" w:rsidP="009209D1" w:rsidRDefault="00F92C66" w14:paraId="59C746D4" w14:textId="77777777">
            <w:pPr>
              <w:pStyle w:val="BodyText2"/>
              <w:jc w:val="center"/>
              <w:rPr>
                <w:rFonts w:cs="Arial"/>
                <w:szCs w:val="24"/>
              </w:rPr>
            </w:pPr>
          </w:p>
          <w:p w:rsidRPr="00AF4628" w:rsidR="00F92C66" w:rsidP="009209D1" w:rsidRDefault="00F92C66" w14:paraId="4CF52C06" w14:textId="77777777">
            <w:pPr>
              <w:jc w:val="center"/>
              <w:rPr>
                <w:rFonts w:ascii="Arial" w:hAnsi="Arial" w:cs="Arial"/>
                <w:sz w:val="24"/>
                <w:szCs w:val="24"/>
              </w:rPr>
            </w:pPr>
            <w:r w:rsidRPr="00AF4628">
              <w:rPr>
                <w:rFonts w:ascii="Arial" w:hAnsi="Arial" w:cs="Arial"/>
                <w:sz w:val="24"/>
                <w:szCs w:val="24"/>
              </w:rPr>
              <w:t>1</w:t>
            </w:r>
          </w:p>
        </w:tc>
        <w:tc>
          <w:tcPr>
            <w:tcW w:w="1709" w:type="dxa"/>
          </w:tcPr>
          <w:p w:rsidRPr="00AF4628" w:rsidR="00F92C66" w:rsidP="009209D1" w:rsidRDefault="00F92C66" w14:paraId="74A6C96E" w14:textId="77777777">
            <w:pPr>
              <w:pStyle w:val="BodyText2"/>
              <w:rPr>
                <w:rFonts w:cs="Arial"/>
                <w:szCs w:val="24"/>
              </w:rPr>
            </w:pPr>
          </w:p>
          <w:p w:rsidRPr="00AF4628" w:rsidR="00F92C66" w:rsidP="009209D1" w:rsidRDefault="00F92C66" w14:paraId="3D8A6657" w14:textId="77777777">
            <w:pPr>
              <w:pStyle w:val="BodyText2"/>
              <w:rPr>
                <w:rFonts w:cs="Arial"/>
                <w:szCs w:val="24"/>
              </w:rPr>
            </w:pPr>
            <w:r w:rsidRPr="00AF4628">
              <w:rPr>
                <w:rFonts w:cs="Arial"/>
                <w:szCs w:val="24"/>
              </w:rPr>
              <w:t>Deposit of Biological Materials</w:t>
            </w:r>
          </w:p>
        </w:tc>
        <w:tc>
          <w:tcPr>
            <w:tcW w:w="1619" w:type="dxa"/>
          </w:tcPr>
          <w:p w:rsidRPr="00AF4628" w:rsidR="00F92C66" w:rsidP="009209D1" w:rsidRDefault="00F92C66" w14:paraId="0184E84F" w14:textId="77777777">
            <w:pPr>
              <w:pStyle w:val="BodyText2"/>
              <w:rPr>
                <w:rFonts w:cs="Arial"/>
                <w:szCs w:val="24"/>
              </w:rPr>
            </w:pPr>
          </w:p>
          <w:p w:rsidRPr="00AF4628" w:rsidR="00F92C66" w:rsidP="009209D1" w:rsidRDefault="00F92C66" w14:paraId="62D0C3DD" w14:textId="77777777">
            <w:pPr>
              <w:pStyle w:val="BodyText2"/>
              <w:rPr>
                <w:rFonts w:cs="Arial"/>
                <w:szCs w:val="24"/>
              </w:rPr>
            </w:pPr>
            <w:r w:rsidRPr="00AF4628">
              <w:rPr>
                <w:rFonts w:cs="Arial"/>
                <w:szCs w:val="24"/>
              </w:rPr>
              <w:t>35 U.S.C. § 2(b)(2), 35 U.S.C. § 112</w:t>
            </w:r>
          </w:p>
        </w:tc>
        <w:tc>
          <w:tcPr>
            <w:tcW w:w="1257" w:type="dxa"/>
          </w:tcPr>
          <w:p w:rsidRPr="00AF4628" w:rsidR="00F92C66" w:rsidP="009209D1" w:rsidRDefault="00F92C66" w14:paraId="7DF6D2B8" w14:textId="77777777">
            <w:pPr>
              <w:pStyle w:val="BodyText2"/>
              <w:rPr>
                <w:rFonts w:cs="Arial"/>
                <w:szCs w:val="24"/>
              </w:rPr>
            </w:pPr>
          </w:p>
          <w:p w:rsidRPr="00AF4628" w:rsidR="00F92C66" w:rsidP="009209D1" w:rsidRDefault="00F92C66" w14:paraId="00FED58F" w14:textId="77777777">
            <w:pPr>
              <w:pStyle w:val="BodyText2"/>
              <w:jc w:val="left"/>
              <w:rPr>
                <w:rFonts w:cs="Arial"/>
                <w:szCs w:val="24"/>
              </w:rPr>
            </w:pPr>
            <w:r w:rsidRPr="00AF4628">
              <w:rPr>
                <w:rFonts w:cs="Arial"/>
                <w:szCs w:val="24"/>
              </w:rPr>
              <w:t>37 CFR 1.801-1.809, 37 CFR 1.14</w:t>
            </w:r>
          </w:p>
        </w:tc>
        <w:tc>
          <w:tcPr>
            <w:tcW w:w="900" w:type="dxa"/>
          </w:tcPr>
          <w:p w:rsidRPr="00AF4628" w:rsidR="00F92C66" w:rsidP="009209D1" w:rsidRDefault="00F92C66" w14:paraId="4B53740A" w14:textId="77777777">
            <w:pPr>
              <w:pStyle w:val="BodyText2"/>
              <w:rPr>
                <w:rFonts w:cs="Arial"/>
                <w:szCs w:val="24"/>
              </w:rPr>
            </w:pPr>
          </w:p>
          <w:p w:rsidRPr="00AF4628" w:rsidR="00F92C66" w:rsidP="009209D1" w:rsidRDefault="00F92C66" w14:paraId="5B977A1A" w14:textId="77777777">
            <w:pPr>
              <w:pStyle w:val="BodyText2"/>
              <w:rPr>
                <w:rFonts w:cs="Arial"/>
                <w:szCs w:val="24"/>
              </w:rPr>
            </w:pPr>
            <w:r w:rsidRPr="00AF4628">
              <w:rPr>
                <w:rFonts w:cs="Arial"/>
                <w:szCs w:val="24"/>
              </w:rPr>
              <w:t>No Form</w:t>
            </w:r>
          </w:p>
        </w:tc>
        <w:tc>
          <w:tcPr>
            <w:tcW w:w="3330" w:type="dxa"/>
          </w:tcPr>
          <w:p w:rsidRPr="00AF4628" w:rsidR="00F92C66" w:rsidP="009209D1" w:rsidRDefault="00F92C66" w14:paraId="5D340DE9" w14:textId="77777777">
            <w:pPr>
              <w:tabs>
                <w:tab w:val="left" w:pos="720"/>
              </w:tabs>
              <w:rPr>
                <w:rFonts w:ascii="Arial" w:hAnsi="Arial" w:cs="Arial"/>
                <w:sz w:val="24"/>
                <w:szCs w:val="24"/>
              </w:rPr>
            </w:pPr>
          </w:p>
          <w:p w:rsidRPr="00AF4628" w:rsidR="00F92C66" w:rsidP="009209D1" w:rsidRDefault="00F92C66" w14:paraId="31069503" w14:textId="77777777">
            <w:pPr>
              <w:numPr>
                <w:ilvl w:val="0"/>
                <w:numId w:val="1"/>
              </w:numPr>
              <w:tabs>
                <w:tab w:val="clear" w:pos="360"/>
                <w:tab w:val="num" w:pos="162"/>
                <w:tab w:val="left" w:pos="720"/>
              </w:tabs>
              <w:ind w:left="162" w:hanging="198"/>
              <w:rPr>
                <w:rFonts w:ascii="Arial" w:hAnsi="Arial" w:cs="Arial"/>
                <w:sz w:val="24"/>
                <w:szCs w:val="24"/>
              </w:rPr>
            </w:pPr>
            <w:r w:rsidRPr="00AF4628">
              <w:rPr>
                <w:rFonts w:ascii="Arial" w:hAnsi="Arial" w:cs="Arial"/>
                <w:sz w:val="24"/>
                <w:szCs w:val="24"/>
              </w:rPr>
              <w:t xml:space="preserve">Used by </w:t>
            </w:r>
            <w:r w:rsidRPr="00AF4628" w:rsidR="00002563">
              <w:rPr>
                <w:rFonts w:ascii="Arial" w:hAnsi="Arial" w:cs="Arial"/>
                <w:sz w:val="24"/>
                <w:szCs w:val="24"/>
              </w:rPr>
              <w:t>an</w:t>
            </w:r>
            <w:r w:rsidRPr="00AF4628">
              <w:rPr>
                <w:rFonts w:ascii="Arial" w:hAnsi="Arial" w:cs="Arial"/>
                <w:sz w:val="24"/>
                <w:szCs w:val="24"/>
              </w:rPr>
              <w:t xml:space="preserve"> applicant to determine whether to file a new patent.</w:t>
            </w:r>
          </w:p>
          <w:p w:rsidRPr="00AF4628" w:rsidR="00002563" w:rsidP="009209D1" w:rsidRDefault="00002563" w14:paraId="648F671C" w14:textId="77777777">
            <w:pPr>
              <w:numPr>
                <w:ilvl w:val="0"/>
                <w:numId w:val="1"/>
              </w:numPr>
              <w:tabs>
                <w:tab w:val="clear" w:pos="360"/>
                <w:tab w:val="num" w:pos="162"/>
                <w:tab w:val="left" w:pos="720"/>
              </w:tabs>
              <w:ind w:left="162" w:hanging="198"/>
              <w:rPr>
                <w:rFonts w:ascii="Arial" w:hAnsi="Arial" w:cs="Arial"/>
                <w:sz w:val="24"/>
                <w:szCs w:val="24"/>
              </w:rPr>
            </w:pPr>
            <w:r w:rsidRPr="00AF4628">
              <w:rPr>
                <w:rFonts w:ascii="Arial" w:hAnsi="Arial" w:cs="Arial"/>
                <w:sz w:val="24"/>
                <w:szCs w:val="24"/>
              </w:rPr>
              <w:t>Used by an applicant to establish enablement of claimed biological material.</w:t>
            </w:r>
          </w:p>
          <w:p w:rsidRPr="00AF4628" w:rsidR="00002563" w:rsidP="009209D1" w:rsidRDefault="00002563" w14:paraId="6C7380E6" w14:textId="77777777">
            <w:pPr>
              <w:numPr>
                <w:ilvl w:val="0"/>
                <w:numId w:val="1"/>
              </w:numPr>
              <w:tabs>
                <w:tab w:val="clear" w:pos="360"/>
                <w:tab w:val="num" w:pos="162"/>
                <w:tab w:val="left" w:pos="720"/>
              </w:tabs>
              <w:ind w:left="162" w:hanging="198"/>
              <w:rPr>
                <w:rFonts w:ascii="Arial" w:hAnsi="Arial" w:cs="Arial"/>
                <w:sz w:val="24"/>
                <w:szCs w:val="24"/>
              </w:rPr>
            </w:pPr>
            <w:r w:rsidRPr="00AF4628">
              <w:rPr>
                <w:rFonts w:ascii="Arial" w:hAnsi="Arial" w:cs="Arial"/>
                <w:sz w:val="24"/>
                <w:szCs w:val="24"/>
              </w:rPr>
              <w:t>Used by an applicant to establish possession of the invention for priority purposes.</w:t>
            </w:r>
          </w:p>
          <w:p w:rsidRPr="00AF4628" w:rsidR="00F92C66" w:rsidP="009209D1" w:rsidRDefault="00F92C66" w14:paraId="2624EEB1" w14:textId="77777777">
            <w:pPr>
              <w:numPr>
                <w:ilvl w:val="0"/>
                <w:numId w:val="1"/>
              </w:numPr>
              <w:tabs>
                <w:tab w:val="clear" w:pos="360"/>
                <w:tab w:val="num" w:pos="162"/>
                <w:tab w:val="left" w:pos="720"/>
              </w:tabs>
              <w:ind w:left="162" w:hanging="198"/>
              <w:rPr>
                <w:rFonts w:ascii="Arial" w:hAnsi="Arial" w:cs="Arial"/>
                <w:sz w:val="24"/>
                <w:szCs w:val="24"/>
              </w:rPr>
            </w:pPr>
            <w:r w:rsidRPr="00AF4628">
              <w:rPr>
                <w:rFonts w:ascii="Arial" w:hAnsi="Arial" w:cs="Arial"/>
                <w:sz w:val="24"/>
                <w:szCs w:val="24"/>
              </w:rPr>
              <w:t xml:space="preserve">Used by </w:t>
            </w:r>
            <w:r w:rsidRPr="00AF4628" w:rsidR="00002563">
              <w:rPr>
                <w:rFonts w:ascii="Arial" w:hAnsi="Arial" w:cs="Arial"/>
                <w:sz w:val="24"/>
                <w:szCs w:val="24"/>
              </w:rPr>
              <w:t>an</w:t>
            </w:r>
            <w:r w:rsidRPr="00AF4628">
              <w:rPr>
                <w:rFonts w:ascii="Arial" w:hAnsi="Arial" w:cs="Arial"/>
                <w:sz w:val="24"/>
                <w:szCs w:val="24"/>
              </w:rPr>
              <w:t xml:space="preserve"> </w:t>
            </w:r>
            <w:r w:rsidRPr="00AF4628" w:rsidR="00002563">
              <w:rPr>
                <w:rFonts w:ascii="Arial" w:hAnsi="Arial" w:cs="Arial"/>
                <w:sz w:val="24"/>
                <w:szCs w:val="24"/>
              </w:rPr>
              <w:t>applicant</w:t>
            </w:r>
            <w:r w:rsidRPr="00AF4628">
              <w:rPr>
                <w:rFonts w:ascii="Arial" w:hAnsi="Arial" w:cs="Arial"/>
                <w:sz w:val="24"/>
                <w:szCs w:val="24"/>
              </w:rPr>
              <w:t xml:space="preserve"> to maintain enforceability of a patent.</w:t>
            </w:r>
          </w:p>
          <w:p w:rsidRPr="00AF4628" w:rsidR="00002563" w:rsidP="009209D1" w:rsidRDefault="00002563" w14:paraId="71E5CEF2" w14:textId="77777777">
            <w:pPr>
              <w:numPr>
                <w:ilvl w:val="0"/>
                <w:numId w:val="1"/>
              </w:numPr>
              <w:tabs>
                <w:tab w:val="clear" w:pos="360"/>
                <w:tab w:val="num" w:pos="162"/>
                <w:tab w:val="left" w:pos="720"/>
              </w:tabs>
              <w:ind w:left="162" w:hanging="198"/>
              <w:rPr>
                <w:rFonts w:ascii="Arial" w:hAnsi="Arial" w:cs="Arial"/>
                <w:sz w:val="24"/>
                <w:szCs w:val="24"/>
              </w:rPr>
            </w:pPr>
            <w:r w:rsidRPr="00AF4628">
              <w:rPr>
                <w:rFonts w:ascii="Arial" w:hAnsi="Arial" w:cs="Arial"/>
                <w:sz w:val="24"/>
                <w:szCs w:val="24"/>
              </w:rPr>
              <w:t>Used by the USPTO to determine whether the requirement of 35 U.S.C. § 112, 1</w:t>
            </w:r>
            <w:r w:rsidRPr="00AF4628">
              <w:rPr>
                <w:rFonts w:ascii="Arial" w:hAnsi="Arial" w:cs="Arial"/>
                <w:sz w:val="24"/>
                <w:szCs w:val="24"/>
                <w:vertAlign w:val="superscript"/>
              </w:rPr>
              <w:t>st</w:t>
            </w:r>
            <w:r w:rsidRPr="00AF4628">
              <w:rPr>
                <w:rFonts w:ascii="Arial" w:hAnsi="Arial" w:cs="Arial"/>
                <w:sz w:val="24"/>
                <w:szCs w:val="24"/>
              </w:rPr>
              <w:t xml:space="preserve"> paragraph, have been met.</w:t>
            </w:r>
          </w:p>
          <w:p w:rsidRPr="00AF4628" w:rsidR="00F92C66" w:rsidP="00655F88" w:rsidRDefault="00F92C66" w14:paraId="1841012B" w14:textId="25229FCC">
            <w:pPr>
              <w:numPr>
                <w:ilvl w:val="0"/>
                <w:numId w:val="1"/>
              </w:numPr>
              <w:tabs>
                <w:tab w:val="clear" w:pos="360"/>
                <w:tab w:val="num" w:pos="162"/>
                <w:tab w:val="left" w:pos="720"/>
              </w:tabs>
              <w:ind w:left="162" w:hanging="198"/>
              <w:rPr>
                <w:rFonts w:ascii="Arial" w:hAnsi="Arial" w:cs="Arial"/>
                <w:sz w:val="24"/>
                <w:szCs w:val="24"/>
              </w:rPr>
            </w:pPr>
            <w:r w:rsidRPr="00AF4628">
              <w:rPr>
                <w:rFonts w:ascii="Arial" w:hAnsi="Arial" w:cs="Arial"/>
                <w:sz w:val="24"/>
                <w:szCs w:val="24"/>
              </w:rPr>
              <w:t xml:space="preserve">Used by the USPTO to </w:t>
            </w:r>
            <w:r w:rsidRPr="00AF4628" w:rsidR="00002563">
              <w:rPr>
                <w:rFonts w:ascii="Arial" w:hAnsi="Arial" w:cs="Arial"/>
                <w:sz w:val="24"/>
                <w:szCs w:val="24"/>
              </w:rPr>
              <w:t xml:space="preserve">determine whether the depositor is in compliance with deposit </w:t>
            </w:r>
            <w:r w:rsidR="00655F88">
              <w:rPr>
                <w:rFonts w:ascii="Arial" w:hAnsi="Arial" w:cs="Arial"/>
                <w:sz w:val="24"/>
                <w:szCs w:val="24"/>
              </w:rPr>
              <w:t>regulations and guidance</w:t>
            </w:r>
            <w:r w:rsidRPr="00AF4628">
              <w:rPr>
                <w:rFonts w:ascii="Arial" w:hAnsi="Arial" w:cs="Arial"/>
                <w:sz w:val="24"/>
                <w:szCs w:val="24"/>
              </w:rPr>
              <w:t>.</w:t>
            </w:r>
          </w:p>
        </w:tc>
      </w:tr>
      <w:tr w:rsidRPr="00AF4628" w:rsidR="00F92C66" w:rsidTr="00F15DE5" w14:paraId="4062AF4C" w14:textId="77777777">
        <w:trPr>
          <w:cantSplit/>
        </w:trPr>
        <w:tc>
          <w:tcPr>
            <w:tcW w:w="545" w:type="dxa"/>
          </w:tcPr>
          <w:p w:rsidRPr="00AF4628" w:rsidR="00F92C66" w:rsidP="009209D1" w:rsidRDefault="00F92C66" w14:paraId="120A3695" w14:textId="77777777">
            <w:pPr>
              <w:pStyle w:val="BodyText2"/>
              <w:jc w:val="center"/>
              <w:rPr>
                <w:rFonts w:cs="Arial"/>
                <w:szCs w:val="24"/>
              </w:rPr>
            </w:pPr>
          </w:p>
          <w:p w:rsidRPr="00AF4628" w:rsidR="00F92C66" w:rsidP="009209D1" w:rsidRDefault="00F92C66" w14:paraId="2CDCAE73" w14:textId="77777777">
            <w:pPr>
              <w:pStyle w:val="BodyText2"/>
              <w:jc w:val="center"/>
              <w:rPr>
                <w:rFonts w:cs="Arial"/>
                <w:szCs w:val="24"/>
              </w:rPr>
            </w:pPr>
            <w:r w:rsidRPr="00AF4628">
              <w:rPr>
                <w:rFonts w:cs="Arial"/>
                <w:szCs w:val="24"/>
              </w:rPr>
              <w:t>2</w:t>
            </w:r>
          </w:p>
        </w:tc>
        <w:tc>
          <w:tcPr>
            <w:tcW w:w="1709" w:type="dxa"/>
          </w:tcPr>
          <w:p w:rsidRPr="00AF4628" w:rsidR="00F92C66" w:rsidP="009209D1" w:rsidRDefault="00F92C66" w14:paraId="291D2DB9" w14:textId="77777777">
            <w:pPr>
              <w:pStyle w:val="BodyText2"/>
              <w:rPr>
                <w:rFonts w:cs="Arial"/>
                <w:szCs w:val="24"/>
              </w:rPr>
            </w:pPr>
          </w:p>
          <w:p w:rsidRPr="00AF4628" w:rsidR="00F92C66" w:rsidP="009209D1" w:rsidRDefault="00F92C66" w14:paraId="5F6FD1AB" w14:textId="77777777">
            <w:pPr>
              <w:pStyle w:val="BodyText2"/>
              <w:rPr>
                <w:rFonts w:cs="Arial"/>
                <w:szCs w:val="24"/>
              </w:rPr>
            </w:pPr>
            <w:r w:rsidRPr="00AF4628">
              <w:rPr>
                <w:rFonts w:cs="Arial"/>
                <w:szCs w:val="24"/>
              </w:rPr>
              <w:t>Depositories</w:t>
            </w:r>
          </w:p>
        </w:tc>
        <w:tc>
          <w:tcPr>
            <w:tcW w:w="1619" w:type="dxa"/>
          </w:tcPr>
          <w:p w:rsidRPr="00AF4628" w:rsidR="00F92C66" w:rsidP="009209D1" w:rsidRDefault="00F92C66" w14:paraId="5FCB878D" w14:textId="77777777">
            <w:pPr>
              <w:pStyle w:val="BodyText2"/>
              <w:rPr>
                <w:rFonts w:cs="Arial"/>
                <w:szCs w:val="24"/>
              </w:rPr>
            </w:pPr>
          </w:p>
          <w:p w:rsidRPr="00AF4628" w:rsidR="00F92C66" w:rsidP="009209D1" w:rsidRDefault="00F92C66" w14:paraId="1E1C24C9" w14:textId="77777777">
            <w:pPr>
              <w:pStyle w:val="BodyText2"/>
              <w:rPr>
                <w:rFonts w:cs="Arial"/>
                <w:szCs w:val="24"/>
              </w:rPr>
            </w:pPr>
            <w:r w:rsidRPr="00AF4628">
              <w:rPr>
                <w:rFonts w:cs="Arial"/>
                <w:szCs w:val="24"/>
              </w:rPr>
              <w:t>35 U.S.C. § 2(b)(2)</w:t>
            </w:r>
          </w:p>
        </w:tc>
        <w:tc>
          <w:tcPr>
            <w:tcW w:w="1257" w:type="dxa"/>
          </w:tcPr>
          <w:p w:rsidRPr="00AF4628" w:rsidR="00F92C66" w:rsidP="009209D1" w:rsidRDefault="00F92C66" w14:paraId="38BBF076" w14:textId="77777777">
            <w:pPr>
              <w:pStyle w:val="BodyText2"/>
              <w:rPr>
                <w:rFonts w:cs="Arial"/>
                <w:szCs w:val="24"/>
              </w:rPr>
            </w:pPr>
          </w:p>
          <w:p w:rsidRPr="00AF4628" w:rsidR="00F92C66" w:rsidP="009209D1" w:rsidRDefault="00F92C66" w14:paraId="1D04B69C" w14:textId="77777777">
            <w:pPr>
              <w:pStyle w:val="BodyText2"/>
              <w:rPr>
                <w:rFonts w:cs="Arial"/>
                <w:szCs w:val="24"/>
              </w:rPr>
            </w:pPr>
            <w:r w:rsidRPr="00AF4628">
              <w:rPr>
                <w:rFonts w:cs="Arial"/>
                <w:szCs w:val="24"/>
              </w:rPr>
              <w:t>37 CFR 1.803</w:t>
            </w:r>
          </w:p>
        </w:tc>
        <w:tc>
          <w:tcPr>
            <w:tcW w:w="900" w:type="dxa"/>
          </w:tcPr>
          <w:p w:rsidRPr="00AF4628" w:rsidR="00F92C66" w:rsidP="009209D1" w:rsidRDefault="00F92C66" w14:paraId="58DE4D0C" w14:textId="77777777">
            <w:pPr>
              <w:pStyle w:val="BodyText2"/>
              <w:rPr>
                <w:rFonts w:cs="Arial"/>
                <w:szCs w:val="24"/>
              </w:rPr>
            </w:pPr>
          </w:p>
          <w:p w:rsidRPr="00AF4628" w:rsidR="00F92C66" w:rsidP="009209D1" w:rsidRDefault="00F92C66" w14:paraId="633E9F0C" w14:textId="77777777">
            <w:pPr>
              <w:pStyle w:val="BodyText2"/>
              <w:rPr>
                <w:rFonts w:cs="Arial"/>
                <w:szCs w:val="24"/>
              </w:rPr>
            </w:pPr>
            <w:r w:rsidRPr="00AF4628">
              <w:rPr>
                <w:rFonts w:cs="Arial"/>
                <w:szCs w:val="24"/>
              </w:rPr>
              <w:t>No Form</w:t>
            </w:r>
          </w:p>
        </w:tc>
        <w:tc>
          <w:tcPr>
            <w:tcW w:w="3330" w:type="dxa"/>
          </w:tcPr>
          <w:p w:rsidRPr="00AF4628" w:rsidR="00F92C66" w:rsidP="009209D1" w:rsidRDefault="00F92C66" w14:paraId="74687974" w14:textId="77777777">
            <w:pPr>
              <w:tabs>
                <w:tab w:val="left" w:pos="720"/>
              </w:tabs>
              <w:rPr>
                <w:rFonts w:ascii="Arial" w:hAnsi="Arial" w:cs="Arial"/>
                <w:sz w:val="24"/>
                <w:szCs w:val="24"/>
              </w:rPr>
            </w:pPr>
          </w:p>
          <w:p w:rsidRPr="00AF4628" w:rsidR="00F92C66" w:rsidP="009209D1" w:rsidRDefault="00F92C66" w14:paraId="67085F22" w14:textId="77777777">
            <w:pPr>
              <w:numPr>
                <w:ilvl w:val="0"/>
                <w:numId w:val="1"/>
              </w:numPr>
              <w:tabs>
                <w:tab w:val="clear" w:pos="360"/>
                <w:tab w:val="left" w:pos="162"/>
              </w:tabs>
              <w:ind w:left="162" w:hanging="198"/>
              <w:rPr>
                <w:rFonts w:ascii="Arial" w:hAnsi="Arial" w:cs="Arial"/>
                <w:sz w:val="24"/>
                <w:szCs w:val="24"/>
              </w:rPr>
            </w:pPr>
            <w:r w:rsidRPr="00AF4628">
              <w:rPr>
                <w:rFonts w:ascii="Arial" w:hAnsi="Arial" w:cs="Arial"/>
                <w:sz w:val="24"/>
                <w:szCs w:val="24"/>
              </w:rPr>
              <w:t>Used by the respondent depositories to determine the requirements that they must follow in order to be recognized by the USPTO as a suitable depository.</w:t>
            </w:r>
          </w:p>
          <w:p w:rsidRPr="00AF4628" w:rsidR="00F92C66" w:rsidP="009209D1" w:rsidRDefault="00F92C66" w14:paraId="47368F44" w14:textId="77777777">
            <w:pPr>
              <w:numPr>
                <w:ilvl w:val="0"/>
                <w:numId w:val="1"/>
              </w:numPr>
              <w:tabs>
                <w:tab w:val="clear" w:pos="360"/>
                <w:tab w:val="left" w:pos="162"/>
              </w:tabs>
              <w:ind w:left="162" w:hanging="198"/>
              <w:rPr>
                <w:rFonts w:ascii="Arial" w:hAnsi="Arial" w:cs="Arial"/>
                <w:sz w:val="24"/>
                <w:szCs w:val="24"/>
              </w:rPr>
            </w:pPr>
            <w:r w:rsidRPr="00AF4628">
              <w:rPr>
                <w:rFonts w:ascii="Arial" w:hAnsi="Arial" w:cs="Arial"/>
                <w:sz w:val="24"/>
                <w:szCs w:val="24"/>
              </w:rPr>
              <w:t>Used by recognized depositories to justify their recognition and to ensure that they remain in compliance administratively and technically, that they hire qualified staff, and that their facilities are suitably equipped for the storage and testing of deposits of biological material.</w:t>
            </w:r>
          </w:p>
          <w:p w:rsidRPr="00AF4628" w:rsidR="00F92C66" w:rsidP="009209D1" w:rsidRDefault="00F92C66" w14:paraId="1322FD78" w14:textId="77777777">
            <w:pPr>
              <w:numPr>
                <w:ilvl w:val="0"/>
                <w:numId w:val="1"/>
              </w:numPr>
              <w:tabs>
                <w:tab w:val="clear" w:pos="360"/>
                <w:tab w:val="left" w:pos="162"/>
              </w:tabs>
              <w:ind w:left="162" w:hanging="198"/>
              <w:rPr>
                <w:rFonts w:ascii="Arial" w:hAnsi="Arial" w:cs="Arial"/>
                <w:sz w:val="24"/>
                <w:szCs w:val="24"/>
              </w:rPr>
            </w:pPr>
            <w:r w:rsidRPr="00AF4628">
              <w:rPr>
                <w:rFonts w:ascii="Arial" w:hAnsi="Arial" w:cs="Arial"/>
                <w:sz w:val="24"/>
                <w:szCs w:val="24"/>
              </w:rPr>
              <w:t>Used by the USPTO to determine suitability of a respondent depository based upon administrative and technical competence and the depository’s agreement to comply with the requirements set forth by the USPTO.</w:t>
            </w:r>
          </w:p>
        </w:tc>
      </w:tr>
    </w:tbl>
    <w:p w:rsidRPr="00435B59" w:rsidR="00D07F97" w:rsidRDefault="00D07F97" w14:paraId="0635771E" w14:textId="5ECB461A">
      <w:pPr>
        <w:tabs>
          <w:tab w:val="left" w:pos="720"/>
        </w:tabs>
        <w:jc w:val="both"/>
        <w:rPr>
          <w:rFonts w:ascii="Arial" w:hAnsi="Arial" w:cs="Arial"/>
          <w:sz w:val="24"/>
          <w:szCs w:val="24"/>
        </w:rPr>
      </w:pPr>
    </w:p>
    <w:p w:rsidRPr="003D0D82" w:rsidR="00EA2D84" w:rsidP="00AF4628" w:rsidRDefault="00EA2D84" w14:paraId="4C2762CF" w14:textId="459F53A4">
      <w:pPr>
        <w:pStyle w:val="NoSpacing"/>
        <w:numPr>
          <w:ilvl w:val="0"/>
          <w:numId w:val="13"/>
        </w:numPr>
        <w:jc w:val="both"/>
        <w:rPr>
          <w:rFonts w:ascii="Arial" w:hAnsi="Arial" w:cs="Arial"/>
          <w:b/>
          <w:sz w:val="24"/>
          <w:szCs w:val="24"/>
        </w:rPr>
      </w:pPr>
      <w:r w:rsidRPr="003408EA">
        <w:rPr>
          <w:rFonts w:ascii="Arial" w:hAnsi="Arial" w:cs="Arial"/>
          <w:b/>
          <w:sz w:val="24"/>
          <w:szCs w:val="24"/>
        </w:rPr>
        <w:t xml:space="preserve">Describe whether, and to what extent, the collection of information involves the use of automated, electronic, mechanical, or other technological </w:t>
      </w:r>
      <w:r w:rsidR="0019322A">
        <w:rPr>
          <w:rFonts w:ascii="Arial" w:hAnsi="Arial" w:cs="Arial"/>
          <w:b/>
          <w:sz w:val="24"/>
          <w:szCs w:val="24"/>
        </w:rPr>
        <w:t xml:space="preserve">information </w:t>
      </w:r>
      <w:r w:rsidRPr="003408EA">
        <w:rPr>
          <w:rFonts w:ascii="Arial" w:hAnsi="Arial" w:cs="Arial"/>
          <w:b/>
          <w:sz w:val="24"/>
          <w:szCs w:val="24"/>
        </w:rPr>
        <w:t xml:space="preserve">collection techniques or other forms of information technology, e.g., permitting electronic submission of responses, and the basis for the decision for adopting this means of </w:t>
      </w:r>
      <w:r w:rsidR="003D0D82">
        <w:rPr>
          <w:rFonts w:ascii="Arial" w:hAnsi="Arial" w:cs="Arial"/>
          <w:b/>
          <w:sz w:val="24"/>
          <w:szCs w:val="24"/>
        </w:rPr>
        <w:t xml:space="preserve">information </w:t>
      </w:r>
      <w:r w:rsidRPr="003D0D82">
        <w:rPr>
          <w:rFonts w:ascii="Arial" w:hAnsi="Arial" w:cs="Arial"/>
          <w:b/>
          <w:sz w:val="24"/>
          <w:szCs w:val="24"/>
        </w:rPr>
        <w:t>collection. Also describe any consideration of using information technology to reduce burden.</w:t>
      </w:r>
    </w:p>
    <w:p w:rsidRPr="003408EA" w:rsidR="00EA2D84" w:rsidRDefault="00EA2D84" w14:paraId="1E067FC9" w14:textId="77777777">
      <w:pPr>
        <w:tabs>
          <w:tab w:val="left" w:pos="720"/>
        </w:tabs>
        <w:jc w:val="both"/>
        <w:rPr>
          <w:rFonts w:ascii="Arial" w:hAnsi="Arial" w:cs="Arial"/>
          <w:sz w:val="24"/>
          <w:szCs w:val="24"/>
        </w:rPr>
      </w:pPr>
    </w:p>
    <w:p w:rsidRPr="00AF4628" w:rsidR="00D07F97" w:rsidRDefault="00007BA2" w14:paraId="7A60FAA9" w14:textId="51DCC1B5">
      <w:pPr>
        <w:tabs>
          <w:tab w:val="left" w:pos="720"/>
        </w:tabs>
        <w:jc w:val="both"/>
        <w:rPr>
          <w:rFonts w:ascii="Arial" w:hAnsi="Arial" w:cs="Arial"/>
          <w:sz w:val="24"/>
          <w:szCs w:val="24"/>
        </w:rPr>
      </w:pPr>
      <w:r>
        <w:rPr>
          <w:rFonts w:ascii="Arial" w:hAnsi="Arial" w:cs="Arial"/>
          <w:sz w:val="24"/>
          <w:szCs w:val="24"/>
        </w:rPr>
        <w:t>The deposit of biological material information is uploaded into the USPTO’s Web-based Electronic Filing System (EFS-Web) to accompany other patent application information. However, t</w:t>
      </w:r>
      <w:r w:rsidRPr="00AF4628">
        <w:rPr>
          <w:rFonts w:ascii="Arial" w:hAnsi="Arial" w:cs="Arial"/>
          <w:sz w:val="24"/>
          <w:szCs w:val="24"/>
        </w:rPr>
        <w:t>he deposit of the physical specimen itself cannot be done electronically</w:t>
      </w:r>
      <w:r>
        <w:rPr>
          <w:rFonts w:ascii="Arial" w:hAnsi="Arial" w:cs="Arial"/>
          <w:sz w:val="24"/>
          <w:szCs w:val="24"/>
        </w:rPr>
        <w:t>.</w:t>
      </w:r>
      <w:r w:rsidRPr="003408EA">
        <w:rPr>
          <w:rFonts w:ascii="Arial" w:hAnsi="Arial" w:cs="Arial"/>
          <w:sz w:val="24"/>
          <w:szCs w:val="24"/>
        </w:rPr>
        <w:t xml:space="preserve"> </w:t>
      </w:r>
      <w:r w:rsidRPr="00C050C9" w:rsidR="00D07F97">
        <w:rPr>
          <w:rFonts w:ascii="Arial" w:hAnsi="Arial" w:cs="Arial"/>
          <w:sz w:val="24"/>
          <w:szCs w:val="24"/>
        </w:rPr>
        <w:t>Currently, the USPTO does not use automated, electronic, mechanical, or other technological</w:t>
      </w:r>
      <w:r w:rsidRPr="00C050C9" w:rsidR="00C050C9">
        <w:rPr>
          <w:rFonts w:ascii="Arial" w:hAnsi="Arial" w:cs="Arial"/>
          <w:sz w:val="24"/>
          <w:szCs w:val="24"/>
        </w:rPr>
        <w:t xml:space="preserve"> collection techniques for depositories seeking consideration as an </w:t>
      </w:r>
      <w:r w:rsidRPr="00C050C9" w:rsidR="00C050C9">
        <w:rPr>
          <w:rFonts w:ascii="Arial" w:hAnsi="Arial" w:cs="Arial"/>
          <w:sz w:val="24"/>
          <w:szCs w:val="24"/>
        </w:rPr>
        <w:lastRenderedPageBreak/>
        <w:t>acceptable depository</w:t>
      </w:r>
      <w:r w:rsidRPr="00C050C9" w:rsidR="00D07F97">
        <w:rPr>
          <w:rFonts w:ascii="Arial" w:hAnsi="Arial" w:cs="Arial"/>
          <w:sz w:val="24"/>
          <w:szCs w:val="24"/>
        </w:rPr>
        <w:t>.  As the USPTO expands electronic filing unde</w:t>
      </w:r>
      <w:r w:rsidRPr="00C050C9">
        <w:rPr>
          <w:rFonts w:ascii="Arial" w:hAnsi="Arial" w:cs="Arial"/>
          <w:sz w:val="24"/>
          <w:szCs w:val="24"/>
        </w:rPr>
        <w:t xml:space="preserve">r the </w:t>
      </w:r>
      <w:r w:rsidRPr="00C050C9" w:rsidR="00D07F97">
        <w:rPr>
          <w:rFonts w:ascii="Arial" w:hAnsi="Arial" w:cs="Arial"/>
          <w:sz w:val="24"/>
          <w:szCs w:val="24"/>
        </w:rPr>
        <w:t>EFS</w:t>
      </w:r>
      <w:r w:rsidRPr="00C050C9" w:rsidR="00642E23">
        <w:rPr>
          <w:rFonts w:ascii="Arial" w:hAnsi="Arial" w:cs="Arial"/>
          <w:sz w:val="24"/>
          <w:szCs w:val="24"/>
        </w:rPr>
        <w:t>-Web</w:t>
      </w:r>
      <w:r w:rsidRPr="00C050C9" w:rsidR="00D07F97">
        <w:rPr>
          <w:rFonts w:ascii="Arial" w:hAnsi="Arial" w:cs="Arial"/>
          <w:sz w:val="24"/>
          <w:szCs w:val="24"/>
        </w:rPr>
        <w:t>, the Deposit of Biological Materials Program will be evaluated</w:t>
      </w:r>
      <w:r w:rsidRPr="00C050C9" w:rsidR="00C050C9">
        <w:rPr>
          <w:rFonts w:ascii="Arial" w:hAnsi="Arial" w:cs="Arial"/>
          <w:sz w:val="24"/>
          <w:szCs w:val="24"/>
        </w:rPr>
        <w:t xml:space="preserve"> to determine whether electronic filing is feasible and practicable.  </w:t>
      </w:r>
      <w:r w:rsidRPr="00C050C9" w:rsidR="00D07F97">
        <w:rPr>
          <w:rFonts w:ascii="Arial" w:hAnsi="Arial" w:cs="Arial"/>
          <w:sz w:val="24"/>
          <w:szCs w:val="24"/>
        </w:rPr>
        <w:t>If the USPTO determines that electronic filing of the documentation from depositories seeking consideration as an acceptable depository is both feasible and practicable, it will submit the electronic form or template to OMB for review.</w:t>
      </w:r>
      <w:r w:rsidRPr="00AF4628" w:rsidR="00D07F97">
        <w:rPr>
          <w:rFonts w:ascii="Arial" w:hAnsi="Arial" w:cs="Arial"/>
          <w:sz w:val="24"/>
          <w:szCs w:val="24"/>
        </w:rPr>
        <w:t xml:space="preserve">  </w:t>
      </w:r>
    </w:p>
    <w:p w:rsidRPr="00AF4628" w:rsidR="00EA2D84" w:rsidRDefault="00EA2D84" w14:paraId="5EEF9B1E" w14:textId="091317BD">
      <w:pPr>
        <w:tabs>
          <w:tab w:val="left" w:pos="720"/>
        </w:tabs>
        <w:jc w:val="both"/>
        <w:rPr>
          <w:rFonts w:ascii="Arial" w:hAnsi="Arial" w:cs="Arial"/>
          <w:sz w:val="24"/>
          <w:szCs w:val="24"/>
        </w:rPr>
      </w:pPr>
    </w:p>
    <w:p w:rsidRPr="00AF4628" w:rsidR="00EA2D84" w:rsidP="00AF4628" w:rsidRDefault="00EA2D84" w14:paraId="291EBD05" w14:textId="77777777">
      <w:pPr>
        <w:numPr>
          <w:ilvl w:val="0"/>
          <w:numId w:val="13"/>
        </w:numPr>
        <w:jc w:val="both"/>
        <w:rPr>
          <w:rFonts w:ascii="Arial" w:hAnsi="Arial" w:eastAsia="Calibri" w:cs="Arial"/>
          <w:b/>
          <w:sz w:val="24"/>
          <w:szCs w:val="24"/>
        </w:rPr>
      </w:pPr>
      <w:r w:rsidRPr="00AF4628">
        <w:rPr>
          <w:rFonts w:ascii="Arial" w:hAnsi="Arial" w:eastAsia="Calibri" w:cs="Arial"/>
          <w:b/>
          <w:sz w:val="24"/>
          <w:szCs w:val="24"/>
        </w:rPr>
        <w:t xml:space="preserve">Describe efforts to identify duplication. Show specifically why any similar information already available cannot be used or modified for use for the purposes described in Item 2 above. </w:t>
      </w:r>
    </w:p>
    <w:p w:rsidRPr="00AF4628" w:rsidR="00D07F97" w:rsidRDefault="00D07F97" w14:paraId="1B462A9B" w14:textId="77777777">
      <w:pPr>
        <w:tabs>
          <w:tab w:val="left" w:pos="720"/>
        </w:tabs>
        <w:jc w:val="both"/>
        <w:rPr>
          <w:rFonts w:ascii="Arial" w:hAnsi="Arial" w:cs="Arial"/>
          <w:sz w:val="24"/>
          <w:szCs w:val="24"/>
        </w:rPr>
      </w:pPr>
    </w:p>
    <w:p w:rsidRPr="00AF4628" w:rsidR="00D07F97" w:rsidRDefault="00D07F97" w14:paraId="6DDD4237" w14:textId="77777777">
      <w:pPr>
        <w:tabs>
          <w:tab w:val="left" w:pos="720"/>
        </w:tabs>
        <w:jc w:val="both"/>
        <w:rPr>
          <w:rFonts w:ascii="Arial" w:hAnsi="Arial" w:cs="Arial"/>
          <w:sz w:val="24"/>
          <w:szCs w:val="24"/>
        </w:rPr>
      </w:pPr>
      <w:r w:rsidRPr="00AF4628">
        <w:rPr>
          <w:rFonts w:ascii="Arial" w:hAnsi="Arial" w:cs="Arial"/>
          <w:sz w:val="24"/>
          <w:szCs w:val="24"/>
        </w:rPr>
        <w:t xml:space="preserve">This information is collected during the prosecution of a patent application containing biological materials.  It is not collected elsewhere.  Therefore, this </w:t>
      </w:r>
      <w:r w:rsidRPr="00AF4628" w:rsidR="00C32BF0">
        <w:rPr>
          <w:rFonts w:ascii="Arial" w:hAnsi="Arial" w:cs="Arial"/>
          <w:sz w:val="24"/>
          <w:szCs w:val="24"/>
        </w:rPr>
        <w:t xml:space="preserve">information </w:t>
      </w:r>
      <w:r w:rsidRPr="00AF4628">
        <w:rPr>
          <w:rFonts w:ascii="Arial" w:hAnsi="Arial" w:cs="Arial"/>
          <w:sz w:val="24"/>
          <w:szCs w:val="24"/>
        </w:rPr>
        <w:t xml:space="preserve">collection does not create a duplication of effort.  </w:t>
      </w:r>
    </w:p>
    <w:p w:rsidRPr="00AF4628" w:rsidR="00EA2D84" w:rsidRDefault="00EA2D84" w14:paraId="706737CA" w14:textId="1994F9A7">
      <w:pPr>
        <w:jc w:val="both"/>
        <w:rPr>
          <w:rFonts w:ascii="Arial" w:hAnsi="Arial" w:cs="Arial"/>
          <w:b/>
          <w:sz w:val="24"/>
          <w:szCs w:val="24"/>
        </w:rPr>
      </w:pPr>
    </w:p>
    <w:p w:rsidRPr="00AF4628" w:rsidR="00EA2D84" w:rsidP="00AF4628" w:rsidRDefault="00EA2D84" w14:paraId="42D44468" w14:textId="77777777">
      <w:pPr>
        <w:numPr>
          <w:ilvl w:val="0"/>
          <w:numId w:val="13"/>
        </w:numPr>
        <w:jc w:val="both"/>
        <w:rPr>
          <w:rFonts w:ascii="Arial" w:hAnsi="Arial" w:eastAsia="Calibri" w:cs="Arial"/>
          <w:b/>
          <w:sz w:val="24"/>
          <w:szCs w:val="24"/>
        </w:rPr>
      </w:pPr>
      <w:r w:rsidRPr="00AF4628">
        <w:rPr>
          <w:rFonts w:ascii="Arial" w:hAnsi="Arial" w:eastAsia="Calibri" w:cs="Arial"/>
          <w:b/>
          <w:sz w:val="24"/>
          <w:szCs w:val="24"/>
        </w:rPr>
        <w:t>If the collection of information impacts small businesses or other small entities, describe any methods used to minimize burden.</w:t>
      </w:r>
    </w:p>
    <w:p w:rsidRPr="00AF4628" w:rsidR="00D07F97" w:rsidRDefault="00D07F97" w14:paraId="645125B7" w14:textId="77777777">
      <w:pPr>
        <w:jc w:val="both"/>
        <w:rPr>
          <w:rFonts w:ascii="Arial" w:hAnsi="Arial" w:cs="Arial"/>
          <w:sz w:val="24"/>
          <w:szCs w:val="24"/>
        </w:rPr>
      </w:pPr>
    </w:p>
    <w:p w:rsidRPr="00D253F0" w:rsidR="00D07F97" w:rsidRDefault="00D07F97" w14:paraId="1820D8D1" w14:textId="4E9D441F">
      <w:pPr>
        <w:jc w:val="both"/>
        <w:rPr>
          <w:rFonts w:ascii="Arial" w:hAnsi="Arial" w:cs="Arial"/>
          <w:b/>
          <w:sz w:val="32"/>
          <w:szCs w:val="24"/>
        </w:rPr>
      </w:pPr>
      <w:r w:rsidRPr="00AF4628">
        <w:rPr>
          <w:rFonts w:ascii="Arial" w:hAnsi="Arial" w:cs="Arial"/>
          <w:sz w:val="24"/>
          <w:szCs w:val="24"/>
        </w:rPr>
        <w:t xml:space="preserve">This collection of information does not impose a significant economic impact on small entities or small businesses.  The same information is required of every applicant and is not available from any other source.  </w:t>
      </w:r>
      <w:r w:rsidR="00D253F0">
        <w:rPr>
          <w:rFonts w:ascii="Arial" w:hAnsi="Arial" w:cs="Arial"/>
          <w:sz w:val="24"/>
          <w:szCs w:val="24"/>
        </w:rPr>
        <w:t xml:space="preserve">USPTO estimates that </w:t>
      </w:r>
      <w:r w:rsidRPr="00D253F0" w:rsidR="00D253F0">
        <w:rPr>
          <w:rFonts w:ascii="Arial" w:hAnsi="Arial" w:cs="Arial"/>
          <w:sz w:val="24"/>
          <w:szCs w:val="24"/>
        </w:rPr>
        <w:t>3</w:t>
      </w:r>
      <w:r w:rsidR="00D253F0">
        <w:rPr>
          <w:rFonts w:ascii="Arial" w:hAnsi="Arial" w:cs="Arial"/>
          <w:sz w:val="24"/>
          <w:szCs w:val="24"/>
        </w:rPr>
        <w:t>% of the respondents in this information collection are</w:t>
      </w:r>
      <w:r w:rsidRPr="00D253F0" w:rsidR="00D253F0">
        <w:rPr>
          <w:rFonts w:ascii="Arial" w:hAnsi="Arial" w:cs="Arial"/>
          <w:sz w:val="24"/>
          <w:szCs w:val="24"/>
        </w:rPr>
        <w:t xml:space="preserve"> small entities</w:t>
      </w:r>
      <w:r w:rsidR="00D253F0">
        <w:rPr>
          <w:rFonts w:ascii="Arial" w:hAnsi="Arial" w:cs="Arial"/>
          <w:sz w:val="24"/>
          <w:szCs w:val="24"/>
        </w:rPr>
        <w:t xml:space="preserve">.  </w:t>
      </w:r>
    </w:p>
    <w:p w:rsidRPr="00AF4628" w:rsidR="00EA2D84" w:rsidRDefault="00EA2D84" w14:paraId="5BFCEB62" w14:textId="485370FD">
      <w:pPr>
        <w:jc w:val="both"/>
        <w:rPr>
          <w:rFonts w:ascii="Arial" w:hAnsi="Arial" w:cs="Arial"/>
          <w:b/>
          <w:sz w:val="24"/>
          <w:szCs w:val="24"/>
        </w:rPr>
      </w:pPr>
    </w:p>
    <w:p w:rsidRPr="003D0D82" w:rsidR="00EA2D84" w:rsidP="00AF4628" w:rsidRDefault="00EA2D84" w14:paraId="10DEEAD7" w14:textId="77777777">
      <w:pPr>
        <w:numPr>
          <w:ilvl w:val="0"/>
          <w:numId w:val="13"/>
        </w:numPr>
        <w:jc w:val="both"/>
        <w:rPr>
          <w:rFonts w:ascii="Arial" w:hAnsi="Arial" w:eastAsia="Calibri" w:cs="Arial"/>
          <w:b/>
          <w:bCs/>
          <w:sz w:val="24"/>
          <w:szCs w:val="24"/>
        </w:rPr>
      </w:pPr>
      <w:r w:rsidRPr="00AF4628">
        <w:rPr>
          <w:rFonts w:ascii="Arial" w:hAnsi="Arial" w:eastAsia="Calibri" w:cs="Arial"/>
          <w:b/>
          <w:bCs/>
          <w:sz w:val="24"/>
          <w:szCs w:val="24"/>
        </w:rPr>
        <w:t xml:space="preserve">Describe the consequence to Federal program or policy activities if the </w:t>
      </w:r>
      <w:r w:rsidR="003D0D82">
        <w:rPr>
          <w:rFonts w:ascii="Arial" w:hAnsi="Arial" w:eastAsia="Calibri" w:cs="Arial"/>
          <w:b/>
          <w:bCs/>
          <w:sz w:val="24"/>
          <w:szCs w:val="24"/>
        </w:rPr>
        <w:t xml:space="preserve">information </w:t>
      </w:r>
      <w:r w:rsidRPr="003D0D82">
        <w:rPr>
          <w:rFonts w:ascii="Arial" w:hAnsi="Arial" w:eastAsia="Calibri" w:cs="Arial"/>
          <w:b/>
          <w:bCs/>
          <w:sz w:val="24"/>
          <w:szCs w:val="24"/>
        </w:rPr>
        <w:t>collection is not conducted or is conducted less frequently, as well as any technical or legal obstacles to reducing burden.</w:t>
      </w:r>
    </w:p>
    <w:p w:rsidRPr="003408EA" w:rsidR="00D07F97" w:rsidRDefault="00D07F97" w14:paraId="52E40495" w14:textId="77777777">
      <w:pPr>
        <w:jc w:val="both"/>
        <w:rPr>
          <w:rFonts w:ascii="Arial" w:hAnsi="Arial" w:cs="Arial"/>
          <w:sz w:val="24"/>
          <w:szCs w:val="24"/>
        </w:rPr>
      </w:pPr>
    </w:p>
    <w:p w:rsidRPr="00BA6DDB" w:rsidR="00D07F97" w:rsidRDefault="00D07F97" w14:paraId="1090B71A" w14:textId="12D26D7D">
      <w:pPr>
        <w:jc w:val="both"/>
        <w:rPr>
          <w:rFonts w:ascii="Arial" w:hAnsi="Arial" w:cs="Arial"/>
          <w:sz w:val="24"/>
          <w:szCs w:val="24"/>
        </w:rPr>
      </w:pPr>
      <w:r w:rsidRPr="003408EA">
        <w:rPr>
          <w:rFonts w:ascii="Arial" w:hAnsi="Arial" w:cs="Arial"/>
          <w:sz w:val="24"/>
          <w:szCs w:val="24"/>
        </w:rPr>
        <w:t>This information is collected only when the respondent submits a patent applicatio</w:t>
      </w:r>
      <w:r w:rsidRPr="003A502D">
        <w:rPr>
          <w:rFonts w:ascii="Arial" w:hAnsi="Arial" w:cs="Arial"/>
          <w:sz w:val="24"/>
          <w:szCs w:val="24"/>
        </w:rPr>
        <w:t xml:space="preserve">n containing biological materials that cannot be adequately described in words only or when a depository seeks consideration as an acceptable depository.  It could not be conducted less frequently.  If the collection of information </w:t>
      </w:r>
      <w:r w:rsidR="001E0599">
        <w:rPr>
          <w:rFonts w:ascii="Arial" w:hAnsi="Arial" w:cs="Arial"/>
          <w:sz w:val="24"/>
          <w:szCs w:val="24"/>
        </w:rPr>
        <w:t>was</w:t>
      </w:r>
      <w:r w:rsidRPr="003A502D">
        <w:rPr>
          <w:rFonts w:ascii="Arial" w:hAnsi="Arial" w:cs="Arial"/>
          <w:sz w:val="24"/>
          <w:szCs w:val="24"/>
        </w:rPr>
        <w:t xml:space="preserve"> not collected, the USPTO could not comply with the requirements of 35 </w:t>
      </w:r>
      <w:r w:rsidRPr="007C000C" w:rsidR="00FA7582">
        <w:rPr>
          <w:rFonts w:ascii="Arial" w:hAnsi="Arial" w:cs="Arial"/>
          <w:sz w:val="24"/>
          <w:szCs w:val="24"/>
        </w:rPr>
        <w:t xml:space="preserve">U.S.C. </w:t>
      </w:r>
      <w:r w:rsidRPr="007C000C" w:rsidR="00BF5295">
        <w:rPr>
          <w:rFonts w:ascii="Arial" w:hAnsi="Arial" w:cs="Arial"/>
          <w:sz w:val="24"/>
          <w:szCs w:val="24"/>
        </w:rPr>
        <w:t xml:space="preserve">§ </w:t>
      </w:r>
      <w:r w:rsidRPr="007C000C" w:rsidR="00642E23">
        <w:rPr>
          <w:rFonts w:ascii="Arial" w:hAnsi="Arial" w:cs="Arial"/>
          <w:sz w:val="24"/>
          <w:szCs w:val="24"/>
        </w:rPr>
        <w:t>2(b</w:t>
      </w:r>
      <w:proofErr w:type="gramStart"/>
      <w:r w:rsidRPr="007C000C" w:rsidR="00642E23">
        <w:rPr>
          <w:rFonts w:ascii="Arial" w:hAnsi="Arial" w:cs="Arial"/>
          <w:sz w:val="24"/>
          <w:szCs w:val="24"/>
        </w:rPr>
        <w:t>)(</w:t>
      </w:r>
      <w:proofErr w:type="gramEnd"/>
      <w:r w:rsidRPr="007C000C" w:rsidR="00642E23">
        <w:rPr>
          <w:rFonts w:ascii="Arial" w:hAnsi="Arial" w:cs="Arial"/>
          <w:sz w:val="24"/>
          <w:szCs w:val="24"/>
        </w:rPr>
        <w:t xml:space="preserve">2) and 37 CFR </w:t>
      </w:r>
      <w:r w:rsidRPr="00BA6DDB">
        <w:rPr>
          <w:rFonts w:ascii="Arial" w:hAnsi="Arial" w:cs="Arial"/>
          <w:sz w:val="24"/>
          <w:szCs w:val="24"/>
        </w:rPr>
        <w:t>1.801-1.809.</w:t>
      </w:r>
    </w:p>
    <w:p w:rsidRPr="00AF4628" w:rsidR="00EA2D84" w:rsidRDefault="00EA2D84" w14:paraId="489075C2" w14:textId="446089A4">
      <w:pPr>
        <w:jc w:val="both"/>
        <w:rPr>
          <w:rFonts w:ascii="Arial" w:hAnsi="Arial" w:cs="Arial"/>
          <w:b/>
          <w:sz w:val="24"/>
          <w:szCs w:val="24"/>
        </w:rPr>
      </w:pPr>
    </w:p>
    <w:p w:rsidRPr="00AF4628" w:rsidR="00EA2D84" w:rsidP="00AF4628" w:rsidRDefault="00EA2D84" w14:paraId="69027E9F" w14:textId="77777777">
      <w:pPr>
        <w:numPr>
          <w:ilvl w:val="0"/>
          <w:numId w:val="13"/>
        </w:numPr>
        <w:jc w:val="both"/>
        <w:rPr>
          <w:rFonts w:ascii="Arial" w:hAnsi="Arial" w:eastAsia="Calibri" w:cs="Arial"/>
          <w:b/>
          <w:bCs/>
          <w:sz w:val="24"/>
          <w:szCs w:val="24"/>
        </w:rPr>
      </w:pPr>
      <w:r w:rsidRPr="00AF4628">
        <w:rPr>
          <w:rFonts w:ascii="Arial" w:hAnsi="Arial" w:eastAsia="Calibri" w:cs="Arial"/>
          <w:b/>
          <w:bCs/>
          <w:sz w:val="24"/>
          <w:szCs w:val="24"/>
        </w:rPr>
        <w:t xml:space="preserve">Explain any special circumstances that would cause an information collection to be conducted in a manner: </w:t>
      </w:r>
    </w:p>
    <w:p w:rsidRPr="00AF4628" w:rsidR="00EA2D84" w:rsidP="00EA2D84" w:rsidRDefault="00EA2D84" w14:paraId="1FC0903A" w14:textId="77777777">
      <w:pPr>
        <w:jc w:val="both"/>
        <w:rPr>
          <w:rFonts w:ascii="Arial" w:hAnsi="Arial" w:eastAsia="Calibri" w:cs="Arial"/>
          <w:b/>
          <w:bCs/>
          <w:sz w:val="24"/>
          <w:szCs w:val="24"/>
        </w:rPr>
      </w:pPr>
      <w:r w:rsidRPr="00AF4628">
        <w:rPr>
          <w:rFonts w:ascii="Arial" w:hAnsi="Arial" w:eastAsia="Calibri" w:cs="Arial"/>
          <w:b/>
          <w:bCs/>
          <w:sz w:val="24"/>
          <w:szCs w:val="24"/>
        </w:rPr>
        <w:t xml:space="preserve">• </w:t>
      </w:r>
      <w:proofErr w:type="gramStart"/>
      <w:r w:rsidRPr="00AF4628">
        <w:rPr>
          <w:rFonts w:ascii="Arial" w:hAnsi="Arial" w:eastAsia="Calibri" w:cs="Arial"/>
          <w:b/>
          <w:bCs/>
          <w:sz w:val="24"/>
          <w:szCs w:val="24"/>
        </w:rPr>
        <w:t>requiring</w:t>
      </w:r>
      <w:proofErr w:type="gramEnd"/>
      <w:r w:rsidRPr="00AF4628">
        <w:rPr>
          <w:rFonts w:ascii="Arial" w:hAnsi="Arial" w:eastAsia="Calibri" w:cs="Arial"/>
          <w:b/>
          <w:bCs/>
          <w:sz w:val="24"/>
          <w:szCs w:val="24"/>
        </w:rPr>
        <w:t xml:space="preserve"> respondents to report information to the agency more often than quarterly; </w:t>
      </w:r>
    </w:p>
    <w:p w:rsidRPr="00AF4628" w:rsidR="00EA2D84" w:rsidP="00EA2D84" w:rsidRDefault="00EA2D84" w14:paraId="3969BB37" w14:textId="77777777">
      <w:pPr>
        <w:jc w:val="both"/>
        <w:rPr>
          <w:rFonts w:ascii="Arial" w:hAnsi="Arial" w:eastAsia="Calibri" w:cs="Arial"/>
          <w:b/>
          <w:bCs/>
          <w:sz w:val="24"/>
          <w:szCs w:val="24"/>
        </w:rPr>
      </w:pPr>
      <w:r w:rsidRPr="00AF4628">
        <w:rPr>
          <w:rFonts w:ascii="Arial" w:hAnsi="Arial" w:eastAsia="Calibri" w:cs="Arial"/>
          <w:b/>
          <w:bCs/>
          <w:sz w:val="24"/>
          <w:szCs w:val="24"/>
        </w:rPr>
        <w:t xml:space="preserve">• requiring respondents to prepare a written response to a collection of information in fewer than 30 days after receipt of it; </w:t>
      </w:r>
    </w:p>
    <w:p w:rsidRPr="00AF4628" w:rsidR="00EA2D84" w:rsidP="00EA2D84" w:rsidRDefault="00EA2D84" w14:paraId="28400506" w14:textId="77777777">
      <w:pPr>
        <w:jc w:val="both"/>
        <w:rPr>
          <w:rFonts w:ascii="Arial" w:hAnsi="Arial" w:eastAsia="Calibri" w:cs="Arial"/>
          <w:b/>
          <w:bCs/>
          <w:sz w:val="24"/>
          <w:szCs w:val="24"/>
        </w:rPr>
      </w:pPr>
      <w:r w:rsidRPr="00AF4628">
        <w:rPr>
          <w:rFonts w:ascii="Arial" w:hAnsi="Arial" w:eastAsia="Calibri" w:cs="Arial"/>
          <w:b/>
          <w:bCs/>
          <w:sz w:val="24"/>
          <w:szCs w:val="24"/>
        </w:rPr>
        <w:t xml:space="preserve">• requiring respondents to submit more than an original and two copies of any document; </w:t>
      </w:r>
    </w:p>
    <w:p w:rsidRPr="00AF4628" w:rsidR="00EA2D84" w:rsidP="00EA2D84" w:rsidRDefault="00EA2D84" w14:paraId="3B0D7B11" w14:textId="77777777">
      <w:pPr>
        <w:jc w:val="both"/>
        <w:rPr>
          <w:rFonts w:ascii="Arial" w:hAnsi="Arial" w:eastAsia="Calibri" w:cs="Arial"/>
          <w:b/>
          <w:bCs/>
          <w:sz w:val="24"/>
          <w:szCs w:val="24"/>
        </w:rPr>
      </w:pPr>
      <w:r w:rsidRPr="00AF4628">
        <w:rPr>
          <w:rFonts w:ascii="Arial" w:hAnsi="Arial" w:eastAsia="Calibri" w:cs="Arial"/>
          <w:b/>
          <w:bCs/>
          <w:sz w:val="24"/>
          <w:szCs w:val="24"/>
        </w:rPr>
        <w:t xml:space="preserve">• requiring respondents to retain records, other than health, medical, government contract, grant-in-aid, or tax records, for more than three years; </w:t>
      </w:r>
    </w:p>
    <w:p w:rsidRPr="00AF4628" w:rsidR="00EA2D84" w:rsidP="00EA2D84" w:rsidRDefault="00EA2D84" w14:paraId="0F370462" w14:textId="77777777">
      <w:pPr>
        <w:jc w:val="both"/>
        <w:rPr>
          <w:rFonts w:ascii="Arial" w:hAnsi="Arial" w:eastAsia="Calibri" w:cs="Arial"/>
          <w:b/>
          <w:bCs/>
          <w:sz w:val="24"/>
          <w:szCs w:val="24"/>
        </w:rPr>
      </w:pPr>
      <w:r w:rsidRPr="00AF4628">
        <w:rPr>
          <w:rFonts w:ascii="Arial" w:hAnsi="Arial" w:eastAsia="Calibri" w:cs="Arial"/>
          <w:b/>
          <w:bCs/>
          <w:sz w:val="24"/>
          <w:szCs w:val="24"/>
        </w:rPr>
        <w:t xml:space="preserve">• </w:t>
      </w:r>
      <w:proofErr w:type="gramStart"/>
      <w:r w:rsidRPr="00AF4628">
        <w:rPr>
          <w:rFonts w:ascii="Arial" w:hAnsi="Arial" w:eastAsia="Calibri" w:cs="Arial"/>
          <w:b/>
          <w:bCs/>
          <w:sz w:val="24"/>
          <w:szCs w:val="24"/>
        </w:rPr>
        <w:t>in</w:t>
      </w:r>
      <w:proofErr w:type="gramEnd"/>
      <w:r w:rsidRPr="00AF4628">
        <w:rPr>
          <w:rFonts w:ascii="Arial" w:hAnsi="Arial" w:eastAsia="Calibri" w:cs="Arial"/>
          <w:b/>
          <w:bCs/>
          <w:sz w:val="24"/>
          <w:szCs w:val="24"/>
        </w:rPr>
        <w:t xml:space="preserve"> connection with a statistical survey, that is not designed to produce valid and reliable results that can be generalized to the universe of study; </w:t>
      </w:r>
    </w:p>
    <w:p w:rsidR="00D253F0" w:rsidP="00EA2D84" w:rsidRDefault="00EA2D84" w14:paraId="6149D93E" w14:textId="77777777">
      <w:pPr>
        <w:jc w:val="both"/>
        <w:rPr>
          <w:rFonts w:ascii="Arial" w:hAnsi="Arial" w:eastAsia="Calibri" w:cs="Arial"/>
          <w:b/>
          <w:bCs/>
          <w:sz w:val="24"/>
          <w:szCs w:val="24"/>
        </w:rPr>
      </w:pPr>
      <w:r w:rsidRPr="00AF4628">
        <w:rPr>
          <w:rFonts w:ascii="Arial" w:hAnsi="Arial" w:eastAsia="Calibri" w:cs="Arial"/>
          <w:b/>
          <w:bCs/>
          <w:sz w:val="24"/>
          <w:szCs w:val="24"/>
        </w:rPr>
        <w:lastRenderedPageBreak/>
        <w:t xml:space="preserve">• requiring the use of a statistical data classification that has not been reviewed and approved by OMB; </w:t>
      </w:r>
    </w:p>
    <w:p w:rsidRPr="00AF4628" w:rsidR="00EA2D84" w:rsidP="00EA2D84" w:rsidRDefault="00EA2D84" w14:paraId="4CAFE8D6" w14:textId="2B68747E">
      <w:pPr>
        <w:jc w:val="both"/>
        <w:rPr>
          <w:rFonts w:ascii="Arial" w:hAnsi="Arial" w:eastAsia="Calibri" w:cs="Arial"/>
          <w:b/>
          <w:bCs/>
          <w:sz w:val="24"/>
          <w:szCs w:val="24"/>
        </w:rPr>
      </w:pPr>
      <w:r w:rsidRPr="00AF4628">
        <w:rPr>
          <w:rFonts w:ascii="Arial" w:hAnsi="Arial" w:eastAsia="Calibri" w:cs="Arial"/>
          <w:b/>
          <w:bCs/>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AF4628" w:rsidR="00EA2D84" w:rsidP="00EA2D84" w:rsidRDefault="00EA2D84" w14:paraId="13842D4A" w14:textId="77777777">
      <w:pPr>
        <w:jc w:val="both"/>
        <w:rPr>
          <w:rFonts w:ascii="Arial" w:hAnsi="Arial" w:eastAsia="Calibri" w:cs="Arial"/>
          <w:b/>
          <w:bCs/>
          <w:sz w:val="24"/>
          <w:szCs w:val="24"/>
        </w:rPr>
      </w:pPr>
      <w:r w:rsidRPr="00AF4628">
        <w:rPr>
          <w:rFonts w:ascii="Arial" w:hAnsi="Arial" w:eastAsia="Calibri" w:cs="Arial"/>
          <w:b/>
          <w:bCs/>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Pr="00AF4628" w:rsidR="00D07F97" w:rsidRDefault="00D07F97" w14:paraId="50CA37AA" w14:textId="77777777">
      <w:pPr>
        <w:jc w:val="both"/>
        <w:rPr>
          <w:rFonts w:ascii="Arial" w:hAnsi="Arial" w:cs="Arial"/>
          <w:sz w:val="24"/>
          <w:szCs w:val="24"/>
        </w:rPr>
      </w:pPr>
    </w:p>
    <w:p w:rsidRPr="00AF4628" w:rsidR="00D07F97" w:rsidRDefault="00D07F97" w14:paraId="78C64F0B" w14:textId="77777777">
      <w:pPr>
        <w:jc w:val="both"/>
        <w:rPr>
          <w:rFonts w:ascii="Arial" w:hAnsi="Arial" w:cs="Arial"/>
          <w:sz w:val="24"/>
          <w:szCs w:val="24"/>
        </w:rPr>
      </w:pPr>
      <w:r w:rsidRPr="00AF4628">
        <w:rPr>
          <w:rFonts w:ascii="Arial" w:hAnsi="Arial" w:cs="Arial"/>
          <w:sz w:val="24"/>
          <w:szCs w:val="24"/>
        </w:rPr>
        <w:t>There are no special circumstances associated with this collection of information.</w:t>
      </w:r>
    </w:p>
    <w:p w:rsidRPr="00AF4628" w:rsidR="00D07F97" w:rsidRDefault="00D07F97" w14:paraId="27592DE2" w14:textId="15F69B8F">
      <w:pPr>
        <w:jc w:val="both"/>
        <w:rPr>
          <w:rFonts w:ascii="Arial" w:hAnsi="Arial" w:cs="Arial"/>
          <w:sz w:val="24"/>
          <w:szCs w:val="24"/>
        </w:rPr>
      </w:pPr>
    </w:p>
    <w:p w:rsidRPr="003408EA" w:rsidR="00EA2D84" w:rsidP="00AF4628" w:rsidRDefault="00EA2D84" w14:paraId="2341F4B2" w14:textId="77777777">
      <w:pPr>
        <w:pStyle w:val="NoSpacing"/>
        <w:numPr>
          <w:ilvl w:val="0"/>
          <w:numId w:val="13"/>
        </w:numPr>
        <w:jc w:val="both"/>
        <w:rPr>
          <w:rFonts w:ascii="Arial" w:hAnsi="Arial" w:cs="Arial"/>
          <w:b/>
          <w:bCs/>
          <w:sz w:val="24"/>
          <w:szCs w:val="24"/>
        </w:rPr>
      </w:pPr>
      <w:r w:rsidRPr="00AF4628">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w:t>
      </w:r>
      <w:r w:rsidR="003D0D82">
        <w:rPr>
          <w:rFonts w:ascii="Arial" w:hAnsi="Arial" w:cs="Arial"/>
          <w:b/>
          <w:bCs/>
          <w:sz w:val="24"/>
          <w:szCs w:val="24"/>
        </w:rPr>
        <w:t xml:space="preserve">information </w:t>
      </w:r>
      <w:r w:rsidRPr="003D0D82">
        <w:rPr>
          <w:rFonts w:ascii="Arial" w:hAnsi="Arial" w:cs="Arial"/>
          <w:b/>
          <w:bCs/>
          <w:sz w:val="24"/>
          <w:szCs w:val="24"/>
        </w:rPr>
        <w:t>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w:t>
      </w:r>
      <w:r w:rsidRPr="003408EA">
        <w:rPr>
          <w:rFonts w:ascii="Arial" w:hAnsi="Arial" w:cs="Arial"/>
          <w:b/>
          <w:bCs/>
          <w:sz w:val="24"/>
          <w:szCs w:val="24"/>
        </w:rPr>
        <w:t>e collection of information activity is the same as in prior periods. There may be circumstances that may preclude consultation in a specific situation. These circumstances should be explained.</w:t>
      </w:r>
    </w:p>
    <w:p w:rsidRPr="003D0D82" w:rsidR="00EA2D84" w:rsidRDefault="00EA2D84" w14:paraId="34550FFB" w14:textId="77777777">
      <w:pPr>
        <w:jc w:val="both"/>
        <w:rPr>
          <w:rFonts w:ascii="Arial" w:hAnsi="Arial" w:cs="Arial"/>
          <w:sz w:val="24"/>
          <w:szCs w:val="24"/>
        </w:rPr>
      </w:pPr>
    </w:p>
    <w:p w:rsidRPr="00AF4628" w:rsidR="00D07F97" w:rsidRDefault="00D07F97" w14:paraId="3E52D651" w14:textId="78526750">
      <w:pPr>
        <w:jc w:val="both"/>
        <w:rPr>
          <w:rFonts w:ascii="Arial" w:hAnsi="Arial" w:cs="Arial"/>
          <w:sz w:val="24"/>
          <w:szCs w:val="24"/>
        </w:rPr>
      </w:pPr>
      <w:r w:rsidRPr="003408EA">
        <w:rPr>
          <w:rFonts w:ascii="Arial" w:hAnsi="Arial" w:cs="Arial"/>
          <w:sz w:val="24"/>
          <w:szCs w:val="24"/>
        </w:rPr>
        <w:t xml:space="preserve">The 60-Day Notice was published in the </w:t>
      </w:r>
      <w:r w:rsidRPr="003408EA">
        <w:rPr>
          <w:rFonts w:ascii="Arial" w:hAnsi="Arial" w:cs="Arial"/>
          <w:i/>
          <w:sz w:val="24"/>
          <w:szCs w:val="24"/>
        </w:rPr>
        <w:t>Federal Register</w:t>
      </w:r>
      <w:r w:rsidRPr="003408EA">
        <w:rPr>
          <w:rFonts w:ascii="Arial" w:hAnsi="Arial" w:cs="Arial"/>
          <w:sz w:val="24"/>
          <w:szCs w:val="24"/>
        </w:rPr>
        <w:t xml:space="preserve"> on </w:t>
      </w:r>
      <w:r w:rsidRPr="003408EA" w:rsidR="00F53AE2">
        <w:rPr>
          <w:rFonts w:ascii="Arial" w:hAnsi="Arial" w:cs="Arial"/>
          <w:sz w:val="24"/>
          <w:szCs w:val="24"/>
        </w:rPr>
        <w:t>November 26, 2019</w:t>
      </w:r>
      <w:r w:rsidRPr="003408EA">
        <w:rPr>
          <w:rFonts w:ascii="Arial" w:hAnsi="Arial" w:cs="Arial"/>
          <w:sz w:val="24"/>
          <w:szCs w:val="24"/>
        </w:rPr>
        <w:t xml:space="preserve"> </w:t>
      </w:r>
      <w:r w:rsidRPr="003408EA" w:rsidR="008206AC">
        <w:rPr>
          <w:rFonts w:ascii="Arial" w:hAnsi="Arial" w:cs="Arial"/>
          <w:sz w:val="24"/>
          <w:szCs w:val="24"/>
        </w:rPr>
        <w:t>(</w:t>
      </w:r>
      <w:hyperlink w:history="1" r:id="rId12">
        <w:r w:rsidRPr="00AB564A" w:rsidR="00F53AE2">
          <w:rPr>
            <w:rStyle w:val="Hyperlink"/>
            <w:rFonts w:ascii="Arial" w:hAnsi="Arial" w:cs="Arial"/>
            <w:sz w:val="24"/>
            <w:szCs w:val="24"/>
          </w:rPr>
          <w:t xml:space="preserve">84 </w:t>
        </w:r>
        <w:r w:rsidRPr="00AB564A" w:rsidR="00AB564A">
          <w:rPr>
            <w:rStyle w:val="Hyperlink"/>
            <w:rFonts w:ascii="Arial" w:hAnsi="Arial" w:cs="Arial"/>
            <w:sz w:val="24"/>
            <w:szCs w:val="24"/>
          </w:rPr>
          <w:t>FR</w:t>
        </w:r>
        <w:r w:rsidRPr="00AB564A">
          <w:rPr>
            <w:rStyle w:val="Hyperlink"/>
            <w:rFonts w:ascii="Arial" w:hAnsi="Arial" w:cs="Arial"/>
            <w:sz w:val="24"/>
            <w:szCs w:val="24"/>
          </w:rPr>
          <w:t xml:space="preserve"> </w:t>
        </w:r>
        <w:r w:rsidRPr="00AB564A" w:rsidR="00F53AE2">
          <w:rPr>
            <w:rStyle w:val="Hyperlink"/>
            <w:rFonts w:ascii="Arial" w:hAnsi="Arial" w:cs="Arial"/>
            <w:sz w:val="24"/>
            <w:szCs w:val="24"/>
          </w:rPr>
          <w:t>63855</w:t>
        </w:r>
      </w:hyperlink>
      <w:r w:rsidRPr="00AF4628">
        <w:rPr>
          <w:rFonts w:ascii="Arial" w:hAnsi="Arial" w:cs="Arial"/>
          <w:sz w:val="24"/>
          <w:szCs w:val="24"/>
        </w:rPr>
        <w:t xml:space="preserve">).  The comment period </w:t>
      </w:r>
      <w:r w:rsidR="001E0599">
        <w:rPr>
          <w:rFonts w:ascii="Arial" w:hAnsi="Arial" w:cs="Arial"/>
          <w:sz w:val="24"/>
          <w:szCs w:val="24"/>
        </w:rPr>
        <w:t>ended</w:t>
      </w:r>
      <w:r w:rsidRPr="00AF4628" w:rsidR="00F53AE2">
        <w:rPr>
          <w:rFonts w:ascii="Arial" w:hAnsi="Arial" w:cs="Arial"/>
          <w:sz w:val="24"/>
          <w:szCs w:val="24"/>
        </w:rPr>
        <w:t xml:space="preserve"> </w:t>
      </w:r>
      <w:r w:rsidRPr="00AF4628">
        <w:rPr>
          <w:rFonts w:ascii="Arial" w:hAnsi="Arial" w:cs="Arial"/>
          <w:sz w:val="24"/>
          <w:szCs w:val="24"/>
        </w:rPr>
        <w:t xml:space="preserve">on </w:t>
      </w:r>
      <w:r w:rsidRPr="00AF4628" w:rsidR="00F53AE2">
        <w:rPr>
          <w:rFonts w:ascii="Arial" w:hAnsi="Arial" w:cs="Arial"/>
          <w:sz w:val="24"/>
          <w:szCs w:val="24"/>
        </w:rPr>
        <w:t>January 21</w:t>
      </w:r>
      <w:r w:rsidRPr="00AF4628" w:rsidR="00FA7582">
        <w:rPr>
          <w:rFonts w:ascii="Arial" w:hAnsi="Arial" w:cs="Arial"/>
          <w:sz w:val="24"/>
          <w:szCs w:val="24"/>
        </w:rPr>
        <w:t xml:space="preserve">, </w:t>
      </w:r>
      <w:r w:rsidRPr="00AF4628" w:rsidR="00F53AE2">
        <w:rPr>
          <w:rFonts w:ascii="Arial" w:hAnsi="Arial" w:cs="Arial"/>
          <w:sz w:val="24"/>
          <w:szCs w:val="24"/>
        </w:rPr>
        <w:t>2020</w:t>
      </w:r>
      <w:r w:rsidRPr="00AF4628">
        <w:rPr>
          <w:rFonts w:ascii="Arial" w:hAnsi="Arial" w:cs="Arial"/>
          <w:sz w:val="24"/>
          <w:szCs w:val="24"/>
        </w:rPr>
        <w:t>.  No public comments were received.</w:t>
      </w:r>
    </w:p>
    <w:p w:rsidRPr="00AF4628" w:rsidR="00A5120E" w:rsidRDefault="00A5120E" w14:paraId="0AF4BBDE" w14:textId="77777777">
      <w:pPr>
        <w:jc w:val="both"/>
        <w:rPr>
          <w:rFonts w:ascii="Arial" w:hAnsi="Arial" w:cs="Arial"/>
          <w:sz w:val="24"/>
          <w:szCs w:val="24"/>
        </w:rPr>
      </w:pPr>
    </w:p>
    <w:p w:rsidRPr="00AF4628" w:rsidR="00A5120E" w:rsidRDefault="00A5120E" w14:paraId="69D7F057" w14:textId="77777777">
      <w:pPr>
        <w:jc w:val="both"/>
        <w:rPr>
          <w:rFonts w:ascii="Arial" w:hAnsi="Arial" w:cs="Arial"/>
          <w:sz w:val="24"/>
          <w:szCs w:val="24"/>
        </w:rPr>
      </w:pPr>
      <w:r w:rsidRPr="00AF4628">
        <w:rPr>
          <w:rFonts w:ascii="Arial" w:hAnsi="Arial" w:cs="Arial"/>
          <w:sz w:val="24"/>
          <w:szCs w:val="24"/>
        </w:rPr>
        <w:t>The USPTO has long-standing relationships with groups from whom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w:t>
      </w:r>
    </w:p>
    <w:p w:rsidRPr="00AF4628" w:rsidR="00D07F97" w:rsidRDefault="00D07F97" w14:paraId="1C2C1864" w14:textId="77777777">
      <w:pPr>
        <w:jc w:val="both"/>
        <w:rPr>
          <w:rFonts w:ascii="Arial" w:hAnsi="Arial" w:cs="Arial"/>
          <w:sz w:val="24"/>
          <w:szCs w:val="24"/>
        </w:rPr>
      </w:pPr>
    </w:p>
    <w:p w:rsidRPr="00AF4628" w:rsidR="00EA2D84" w:rsidP="00AF4628" w:rsidRDefault="00EA2D84" w14:paraId="62B0858C" w14:textId="77777777">
      <w:pPr>
        <w:numPr>
          <w:ilvl w:val="0"/>
          <w:numId w:val="13"/>
        </w:numPr>
        <w:jc w:val="both"/>
        <w:rPr>
          <w:rFonts w:ascii="Arial" w:hAnsi="Arial" w:eastAsia="Calibri" w:cs="Arial"/>
          <w:bCs/>
          <w:sz w:val="24"/>
          <w:szCs w:val="24"/>
        </w:rPr>
      </w:pPr>
      <w:r w:rsidRPr="00AF4628">
        <w:rPr>
          <w:rFonts w:ascii="Arial" w:hAnsi="Arial" w:eastAsia="Calibri" w:cs="Arial"/>
          <w:b/>
          <w:bCs/>
          <w:sz w:val="24"/>
          <w:szCs w:val="24"/>
        </w:rPr>
        <w:t>Explain any decision to provide any payment or gift to respondents, other than remuneration of contractors or grantees</w:t>
      </w:r>
      <w:r w:rsidRPr="00AF4628">
        <w:rPr>
          <w:rFonts w:ascii="Arial" w:hAnsi="Arial" w:eastAsia="Calibri" w:cs="Arial"/>
          <w:bCs/>
          <w:sz w:val="24"/>
          <w:szCs w:val="24"/>
        </w:rPr>
        <w:t>.</w:t>
      </w:r>
    </w:p>
    <w:p w:rsidRPr="00435B59" w:rsidR="00D07F97" w:rsidRDefault="00D07F97" w14:paraId="2900482B" w14:textId="77777777">
      <w:pPr>
        <w:jc w:val="both"/>
        <w:rPr>
          <w:rFonts w:ascii="Arial" w:hAnsi="Arial" w:cs="Arial"/>
          <w:sz w:val="24"/>
          <w:szCs w:val="24"/>
        </w:rPr>
      </w:pPr>
    </w:p>
    <w:p w:rsidRPr="003408EA" w:rsidR="00D07F97" w:rsidRDefault="00D07F97" w14:paraId="0ADD5A36" w14:textId="77777777">
      <w:pPr>
        <w:jc w:val="both"/>
        <w:rPr>
          <w:rFonts w:ascii="Arial" w:hAnsi="Arial" w:cs="Arial"/>
          <w:sz w:val="24"/>
          <w:szCs w:val="24"/>
        </w:rPr>
      </w:pPr>
      <w:r w:rsidRPr="003408EA">
        <w:rPr>
          <w:rFonts w:ascii="Arial" w:hAnsi="Arial" w:cs="Arial"/>
          <w:sz w:val="24"/>
          <w:szCs w:val="24"/>
        </w:rPr>
        <w:t>This information collection does not involve a paym</w:t>
      </w:r>
      <w:r w:rsidRPr="003408EA" w:rsidR="00386EEB">
        <w:rPr>
          <w:rFonts w:ascii="Arial" w:hAnsi="Arial" w:cs="Arial"/>
          <w:sz w:val="24"/>
          <w:szCs w:val="24"/>
        </w:rPr>
        <w:t>ent or gift to any respondent.</w:t>
      </w:r>
    </w:p>
    <w:p w:rsidRPr="003408EA" w:rsidR="00D07F97" w:rsidRDefault="00D07F97" w14:paraId="68DA931F" w14:textId="77777777">
      <w:pPr>
        <w:jc w:val="both"/>
        <w:rPr>
          <w:rFonts w:ascii="Arial" w:hAnsi="Arial" w:cs="Arial"/>
          <w:sz w:val="24"/>
          <w:szCs w:val="24"/>
        </w:rPr>
      </w:pPr>
    </w:p>
    <w:p w:rsidRPr="003D0D82" w:rsidR="00EA2D84" w:rsidP="00AF4628" w:rsidRDefault="00F77E19" w14:paraId="244AED5F" w14:textId="77777777">
      <w:pPr>
        <w:numPr>
          <w:ilvl w:val="0"/>
          <w:numId w:val="13"/>
        </w:numPr>
        <w:jc w:val="both"/>
        <w:rPr>
          <w:rFonts w:ascii="Arial" w:hAnsi="Arial" w:cs="Arial"/>
          <w:b/>
          <w:sz w:val="24"/>
          <w:szCs w:val="24"/>
        </w:rPr>
      </w:pPr>
      <w:r w:rsidRPr="003A502D">
        <w:rPr>
          <w:rFonts w:ascii="Arial" w:hAnsi="Arial" w:cs="Arial"/>
          <w:b/>
          <w:bCs/>
          <w:sz w:val="24"/>
          <w:szCs w:val="24"/>
        </w:rPr>
        <w:t xml:space="preserve"> </w:t>
      </w:r>
      <w:r w:rsidRPr="007C000C" w:rsidR="00EA2D84">
        <w:rPr>
          <w:rFonts w:ascii="Arial" w:hAnsi="Arial" w:cs="Arial"/>
          <w:b/>
          <w:bCs/>
          <w:sz w:val="24"/>
          <w:szCs w:val="24"/>
        </w:rPr>
        <w:t xml:space="preserve">Describe any assurance of confidentiality provided to respondents and the basis for the assurance in statute, regulation, or agency policy. If the </w:t>
      </w:r>
      <w:r w:rsidR="003D0D82">
        <w:rPr>
          <w:rFonts w:ascii="Arial" w:hAnsi="Arial" w:cs="Arial"/>
          <w:b/>
          <w:bCs/>
          <w:sz w:val="24"/>
          <w:szCs w:val="24"/>
        </w:rPr>
        <w:lastRenderedPageBreak/>
        <w:t xml:space="preserve">information </w:t>
      </w:r>
      <w:r w:rsidRPr="003D0D82" w:rsidR="00EA2D84">
        <w:rPr>
          <w:rFonts w:ascii="Arial" w:hAnsi="Arial" w:cs="Arial"/>
          <w:b/>
          <w:bCs/>
          <w:sz w:val="24"/>
          <w:szCs w:val="24"/>
        </w:rPr>
        <w:t>collection requires a systems of records notice (SORN) or privacy impact assessment (PIA), those should be cited and described here.</w:t>
      </w:r>
    </w:p>
    <w:p w:rsidRPr="003408EA" w:rsidR="00D07F97" w:rsidRDefault="00D07F97" w14:paraId="69811892" w14:textId="77777777">
      <w:pPr>
        <w:jc w:val="both"/>
        <w:rPr>
          <w:rFonts w:ascii="Arial" w:hAnsi="Arial" w:cs="Arial"/>
          <w:sz w:val="24"/>
          <w:szCs w:val="24"/>
        </w:rPr>
      </w:pPr>
    </w:p>
    <w:p w:rsidR="00D253F0" w:rsidRDefault="00D07F97" w14:paraId="06E90403" w14:textId="77777777">
      <w:pPr>
        <w:jc w:val="both"/>
        <w:rPr>
          <w:rFonts w:ascii="Arial" w:hAnsi="Arial" w:cs="Arial"/>
          <w:sz w:val="24"/>
          <w:szCs w:val="24"/>
        </w:rPr>
      </w:pPr>
      <w:r w:rsidRPr="003408EA">
        <w:rPr>
          <w:rFonts w:ascii="Arial" w:hAnsi="Arial" w:cs="Arial"/>
          <w:sz w:val="24"/>
          <w:szCs w:val="24"/>
        </w:rPr>
        <w:t>Confidentiality of patent applicat</w:t>
      </w:r>
      <w:r w:rsidRPr="003A502D" w:rsidR="00A61E28">
        <w:rPr>
          <w:rFonts w:ascii="Arial" w:hAnsi="Arial" w:cs="Arial"/>
          <w:sz w:val="24"/>
          <w:szCs w:val="24"/>
        </w:rPr>
        <w:t xml:space="preserve">ions is governed by </w:t>
      </w:r>
      <w:r w:rsidRPr="003A502D" w:rsidR="00B7036A">
        <w:rPr>
          <w:rFonts w:ascii="Arial" w:hAnsi="Arial" w:cs="Arial"/>
          <w:sz w:val="24"/>
          <w:szCs w:val="24"/>
        </w:rPr>
        <w:t>statute (</w:t>
      </w:r>
      <w:r w:rsidRPr="007C000C" w:rsidR="00A61E28">
        <w:rPr>
          <w:rFonts w:ascii="Arial" w:hAnsi="Arial" w:cs="Arial"/>
          <w:sz w:val="24"/>
          <w:szCs w:val="24"/>
        </w:rPr>
        <w:t xml:space="preserve">35 U.S.C. </w:t>
      </w:r>
      <w:r w:rsidRPr="007C000C" w:rsidR="00B7036A">
        <w:rPr>
          <w:rFonts w:ascii="Arial" w:hAnsi="Arial" w:cs="Arial"/>
          <w:sz w:val="24"/>
          <w:szCs w:val="24"/>
        </w:rPr>
        <w:t xml:space="preserve">§ </w:t>
      </w:r>
      <w:r w:rsidRPr="007C000C">
        <w:rPr>
          <w:rFonts w:ascii="Arial" w:hAnsi="Arial" w:cs="Arial"/>
          <w:sz w:val="24"/>
          <w:szCs w:val="24"/>
        </w:rPr>
        <w:t>122</w:t>
      </w:r>
      <w:r w:rsidRPr="007C000C" w:rsidR="00B7036A">
        <w:rPr>
          <w:rFonts w:ascii="Arial" w:hAnsi="Arial" w:cs="Arial"/>
          <w:sz w:val="24"/>
          <w:szCs w:val="24"/>
        </w:rPr>
        <w:t>)</w:t>
      </w:r>
      <w:r w:rsidRPr="007C000C">
        <w:rPr>
          <w:rFonts w:ascii="Arial" w:hAnsi="Arial" w:cs="Arial"/>
          <w:sz w:val="24"/>
          <w:szCs w:val="24"/>
        </w:rPr>
        <w:t xml:space="preserve"> and </w:t>
      </w:r>
      <w:r w:rsidRPr="00BA6DDB" w:rsidR="00B7036A">
        <w:rPr>
          <w:rFonts w:ascii="Arial" w:hAnsi="Arial" w:cs="Arial"/>
          <w:sz w:val="24"/>
          <w:szCs w:val="24"/>
        </w:rPr>
        <w:t>regulation (</w:t>
      </w:r>
      <w:r w:rsidRPr="00AF4628">
        <w:rPr>
          <w:rFonts w:ascii="Arial" w:hAnsi="Arial" w:cs="Arial"/>
          <w:sz w:val="24"/>
          <w:szCs w:val="24"/>
        </w:rPr>
        <w:t>37 CFR 1.11 and 1.14</w:t>
      </w:r>
      <w:r w:rsidRPr="00AF4628" w:rsidR="00B7036A">
        <w:rPr>
          <w:rFonts w:ascii="Arial" w:hAnsi="Arial" w:cs="Arial"/>
          <w:sz w:val="24"/>
          <w:szCs w:val="24"/>
        </w:rPr>
        <w:t>)</w:t>
      </w:r>
      <w:r w:rsidRPr="00AF4628">
        <w:rPr>
          <w:rFonts w:ascii="Arial" w:hAnsi="Arial" w:cs="Arial"/>
          <w:sz w:val="24"/>
          <w:szCs w:val="24"/>
        </w:rPr>
        <w:t xml:space="preserve">.  </w:t>
      </w:r>
      <w:r w:rsidRPr="00AF4628" w:rsidR="005A76B7">
        <w:rPr>
          <w:rFonts w:ascii="Arial" w:hAnsi="Arial" w:cs="Arial"/>
          <w:sz w:val="24"/>
          <w:szCs w:val="24"/>
        </w:rPr>
        <w:t xml:space="preserve">The USPTO has a legal obligation to maintain the confidentiality of the contents of unpublished patent applications and related documents.  Upon publication of an application or issuance of a patent, the patent </w:t>
      </w:r>
      <w:r w:rsidRPr="00AF4628" w:rsidR="007212F3">
        <w:rPr>
          <w:rFonts w:ascii="Arial" w:hAnsi="Arial" w:cs="Arial"/>
          <w:sz w:val="24"/>
          <w:szCs w:val="24"/>
        </w:rPr>
        <w:t>application file is made available to the public, subject to the provisions for providing only a redac</w:t>
      </w:r>
      <w:r w:rsidRPr="00AF4628" w:rsidR="00B7036A">
        <w:rPr>
          <w:rFonts w:ascii="Arial" w:hAnsi="Arial" w:cs="Arial"/>
          <w:sz w:val="24"/>
          <w:szCs w:val="24"/>
        </w:rPr>
        <w:t>ted copy of the file contents.</w:t>
      </w:r>
      <w:r w:rsidRPr="00AF4628" w:rsidR="00F3088B">
        <w:rPr>
          <w:rFonts w:ascii="Arial" w:hAnsi="Arial" w:cs="Arial"/>
          <w:sz w:val="24"/>
          <w:szCs w:val="24"/>
        </w:rPr>
        <w:t xml:space="preserve">  </w:t>
      </w:r>
    </w:p>
    <w:p w:rsidR="00D253F0" w:rsidRDefault="00D253F0" w14:paraId="5957B062" w14:textId="77777777">
      <w:pPr>
        <w:jc w:val="both"/>
        <w:rPr>
          <w:rFonts w:ascii="Arial" w:hAnsi="Arial" w:cs="Arial"/>
          <w:sz w:val="24"/>
          <w:szCs w:val="24"/>
        </w:rPr>
      </w:pPr>
    </w:p>
    <w:p w:rsidR="00331C49" w:rsidRDefault="00331C49" w14:paraId="27403AB8" w14:textId="01098934">
      <w:pPr>
        <w:jc w:val="both"/>
        <w:rPr>
          <w:rFonts w:ascii="Arial" w:hAnsi="Arial" w:cs="Arial"/>
          <w:sz w:val="24"/>
          <w:szCs w:val="24"/>
        </w:rPr>
      </w:pPr>
      <w:r w:rsidRPr="00AF4628">
        <w:rPr>
          <w:rFonts w:ascii="Arial" w:hAnsi="Arial" w:cs="Arial"/>
          <w:sz w:val="24"/>
          <w:szCs w:val="24"/>
        </w:rPr>
        <w:t xml:space="preserve">Applications filed through EFS-Web are maintained in confidence as required by 35 U.S.C. § 122(a) until the application is published or a patent is issued.  The confidentiality, security, integrity, authenticity, and non-repudiation of patent applications submitted electronically through EFS-Web are maintained using PKI technology and digital certificates for registered users.  Applications electronically-filed by non-registered users are protected using </w:t>
      </w:r>
      <w:r w:rsidR="001E0599">
        <w:rPr>
          <w:rFonts w:ascii="Arial" w:hAnsi="Arial" w:cs="Arial"/>
          <w:sz w:val="24"/>
          <w:szCs w:val="24"/>
        </w:rPr>
        <w:t>Transport Layer Security (</w:t>
      </w:r>
      <w:r w:rsidRPr="00AF4628">
        <w:rPr>
          <w:rFonts w:ascii="Arial" w:hAnsi="Arial" w:cs="Arial"/>
          <w:sz w:val="24"/>
          <w:szCs w:val="24"/>
        </w:rPr>
        <w:t>TLS</w:t>
      </w:r>
      <w:r w:rsidR="001E0599">
        <w:rPr>
          <w:rFonts w:ascii="Arial" w:hAnsi="Arial" w:cs="Arial"/>
          <w:sz w:val="24"/>
          <w:szCs w:val="24"/>
        </w:rPr>
        <w:t>)</w:t>
      </w:r>
      <w:r w:rsidRPr="00AF4628">
        <w:rPr>
          <w:rFonts w:ascii="Arial" w:hAnsi="Arial" w:cs="Arial"/>
          <w:sz w:val="24"/>
          <w:szCs w:val="24"/>
        </w:rPr>
        <w:t xml:space="preserve"> or </w:t>
      </w:r>
      <w:r w:rsidR="00361556">
        <w:rPr>
          <w:rFonts w:ascii="Arial" w:hAnsi="Arial" w:cs="Arial"/>
          <w:sz w:val="24"/>
          <w:szCs w:val="24"/>
        </w:rPr>
        <w:t>Secure Sockets Layer (</w:t>
      </w:r>
      <w:r w:rsidRPr="00AF4628">
        <w:rPr>
          <w:rFonts w:ascii="Arial" w:hAnsi="Arial" w:cs="Arial"/>
          <w:sz w:val="24"/>
          <w:szCs w:val="24"/>
        </w:rPr>
        <w:t>SSL</w:t>
      </w:r>
      <w:r w:rsidR="00361556">
        <w:rPr>
          <w:rFonts w:ascii="Arial" w:hAnsi="Arial" w:cs="Arial"/>
          <w:sz w:val="24"/>
          <w:szCs w:val="24"/>
        </w:rPr>
        <w:t>)</w:t>
      </w:r>
      <w:r w:rsidRPr="00AF4628">
        <w:rPr>
          <w:rFonts w:ascii="Arial" w:hAnsi="Arial" w:cs="Arial"/>
          <w:sz w:val="24"/>
          <w:szCs w:val="24"/>
        </w:rPr>
        <w:t xml:space="preserve"> protocols.  The USPTO posts issued patents and application publications on its Web site.  The information covered under this </w:t>
      </w:r>
      <w:r w:rsidR="003D0D82">
        <w:rPr>
          <w:rFonts w:ascii="Arial" w:hAnsi="Arial" w:cs="Arial"/>
          <w:sz w:val="24"/>
          <w:szCs w:val="24"/>
        </w:rPr>
        <w:t xml:space="preserve">information </w:t>
      </w:r>
      <w:r w:rsidRPr="003D0D82">
        <w:rPr>
          <w:rFonts w:ascii="Arial" w:hAnsi="Arial" w:cs="Arial"/>
          <w:sz w:val="24"/>
          <w:szCs w:val="24"/>
        </w:rPr>
        <w:t>collection will not be released to the public unless it is part of an issued patent or application publication.  Patent applicants and/or their designated representatives can view the current status of their patent application through the Patent Application Information Retrieval (PAIR) system.</w:t>
      </w:r>
    </w:p>
    <w:p w:rsidR="00E85E7D" w:rsidRDefault="00E85E7D" w14:paraId="65E130DB" w14:textId="2D50FE17">
      <w:pPr>
        <w:jc w:val="both"/>
        <w:rPr>
          <w:rFonts w:ascii="Arial" w:hAnsi="Arial" w:cs="Arial"/>
          <w:sz w:val="24"/>
          <w:szCs w:val="24"/>
        </w:rPr>
      </w:pPr>
    </w:p>
    <w:p w:rsidRPr="003D0D82" w:rsidR="00331C49" w:rsidP="00331C49" w:rsidRDefault="00361556" w14:paraId="78776FC4" w14:textId="6863CD56">
      <w:pPr>
        <w:tabs>
          <w:tab w:val="left" w:pos="-1176"/>
        </w:tabs>
        <w:jc w:val="both"/>
        <w:rPr>
          <w:rFonts w:ascii="Arial" w:hAnsi="Arial" w:cs="Arial"/>
          <w:sz w:val="24"/>
          <w:szCs w:val="24"/>
        </w:rPr>
      </w:pPr>
      <w:r>
        <w:rPr>
          <w:rFonts w:ascii="Arial" w:hAnsi="Arial" w:cs="Arial"/>
          <w:sz w:val="24"/>
          <w:szCs w:val="24"/>
        </w:rPr>
        <w:t>Patent applications and associated materials may contain</w:t>
      </w:r>
      <w:r w:rsidRPr="003A502D" w:rsidR="00331C49">
        <w:rPr>
          <w:rFonts w:ascii="Arial" w:hAnsi="Arial" w:cs="Arial"/>
          <w:sz w:val="24"/>
          <w:szCs w:val="24"/>
        </w:rPr>
        <w:t xml:space="preserve"> </w:t>
      </w:r>
      <w:r w:rsidRPr="007C000C" w:rsidR="00C32BF0">
        <w:rPr>
          <w:rFonts w:ascii="Arial" w:hAnsi="Arial" w:cs="Arial"/>
          <w:sz w:val="24"/>
          <w:szCs w:val="24"/>
        </w:rPr>
        <w:t>data</w:t>
      </w:r>
      <w:r w:rsidRPr="007C000C" w:rsidR="00331C49">
        <w:rPr>
          <w:rFonts w:ascii="Arial" w:hAnsi="Arial" w:cs="Arial"/>
          <w:sz w:val="24"/>
          <w:szCs w:val="24"/>
        </w:rPr>
        <w:t xml:space="preserve"> which is subject to the Privacy Act. This information is collected on </w:t>
      </w:r>
      <w:r w:rsidR="00C302F3">
        <w:rPr>
          <w:rFonts w:ascii="Arial" w:hAnsi="Arial" w:cs="Arial"/>
          <w:sz w:val="24"/>
          <w:szCs w:val="24"/>
        </w:rPr>
        <w:t>submissions</w:t>
      </w:r>
      <w:r w:rsidRPr="007C000C" w:rsidR="00331C49">
        <w:rPr>
          <w:rFonts w:ascii="Arial" w:hAnsi="Arial" w:cs="Arial"/>
          <w:sz w:val="24"/>
          <w:szCs w:val="24"/>
        </w:rPr>
        <w:t xml:space="preserve"> filed to obtain various patent </w:t>
      </w:r>
      <w:r>
        <w:rPr>
          <w:rFonts w:ascii="Arial" w:hAnsi="Arial" w:cs="Arial"/>
          <w:sz w:val="24"/>
          <w:szCs w:val="24"/>
        </w:rPr>
        <w:t>products</w:t>
      </w:r>
      <w:r w:rsidRPr="007C000C" w:rsidR="00331C49">
        <w:rPr>
          <w:rFonts w:ascii="Arial" w:hAnsi="Arial" w:cs="Arial"/>
          <w:sz w:val="24"/>
          <w:szCs w:val="24"/>
        </w:rPr>
        <w:t>.</w:t>
      </w:r>
      <w:r>
        <w:rPr>
          <w:rFonts w:ascii="Arial" w:hAnsi="Arial" w:cs="Arial"/>
          <w:sz w:val="24"/>
          <w:szCs w:val="24"/>
        </w:rPr>
        <w:t xml:space="preserve"> </w:t>
      </w:r>
      <w:r w:rsidRPr="007C000C" w:rsidR="00331C49">
        <w:rPr>
          <w:rFonts w:ascii="Arial" w:hAnsi="Arial" w:cs="Arial"/>
          <w:sz w:val="24"/>
          <w:szCs w:val="24"/>
        </w:rPr>
        <w:t>The fo</w:t>
      </w:r>
      <w:r w:rsidRPr="00BA6DDB" w:rsidR="00331C49">
        <w:rPr>
          <w:rFonts w:ascii="Arial" w:hAnsi="Arial" w:cs="Arial"/>
          <w:sz w:val="24"/>
          <w:szCs w:val="24"/>
        </w:rPr>
        <w:t xml:space="preserve">llowing SORNs provide privacy disclosures and information about USPTO’s handling of personally identifiable information (PII) that </w:t>
      </w:r>
      <w:r>
        <w:rPr>
          <w:rFonts w:ascii="Arial" w:hAnsi="Arial" w:cs="Arial"/>
          <w:sz w:val="24"/>
          <w:szCs w:val="24"/>
        </w:rPr>
        <w:t xml:space="preserve">may be collected in this information collection: </w:t>
      </w:r>
      <w:r w:rsidRPr="003D0D82" w:rsidR="00331C49">
        <w:rPr>
          <w:rFonts w:ascii="Arial" w:hAnsi="Arial" w:cs="Arial"/>
          <w:sz w:val="24"/>
          <w:szCs w:val="24"/>
        </w:rPr>
        <w:t xml:space="preserve"> </w:t>
      </w:r>
    </w:p>
    <w:p w:rsidRPr="003408EA" w:rsidR="00331C49" w:rsidP="00331C49" w:rsidRDefault="00331C49" w14:paraId="19079915" w14:textId="77777777">
      <w:pPr>
        <w:tabs>
          <w:tab w:val="left" w:pos="-1176"/>
        </w:tabs>
        <w:jc w:val="both"/>
        <w:rPr>
          <w:rFonts w:ascii="Arial" w:hAnsi="Arial" w:cs="Arial"/>
          <w:sz w:val="24"/>
          <w:szCs w:val="24"/>
        </w:rPr>
      </w:pPr>
    </w:p>
    <w:p w:rsidR="00331C49" w:rsidP="00AF4628" w:rsidRDefault="003044CD" w14:paraId="53887D3D" w14:textId="1A52FDF2">
      <w:pPr>
        <w:pStyle w:val="ListParagraph"/>
        <w:numPr>
          <w:ilvl w:val="0"/>
          <w:numId w:val="12"/>
        </w:numPr>
        <w:tabs>
          <w:tab w:val="left" w:pos="-1176"/>
        </w:tabs>
        <w:autoSpaceDE w:val="0"/>
        <w:autoSpaceDN w:val="0"/>
        <w:adjustRightInd w:val="0"/>
        <w:jc w:val="both"/>
        <w:rPr>
          <w:rFonts w:ascii="Arial" w:hAnsi="Arial" w:cs="Arial"/>
          <w:sz w:val="24"/>
          <w:szCs w:val="24"/>
        </w:rPr>
      </w:pPr>
      <w:hyperlink w:history="1" r:id="rId13">
        <w:r w:rsidRPr="00AB564A" w:rsidR="00331C49">
          <w:rPr>
            <w:rStyle w:val="Hyperlink"/>
            <w:rFonts w:ascii="Arial" w:hAnsi="Arial" w:cs="Arial"/>
            <w:sz w:val="24"/>
            <w:szCs w:val="24"/>
          </w:rPr>
          <w:t>PAT/TM 7 Patent Application Files; p</w:t>
        </w:r>
        <w:r w:rsidRPr="00AB564A" w:rsidR="00AB564A">
          <w:rPr>
            <w:rStyle w:val="Hyperlink"/>
            <w:rFonts w:ascii="Arial" w:hAnsi="Arial" w:cs="Arial"/>
            <w:sz w:val="24"/>
            <w:szCs w:val="24"/>
          </w:rPr>
          <w:t>ublished March 29, 2013 (78 FR</w:t>
        </w:r>
        <w:r w:rsidRPr="00AB564A" w:rsidR="00331C49">
          <w:rPr>
            <w:rStyle w:val="Hyperlink"/>
            <w:rFonts w:ascii="Arial" w:hAnsi="Arial" w:cs="Arial"/>
            <w:sz w:val="24"/>
            <w:szCs w:val="24"/>
          </w:rPr>
          <w:t xml:space="preserve"> 19243)</w:t>
        </w:r>
      </w:hyperlink>
    </w:p>
    <w:p w:rsidR="00C302F3" w:rsidP="00C302F3" w:rsidRDefault="00C302F3" w14:paraId="0306C069" w14:textId="1317A81A">
      <w:pPr>
        <w:tabs>
          <w:tab w:val="left" w:pos="-1176"/>
        </w:tabs>
        <w:autoSpaceDE w:val="0"/>
        <w:autoSpaceDN w:val="0"/>
        <w:adjustRightInd w:val="0"/>
        <w:jc w:val="both"/>
        <w:rPr>
          <w:rFonts w:ascii="Arial" w:hAnsi="Arial" w:cs="Arial"/>
          <w:sz w:val="24"/>
          <w:szCs w:val="24"/>
        </w:rPr>
      </w:pPr>
    </w:p>
    <w:p w:rsidR="00C302F3" w:rsidP="00C302F3" w:rsidRDefault="00C302F3" w14:paraId="7D216FF3" w14:textId="6393DE4F">
      <w:pPr>
        <w:jc w:val="both"/>
        <w:rPr>
          <w:rFonts w:ascii="Arial" w:hAnsi="Arial" w:cs="Arial"/>
          <w:sz w:val="24"/>
          <w:szCs w:val="24"/>
        </w:rPr>
      </w:pPr>
      <w:r w:rsidRPr="00AF4628">
        <w:rPr>
          <w:rFonts w:ascii="Arial" w:hAnsi="Arial" w:cs="Arial"/>
          <w:sz w:val="24"/>
          <w:szCs w:val="24"/>
        </w:rPr>
        <w:t>These provisions only apply to items held by USPTO.  Items being held by a deposit arrangement with a 3</w:t>
      </w:r>
      <w:r w:rsidRPr="00AF4628">
        <w:rPr>
          <w:rFonts w:ascii="Arial" w:hAnsi="Arial" w:cs="Arial"/>
          <w:sz w:val="24"/>
          <w:szCs w:val="24"/>
          <w:vertAlign w:val="superscript"/>
        </w:rPr>
        <w:t>rd</w:t>
      </w:r>
      <w:r w:rsidRPr="00AF4628">
        <w:rPr>
          <w:rFonts w:ascii="Arial" w:hAnsi="Arial" w:cs="Arial"/>
          <w:sz w:val="24"/>
          <w:szCs w:val="24"/>
        </w:rPr>
        <w:t xml:space="preserve"> party are not covered by these </w:t>
      </w:r>
      <w:r>
        <w:rPr>
          <w:rFonts w:ascii="Arial" w:hAnsi="Arial" w:cs="Arial"/>
          <w:sz w:val="24"/>
          <w:szCs w:val="24"/>
        </w:rPr>
        <w:t xml:space="preserve">any of these </w:t>
      </w:r>
      <w:r w:rsidRPr="00AF4628">
        <w:rPr>
          <w:rFonts w:ascii="Arial" w:hAnsi="Arial" w:cs="Arial"/>
          <w:sz w:val="24"/>
          <w:szCs w:val="24"/>
        </w:rPr>
        <w:t>obligations</w:t>
      </w:r>
      <w:r>
        <w:rPr>
          <w:rFonts w:ascii="Arial" w:hAnsi="Arial" w:cs="Arial"/>
          <w:sz w:val="24"/>
          <w:szCs w:val="24"/>
        </w:rPr>
        <w:t xml:space="preserve"> regarding privacy or confidentiality</w:t>
      </w:r>
      <w:r w:rsidRPr="00AF4628">
        <w:rPr>
          <w:rFonts w:ascii="Arial" w:hAnsi="Arial" w:cs="Arial"/>
          <w:sz w:val="24"/>
          <w:szCs w:val="24"/>
        </w:rPr>
        <w:t xml:space="preserve">.   </w:t>
      </w:r>
    </w:p>
    <w:p w:rsidR="00C302F3" w:rsidP="00C302F3" w:rsidRDefault="00C302F3" w14:paraId="06D0B611" w14:textId="77777777">
      <w:pPr>
        <w:jc w:val="both"/>
        <w:rPr>
          <w:rFonts w:ascii="Arial" w:hAnsi="Arial" w:cs="Arial"/>
          <w:sz w:val="24"/>
          <w:szCs w:val="24"/>
        </w:rPr>
      </w:pPr>
    </w:p>
    <w:p w:rsidRPr="00AF4628" w:rsidR="00C302F3" w:rsidP="00C302F3" w:rsidRDefault="00C302F3" w14:paraId="0FE55629" w14:textId="77777777">
      <w:pPr>
        <w:jc w:val="both"/>
        <w:rPr>
          <w:rFonts w:ascii="Arial" w:hAnsi="Arial" w:cs="Arial"/>
          <w:sz w:val="24"/>
          <w:szCs w:val="24"/>
        </w:rPr>
      </w:pPr>
      <w:r>
        <w:rPr>
          <w:rFonts w:ascii="Arial" w:hAnsi="Arial" w:cs="Arial"/>
          <w:sz w:val="24"/>
          <w:szCs w:val="24"/>
        </w:rPr>
        <w:t xml:space="preserve">Information sent to USPTO by institutions wishing to be recognized by the USPTO as a suitable depository are not covered by either the statues regarding confidentiality of patent applications or included in the Privacy Act provisions. They are provided no other assurance except for protection under the FOIA regulations.  </w:t>
      </w:r>
    </w:p>
    <w:p w:rsidRPr="00BA6DDB" w:rsidR="00D07F97" w:rsidRDefault="00D07F97" w14:paraId="3639795C" w14:textId="044B7FC5">
      <w:pPr>
        <w:jc w:val="both"/>
        <w:rPr>
          <w:rFonts w:ascii="Arial" w:hAnsi="Arial" w:cs="Arial"/>
          <w:sz w:val="24"/>
          <w:szCs w:val="24"/>
        </w:rPr>
      </w:pPr>
    </w:p>
    <w:p w:rsidRPr="00AF4628" w:rsidR="00EA2D84" w:rsidP="00AF4628" w:rsidRDefault="00E07B94" w14:paraId="55F17CFC" w14:textId="77777777">
      <w:pPr>
        <w:numPr>
          <w:ilvl w:val="0"/>
          <w:numId w:val="13"/>
        </w:numPr>
        <w:jc w:val="both"/>
        <w:rPr>
          <w:rFonts w:ascii="Arial" w:hAnsi="Arial" w:cs="Arial"/>
          <w:b/>
          <w:sz w:val="24"/>
          <w:szCs w:val="24"/>
        </w:rPr>
      </w:pPr>
      <w:r w:rsidRPr="00AF4628">
        <w:rPr>
          <w:rFonts w:ascii="Arial" w:hAnsi="Arial" w:eastAsia="Calibri" w:cs="Arial"/>
          <w:b/>
          <w:bCs/>
          <w:sz w:val="24"/>
          <w:szCs w:val="24"/>
        </w:rPr>
        <w:t xml:space="preserve"> </w:t>
      </w:r>
      <w:r w:rsidRPr="00AF4628" w:rsidR="00EA2D84">
        <w:rPr>
          <w:rFonts w:ascii="Arial" w:hAnsi="Arial" w:eastAsia="Calibri"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F4628" w:rsidR="00D07F97" w:rsidRDefault="00D07F97" w14:paraId="2C54C316" w14:textId="77777777">
      <w:pPr>
        <w:jc w:val="both"/>
        <w:rPr>
          <w:rFonts w:ascii="Arial" w:hAnsi="Arial" w:cs="Arial"/>
          <w:sz w:val="24"/>
          <w:szCs w:val="24"/>
        </w:rPr>
      </w:pPr>
    </w:p>
    <w:p w:rsidRPr="00AF4628" w:rsidR="00CC0FF3" w:rsidRDefault="00D07F97" w14:paraId="4ACD0047" w14:textId="0CE33B7D">
      <w:pPr>
        <w:jc w:val="both"/>
        <w:rPr>
          <w:rFonts w:ascii="Arial" w:hAnsi="Arial" w:cs="Arial"/>
          <w:sz w:val="24"/>
          <w:szCs w:val="24"/>
        </w:rPr>
      </w:pPr>
      <w:r w:rsidRPr="00AF4628">
        <w:rPr>
          <w:rFonts w:ascii="Arial" w:hAnsi="Arial" w:cs="Arial"/>
          <w:sz w:val="24"/>
          <w:szCs w:val="24"/>
        </w:rPr>
        <w:lastRenderedPageBreak/>
        <w:t xml:space="preserve">None of the required information </w:t>
      </w:r>
      <w:r w:rsidRPr="00AF4628" w:rsidR="00B7036A">
        <w:rPr>
          <w:rFonts w:ascii="Arial" w:hAnsi="Arial" w:cs="Arial"/>
          <w:sz w:val="24"/>
          <w:szCs w:val="24"/>
        </w:rPr>
        <w:t xml:space="preserve">in this </w:t>
      </w:r>
      <w:r w:rsidR="001E0599">
        <w:rPr>
          <w:rFonts w:ascii="Arial" w:hAnsi="Arial" w:cs="Arial"/>
          <w:sz w:val="24"/>
          <w:szCs w:val="24"/>
        </w:rPr>
        <w:t xml:space="preserve">information </w:t>
      </w:r>
      <w:r w:rsidRPr="00AF4628" w:rsidR="00B7036A">
        <w:rPr>
          <w:rFonts w:ascii="Arial" w:hAnsi="Arial" w:cs="Arial"/>
          <w:sz w:val="24"/>
          <w:szCs w:val="24"/>
        </w:rPr>
        <w:t xml:space="preserve">collection </w:t>
      </w:r>
      <w:r w:rsidRPr="00AF4628">
        <w:rPr>
          <w:rFonts w:ascii="Arial" w:hAnsi="Arial" w:cs="Arial"/>
          <w:sz w:val="24"/>
          <w:szCs w:val="24"/>
        </w:rPr>
        <w:t>is considered to be sensitive.</w:t>
      </w:r>
    </w:p>
    <w:p w:rsidRPr="00AF4628" w:rsidR="00E07B94" w:rsidRDefault="00E07B94" w14:paraId="3590831A" w14:textId="295A7FDC">
      <w:pPr>
        <w:jc w:val="both"/>
        <w:rPr>
          <w:rFonts w:ascii="Arial" w:hAnsi="Arial" w:cs="Arial"/>
          <w:sz w:val="24"/>
          <w:szCs w:val="24"/>
        </w:rPr>
      </w:pPr>
    </w:p>
    <w:p w:rsidRPr="00AF4628" w:rsidR="00E07B94" w:rsidP="00AF4628" w:rsidRDefault="00E07B94" w14:paraId="04025816" w14:textId="77777777">
      <w:pPr>
        <w:numPr>
          <w:ilvl w:val="0"/>
          <w:numId w:val="13"/>
        </w:numPr>
        <w:jc w:val="both"/>
        <w:rPr>
          <w:rFonts w:ascii="Arial" w:hAnsi="Arial" w:cs="Arial"/>
          <w:b/>
          <w:sz w:val="24"/>
          <w:szCs w:val="24"/>
        </w:rPr>
      </w:pPr>
      <w:r w:rsidRPr="00AF4628">
        <w:rPr>
          <w:rFonts w:ascii="Arial" w:hAnsi="Arial" w:eastAsia="Calibri" w:cs="Arial"/>
          <w:b/>
          <w:bCs/>
          <w:sz w:val="24"/>
          <w:szCs w:val="24"/>
        </w:rPr>
        <w:t xml:space="preserve"> Provide estimates of the hour burden of the collection of information. The statement should:</w:t>
      </w:r>
    </w:p>
    <w:p w:rsidRPr="00AF4628" w:rsidR="00E07B94" w:rsidP="00AF4628" w:rsidRDefault="00EA2D84" w14:paraId="68F9FD16" w14:textId="77777777">
      <w:pPr>
        <w:numPr>
          <w:ilvl w:val="0"/>
          <w:numId w:val="12"/>
        </w:numPr>
        <w:jc w:val="both"/>
        <w:rPr>
          <w:rFonts w:ascii="Arial" w:hAnsi="Arial" w:cs="Arial"/>
          <w:b/>
          <w:sz w:val="24"/>
          <w:szCs w:val="24"/>
        </w:rPr>
      </w:pPr>
      <w:r w:rsidRPr="00AF4628">
        <w:rPr>
          <w:rFonts w:ascii="Arial" w:hAnsi="Arial" w:eastAsia="Calibri" w:cs="Arial"/>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AF4628" w:rsidR="00E07B94" w:rsidP="00AF4628" w:rsidRDefault="00EA2D84" w14:paraId="596F1E91" w14:textId="77777777">
      <w:pPr>
        <w:numPr>
          <w:ilvl w:val="0"/>
          <w:numId w:val="12"/>
        </w:numPr>
        <w:jc w:val="both"/>
        <w:rPr>
          <w:rFonts w:ascii="Arial" w:hAnsi="Arial" w:cs="Arial"/>
          <w:b/>
          <w:sz w:val="24"/>
          <w:szCs w:val="24"/>
        </w:rPr>
      </w:pPr>
      <w:r w:rsidRPr="00AF4628">
        <w:rPr>
          <w:rFonts w:ascii="Arial" w:hAnsi="Arial" w:eastAsia="Calibri" w:cs="Arial"/>
          <w:b/>
          <w:bCs/>
          <w:sz w:val="24"/>
          <w:szCs w:val="24"/>
        </w:rPr>
        <w:t xml:space="preserve">If this request for approval covers more than one form, provide separate hour burden estimates for each form and aggregate the hour burdens. </w:t>
      </w:r>
    </w:p>
    <w:p w:rsidRPr="00AF4628" w:rsidR="00EA2D84" w:rsidP="00AF4628" w:rsidRDefault="00EA2D84" w14:paraId="16F477E5" w14:textId="77777777">
      <w:pPr>
        <w:numPr>
          <w:ilvl w:val="0"/>
          <w:numId w:val="12"/>
        </w:numPr>
        <w:jc w:val="both"/>
        <w:rPr>
          <w:rFonts w:ascii="Arial" w:hAnsi="Arial" w:cs="Arial"/>
          <w:b/>
          <w:sz w:val="24"/>
          <w:szCs w:val="24"/>
        </w:rPr>
      </w:pPr>
      <w:r w:rsidRPr="00AF4628">
        <w:rPr>
          <w:rFonts w:ascii="Arial" w:hAnsi="Arial" w:eastAsia="Calibri" w:cs="Arial"/>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AF4628" w:rsidR="00D07F97" w:rsidRDefault="00D07F97" w14:paraId="3BA85027" w14:textId="77777777">
      <w:pPr>
        <w:jc w:val="both"/>
        <w:rPr>
          <w:rFonts w:ascii="Arial" w:hAnsi="Arial" w:cs="Arial"/>
          <w:sz w:val="24"/>
          <w:szCs w:val="24"/>
        </w:rPr>
      </w:pPr>
    </w:p>
    <w:p w:rsidRPr="00AF4628" w:rsidR="00D07F97" w:rsidRDefault="00D07F97" w14:paraId="4317B857" w14:textId="77777777">
      <w:pPr>
        <w:pStyle w:val="BodyText2"/>
        <w:rPr>
          <w:rFonts w:cs="Arial"/>
          <w:szCs w:val="24"/>
        </w:rPr>
      </w:pPr>
      <w:r w:rsidRPr="00AF4628">
        <w:rPr>
          <w:rFonts w:cs="Arial"/>
          <w:szCs w:val="24"/>
        </w:rPr>
        <w:t xml:space="preserve">For clarity, the burden explanations have been separated into sections a. and b.  Table </w:t>
      </w:r>
      <w:r w:rsidRPr="00AF4628" w:rsidR="00DF076D">
        <w:rPr>
          <w:rFonts w:cs="Arial"/>
          <w:szCs w:val="24"/>
        </w:rPr>
        <w:t>2</w:t>
      </w:r>
      <w:r w:rsidRPr="00AF4628">
        <w:rPr>
          <w:rFonts w:cs="Arial"/>
          <w:szCs w:val="24"/>
        </w:rPr>
        <w:t xml:space="preserve"> combines both the deposits of biological materials and the depositories’ information and calculates the burden hours and costs of this information collection to the public, based on the following factors:</w:t>
      </w:r>
    </w:p>
    <w:p w:rsidRPr="00AF4628" w:rsidR="007F1AD1" w:rsidRDefault="007F1AD1" w14:paraId="0007C916" w14:textId="77777777">
      <w:pPr>
        <w:pStyle w:val="BodyText2"/>
        <w:rPr>
          <w:rFonts w:cs="Arial"/>
          <w:szCs w:val="24"/>
        </w:rPr>
      </w:pPr>
    </w:p>
    <w:p w:rsidRPr="00AF4628" w:rsidR="00D07F97" w:rsidRDefault="00D07F97" w14:paraId="45B9FE8C" w14:textId="77777777">
      <w:pPr>
        <w:pStyle w:val="BodyText2"/>
        <w:rPr>
          <w:rFonts w:cs="Arial"/>
          <w:szCs w:val="24"/>
        </w:rPr>
      </w:pPr>
      <w:r w:rsidRPr="00AF4628">
        <w:rPr>
          <w:rFonts w:cs="Arial"/>
          <w:szCs w:val="24"/>
        </w:rPr>
        <w:t>a.</w:t>
      </w:r>
      <w:r w:rsidRPr="00AF4628">
        <w:rPr>
          <w:rFonts w:cs="Arial"/>
          <w:szCs w:val="24"/>
        </w:rPr>
        <w:tab/>
      </w:r>
      <w:r w:rsidRPr="00AF4628">
        <w:rPr>
          <w:rFonts w:cs="Arial"/>
          <w:szCs w:val="24"/>
          <w:u w:val="single"/>
        </w:rPr>
        <w:t>Deposits of Biological Materials</w:t>
      </w:r>
    </w:p>
    <w:p w:rsidRPr="00AF4628" w:rsidR="00D07F97" w:rsidRDefault="00D07F97" w14:paraId="0B672B7D" w14:textId="77777777">
      <w:pPr>
        <w:jc w:val="both"/>
        <w:rPr>
          <w:rFonts w:ascii="Arial" w:hAnsi="Arial" w:cs="Arial"/>
          <w:sz w:val="24"/>
          <w:szCs w:val="24"/>
        </w:rPr>
      </w:pPr>
    </w:p>
    <w:p w:rsidRPr="00AF4628" w:rsidR="00D07F97" w:rsidP="00AF4628" w:rsidRDefault="00D07F97" w14:paraId="0FFC075F" w14:textId="77777777">
      <w:pPr>
        <w:numPr>
          <w:ilvl w:val="0"/>
          <w:numId w:val="2"/>
        </w:numPr>
        <w:tabs>
          <w:tab w:val="clear" w:pos="360"/>
          <w:tab w:val="num" w:pos="720"/>
        </w:tabs>
        <w:ind w:left="720" w:hanging="720"/>
        <w:jc w:val="both"/>
        <w:rPr>
          <w:rFonts w:ascii="Arial" w:hAnsi="Arial" w:cs="Arial"/>
          <w:b/>
          <w:sz w:val="24"/>
          <w:szCs w:val="24"/>
        </w:rPr>
      </w:pPr>
      <w:r w:rsidRPr="00AF4628">
        <w:rPr>
          <w:rFonts w:ascii="Arial" w:hAnsi="Arial" w:cs="Arial"/>
          <w:b/>
          <w:sz w:val="24"/>
          <w:szCs w:val="24"/>
        </w:rPr>
        <w:t>Respondent Calculation Factors</w:t>
      </w:r>
    </w:p>
    <w:p w:rsidRPr="00AF4628" w:rsidR="003305AB" w:rsidRDefault="00D07F97" w14:paraId="52B37A63" w14:textId="77777777">
      <w:pPr>
        <w:pStyle w:val="BodyTextIndent"/>
        <w:rPr>
          <w:rFonts w:cs="Arial"/>
          <w:szCs w:val="24"/>
        </w:rPr>
      </w:pPr>
      <w:r w:rsidRPr="00AF4628">
        <w:rPr>
          <w:rFonts w:cs="Arial"/>
          <w:szCs w:val="24"/>
        </w:rPr>
        <w:t xml:space="preserve">The USPTO </w:t>
      </w:r>
      <w:r w:rsidRPr="00AF4628" w:rsidR="00A9405D">
        <w:rPr>
          <w:rFonts w:cs="Arial"/>
          <w:szCs w:val="24"/>
        </w:rPr>
        <w:t xml:space="preserve">estimates that approximately </w:t>
      </w:r>
      <w:r w:rsidRPr="00AF4628" w:rsidR="00BA6DDB">
        <w:rPr>
          <w:rFonts w:cs="Arial"/>
          <w:szCs w:val="24"/>
        </w:rPr>
        <w:t>9</w:t>
      </w:r>
      <w:r w:rsidR="00BA6DDB">
        <w:rPr>
          <w:rFonts w:cs="Arial"/>
          <w:szCs w:val="24"/>
        </w:rPr>
        <w:t>5</w:t>
      </w:r>
      <w:r w:rsidRPr="00AF4628" w:rsidR="00BA6DDB">
        <w:rPr>
          <w:rFonts w:cs="Arial"/>
          <w:szCs w:val="24"/>
        </w:rPr>
        <w:t xml:space="preserve">0 </w:t>
      </w:r>
      <w:r w:rsidRPr="00AF4628">
        <w:rPr>
          <w:rFonts w:cs="Arial"/>
          <w:szCs w:val="24"/>
        </w:rPr>
        <w:t xml:space="preserve">deposits of biological materials are made per year in order to meet </w:t>
      </w:r>
      <w:r w:rsidRPr="00AF4628" w:rsidR="00A61E28">
        <w:rPr>
          <w:rFonts w:cs="Arial"/>
          <w:szCs w:val="24"/>
        </w:rPr>
        <w:t xml:space="preserve">the requirements of 35 U.S.C. </w:t>
      </w:r>
      <w:r w:rsidRPr="00435B59" w:rsidR="00A9405D">
        <w:rPr>
          <w:rFonts w:cs="Arial"/>
          <w:szCs w:val="24"/>
        </w:rPr>
        <w:t xml:space="preserve">§ </w:t>
      </w:r>
      <w:r w:rsidRPr="00AF4628">
        <w:rPr>
          <w:rFonts w:cs="Arial"/>
          <w:szCs w:val="24"/>
        </w:rPr>
        <w:t>112 for inventions pertaining to biological materials</w:t>
      </w:r>
      <w:r w:rsidRPr="00AF4628" w:rsidR="007C57EE">
        <w:rPr>
          <w:rFonts w:cs="Arial"/>
          <w:szCs w:val="24"/>
        </w:rPr>
        <w:t xml:space="preserve">, with </w:t>
      </w:r>
      <w:r w:rsidRPr="00AF4628" w:rsidR="00377FD8">
        <w:rPr>
          <w:rFonts w:cs="Arial"/>
          <w:szCs w:val="24"/>
        </w:rPr>
        <w:t>3</w:t>
      </w:r>
      <w:r w:rsidRPr="00AF4628" w:rsidR="007C57EE">
        <w:rPr>
          <w:rFonts w:cs="Arial"/>
          <w:szCs w:val="24"/>
        </w:rPr>
        <w:t>% of these from small entities</w:t>
      </w:r>
      <w:r w:rsidRPr="00AF4628">
        <w:rPr>
          <w:rFonts w:cs="Arial"/>
          <w:szCs w:val="24"/>
        </w:rPr>
        <w:t>.</w:t>
      </w:r>
    </w:p>
    <w:p w:rsidRPr="00AF4628" w:rsidR="003305AB" w:rsidRDefault="003305AB" w14:paraId="4A6B0E9E" w14:textId="77777777">
      <w:pPr>
        <w:pStyle w:val="BodyTextIndent"/>
        <w:rPr>
          <w:rFonts w:cs="Arial"/>
          <w:szCs w:val="24"/>
        </w:rPr>
      </w:pPr>
    </w:p>
    <w:p w:rsidRPr="00AF4628" w:rsidR="00D07F97" w:rsidRDefault="003305AB" w14:paraId="081C9766" w14:textId="77777777">
      <w:pPr>
        <w:pStyle w:val="BodyTextIndent"/>
        <w:rPr>
          <w:rFonts w:cs="Arial"/>
          <w:szCs w:val="24"/>
        </w:rPr>
      </w:pPr>
      <w:r w:rsidRPr="00AF4628">
        <w:rPr>
          <w:rFonts w:cs="Arial"/>
          <w:szCs w:val="24"/>
        </w:rPr>
        <w:t>These estimates are based on the Agency’s long-standing institutional knowledge of and experience with the type of information collected by these items.</w:t>
      </w:r>
      <w:r w:rsidRPr="00AF4628" w:rsidR="00D07F97">
        <w:rPr>
          <w:rFonts w:cs="Arial"/>
          <w:szCs w:val="24"/>
        </w:rPr>
        <w:t xml:space="preserve">  </w:t>
      </w:r>
    </w:p>
    <w:p w:rsidRPr="00AF4628" w:rsidR="00AC6C03" w:rsidRDefault="00AC6C03" w14:paraId="4BE8C8EB" w14:textId="77777777">
      <w:pPr>
        <w:jc w:val="both"/>
        <w:rPr>
          <w:rFonts w:ascii="Arial" w:hAnsi="Arial" w:cs="Arial"/>
          <w:b/>
          <w:sz w:val="24"/>
          <w:szCs w:val="24"/>
        </w:rPr>
      </w:pPr>
    </w:p>
    <w:p w:rsidRPr="00AF4628" w:rsidR="00D07F97" w:rsidP="00AF4628" w:rsidRDefault="00D07F97" w14:paraId="3C70C74C" w14:textId="77777777">
      <w:pPr>
        <w:numPr>
          <w:ilvl w:val="0"/>
          <w:numId w:val="3"/>
        </w:numPr>
        <w:tabs>
          <w:tab w:val="clear" w:pos="360"/>
          <w:tab w:val="num" w:pos="720"/>
        </w:tabs>
        <w:ind w:left="720" w:hanging="720"/>
        <w:jc w:val="both"/>
        <w:rPr>
          <w:rFonts w:ascii="Arial" w:hAnsi="Arial" w:cs="Arial"/>
          <w:b/>
          <w:sz w:val="24"/>
          <w:szCs w:val="24"/>
        </w:rPr>
      </w:pPr>
      <w:r w:rsidRPr="00AF4628">
        <w:rPr>
          <w:rFonts w:ascii="Arial" w:hAnsi="Arial" w:cs="Arial"/>
          <w:b/>
          <w:sz w:val="24"/>
          <w:szCs w:val="24"/>
        </w:rPr>
        <w:t>Burden Hour Calculation Factors</w:t>
      </w:r>
    </w:p>
    <w:p w:rsidRPr="00AF4628" w:rsidR="00D07F97" w:rsidRDefault="00D07F97" w14:paraId="4D9A85FA" w14:textId="77777777">
      <w:pPr>
        <w:ind w:left="720"/>
        <w:jc w:val="both"/>
        <w:rPr>
          <w:rFonts w:ascii="Arial" w:hAnsi="Arial" w:cs="Arial"/>
          <w:sz w:val="24"/>
          <w:szCs w:val="24"/>
        </w:rPr>
      </w:pPr>
      <w:r w:rsidRPr="00AF4628">
        <w:rPr>
          <w:rFonts w:ascii="Arial" w:hAnsi="Arial" w:cs="Arial"/>
          <w:sz w:val="24"/>
          <w:szCs w:val="24"/>
        </w:rPr>
        <w:t xml:space="preserve">The USPTO estimates that the burden hours required by the average patent applicant respondent to collect and submit the necessary deposit information </w:t>
      </w:r>
      <w:r w:rsidRPr="00AF4628" w:rsidR="00C60F6D">
        <w:rPr>
          <w:rFonts w:ascii="Arial" w:hAnsi="Arial" w:cs="Arial"/>
          <w:sz w:val="24"/>
          <w:szCs w:val="24"/>
        </w:rPr>
        <w:t>would</w:t>
      </w:r>
      <w:r w:rsidRPr="00AF4628">
        <w:rPr>
          <w:rFonts w:ascii="Arial" w:hAnsi="Arial" w:cs="Arial"/>
          <w:sz w:val="24"/>
          <w:szCs w:val="24"/>
        </w:rPr>
        <w:t xml:space="preserve"> be </w:t>
      </w:r>
      <w:r w:rsidRPr="00AF4628" w:rsidR="00A61E28">
        <w:rPr>
          <w:rFonts w:ascii="Arial" w:hAnsi="Arial" w:cs="Arial"/>
          <w:sz w:val="24"/>
          <w:szCs w:val="24"/>
        </w:rPr>
        <w:t>1</w:t>
      </w:r>
      <w:r w:rsidRPr="00AF4628">
        <w:rPr>
          <w:rFonts w:ascii="Arial" w:hAnsi="Arial" w:cs="Arial"/>
          <w:sz w:val="24"/>
          <w:szCs w:val="24"/>
        </w:rPr>
        <w:t xml:space="preserve"> hour annually.  </w:t>
      </w:r>
    </w:p>
    <w:p w:rsidRPr="00AF4628" w:rsidR="008E2912" w:rsidRDefault="008E2912" w14:paraId="3C1299B8" w14:textId="77777777">
      <w:pPr>
        <w:ind w:left="720"/>
        <w:jc w:val="both"/>
        <w:rPr>
          <w:rFonts w:ascii="Arial" w:hAnsi="Arial" w:cs="Arial"/>
          <w:sz w:val="24"/>
          <w:szCs w:val="24"/>
        </w:rPr>
      </w:pPr>
    </w:p>
    <w:p w:rsidRPr="00AF4628" w:rsidR="008E2912" w:rsidRDefault="008E2912" w14:paraId="309FEFC7" w14:textId="77777777">
      <w:pPr>
        <w:ind w:left="720"/>
        <w:jc w:val="both"/>
        <w:rPr>
          <w:rFonts w:ascii="Arial" w:hAnsi="Arial" w:cs="Arial"/>
          <w:sz w:val="24"/>
          <w:szCs w:val="24"/>
        </w:rPr>
      </w:pPr>
      <w:r w:rsidRPr="00AF4628">
        <w:rPr>
          <w:rFonts w:ascii="Arial" w:hAnsi="Arial" w:cs="Arial"/>
          <w:sz w:val="24"/>
          <w:szCs w:val="24"/>
        </w:rPr>
        <w:t>These estimates are based on the Agency’s long-standing institutional knowledge of and experience with the type of information collected and the length of time necessary to complete responses containing similar information.</w:t>
      </w:r>
    </w:p>
    <w:p w:rsidRPr="00AF4628" w:rsidR="00D07F97" w:rsidRDefault="00D07F97" w14:paraId="02BE6729" w14:textId="77777777">
      <w:pPr>
        <w:jc w:val="both"/>
        <w:rPr>
          <w:rFonts w:ascii="Arial" w:hAnsi="Arial" w:cs="Arial"/>
          <w:sz w:val="24"/>
          <w:szCs w:val="24"/>
        </w:rPr>
      </w:pPr>
    </w:p>
    <w:p w:rsidR="0060663D" w:rsidP="0060663D" w:rsidRDefault="0060663D" w14:paraId="5ADB6C89" w14:textId="77777777">
      <w:pPr>
        <w:numPr>
          <w:ilvl w:val="0"/>
          <w:numId w:val="16"/>
        </w:numPr>
        <w:ind w:hanging="720"/>
        <w:jc w:val="both"/>
        <w:rPr>
          <w:rFonts w:ascii="Arial" w:hAnsi="Arial" w:cs="Arial"/>
          <w:sz w:val="24"/>
          <w:szCs w:val="24"/>
        </w:rPr>
      </w:pPr>
      <w:r>
        <w:rPr>
          <w:rFonts w:ascii="Arial" w:hAnsi="Arial" w:cs="Arial"/>
          <w:b/>
          <w:sz w:val="24"/>
          <w:szCs w:val="24"/>
        </w:rPr>
        <w:lastRenderedPageBreak/>
        <w:t>Cost Burden Calculation Factors</w:t>
      </w:r>
    </w:p>
    <w:p w:rsidR="0060663D" w:rsidP="0060663D" w:rsidRDefault="0060663D" w14:paraId="2EDFA8B3" w14:textId="77777777">
      <w:pPr>
        <w:pStyle w:val="BodyText2"/>
        <w:ind w:left="720"/>
        <w:rPr>
          <w:rFonts w:cs="Arial"/>
          <w:szCs w:val="24"/>
        </w:rPr>
      </w:pPr>
      <w:r>
        <w:rPr>
          <w:rFonts w:cs="Arial"/>
          <w:szCs w:val="24"/>
        </w:rPr>
        <w:t>The USPTO uses a professional rate of $28.14 for a senior administrative assistant (</w:t>
      </w:r>
      <w:hyperlink w:history="1" r:id="rId14">
        <w:r>
          <w:rPr>
            <w:rStyle w:val="Hyperlink"/>
            <w:rFonts w:cs="Arial"/>
            <w:szCs w:val="24"/>
          </w:rPr>
          <w:t>BLS rate; 43–1011</w:t>
        </w:r>
      </w:hyperlink>
      <w:r>
        <w:rPr>
          <w:rStyle w:val="FootnoteReference"/>
          <w:rFonts w:cs="Arial"/>
          <w:szCs w:val="24"/>
        </w:rPr>
        <w:footnoteReference w:id="2"/>
      </w:r>
      <w:r>
        <w:rPr>
          <w:rFonts w:cs="Arial"/>
          <w:szCs w:val="24"/>
        </w:rPr>
        <w:t xml:space="preserve"> First Line Supervisors of Office and Administrative Support Workers) to collect and submit the deposit information. When 30% is added to account for a fully-loaded hourly rate (benefits plus overhead), the rate per hour is $36.58 ($28.14+$8.44).  </w:t>
      </w:r>
    </w:p>
    <w:p w:rsidR="0060663D" w:rsidP="00C050C9" w:rsidRDefault="0060663D" w14:paraId="1EDCB02E" w14:textId="5691BA42">
      <w:pPr>
        <w:pStyle w:val="BodyTextIndent2"/>
        <w:ind w:left="0"/>
        <w:rPr>
          <w:rFonts w:cs="Arial"/>
          <w:sz w:val="24"/>
          <w:szCs w:val="24"/>
        </w:rPr>
      </w:pPr>
    </w:p>
    <w:p w:rsidR="0060663D" w:rsidP="0060663D" w:rsidRDefault="0060663D" w14:paraId="135F8DA9" w14:textId="77777777">
      <w:pPr>
        <w:pStyle w:val="BodyText2"/>
        <w:rPr>
          <w:rFonts w:cs="Arial"/>
          <w:szCs w:val="24"/>
        </w:rPr>
      </w:pPr>
      <w:r>
        <w:rPr>
          <w:rFonts w:cs="Arial"/>
          <w:szCs w:val="24"/>
        </w:rPr>
        <w:t>b.</w:t>
      </w:r>
      <w:r>
        <w:rPr>
          <w:rFonts w:cs="Arial"/>
          <w:szCs w:val="24"/>
        </w:rPr>
        <w:tab/>
      </w:r>
      <w:r>
        <w:rPr>
          <w:rFonts w:cs="Arial"/>
          <w:szCs w:val="24"/>
          <w:u w:val="single"/>
        </w:rPr>
        <w:t>Depositories</w:t>
      </w:r>
    </w:p>
    <w:p w:rsidR="0060663D" w:rsidP="0060663D" w:rsidRDefault="0060663D" w14:paraId="53CA41AB" w14:textId="77777777">
      <w:pPr>
        <w:jc w:val="both"/>
        <w:rPr>
          <w:rFonts w:ascii="Arial" w:hAnsi="Arial" w:cs="Arial"/>
          <w:sz w:val="24"/>
          <w:szCs w:val="24"/>
        </w:rPr>
      </w:pPr>
    </w:p>
    <w:p w:rsidR="0060663D" w:rsidP="0060663D" w:rsidRDefault="0060663D" w14:paraId="11461C95" w14:textId="77777777">
      <w:pPr>
        <w:numPr>
          <w:ilvl w:val="0"/>
          <w:numId w:val="17"/>
        </w:numPr>
        <w:tabs>
          <w:tab w:val="clear" w:pos="360"/>
          <w:tab w:val="num" w:pos="720"/>
        </w:tabs>
        <w:ind w:left="720" w:hanging="720"/>
        <w:jc w:val="both"/>
        <w:rPr>
          <w:rFonts w:ascii="Arial" w:hAnsi="Arial" w:cs="Arial"/>
          <w:b/>
          <w:sz w:val="24"/>
          <w:szCs w:val="24"/>
        </w:rPr>
      </w:pPr>
      <w:r>
        <w:rPr>
          <w:rFonts w:ascii="Arial" w:hAnsi="Arial" w:cs="Arial"/>
          <w:b/>
          <w:sz w:val="24"/>
          <w:szCs w:val="24"/>
        </w:rPr>
        <w:t>Respondent Calculation Factors</w:t>
      </w:r>
    </w:p>
    <w:p w:rsidR="0060663D" w:rsidP="0060663D" w:rsidRDefault="0060663D" w14:paraId="49C34357" w14:textId="77777777">
      <w:pPr>
        <w:pStyle w:val="BodyTextIndent"/>
        <w:rPr>
          <w:rFonts w:cs="Arial"/>
          <w:szCs w:val="24"/>
        </w:rPr>
      </w:pPr>
      <w:r>
        <w:rPr>
          <w:rFonts w:cs="Arial"/>
          <w:szCs w:val="24"/>
        </w:rPr>
        <w:t xml:space="preserve">No depository has requested recognition by the USPTO to serve as a depository of biological materials since September 1994, but 5 existing depositories were grandfathered under current law in 1994.  For the purpose of this submission, the USPTO estimates that one depository might seek recognition annually.  </w:t>
      </w:r>
    </w:p>
    <w:p w:rsidR="0060663D" w:rsidP="0060663D" w:rsidRDefault="0060663D" w14:paraId="62FB37D2" w14:textId="77777777">
      <w:pPr>
        <w:pStyle w:val="BodyTextIndent"/>
        <w:rPr>
          <w:rFonts w:cs="Arial"/>
          <w:szCs w:val="24"/>
        </w:rPr>
      </w:pPr>
    </w:p>
    <w:p w:rsidR="0060663D" w:rsidP="0060663D" w:rsidRDefault="0060663D" w14:paraId="5A995D9C" w14:textId="77777777">
      <w:pPr>
        <w:pStyle w:val="BodyTextIndent"/>
        <w:rPr>
          <w:rFonts w:cs="Arial"/>
          <w:szCs w:val="24"/>
        </w:rPr>
      </w:pPr>
      <w:r>
        <w:rPr>
          <w:rFonts w:cs="Arial"/>
          <w:szCs w:val="24"/>
        </w:rPr>
        <w:t xml:space="preserve">These estimates are based on the Agency’s long-standing institutional knowledge of and experience with the type of information collected by these items.  </w:t>
      </w:r>
    </w:p>
    <w:p w:rsidR="0060663D" w:rsidP="0060663D" w:rsidRDefault="0060663D" w14:paraId="48A92035" w14:textId="77777777">
      <w:pPr>
        <w:jc w:val="both"/>
        <w:rPr>
          <w:rFonts w:ascii="Arial" w:hAnsi="Arial" w:cs="Arial"/>
          <w:b/>
          <w:sz w:val="24"/>
          <w:szCs w:val="24"/>
        </w:rPr>
      </w:pPr>
    </w:p>
    <w:p w:rsidR="0060663D" w:rsidP="0060663D" w:rsidRDefault="0060663D" w14:paraId="1B4578BC" w14:textId="77777777">
      <w:pPr>
        <w:numPr>
          <w:ilvl w:val="0"/>
          <w:numId w:val="18"/>
        </w:numPr>
        <w:tabs>
          <w:tab w:val="clear" w:pos="360"/>
          <w:tab w:val="num" w:pos="720"/>
        </w:tabs>
        <w:ind w:left="720" w:hanging="720"/>
        <w:jc w:val="both"/>
        <w:rPr>
          <w:rFonts w:ascii="Arial" w:hAnsi="Arial" w:cs="Arial"/>
          <w:b/>
          <w:sz w:val="24"/>
          <w:szCs w:val="24"/>
        </w:rPr>
      </w:pPr>
      <w:r>
        <w:rPr>
          <w:rFonts w:ascii="Arial" w:hAnsi="Arial" w:cs="Arial"/>
          <w:b/>
          <w:sz w:val="24"/>
          <w:szCs w:val="24"/>
        </w:rPr>
        <w:t>Burden Hour Calculation Factors</w:t>
      </w:r>
    </w:p>
    <w:p w:rsidR="0060663D" w:rsidP="0060663D" w:rsidRDefault="0060663D" w14:paraId="533571DA" w14:textId="77777777">
      <w:pPr>
        <w:ind w:left="720"/>
        <w:jc w:val="both"/>
        <w:rPr>
          <w:rFonts w:ascii="Arial" w:hAnsi="Arial" w:cs="Arial"/>
          <w:sz w:val="24"/>
          <w:szCs w:val="24"/>
        </w:rPr>
      </w:pPr>
      <w:r>
        <w:rPr>
          <w:rFonts w:ascii="Arial" w:hAnsi="Arial" w:cs="Arial"/>
          <w:sz w:val="24"/>
          <w:szCs w:val="24"/>
        </w:rPr>
        <w:t xml:space="preserve">The USPTO estimates that the burden hours required by the average depository seeking approval to store biological materials would be approximately 5 hours spent in collecting and submitting the necessary approval information.  </w:t>
      </w:r>
    </w:p>
    <w:p w:rsidR="0060663D" w:rsidP="0060663D" w:rsidRDefault="0060663D" w14:paraId="445DA2D1" w14:textId="77777777">
      <w:pPr>
        <w:ind w:left="720"/>
        <w:jc w:val="both"/>
        <w:rPr>
          <w:rFonts w:ascii="Arial" w:hAnsi="Arial" w:cs="Arial"/>
          <w:sz w:val="24"/>
          <w:szCs w:val="24"/>
        </w:rPr>
      </w:pPr>
    </w:p>
    <w:p w:rsidR="0060663D" w:rsidP="0060663D" w:rsidRDefault="0060663D" w14:paraId="573C17F9" w14:textId="77777777">
      <w:pPr>
        <w:ind w:left="720"/>
        <w:jc w:val="both"/>
        <w:rPr>
          <w:rFonts w:ascii="Arial" w:hAnsi="Arial" w:cs="Arial"/>
          <w:sz w:val="24"/>
          <w:szCs w:val="24"/>
        </w:rPr>
      </w:pPr>
      <w:r>
        <w:rPr>
          <w:rFonts w:ascii="Arial" w:hAnsi="Arial" w:cs="Arial"/>
          <w:sz w:val="24"/>
          <w:szCs w:val="24"/>
        </w:rPr>
        <w:t>These estimates are based on the Agency’s long-standing institutional knowledge of and experience with the type of information collected and the length of time necessary to complete responses containing similar information.</w:t>
      </w:r>
    </w:p>
    <w:p w:rsidR="0060663D" w:rsidP="0060663D" w:rsidRDefault="0060663D" w14:paraId="37708273" w14:textId="77777777">
      <w:pPr>
        <w:jc w:val="both"/>
        <w:rPr>
          <w:rFonts w:ascii="Arial" w:hAnsi="Arial" w:cs="Arial"/>
          <w:sz w:val="24"/>
          <w:szCs w:val="24"/>
        </w:rPr>
      </w:pPr>
    </w:p>
    <w:p w:rsidR="0060663D" w:rsidP="0060663D" w:rsidRDefault="0060663D" w14:paraId="72494B31" w14:textId="77777777">
      <w:pPr>
        <w:numPr>
          <w:ilvl w:val="0"/>
          <w:numId w:val="16"/>
        </w:numPr>
        <w:ind w:hanging="720"/>
        <w:jc w:val="both"/>
        <w:rPr>
          <w:rFonts w:ascii="Arial" w:hAnsi="Arial" w:cs="Arial"/>
          <w:sz w:val="24"/>
          <w:szCs w:val="24"/>
        </w:rPr>
      </w:pPr>
      <w:r>
        <w:rPr>
          <w:rFonts w:ascii="Arial" w:hAnsi="Arial" w:cs="Arial"/>
          <w:b/>
          <w:sz w:val="24"/>
          <w:szCs w:val="24"/>
        </w:rPr>
        <w:t>Cost Burden Calculation Factors</w:t>
      </w:r>
    </w:p>
    <w:p w:rsidR="0060663D" w:rsidP="0060663D" w:rsidRDefault="0060663D" w14:paraId="00D699B4" w14:textId="77777777">
      <w:pPr>
        <w:pStyle w:val="BodyTextIndent2"/>
        <w:rPr>
          <w:rFonts w:cs="Arial"/>
          <w:sz w:val="24"/>
          <w:szCs w:val="24"/>
        </w:rPr>
      </w:pPr>
      <w:r>
        <w:rPr>
          <w:rFonts w:cs="Arial"/>
          <w:sz w:val="24"/>
          <w:szCs w:val="24"/>
        </w:rPr>
        <w:t>The USPTO uses a professional rate of $68.22 per hour for those completing a Request for Depository Approval, which is the mean rate for attorneys in private firms as shown in the Bureau of Labor Statistics (</w:t>
      </w:r>
      <w:hyperlink w:history="1" r:id="rId15">
        <w:r>
          <w:rPr>
            <w:rStyle w:val="Hyperlink"/>
            <w:rFonts w:cs="Arial"/>
            <w:sz w:val="24"/>
            <w:szCs w:val="24"/>
          </w:rPr>
          <w:t>BLS rate; 23-1011</w:t>
        </w:r>
      </w:hyperlink>
      <w:r>
        <w:rPr>
          <w:rStyle w:val="FootnoteReference"/>
          <w:rFonts w:cs="Arial"/>
          <w:sz w:val="24"/>
          <w:szCs w:val="24"/>
        </w:rPr>
        <w:footnoteReference w:id="3"/>
      </w:r>
      <w:r>
        <w:rPr>
          <w:rFonts w:cs="Arial"/>
          <w:sz w:val="24"/>
          <w:szCs w:val="24"/>
        </w:rPr>
        <w:t xml:space="preserve"> Lawyers). When 30% is added to account for a fully-loaded hourly rate (benefits plus overhead), the rate per hour for an attorney, is $85.98 ($20.47 + $68.22).</w:t>
      </w:r>
    </w:p>
    <w:p w:rsidR="0060663D" w:rsidP="0060663D" w:rsidRDefault="0060663D" w14:paraId="43D34E74" w14:textId="77777777">
      <w:pPr>
        <w:rPr>
          <w:rFonts w:ascii="Arial" w:hAnsi="Arial" w:cs="Arial"/>
          <w:sz w:val="24"/>
          <w:szCs w:val="24"/>
        </w:rPr>
      </w:pPr>
    </w:p>
    <w:p w:rsidR="0060663D" w:rsidP="0060663D" w:rsidRDefault="0060663D" w14:paraId="1C759D99" w14:textId="77777777">
      <w:pPr>
        <w:rPr>
          <w:rFonts w:ascii="Arial" w:hAnsi="Arial" w:cs="Arial"/>
          <w:sz w:val="24"/>
          <w:szCs w:val="24"/>
        </w:rPr>
      </w:pPr>
    </w:p>
    <w:p w:rsidR="0060663D" w:rsidP="0060663D" w:rsidRDefault="0060663D" w14:paraId="672BB346" w14:textId="77777777">
      <w:pPr>
        <w:rPr>
          <w:rFonts w:ascii="Arial" w:hAnsi="Arial" w:cs="Arial"/>
          <w:sz w:val="24"/>
          <w:szCs w:val="24"/>
        </w:rPr>
      </w:pPr>
    </w:p>
    <w:p w:rsidR="0060663D" w:rsidP="0060663D" w:rsidRDefault="0060663D" w14:paraId="12896338" w14:textId="77777777">
      <w:pPr>
        <w:rPr>
          <w:rFonts w:ascii="Arial" w:hAnsi="Arial" w:cs="Arial"/>
          <w:sz w:val="24"/>
          <w:szCs w:val="24"/>
        </w:rPr>
      </w:pPr>
    </w:p>
    <w:p w:rsidR="0060663D" w:rsidP="0060663D" w:rsidRDefault="0060663D" w14:paraId="3BB00634" w14:textId="77777777">
      <w:pPr>
        <w:rPr>
          <w:rFonts w:ascii="Arial" w:hAnsi="Arial" w:cs="Arial"/>
          <w:sz w:val="24"/>
          <w:szCs w:val="24"/>
        </w:rPr>
      </w:pPr>
    </w:p>
    <w:p w:rsidR="0060663D" w:rsidP="0060663D" w:rsidRDefault="0060663D" w14:paraId="6AEACED5" w14:textId="77777777">
      <w:pPr>
        <w:rPr>
          <w:rFonts w:ascii="Arial" w:hAnsi="Arial" w:cs="Arial"/>
          <w:sz w:val="24"/>
          <w:szCs w:val="24"/>
        </w:rPr>
      </w:pPr>
    </w:p>
    <w:p w:rsidR="0060663D" w:rsidP="0060663D" w:rsidRDefault="0060663D" w14:paraId="4D0DA854" w14:textId="77777777">
      <w:pPr>
        <w:pStyle w:val="Heading5"/>
        <w:jc w:val="both"/>
        <w:rPr>
          <w:rFonts w:cs="Arial"/>
          <w:sz w:val="24"/>
          <w:szCs w:val="24"/>
        </w:rPr>
      </w:pPr>
      <w:r>
        <w:rPr>
          <w:rFonts w:cs="Arial"/>
          <w:sz w:val="24"/>
          <w:szCs w:val="24"/>
        </w:rPr>
        <w:lastRenderedPageBreak/>
        <w:t>Table 2:  Burden Hour/Burden Cost to Respondents</w:t>
      </w:r>
    </w:p>
    <w:tbl>
      <w:tblPr>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2610"/>
        <w:gridCol w:w="1170"/>
        <w:gridCol w:w="1170"/>
        <w:gridCol w:w="1260"/>
        <w:gridCol w:w="1080"/>
        <w:gridCol w:w="1440"/>
      </w:tblGrid>
      <w:tr w:rsidR="0060663D" w:rsidTr="0060663D" w14:paraId="25D8CF2F" w14:textId="77777777">
        <w:trPr>
          <w:cantSplit/>
          <w:tblHeader/>
        </w:trPr>
        <w:tc>
          <w:tcPr>
            <w:tcW w:w="630" w:type="dxa"/>
            <w:tcBorders>
              <w:top w:val="single" w:color="auto" w:sz="4" w:space="0"/>
              <w:left w:val="single" w:color="auto" w:sz="4" w:space="0"/>
              <w:bottom w:val="single" w:color="auto" w:sz="4" w:space="0"/>
              <w:right w:val="single" w:color="auto" w:sz="4" w:space="0"/>
            </w:tcBorders>
          </w:tcPr>
          <w:p w:rsidR="0060663D" w:rsidRDefault="0060663D" w14:paraId="1FFF8E89" w14:textId="77777777">
            <w:pPr>
              <w:jc w:val="center"/>
              <w:rPr>
                <w:rFonts w:ascii="Arial" w:hAnsi="Arial" w:cs="Arial"/>
                <w:b/>
                <w:sz w:val="24"/>
                <w:szCs w:val="24"/>
              </w:rPr>
            </w:pPr>
          </w:p>
          <w:p w:rsidR="0060663D" w:rsidRDefault="0060663D" w14:paraId="2A0BE674" w14:textId="77777777">
            <w:pPr>
              <w:jc w:val="center"/>
              <w:rPr>
                <w:rFonts w:ascii="Arial" w:hAnsi="Arial" w:cs="Arial"/>
                <w:b/>
                <w:sz w:val="24"/>
                <w:szCs w:val="24"/>
              </w:rPr>
            </w:pPr>
            <w:r>
              <w:rPr>
                <w:rFonts w:ascii="Arial" w:hAnsi="Arial" w:cs="Arial"/>
                <w:b/>
                <w:sz w:val="24"/>
                <w:szCs w:val="24"/>
              </w:rPr>
              <w:t>Item</w:t>
            </w:r>
          </w:p>
          <w:p w:rsidR="0060663D" w:rsidRDefault="0060663D" w14:paraId="2594AAF6" w14:textId="77777777">
            <w:pPr>
              <w:jc w:val="center"/>
              <w:rPr>
                <w:rFonts w:ascii="Arial" w:hAnsi="Arial" w:cs="Arial"/>
                <w:b/>
                <w:sz w:val="24"/>
                <w:szCs w:val="24"/>
              </w:rPr>
            </w:pPr>
            <w:r>
              <w:rPr>
                <w:rFonts w:ascii="Arial" w:hAnsi="Arial" w:cs="Arial"/>
                <w:b/>
                <w:sz w:val="24"/>
                <w:szCs w:val="24"/>
              </w:rPr>
              <w:t>#</w:t>
            </w:r>
          </w:p>
        </w:tc>
        <w:tc>
          <w:tcPr>
            <w:tcW w:w="2610" w:type="dxa"/>
            <w:tcBorders>
              <w:top w:val="single" w:color="auto" w:sz="4" w:space="0"/>
              <w:left w:val="single" w:color="auto" w:sz="4" w:space="0"/>
              <w:bottom w:val="single" w:color="auto" w:sz="4" w:space="0"/>
              <w:right w:val="single" w:color="auto" w:sz="4" w:space="0"/>
            </w:tcBorders>
          </w:tcPr>
          <w:p w:rsidR="0060663D" w:rsidRDefault="0060663D" w14:paraId="536F6965" w14:textId="77777777">
            <w:pPr>
              <w:jc w:val="center"/>
              <w:rPr>
                <w:rFonts w:ascii="Arial" w:hAnsi="Arial" w:cs="Arial"/>
                <w:b/>
                <w:sz w:val="24"/>
                <w:szCs w:val="24"/>
              </w:rPr>
            </w:pPr>
          </w:p>
          <w:p w:rsidR="0060663D" w:rsidRDefault="0060663D" w14:paraId="742B3336" w14:textId="77777777">
            <w:pPr>
              <w:jc w:val="center"/>
              <w:rPr>
                <w:rFonts w:ascii="Arial" w:hAnsi="Arial" w:cs="Arial"/>
                <w:b/>
                <w:sz w:val="24"/>
                <w:szCs w:val="24"/>
              </w:rPr>
            </w:pPr>
            <w:r>
              <w:rPr>
                <w:rFonts w:ascii="Arial" w:hAnsi="Arial" w:cs="Arial"/>
                <w:b/>
                <w:sz w:val="24"/>
                <w:szCs w:val="24"/>
              </w:rPr>
              <w:t>Item</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3858918F" w14:textId="77777777">
            <w:pPr>
              <w:jc w:val="center"/>
              <w:rPr>
                <w:rFonts w:ascii="Arial" w:hAnsi="Arial" w:cs="Arial"/>
                <w:b/>
                <w:sz w:val="24"/>
                <w:szCs w:val="24"/>
              </w:rPr>
            </w:pPr>
          </w:p>
          <w:p w:rsidR="0060663D" w:rsidRDefault="0060663D" w14:paraId="38D4E701" w14:textId="77777777">
            <w:pPr>
              <w:jc w:val="center"/>
              <w:rPr>
                <w:rFonts w:ascii="Arial" w:hAnsi="Arial" w:cs="Arial"/>
                <w:b/>
                <w:sz w:val="24"/>
                <w:szCs w:val="24"/>
              </w:rPr>
            </w:pPr>
            <w:r>
              <w:rPr>
                <w:rFonts w:ascii="Arial" w:hAnsi="Arial" w:cs="Arial"/>
                <w:b/>
                <w:sz w:val="24"/>
                <w:szCs w:val="24"/>
              </w:rPr>
              <w:t>Hours</w:t>
            </w:r>
          </w:p>
          <w:p w:rsidR="0060663D" w:rsidRDefault="0060663D" w14:paraId="5AAED2D9" w14:textId="77777777">
            <w:pPr>
              <w:jc w:val="center"/>
              <w:rPr>
                <w:rFonts w:ascii="Arial" w:hAnsi="Arial" w:cs="Arial"/>
                <w:b/>
                <w:sz w:val="24"/>
                <w:szCs w:val="24"/>
              </w:rPr>
            </w:pPr>
            <w:r>
              <w:rPr>
                <w:rFonts w:ascii="Arial" w:hAnsi="Arial" w:cs="Arial"/>
                <w:b/>
                <w:sz w:val="24"/>
                <w:szCs w:val="24"/>
              </w:rPr>
              <w:t xml:space="preserve"> (a)</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7FDBC597" w14:textId="77777777">
            <w:pPr>
              <w:jc w:val="center"/>
              <w:rPr>
                <w:rFonts w:ascii="Arial" w:hAnsi="Arial" w:cs="Arial"/>
                <w:b/>
                <w:sz w:val="24"/>
                <w:szCs w:val="24"/>
              </w:rPr>
            </w:pPr>
          </w:p>
          <w:p w:rsidR="0060663D" w:rsidRDefault="0060663D" w14:paraId="2D382E3D" w14:textId="77777777">
            <w:pPr>
              <w:jc w:val="center"/>
              <w:rPr>
                <w:rFonts w:ascii="Arial" w:hAnsi="Arial" w:cs="Arial"/>
                <w:b/>
                <w:sz w:val="24"/>
                <w:szCs w:val="24"/>
              </w:rPr>
            </w:pPr>
            <w:r>
              <w:rPr>
                <w:rFonts w:ascii="Arial" w:hAnsi="Arial" w:cs="Arial"/>
                <w:b/>
                <w:sz w:val="24"/>
                <w:szCs w:val="24"/>
              </w:rPr>
              <w:t>Responses</w:t>
            </w:r>
          </w:p>
          <w:p w:rsidR="0060663D" w:rsidRDefault="0060663D" w14:paraId="5F52A1B7" w14:textId="77777777">
            <w:pPr>
              <w:jc w:val="center"/>
              <w:rPr>
                <w:rFonts w:ascii="Arial" w:hAnsi="Arial" w:cs="Arial"/>
                <w:b/>
                <w:sz w:val="24"/>
                <w:szCs w:val="24"/>
              </w:rPr>
            </w:pPr>
            <w:r>
              <w:rPr>
                <w:rFonts w:ascii="Arial" w:hAnsi="Arial" w:cs="Arial"/>
                <w:b/>
                <w:sz w:val="24"/>
                <w:szCs w:val="24"/>
              </w:rPr>
              <w:t>(</w:t>
            </w:r>
            <w:proofErr w:type="spellStart"/>
            <w:r>
              <w:rPr>
                <w:rFonts w:ascii="Arial" w:hAnsi="Arial" w:cs="Arial"/>
                <w:b/>
                <w:sz w:val="24"/>
                <w:szCs w:val="24"/>
              </w:rPr>
              <w:t>yr</w:t>
            </w:r>
            <w:proofErr w:type="spellEnd"/>
            <w:r>
              <w:rPr>
                <w:rFonts w:ascii="Arial" w:hAnsi="Arial" w:cs="Arial"/>
                <w:b/>
                <w:sz w:val="24"/>
                <w:szCs w:val="24"/>
              </w:rPr>
              <w:t>)</w:t>
            </w:r>
          </w:p>
          <w:p w:rsidR="0060663D" w:rsidRDefault="0060663D" w14:paraId="0012D53B" w14:textId="77777777">
            <w:pPr>
              <w:jc w:val="center"/>
              <w:rPr>
                <w:rFonts w:ascii="Arial" w:hAnsi="Arial" w:cs="Arial"/>
                <w:b/>
                <w:sz w:val="24"/>
                <w:szCs w:val="24"/>
              </w:rPr>
            </w:pPr>
            <w:r>
              <w:rPr>
                <w:rFonts w:ascii="Arial" w:hAnsi="Arial" w:cs="Arial"/>
                <w:b/>
                <w:sz w:val="24"/>
                <w:szCs w:val="24"/>
              </w:rPr>
              <w:t>(b)</w:t>
            </w:r>
          </w:p>
        </w:tc>
        <w:tc>
          <w:tcPr>
            <w:tcW w:w="1260" w:type="dxa"/>
            <w:tcBorders>
              <w:top w:val="single" w:color="auto" w:sz="4" w:space="0"/>
              <w:left w:val="single" w:color="auto" w:sz="4" w:space="0"/>
              <w:bottom w:val="single" w:color="auto" w:sz="4" w:space="0"/>
              <w:right w:val="single" w:color="auto" w:sz="4" w:space="0"/>
            </w:tcBorders>
          </w:tcPr>
          <w:p w:rsidR="0060663D" w:rsidRDefault="0060663D" w14:paraId="6D8AF38D" w14:textId="77777777">
            <w:pPr>
              <w:jc w:val="center"/>
              <w:rPr>
                <w:rFonts w:ascii="Arial" w:hAnsi="Arial" w:cs="Arial"/>
                <w:b/>
                <w:sz w:val="24"/>
                <w:szCs w:val="24"/>
              </w:rPr>
            </w:pPr>
          </w:p>
          <w:p w:rsidR="0060663D" w:rsidRDefault="0060663D" w14:paraId="06AE4E21" w14:textId="77777777">
            <w:pPr>
              <w:jc w:val="center"/>
              <w:rPr>
                <w:rFonts w:ascii="Arial" w:hAnsi="Arial" w:cs="Arial"/>
                <w:b/>
                <w:sz w:val="24"/>
                <w:szCs w:val="24"/>
              </w:rPr>
            </w:pPr>
            <w:r>
              <w:rPr>
                <w:rFonts w:ascii="Arial" w:hAnsi="Arial" w:cs="Arial"/>
                <w:b/>
                <w:sz w:val="24"/>
                <w:szCs w:val="24"/>
              </w:rPr>
              <w:t>Burden</w:t>
            </w:r>
          </w:p>
          <w:p w:rsidR="0060663D" w:rsidRDefault="0060663D" w14:paraId="67F80A73" w14:textId="77777777">
            <w:pPr>
              <w:jc w:val="center"/>
              <w:rPr>
                <w:rFonts w:ascii="Arial" w:hAnsi="Arial" w:cs="Arial"/>
                <w:b/>
                <w:sz w:val="24"/>
                <w:szCs w:val="24"/>
              </w:rPr>
            </w:pPr>
            <w:r>
              <w:rPr>
                <w:rFonts w:ascii="Arial" w:hAnsi="Arial" w:cs="Arial"/>
                <w:b/>
                <w:sz w:val="24"/>
                <w:szCs w:val="24"/>
              </w:rPr>
              <w:t>(</w:t>
            </w:r>
            <w:proofErr w:type="spellStart"/>
            <w:r>
              <w:rPr>
                <w:rFonts w:ascii="Arial" w:hAnsi="Arial" w:cs="Arial"/>
                <w:b/>
                <w:sz w:val="24"/>
                <w:szCs w:val="24"/>
              </w:rPr>
              <w:t>hrs</w:t>
            </w:r>
            <w:proofErr w:type="spellEnd"/>
            <w:r>
              <w:rPr>
                <w:rFonts w:ascii="Arial" w:hAnsi="Arial" w:cs="Arial"/>
                <w:b/>
                <w:sz w:val="24"/>
                <w:szCs w:val="24"/>
              </w:rPr>
              <w:t>/</w:t>
            </w:r>
            <w:proofErr w:type="spellStart"/>
            <w:r>
              <w:rPr>
                <w:rFonts w:ascii="Arial" w:hAnsi="Arial" w:cs="Arial"/>
                <w:b/>
                <w:sz w:val="24"/>
                <w:szCs w:val="24"/>
              </w:rPr>
              <w:t>yr</w:t>
            </w:r>
            <w:proofErr w:type="spellEnd"/>
            <w:r>
              <w:rPr>
                <w:rFonts w:ascii="Arial" w:hAnsi="Arial" w:cs="Arial"/>
                <w:b/>
                <w:sz w:val="24"/>
                <w:szCs w:val="24"/>
              </w:rPr>
              <w:t>)</w:t>
            </w:r>
          </w:p>
          <w:p w:rsidR="0060663D" w:rsidRDefault="0060663D" w14:paraId="31B5BC0A" w14:textId="77777777">
            <w:pPr>
              <w:jc w:val="center"/>
              <w:rPr>
                <w:rFonts w:ascii="Arial" w:hAnsi="Arial" w:cs="Arial"/>
                <w:b/>
                <w:sz w:val="24"/>
                <w:szCs w:val="24"/>
              </w:rPr>
            </w:pPr>
            <w:r>
              <w:rPr>
                <w:rFonts w:ascii="Arial" w:hAnsi="Arial" w:cs="Arial"/>
                <w:b/>
                <w:sz w:val="24"/>
                <w:szCs w:val="24"/>
              </w:rPr>
              <w:t>(c)</w:t>
            </w:r>
          </w:p>
          <w:p w:rsidR="0060663D" w:rsidRDefault="0060663D" w14:paraId="23FB9271" w14:textId="77777777">
            <w:pPr>
              <w:jc w:val="center"/>
              <w:rPr>
                <w:rFonts w:ascii="Arial" w:hAnsi="Arial" w:cs="Arial"/>
                <w:b/>
                <w:sz w:val="24"/>
                <w:szCs w:val="24"/>
              </w:rPr>
            </w:pPr>
            <w:r>
              <w:rPr>
                <w:rFonts w:ascii="Arial" w:hAnsi="Arial" w:cs="Arial"/>
                <w:b/>
                <w:sz w:val="24"/>
                <w:szCs w:val="24"/>
              </w:rPr>
              <w:t>(a) x (b)</w:t>
            </w:r>
          </w:p>
        </w:tc>
        <w:tc>
          <w:tcPr>
            <w:tcW w:w="1080" w:type="dxa"/>
            <w:tcBorders>
              <w:top w:val="single" w:color="auto" w:sz="4" w:space="0"/>
              <w:left w:val="single" w:color="auto" w:sz="4" w:space="0"/>
              <w:bottom w:val="single" w:color="auto" w:sz="4" w:space="0"/>
              <w:right w:val="single" w:color="auto" w:sz="4" w:space="0"/>
            </w:tcBorders>
          </w:tcPr>
          <w:p w:rsidR="0060663D" w:rsidRDefault="0060663D" w14:paraId="052DC57B" w14:textId="77777777">
            <w:pPr>
              <w:jc w:val="center"/>
              <w:rPr>
                <w:rFonts w:ascii="Arial" w:hAnsi="Arial" w:cs="Arial"/>
                <w:b/>
                <w:sz w:val="24"/>
                <w:szCs w:val="24"/>
              </w:rPr>
            </w:pPr>
          </w:p>
          <w:p w:rsidR="0060663D" w:rsidRDefault="0060663D" w14:paraId="47FDBDA6" w14:textId="77777777">
            <w:pPr>
              <w:jc w:val="center"/>
              <w:rPr>
                <w:rFonts w:ascii="Arial" w:hAnsi="Arial" w:cs="Arial"/>
                <w:b/>
                <w:sz w:val="24"/>
                <w:szCs w:val="24"/>
              </w:rPr>
            </w:pPr>
            <w:r>
              <w:rPr>
                <w:rFonts w:ascii="Arial" w:hAnsi="Arial" w:cs="Arial"/>
                <w:b/>
                <w:sz w:val="24"/>
                <w:szCs w:val="24"/>
              </w:rPr>
              <w:t>Rate</w:t>
            </w:r>
          </w:p>
          <w:p w:rsidR="0060663D" w:rsidRDefault="0060663D" w14:paraId="6C616B75" w14:textId="77777777">
            <w:pPr>
              <w:jc w:val="center"/>
              <w:rPr>
                <w:rFonts w:ascii="Arial" w:hAnsi="Arial" w:cs="Arial"/>
                <w:b/>
                <w:sz w:val="24"/>
                <w:szCs w:val="24"/>
              </w:rPr>
            </w:pPr>
            <w:r>
              <w:rPr>
                <w:rFonts w:ascii="Arial" w:hAnsi="Arial" w:cs="Arial"/>
                <w:b/>
                <w:sz w:val="24"/>
                <w:szCs w:val="24"/>
              </w:rPr>
              <w:t>($/</w:t>
            </w:r>
            <w:proofErr w:type="spellStart"/>
            <w:r>
              <w:rPr>
                <w:rFonts w:ascii="Arial" w:hAnsi="Arial" w:cs="Arial"/>
                <w:b/>
                <w:sz w:val="24"/>
                <w:szCs w:val="24"/>
              </w:rPr>
              <w:t>hr</w:t>
            </w:r>
            <w:proofErr w:type="spellEnd"/>
            <w:r>
              <w:rPr>
                <w:rFonts w:ascii="Arial" w:hAnsi="Arial" w:cs="Arial"/>
                <w:b/>
                <w:sz w:val="24"/>
                <w:szCs w:val="24"/>
              </w:rPr>
              <w:t>)</w:t>
            </w:r>
          </w:p>
          <w:p w:rsidR="0060663D" w:rsidRDefault="0060663D" w14:paraId="706465C1" w14:textId="77777777">
            <w:pPr>
              <w:jc w:val="center"/>
              <w:rPr>
                <w:rFonts w:ascii="Arial" w:hAnsi="Arial" w:cs="Arial"/>
                <w:b/>
                <w:sz w:val="24"/>
                <w:szCs w:val="24"/>
              </w:rPr>
            </w:pPr>
            <w:r>
              <w:rPr>
                <w:rFonts w:ascii="Arial" w:hAnsi="Arial" w:cs="Arial"/>
                <w:b/>
                <w:sz w:val="24"/>
                <w:szCs w:val="24"/>
              </w:rPr>
              <w:t>(d)</w:t>
            </w:r>
          </w:p>
        </w:tc>
        <w:tc>
          <w:tcPr>
            <w:tcW w:w="1440" w:type="dxa"/>
            <w:tcBorders>
              <w:top w:val="single" w:color="auto" w:sz="4" w:space="0"/>
              <w:left w:val="single" w:color="auto" w:sz="4" w:space="0"/>
              <w:bottom w:val="single" w:color="auto" w:sz="4" w:space="0"/>
              <w:right w:val="single" w:color="auto" w:sz="4" w:space="0"/>
            </w:tcBorders>
          </w:tcPr>
          <w:p w:rsidR="0060663D" w:rsidRDefault="0060663D" w14:paraId="56A09FDD" w14:textId="77777777">
            <w:pPr>
              <w:jc w:val="center"/>
              <w:rPr>
                <w:rFonts w:ascii="Arial" w:hAnsi="Arial" w:cs="Arial"/>
                <w:b/>
                <w:sz w:val="24"/>
                <w:szCs w:val="24"/>
              </w:rPr>
            </w:pPr>
          </w:p>
          <w:p w:rsidR="0060663D" w:rsidRDefault="0060663D" w14:paraId="6B21B9C6" w14:textId="77777777">
            <w:pPr>
              <w:jc w:val="center"/>
              <w:rPr>
                <w:rFonts w:ascii="Arial" w:hAnsi="Arial" w:cs="Arial"/>
                <w:b/>
                <w:sz w:val="24"/>
                <w:szCs w:val="24"/>
              </w:rPr>
            </w:pPr>
            <w:r>
              <w:rPr>
                <w:rFonts w:ascii="Arial" w:hAnsi="Arial" w:cs="Arial"/>
                <w:b/>
                <w:sz w:val="24"/>
                <w:szCs w:val="24"/>
              </w:rPr>
              <w:t>Total Cost</w:t>
            </w:r>
          </w:p>
          <w:p w:rsidR="0060663D" w:rsidRDefault="0060663D" w14:paraId="07E0CEA1" w14:textId="77777777">
            <w:pPr>
              <w:jc w:val="center"/>
              <w:rPr>
                <w:rFonts w:ascii="Arial" w:hAnsi="Arial" w:cs="Arial"/>
                <w:b/>
                <w:sz w:val="24"/>
                <w:szCs w:val="24"/>
              </w:rPr>
            </w:pPr>
            <w:r>
              <w:rPr>
                <w:rFonts w:ascii="Arial" w:hAnsi="Arial" w:cs="Arial"/>
                <w:b/>
                <w:sz w:val="24"/>
                <w:szCs w:val="24"/>
              </w:rPr>
              <w:t>($/</w:t>
            </w:r>
            <w:proofErr w:type="spellStart"/>
            <w:r>
              <w:rPr>
                <w:rFonts w:ascii="Arial" w:hAnsi="Arial" w:cs="Arial"/>
                <w:b/>
                <w:sz w:val="24"/>
                <w:szCs w:val="24"/>
              </w:rPr>
              <w:t>hr</w:t>
            </w:r>
            <w:proofErr w:type="spellEnd"/>
            <w:r>
              <w:rPr>
                <w:rFonts w:ascii="Arial" w:hAnsi="Arial" w:cs="Arial"/>
                <w:b/>
                <w:sz w:val="24"/>
                <w:szCs w:val="24"/>
              </w:rPr>
              <w:t>)</w:t>
            </w:r>
          </w:p>
          <w:p w:rsidR="0060663D" w:rsidRDefault="0060663D" w14:paraId="5663A6F7" w14:textId="77777777">
            <w:pPr>
              <w:jc w:val="center"/>
              <w:rPr>
                <w:rFonts w:ascii="Arial" w:hAnsi="Arial" w:cs="Arial"/>
                <w:b/>
                <w:sz w:val="24"/>
                <w:szCs w:val="24"/>
              </w:rPr>
            </w:pPr>
            <w:r>
              <w:rPr>
                <w:rFonts w:ascii="Arial" w:hAnsi="Arial" w:cs="Arial"/>
                <w:b/>
                <w:sz w:val="24"/>
                <w:szCs w:val="24"/>
              </w:rPr>
              <w:t>(e)</w:t>
            </w:r>
          </w:p>
          <w:p w:rsidR="0060663D" w:rsidRDefault="0060663D" w14:paraId="48093F93" w14:textId="77777777">
            <w:pPr>
              <w:jc w:val="center"/>
              <w:rPr>
                <w:rFonts w:ascii="Arial" w:hAnsi="Arial" w:cs="Arial"/>
                <w:b/>
                <w:sz w:val="24"/>
                <w:szCs w:val="24"/>
              </w:rPr>
            </w:pPr>
            <w:r>
              <w:rPr>
                <w:rFonts w:ascii="Arial" w:hAnsi="Arial" w:cs="Arial"/>
                <w:b/>
                <w:sz w:val="24"/>
                <w:szCs w:val="24"/>
              </w:rPr>
              <w:t>(c) x (d)</w:t>
            </w:r>
          </w:p>
        </w:tc>
      </w:tr>
      <w:tr w:rsidR="0060663D" w:rsidTr="0060663D" w14:paraId="0CC03184" w14:textId="77777777">
        <w:trPr>
          <w:cantSplit/>
        </w:trPr>
        <w:tc>
          <w:tcPr>
            <w:tcW w:w="630" w:type="dxa"/>
            <w:tcBorders>
              <w:top w:val="single" w:color="auto" w:sz="4" w:space="0"/>
              <w:left w:val="single" w:color="auto" w:sz="4" w:space="0"/>
              <w:bottom w:val="single" w:color="auto" w:sz="4" w:space="0"/>
              <w:right w:val="single" w:color="auto" w:sz="4" w:space="0"/>
            </w:tcBorders>
          </w:tcPr>
          <w:p w:rsidR="0060663D" w:rsidRDefault="0060663D" w14:paraId="0990FD51" w14:textId="77777777">
            <w:pPr>
              <w:jc w:val="center"/>
              <w:rPr>
                <w:rFonts w:ascii="Arial" w:hAnsi="Arial" w:cs="Arial"/>
                <w:b/>
                <w:sz w:val="24"/>
                <w:szCs w:val="24"/>
              </w:rPr>
            </w:pPr>
          </w:p>
          <w:p w:rsidR="0060663D" w:rsidRDefault="0060663D" w14:paraId="1A52CB98" w14:textId="77777777">
            <w:pPr>
              <w:jc w:val="center"/>
              <w:rPr>
                <w:rFonts w:ascii="Arial" w:hAnsi="Arial" w:cs="Arial"/>
                <w:b/>
                <w:sz w:val="24"/>
                <w:szCs w:val="24"/>
              </w:rPr>
            </w:pPr>
            <w:r>
              <w:rPr>
                <w:rFonts w:ascii="Arial" w:hAnsi="Arial" w:cs="Arial"/>
                <w:b/>
                <w:sz w:val="24"/>
                <w:szCs w:val="24"/>
              </w:rPr>
              <w:t>1</w:t>
            </w:r>
          </w:p>
        </w:tc>
        <w:tc>
          <w:tcPr>
            <w:tcW w:w="2610" w:type="dxa"/>
            <w:tcBorders>
              <w:top w:val="single" w:color="auto" w:sz="4" w:space="0"/>
              <w:left w:val="single" w:color="auto" w:sz="4" w:space="0"/>
              <w:bottom w:val="single" w:color="auto" w:sz="4" w:space="0"/>
              <w:right w:val="single" w:color="auto" w:sz="4" w:space="0"/>
            </w:tcBorders>
          </w:tcPr>
          <w:p w:rsidR="0060663D" w:rsidRDefault="0060663D" w14:paraId="75593E69" w14:textId="77777777">
            <w:pPr>
              <w:rPr>
                <w:rFonts w:ascii="Arial" w:hAnsi="Arial" w:cs="Arial"/>
                <w:sz w:val="24"/>
                <w:szCs w:val="24"/>
              </w:rPr>
            </w:pPr>
          </w:p>
          <w:p w:rsidR="0060663D" w:rsidRDefault="0060663D" w14:paraId="7BBC4B2F" w14:textId="77777777">
            <w:pPr>
              <w:rPr>
                <w:rFonts w:ascii="Arial" w:hAnsi="Arial" w:cs="Arial"/>
                <w:sz w:val="24"/>
                <w:szCs w:val="24"/>
              </w:rPr>
            </w:pPr>
            <w:r>
              <w:rPr>
                <w:rFonts w:ascii="Arial" w:hAnsi="Arial" w:cs="Arial"/>
                <w:sz w:val="24"/>
                <w:szCs w:val="24"/>
              </w:rPr>
              <w:t>Deposited Materials</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019D52D3" w14:textId="77777777">
            <w:pPr>
              <w:jc w:val="right"/>
              <w:rPr>
                <w:rFonts w:ascii="Arial" w:hAnsi="Arial" w:cs="Arial"/>
                <w:sz w:val="24"/>
                <w:szCs w:val="24"/>
              </w:rPr>
            </w:pPr>
          </w:p>
          <w:p w:rsidR="0060663D" w:rsidRDefault="0060663D" w14:paraId="0B7F08CD" w14:textId="77777777">
            <w:pPr>
              <w:jc w:val="right"/>
              <w:rPr>
                <w:rFonts w:ascii="Arial" w:hAnsi="Arial" w:cs="Arial"/>
                <w:sz w:val="24"/>
                <w:szCs w:val="24"/>
              </w:rPr>
            </w:pPr>
            <w:r>
              <w:rPr>
                <w:rFonts w:ascii="Arial" w:hAnsi="Arial" w:cs="Arial"/>
                <w:sz w:val="24"/>
                <w:szCs w:val="24"/>
              </w:rPr>
              <w:t>1.0</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23815108" w14:textId="77777777">
            <w:pPr>
              <w:jc w:val="right"/>
              <w:rPr>
                <w:rFonts w:ascii="Arial" w:hAnsi="Arial" w:cs="Arial"/>
                <w:sz w:val="24"/>
                <w:szCs w:val="24"/>
              </w:rPr>
            </w:pPr>
          </w:p>
          <w:p w:rsidR="0060663D" w:rsidRDefault="0060663D" w14:paraId="330E537F" w14:textId="77777777">
            <w:pPr>
              <w:jc w:val="right"/>
              <w:rPr>
                <w:rFonts w:ascii="Arial" w:hAnsi="Arial" w:cs="Arial"/>
                <w:sz w:val="24"/>
                <w:szCs w:val="24"/>
              </w:rPr>
            </w:pPr>
            <w:r>
              <w:rPr>
                <w:rFonts w:ascii="Arial" w:hAnsi="Arial" w:cs="Arial"/>
                <w:sz w:val="24"/>
                <w:szCs w:val="24"/>
              </w:rPr>
              <w:t>950</w:t>
            </w:r>
          </w:p>
        </w:tc>
        <w:tc>
          <w:tcPr>
            <w:tcW w:w="1260" w:type="dxa"/>
            <w:tcBorders>
              <w:top w:val="single" w:color="auto" w:sz="4" w:space="0"/>
              <w:left w:val="single" w:color="auto" w:sz="4" w:space="0"/>
              <w:bottom w:val="single" w:color="auto" w:sz="4" w:space="0"/>
              <w:right w:val="single" w:color="auto" w:sz="4" w:space="0"/>
            </w:tcBorders>
          </w:tcPr>
          <w:p w:rsidR="0060663D" w:rsidRDefault="0060663D" w14:paraId="47A5F814" w14:textId="77777777">
            <w:pPr>
              <w:jc w:val="right"/>
              <w:rPr>
                <w:rFonts w:ascii="Arial" w:hAnsi="Arial" w:cs="Arial"/>
                <w:sz w:val="24"/>
                <w:szCs w:val="24"/>
              </w:rPr>
            </w:pPr>
          </w:p>
          <w:p w:rsidR="0060663D" w:rsidRDefault="0060663D" w14:paraId="452AFDA8" w14:textId="77777777">
            <w:pPr>
              <w:jc w:val="right"/>
              <w:rPr>
                <w:rFonts w:ascii="Arial" w:hAnsi="Arial" w:cs="Arial"/>
                <w:sz w:val="24"/>
                <w:szCs w:val="24"/>
              </w:rPr>
            </w:pPr>
            <w:r>
              <w:rPr>
                <w:rFonts w:ascii="Arial" w:hAnsi="Arial" w:cs="Arial"/>
                <w:sz w:val="24"/>
                <w:szCs w:val="24"/>
              </w:rPr>
              <w:t>950</w:t>
            </w:r>
          </w:p>
        </w:tc>
        <w:tc>
          <w:tcPr>
            <w:tcW w:w="1080" w:type="dxa"/>
            <w:tcBorders>
              <w:top w:val="single" w:color="auto" w:sz="4" w:space="0"/>
              <w:left w:val="single" w:color="auto" w:sz="4" w:space="0"/>
              <w:bottom w:val="single" w:color="auto" w:sz="4" w:space="0"/>
              <w:right w:val="single" w:color="auto" w:sz="4" w:space="0"/>
            </w:tcBorders>
          </w:tcPr>
          <w:p w:rsidR="0060663D" w:rsidRDefault="0060663D" w14:paraId="1D51E4DC" w14:textId="77777777">
            <w:pPr>
              <w:jc w:val="right"/>
              <w:rPr>
                <w:rFonts w:ascii="Arial" w:hAnsi="Arial" w:cs="Arial"/>
                <w:sz w:val="24"/>
                <w:szCs w:val="24"/>
              </w:rPr>
            </w:pPr>
          </w:p>
          <w:p w:rsidR="0060663D" w:rsidRDefault="0060663D" w14:paraId="69C582B1" w14:textId="77777777">
            <w:pPr>
              <w:jc w:val="right"/>
              <w:rPr>
                <w:rFonts w:ascii="Arial" w:hAnsi="Arial" w:cs="Arial"/>
                <w:sz w:val="24"/>
                <w:szCs w:val="24"/>
              </w:rPr>
            </w:pPr>
            <w:r>
              <w:rPr>
                <w:rFonts w:ascii="Arial" w:hAnsi="Arial" w:cs="Arial"/>
                <w:sz w:val="24"/>
                <w:szCs w:val="24"/>
              </w:rPr>
              <w:t>$36.58</w:t>
            </w:r>
          </w:p>
        </w:tc>
        <w:tc>
          <w:tcPr>
            <w:tcW w:w="1440" w:type="dxa"/>
            <w:tcBorders>
              <w:top w:val="single" w:color="auto" w:sz="4" w:space="0"/>
              <w:left w:val="single" w:color="auto" w:sz="4" w:space="0"/>
              <w:bottom w:val="single" w:color="auto" w:sz="4" w:space="0"/>
              <w:right w:val="single" w:color="auto" w:sz="4" w:space="0"/>
            </w:tcBorders>
          </w:tcPr>
          <w:p w:rsidR="0060663D" w:rsidRDefault="0060663D" w14:paraId="5933B809" w14:textId="77777777">
            <w:pPr>
              <w:jc w:val="right"/>
              <w:rPr>
                <w:rFonts w:ascii="Arial" w:hAnsi="Arial" w:cs="Arial"/>
                <w:sz w:val="24"/>
                <w:szCs w:val="24"/>
              </w:rPr>
            </w:pPr>
          </w:p>
          <w:p w:rsidR="0060663D" w:rsidRDefault="0060663D" w14:paraId="30281526" w14:textId="77777777">
            <w:pPr>
              <w:jc w:val="right"/>
              <w:rPr>
                <w:rFonts w:ascii="Arial" w:hAnsi="Arial" w:cs="Arial"/>
                <w:sz w:val="24"/>
                <w:szCs w:val="24"/>
              </w:rPr>
            </w:pPr>
            <w:r>
              <w:rPr>
                <w:rFonts w:ascii="Arial" w:hAnsi="Arial" w:cs="Arial"/>
                <w:sz w:val="24"/>
                <w:szCs w:val="24"/>
              </w:rPr>
              <w:t>$34,751</w:t>
            </w:r>
          </w:p>
        </w:tc>
      </w:tr>
      <w:tr w:rsidR="0060663D" w:rsidTr="0060663D" w14:paraId="06287A6A" w14:textId="77777777">
        <w:trPr>
          <w:cantSplit/>
        </w:trPr>
        <w:tc>
          <w:tcPr>
            <w:tcW w:w="630" w:type="dxa"/>
            <w:tcBorders>
              <w:top w:val="single" w:color="auto" w:sz="4" w:space="0"/>
              <w:left w:val="single" w:color="auto" w:sz="4" w:space="0"/>
              <w:bottom w:val="single" w:color="auto" w:sz="4" w:space="0"/>
              <w:right w:val="single" w:color="auto" w:sz="4" w:space="0"/>
            </w:tcBorders>
          </w:tcPr>
          <w:p w:rsidR="0060663D" w:rsidRDefault="0060663D" w14:paraId="44385F35" w14:textId="77777777">
            <w:pPr>
              <w:jc w:val="center"/>
              <w:rPr>
                <w:rFonts w:ascii="Arial" w:hAnsi="Arial" w:cs="Arial"/>
                <w:b/>
                <w:sz w:val="24"/>
                <w:szCs w:val="24"/>
              </w:rPr>
            </w:pPr>
          </w:p>
          <w:p w:rsidR="0060663D" w:rsidRDefault="0060663D" w14:paraId="41A94E51" w14:textId="77777777">
            <w:pPr>
              <w:jc w:val="center"/>
              <w:rPr>
                <w:rFonts w:ascii="Arial" w:hAnsi="Arial" w:cs="Arial"/>
                <w:b/>
                <w:sz w:val="24"/>
                <w:szCs w:val="24"/>
              </w:rPr>
            </w:pPr>
            <w:r>
              <w:rPr>
                <w:rFonts w:ascii="Arial" w:hAnsi="Arial" w:cs="Arial"/>
                <w:b/>
                <w:sz w:val="24"/>
                <w:szCs w:val="24"/>
              </w:rPr>
              <w:t>2</w:t>
            </w:r>
          </w:p>
        </w:tc>
        <w:tc>
          <w:tcPr>
            <w:tcW w:w="2610" w:type="dxa"/>
            <w:tcBorders>
              <w:top w:val="single" w:color="auto" w:sz="4" w:space="0"/>
              <w:left w:val="single" w:color="auto" w:sz="4" w:space="0"/>
              <w:bottom w:val="single" w:color="auto" w:sz="4" w:space="0"/>
              <w:right w:val="single" w:color="auto" w:sz="4" w:space="0"/>
            </w:tcBorders>
          </w:tcPr>
          <w:p w:rsidR="0060663D" w:rsidRDefault="0060663D" w14:paraId="172E6001" w14:textId="77777777">
            <w:pPr>
              <w:rPr>
                <w:rFonts w:ascii="Arial" w:hAnsi="Arial" w:cs="Arial"/>
                <w:sz w:val="24"/>
                <w:szCs w:val="24"/>
              </w:rPr>
            </w:pPr>
          </w:p>
          <w:p w:rsidR="0060663D" w:rsidRDefault="0060663D" w14:paraId="6925D363" w14:textId="77777777">
            <w:pPr>
              <w:rPr>
                <w:rFonts w:ascii="Arial" w:hAnsi="Arial" w:cs="Arial"/>
                <w:sz w:val="24"/>
                <w:szCs w:val="24"/>
              </w:rPr>
            </w:pPr>
            <w:r>
              <w:rPr>
                <w:rFonts w:ascii="Arial" w:hAnsi="Arial" w:cs="Arial"/>
                <w:sz w:val="24"/>
                <w:szCs w:val="24"/>
              </w:rPr>
              <w:t>Request for Depository Approval</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6B2B72AD" w14:textId="77777777">
            <w:pPr>
              <w:jc w:val="right"/>
              <w:rPr>
                <w:rFonts w:ascii="Arial" w:hAnsi="Arial" w:cs="Arial"/>
                <w:sz w:val="24"/>
                <w:szCs w:val="24"/>
              </w:rPr>
            </w:pPr>
          </w:p>
          <w:p w:rsidR="0060663D" w:rsidRDefault="0060663D" w14:paraId="7CDB3E65" w14:textId="77777777">
            <w:pPr>
              <w:jc w:val="right"/>
              <w:rPr>
                <w:rFonts w:ascii="Arial" w:hAnsi="Arial" w:cs="Arial"/>
                <w:sz w:val="24"/>
                <w:szCs w:val="24"/>
              </w:rPr>
            </w:pPr>
            <w:r>
              <w:rPr>
                <w:rFonts w:ascii="Arial" w:hAnsi="Arial" w:cs="Arial"/>
                <w:sz w:val="24"/>
                <w:szCs w:val="24"/>
              </w:rPr>
              <w:t>5.0</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01F5AA19" w14:textId="77777777">
            <w:pPr>
              <w:jc w:val="right"/>
              <w:rPr>
                <w:rFonts w:ascii="Arial" w:hAnsi="Arial" w:cs="Arial"/>
                <w:sz w:val="24"/>
                <w:szCs w:val="24"/>
              </w:rPr>
            </w:pPr>
          </w:p>
          <w:p w:rsidR="0060663D" w:rsidRDefault="0060663D" w14:paraId="488B28DE" w14:textId="77777777">
            <w:pPr>
              <w:jc w:val="right"/>
              <w:rPr>
                <w:rFonts w:ascii="Arial" w:hAnsi="Arial" w:cs="Arial"/>
                <w:sz w:val="24"/>
                <w:szCs w:val="24"/>
              </w:rPr>
            </w:pPr>
            <w:r>
              <w:rPr>
                <w:rFonts w:ascii="Arial" w:hAnsi="Arial" w:cs="Arial"/>
                <w:sz w:val="24"/>
                <w:szCs w:val="24"/>
              </w:rPr>
              <w:t>1</w:t>
            </w:r>
          </w:p>
        </w:tc>
        <w:tc>
          <w:tcPr>
            <w:tcW w:w="1260" w:type="dxa"/>
            <w:tcBorders>
              <w:top w:val="single" w:color="auto" w:sz="4" w:space="0"/>
              <w:left w:val="single" w:color="auto" w:sz="4" w:space="0"/>
              <w:bottom w:val="single" w:color="auto" w:sz="4" w:space="0"/>
              <w:right w:val="single" w:color="auto" w:sz="4" w:space="0"/>
            </w:tcBorders>
          </w:tcPr>
          <w:p w:rsidR="0060663D" w:rsidRDefault="0060663D" w14:paraId="1DABB7CD" w14:textId="77777777">
            <w:pPr>
              <w:jc w:val="right"/>
              <w:rPr>
                <w:rFonts w:ascii="Arial" w:hAnsi="Arial" w:cs="Arial"/>
                <w:sz w:val="24"/>
                <w:szCs w:val="24"/>
              </w:rPr>
            </w:pPr>
          </w:p>
          <w:p w:rsidR="0060663D" w:rsidRDefault="0060663D" w14:paraId="5FB6F436" w14:textId="77777777">
            <w:pPr>
              <w:jc w:val="right"/>
              <w:rPr>
                <w:rFonts w:ascii="Arial" w:hAnsi="Arial" w:cs="Arial"/>
                <w:sz w:val="24"/>
                <w:szCs w:val="24"/>
              </w:rPr>
            </w:pPr>
            <w:r>
              <w:rPr>
                <w:rFonts w:ascii="Arial" w:hAnsi="Arial" w:cs="Arial"/>
                <w:sz w:val="24"/>
                <w:szCs w:val="24"/>
              </w:rPr>
              <w:t>5</w:t>
            </w:r>
          </w:p>
        </w:tc>
        <w:tc>
          <w:tcPr>
            <w:tcW w:w="1080" w:type="dxa"/>
            <w:tcBorders>
              <w:top w:val="single" w:color="auto" w:sz="4" w:space="0"/>
              <w:left w:val="single" w:color="auto" w:sz="4" w:space="0"/>
              <w:bottom w:val="single" w:color="auto" w:sz="4" w:space="0"/>
              <w:right w:val="single" w:color="auto" w:sz="4" w:space="0"/>
            </w:tcBorders>
          </w:tcPr>
          <w:p w:rsidR="0060663D" w:rsidRDefault="0060663D" w14:paraId="08C39310" w14:textId="77777777">
            <w:pPr>
              <w:jc w:val="right"/>
              <w:rPr>
                <w:rFonts w:ascii="Arial" w:hAnsi="Arial" w:cs="Arial"/>
                <w:sz w:val="24"/>
                <w:szCs w:val="24"/>
              </w:rPr>
            </w:pPr>
          </w:p>
          <w:p w:rsidR="0060663D" w:rsidRDefault="0060663D" w14:paraId="51ED7F50" w14:textId="77777777">
            <w:pPr>
              <w:jc w:val="right"/>
              <w:rPr>
                <w:rFonts w:ascii="Arial" w:hAnsi="Arial" w:cs="Arial"/>
                <w:sz w:val="24"/>
                <w:szCs w:val="24"/>
              </w:rPr>
            </w:pPr>
            <w:r>
              <w:rPr>
                <w:rFonts w:ascii="Arial" w:hAnsi="Arial" w:cs="Arial"/>
                <w:sz w:val="24"/>
                <w:szCs w:val="24"/>
              </w:rPr>
              <w:t>$85.98</w:t>
            </w:r>
          </w:p>
        </w:tc>
        <w:tc>
          <w:tcPr>
            <w:tcW w:w="1440" w:type="dxa"/>
            <w:tcBorders>
              <w:top w:val="single" w:color="auto" w:sz="4" w:space="0"/>
              <w:left w:val="single" w:color="auto" w:sz="4" w:space="0"/>
              <w:bottom w:val="single" w:color="auto" w:sz="4" w:space="0"/>
              <w:right w:val="single" w:color="auto" w:sz="4" w:space="0"/>
            </w:tcBorders>
          </w:tcPr>
          <w:p w:rsidR="0060663D" w:rsidRDefault="0060663D" w14:paraId="1F3A0A3D" w14:textId="77777777">
            <w:pPr>
              <w:jc w:val="right"/>
              <w:rPr>
                <w:rFonts w:ascii="Arial" w:hAnsi="Arial" w:cs="Arial"/>
                <w:sz w:val="24"/>
                <w:szCs w:val="24"/>
              </w:rPr>
            </w:pPr>
          </w:p>
          <w:p w:rsidR="0060663D" w:rsidRDefault="0060663D" w14:paraId="10A78866" w14:textId="77777777">
            <w:pPr>
              <w:jc w:val="right"/>
              <w:rPr>
                <w:rFonts w:ascii="Arial" w:hAnsi="Arial" w:cs="Arial"/>
                <w:sz w:val="24"/>
                <w:szCs w:val="24"/>
              </w:rPr>
            </w:pPr>
            <w:r>
              <w:rPr>
                <w:rFonts w:ascii="Arial" w:hAnsi="Arial" w:cs="Arial"/>
                <w:sz w:val="24"/>
                <w:szCs w:val="24"/>
              </w:rPr>
              <w:t>$430</w:t>
            </w:r>
          </w:p>
        </w:tc>
      </w:tr>
      <w:tr w:rsidR="0060663D" w:rsidTr="0060663D" w14:paraId="086528DE" w14:textId="77777777">
        <w:trPr>
          <w:cantSplit/>
        </w:trPr>
        <w:tc>
          <w:tcPr>
            <w:tcW w:w="630" w:type="dxa"/>
            <w:tcBorders>
              <w:top w:val="single" w:color="auto" w:sz="4" w:space="0"/>
              <w:left w:val="single" w:color="auto" w:sz="4" w:space="0"/>
              <w:bottom w:val="single" w:color="auto" w:sz="4" w:space="0"/>
              <w:right w:val="single" w:color="auto" w:sz="4" w:space="0"/>
            </w:tcBorders>
          </w:tcPr>
          <w:p w:rsidR="0060663D" w:rsidRDefault="0060663D" w14:paraId="59ECE150" w14:textId="77777777">
            <w:pPr>
              <w:rPr>
                <w:rFonts w:ascii="Arial" w:hAnsi="Arial" w:cs="Arial"/>
                <w:b/>
                <w:sz w:val="24"/>
                <w:szCs w:val="24"/>
              </w:rPr>
            </w:pPr>
          </w:p>
        </w:tc>
        <w:tc>
          <w:tcPr>
            <w:tcW w:w="2610" w:type="dxa"/>
            <w:tcBorders>
              <w:top w:val="single" w:color="auto" w:sz="4" w:space="0"/>
              <w:left w:val="single" w:color="auto" w:sz="4" w:space="0"/>
              <w:bottom w:val="single" w:color="auto" w:sz="4" w:space="0"/>
              <w:right w:val="single" w:color="auto" w:sz="4" w:space="0"/>
            </w:tcBorders>
          </w:tcPr>
          <w:p w:rsidR="0060663D" w:rsidRDefault="0060663D" w14:paraId="6F8CABBA" w14:textId="77777777">
            <w:pPr>
              <w:rPr>
                <w:rFonts w:ascii="Arial" w:hAnsi="Arial" w:cs="Arial"/>
                <w:b/>
                <w:sz w:val="24"/>
                <w:szCs w:val="24"/>
              </w:rPr>
            </w:pPr>
          </w:p>
          <w:p w:rsidR="0060663D" w:rsidRDefault="0060663D" w14:paraId="02A4ED78" w14:textId="77777777">
            <w:pPr>
              <w:rPr>
                <w:rFonts w:ascii="Arial" w:hAnsi="Arial" w:cs="Arial"/>
                <w:b/>
                <w:sz w:val="24"/>
                <w:szCs w:val="24"/>
              </w:rPr>
            </w:pPr>
            <w:r>
              <w:rPr>
                <w:rFonts w:ascii="Arial" w:hAnsi="Arial" w:cs="Arial"/>
                <w:b/>
                <w:sz w:val="24"/>
                <w:szCs w:val="24"/>
              </w:rPr>
              <w:t>Total</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0C36C17B" w14:textId="77777777">
            <w:pPr>
              <w:jc w:val="center"/>
              <w:rPr>
                <w:rFonts w:ascii="Arial" w:hAnsi="Arial" w:cs="Arial"/>
                <w:b/>
                <w:sz w:val="24"/>
                <w:szCs w:val="24"/>
              </w:rPr>
            </w:pPr>
          </w:p>
          <w:p w:rsidR="0060663D" w:rsidRDefault="0060663D" w14:paraId="2BA93798" w14:textId="77777777">
            <w:pPr>
              <w:jc w:val="right"/>
              <w:rPr>
                <w:rFonts w:ascii="Arial" w:hAnsi="Arial" w:cs="Arial"/>
                <w:b/>
                <w:sz w:val="24"/>
                <w:szCs w:val="24"/>
              </w:rPr>
            </w:pPr>
            <w:r>
              <w:rPr>
                <w:rFonts w:ascii="Arial" w:hAnsi="Arial" w:cs="Arial"/>
                <w:b/>
                <w:sz w:val="24"/>
                <w:szCs w:val="24"/>
              </w:rPr>
              <w:t xml:space="preserve"> -  -  -</w:t>
            </w:r>
          </w:p>
        </w:tc>
        <w:tc>
          <w:tcPr>
            <w:tcW w:w="1170" w:type="dxa"/>
            <w:tcBorders>
              <w:top w:val="single" w:color="auto" w:sz="4" w:space="0"/>
              <w:left w:val="single" w:color="auto" w:sz="4" w:space="0"/>
              <w:bottom w:val="single" w:color="auto" w:sz="4" w:space="0"/>
              <w:right w:val="single" w:color="auto" w:sz="4" w:space="0"/>
            </w:tcBorders>
          </w:tcPr>
          <w:p w:rsidR="0060663D" w:rsidRDefault="0060663D" w14:paraId="15C69DA0" w14:textId="77777777">
            <w:pPr>
              <w:jc w:val="right"/>
              <w:rPr>
                <w:rFonts w:ascii="Arial" w:hAnsi="Arial" w:cs="Arial"/>
                <w:b/>
                <w:sz w:val="24"/>
                <w:szCs w:val="24"/>
              </w:rPr>
            </w:pPr>
          </w:p>
          <w:p w:rsidR="0060663D" w:rsidRDefault="0060663D" w14:paraId="7F99BE6D" w14:textId="77777777">
            <w:pPr>
              <w:jc w:val="right"/>
              <w:rPr>
                <w:rFonts w:ascii="Arial" w:hAnsi="Arial" w:cs="Arial"/>
                <w:b/>
                <w:sz w:val="24"/>
                <w:szCs w:val="24"/>
              </w:rPr>
            </w:pPr>
            <w:r>
              <w:rPr>
                <w:rFonts w:ascii="Arial" w:hAnsi="Arial" w:cs="Arial"/>
                <w:b/>
                <w:sz w:val="24"/>
                <w:szCs w:val="24"/>
              </w:rPr>
              <w:t>951</w:t>
            </w:r>
          </w:p>
        </w:tc>
        <w:tc>
          <w:tcPr>
            <w:tcW w:w="1260" w:type="dxa"/>
            <w:tcBorders>
              <w:top w:val="single" w:color="auto" w:sz="4" w:space="0"/>
              <w:left w:val="single" w:color="auto" w:sz="4" w:space="0"/>
              <w:bottom w:val="single" w:color="auto" w:sz="4" w:space="0"/>
              <w:right w:val="single" w:color="auto" w:sz="4" w:space="0"/>
            </w:tcBorders>
          </w:tcPr>
          <w:p w:rsidR="0060663D" w:rsidRDefault="0060663D" w14:paraId="482B661A" w14:textId="77777777">
            <w:pPr>
              <w:jc w:val="right"/>
              <w:rPr>
                <w:rFonts w:ascii="Arial" w:hAnsi="Arial" w:cs="Arial"/>
                <w:b/>
                <w:sz w:val="24"/>
                <w:szCs w:val="24"/>
              </w:rPr>
            </w:pPr>
          </w:p>
          <w:p w:rsidR="0060663D" w:rsidRDefault="0060663D" w14:paraId="43F8D77A" w14:textId="77777777">
            <w:pPr>
              <w:jc w:val="right"/>
              <w:rPr>
                <w:rFonts w:ascii="Arial" w:hAnsi="Arial" w:cs="Arial"/>
                <w:b/>
                <w:sz w:val="24"/>
                <w:szCs w:val="24"/>
              </w:rPr>
            </w:pPr>
            <w:r>
              <w:rPr>
                <w:rFonts w:ascii="Arial" w:hAnsi="Arial" w:cs="Arial"/>
                <w:b/>
                <w:sz w:val="24"/>
                <w:szCs w:val="24"/>
              </w:rPr>
              <w:t>955</w:t>
            </w:r>
          </w:p>
        </w:tc>
        <w:tc>
          <w:tcPr>
            <w:tcW w:w="1080" w:type="dxa"/>
            <w:tcBorders>
              <w:top w:val="single" w:color="auto" w:sz="4" w:space="0"/>
              <w:left w:val="single" w:color="auto" w:sz="4" w:space="0"/>
              <w:bottom w:val="single" w:color="auto" w:sz="4" w:space="0"/>
              <w:right w:val="single" w:color="auto" w:sz="4" w:space="0"/>
            </w:tcBorders>
          </w:tcPr>
          <w:p w:rsidR="0060663D" w:rsidRDefault="0060663D" w14:paraId="3C6F299B" w14:textId="77777777">
            <w:pPr>
              <w:jc w:val="right"/>
              <w:rPr>
                <w:rFonts w:ascii="Arial" w:hAnsi="Arial" w:cs="Arial"/>
                <w:b/>
                <w:sz w:val="24"/>
                <w:szCs w:val="24"/>
              </w:rPr>
            </w:pPr>
          </w:p>
          <w:p w:rsidR="0060663D" w:rsidRDefault="0060663D" w14:paraId="0F9BE153" w14:textId="77777777">
            <w:pPr>
              <w:jc w:val="right"/>
              <w:rPr>
                <w:rFonts w:ascii="Arial" w:hAnsi="Arial" w:cs="Arial"/>
                <w:b/>
                <w:sz w:val="24"/>
                <w:szCs w:val="24"/>
              </w:rPr>
            </w:pPr>
            <w:r>
              <w:rPr>
                <w:rFonts w:ascii="Arial" w:hAnsi="Arial" w:cs="Arial"/>
                <w:b/>
                <w:sz w:val="24"/>
                <w:szCs w:val="24"/>
              </w:rPr>
              <w:t>-  -  -</w:t>
            </w:r>
          </w:p>
        </w:tc>
        <w:tc>
          <w:tcPr>
            <w:tcW w:w="1440" w:type="dxa"/>
            <w:tcBorders>
              <w:top w:val="single" w:color="auto" w:sz="4" w:space="0"/>
              <w:left w:val="single" w:color="auto" w:sz="4" w:space="0"/>
              <w:bottom w:val="single" w:color="auto" w:sz="4" w:space="0"/>
              <w:right w:val="single" w:color="auto" w:sz="4" w:space="0"/>
            </w:tcBorders>
          </w:tcPr>
          <w:p w:rsidR="0060663D" w:rsidRDefault="0060663D" w14:paraId="6A1FE19A" w14:textId="77777777">
            <w:pPr>
              <w:rPr>
                <w:rFonts w:ascii="Arial" w:hAnsi="Arial" w:cs="Arial"/>
                <w:b/>
                <w:sz w:val="24"/>
                <w:szCs w:val="24"/>
              </w:rPr>
            </w:pPr>
          </w:p>
          <w:p w:rsidR="0060663D" w:rsidRDefault="0060663D" w14:paraId="641EB07A" w14:textId="77777777">
            <w:pPr>
              <w:jc w:val="right"/>
              <w:rPr>
                <w:rFonts w:ascii="Arial" w:hAnsi="Arial" w:cs="Arial"/>
                <w:b/>
                <w:sz w:val="24"/>
                <w:szCs w:val="24"/>
              </w:rPr>
            </w:pPr>
            <w:r>
              <w:rPr>
                <w:rFonts w:ascii="Arial" w:hAnsi="Arial" w:cs="Arial"/>
                <w:b/>
                <w:sz w:val="24"/>
                <w:szCs w:val="24"/>
              </w:rPr>
              <w:t>$35,181</w:t>
            </w:r>
          </w:p>
        </w:tc>
      </w:tr>
    </w:tbl>
    <w:p w:rsidR="0060663D" w:rsidP="0060663D" w:rsidRDefault="0060663D" w14:paraId="2BDD7962" w14:textId="77777777">
      <w:pPr>
        <w:rPr>
          <w:rFonts w:ascii="Arial" w:hAnsi="Arial" w:cs="Arial"/>
          <w:sz w:val="24"/>
          <w:szCs w:val="24"/>
        </w:rPr>
      </w:pPr>
    </w:p>
    <w:p w:rsidRPr="00AF4628" w:rsidR="003E5AB3" w:rsidRDefault="003E5AB3" w14:paraId="47E62720" w14:textId="77777777">
      <w:pPr>
        <w:rPr>
          <w:rFonts w:ascii="Arial" w:hAnsi="Arial" w:cs="Arial"/>
          <w:sz w:val="24"/>
          <w:szCs w:val="24"/>
        </w:rPr>
      </w:pPr>
    </w:p>
    <w:p w:rsidRPr="00AF4628" w:rsidR="00E07B94" w:rsidP="00AF4628" w:rsidRDefault="00E07B94" w14:paraId="6377C500" w14:textId="77777777">
      <w:pPr>
        <w:numPr>
          <w:ilvl w:val="0"/>
          <w:numId w:val="13"/>
        </w:numPr>
        <w:rPr>
          <w:rFonts w:ascii="Arial" w:hAnsi="Arial" w:cs="Arial"/>
          <w:b/>
          <w:sz w:val="24"/>
          <w:szCs w:val="24"/>
        </w:rPr>
      </w:pPr>
      <w:r w:rsidRPr="00AF4628">
        <w:rPr>
          <w:rFonts w:ascii="Arial" w:hAnsi="Arial" w:eastAsia="Calibri" w:cs="Arial"/>
          <w:b/>
          <w:bCs/>
          <w:sz w:val="24"/>
          <w:szCs w:val="24"/>
        </w:rPr>
        <w:t xml:space="preserve"> </w:t>
      </w:r>
      <w:r w:rsidRPr="00AF4628" w:rsidR="00EA2D84">
        <w:rPr>
          <w:rFonts w:ascii="Arial" w:hAnsi="Arial" w:eastAsia="Calibri" w:cs="Arial"/>
          <w:b/>
          <w:bCs/>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AF4628" w:rsidR="00E07B94" w:rsidP="00AF4628" w:rsidRDefault="00EA2D84" w14:paraId="04CD6AB1" w14:textId="77777777">
      <w:pPr>
        <w:numPr>
          <w:ilvl w:val="0"/>
          <w:numId w:val="4"/>
        </w:numPr>
        <w:rPr>
          <w:rFonts w:ascii="Arial" w:hAnsi="Arial" w:cs="Arial"/>
          <w:b/>
          <w:sz w:val="24"/>
          <w:szCs w:val="24"/>
        </w:rPr>
      </w:pPr>
      <w:r w:rsidRPr="00AF4628">
        <w:rPr>
          <w:rFonts w:ascii="Arial" w:hAnsi="Arial" w:eastAsia="Calibri" w:cs="Arial"/>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F4628" w:rsidR="00E07B94" w:rsidP="00AF4628" w:rsidRDefault="00EA2D84" w14:paraId="5782CC09" w14:textId="77777777">
      <w:pPr>
        <w:numPr>
          <w:ilvl w:val="0"/>
          <w:numId w:val="4"/>
        </w:numPr>
        <w:rPr>
          <w:rFonts w:ascii="Arial" w:hAnsi="Arial" w:cs="Arial"/>
          <w:b/>
          <w:sz w:val="24"/>
          <w:szCs w:val="24"/>
        </w:rPr>
      </w:pPr>
      <w:r w:rsidRPr="00AF4628">
        <w:rPr>
          <w:rFonts w:ascii="Arial" w:hAnsi="Arial" w:eastAsia="Calibri" w:cs="Arial"/>
          <w:b/>
          <w:bCs/>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AF4628" w:rsidR="00EA2D84" w:rsidP="00AF4628" w:rsidRDefault="00EA2D84" w14:paraId="4FDA56E7" w14:textId="77777777">
      <w:pPr>
        <w:numPr>
          <w:ilvl w:val="0"/>
          <w:numId w:val="4"/>
        </w:numPr>
        <w:rPr>
          <w:rFonts w:ascii="Arial" w:hAnsi="Arial" w:cs="Arial"/>
          <w:b/>
          <w:sz w:val="24"/>
          <w:szCs w:val="24"/>
        </w:rPr>
      </w:pPr>
      <w:r w:rsidRPr="00AF4628">
        <w:rPr>
          <w:rFonts w:ascii="Arial" w:hAnsi="Arial" w:eastAsia="Calibri" w:cs="Arial"/>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AF4628" w:rsidR="00D07F97" w:rsidRDefault="00D07F97" w14:paraId="0644A966" w14:textId="77777777">
      <w:pPr>
        <w:rPr>
          <w:rFonts w:ascii="Arial" w:hAnsi="Arial" w:cs="Arial"/>
          <w:sz w:val="24"/>
          <w:szCs w:val="24"/>
        </w:rPr>
      </w:pPr>
    </w:p>
    <w:p w:rsidRPr="00AF4628" w:rsidR="00D07F97" w:rsidRDefault="00D07F97" w14:paraId="13235A7D" w14:textId="77777777">
      <w:pPr>
        <w:pStyle w:val="BodyText2"/>
        <w:rPr>
          <w:rFonts w:cs="Arial"/>
          <w:szCs w:val="24"/>
        </w:rPr>
      </w:pPr>
      <w:r w:rsidRPr="00AF4628">
        <w:rPr>
          <w:rFonts w:cs="Arial"/>
          <w:szCs w:val="24"/>
        </w:rPr>
        <w:lastRenderedPageBreak/>
        <w:t>There are no maintenance</w:t>
      </w:r>
      <w:r w:rsidRPr="00AF4628" w:rsidR="00A16458">
        <w:rPr>
          <w:rFonts w:cs="Arial"/>
          <w:szCs w:val="24"/>
        </w:rPr>
        <w:t xml:space="preserve"> costs,</w:t>
      </w:r>
      <w:r w:rsidRPr="00AF4628">
        <w:rPr>
          <w:rFonts w:cs="Arial"/>
          <w:szCs w:val="24"/>
        </w:rPr>
        <w:t xml:space="preserve"> record keeping costs, </w:t>
      </w:r>
      <w:r w:rsidRPr="00AF4628" w:rsidR="007A28C3">
        <w:rPr>
          <w:rFonts w:cs="Arial"/>
          <w:szCs w:val="24"/>
        </w:rPr>
        <w:t>or</w:t>
      </w:r>
      <w:r w:rsidRPr="00AF4628">
        <w:rPr>
          <w:rFonts w:cs="Arial"/>
          <w:szCs w:val="24"/>
        </w:rPr>
        <w:t xml:space="preserve"> filing fees associated with this information collection.  There are, however, capital start-up and </w:t>
      </w:r>
      <w:r w:rsidRPr="00AF4628" w:rsidR="003725D6">
        <w:rPr>
          <w:rFonts w:cs="Arial"/>
          <w:szCs w:val="24"/>
        </w:rPr>
        <w:t>postage</w:t>
      </w:r>
      <w:r w:rsidRPr="00AF4628">
        <w:rPr>
          <w:rFonts w:cs="Arial"/>
          <w:szCs w:val="24"/>
        </w:rPr>
        <w:t xml:space="preserve"> costs.  </w:t>
      </w:r>
    </w:p>
    <w:p w:rsidRPr="00AF4628" w:rsidR="00D07F97" w:rsidRDefault="00D07F97" w14:paraId="4E533C3C" w14:textId="77777777">
      <w:pPr>
        <w:pStyle w:val="BodyText2"/>
        <w:rPr>
          <w:rFonts w:cs="Arial"/>
          <w:szCs w:val="24"/>
        </w:rPr>
      </w:pPr>
    </w:p>
    <w:p w:rsidR="00D07F97" w:rsidRDefault="00D07F97" w14:paraId="6A3AA6EE" w14:textId="41BD5F11">
      <w:pPr>
        <w:pStyle w:val="BodyText2"/>
        <w:rPr>
          <w:rFonts w:cs="Arial"/>
          <w:szCs w:val="24"/>
        </w:rPr>
      </w:pPr>
      <w:r w:rsidRPr="00AF4628">
        <w:rPr>
          <w:rFonts w:cs="Arial"/>
          <w:szCs w:val="24"/>
        </w:rPr>
        <w:t xml:space="preserve">Depositories charge fees to depositors; all depositories charge about the same rates for their services.  For example, the American Type Culture Collection (ATCC), one of the world’s leading biological supply houses and recognized patent depositories, offers comprehensive patent services for $2,500 per deposit.  Most deposits received from outside the United States require an import permit from the U.S. Department of Agriculture (USDA).  Also required is a Public Health Services (PHS) permit, available from the Centers for Disease Control and Prevention (CDC), for importation of agents infectious to humans.  There is no extra charge for this permit application processing.  </w:t>
      </w:r>
      <w:r w:rsidRPr="00AF4628" w:rsidR="00914C61">
        <w:rPr>
          <w:rFonts w:cs="Arial"/>
          <w:szCs w:val="24"/>
        </w:rPr>
        <w:t>The USPTO</w:t>
      </w:r>
      <w:r w:rsidRPr="00AF4628">
        <w:rPr>
          <w:rFonts w:cs="Arial"/>
          <w:szCs w:val="24"/>
        </w:rPr>
        <w:t xml:space="preserve"> estimate</w:t>
      </w:r>
      <w:r w:rsidRPr="00AF4628" w:rsidR="00914C61">
        <w:rPr>
          <w:rFonts w:cs="Arial"/>
          <w:szCs w:val="24"/>
        </w:rPr>
        <w:t>s</w:t>
      </w:r>
      <w:r w:rsidRPr="00AF4628">
        <w:rPr>
          <w:rFonts w:cs="Arial"/>
          <w:szCs w:val="24"/>
        </w:rPr>
        <w:t xml:space="preserve"> </w:t>
      </w:r>
      <w:r w:rsidRPr="00AF4628" w:rsidR="00914C61">
        <w:rPr>
          <w:rFonts w:cs="Arial"/>
          <w:szCs w:val="24"/>
        </w:rPr>
        <w:t xml:space="preserve">that the total non-hour respondent cost burden in the form of capital start-up costs amounts </w:t>
      </w:r>
      <w:r w:rsidRPr="00AF4628" w:rsidR="00D87912">
        <w:rPr>
          <w:rFonts w:cs="Arial"/>
          <w:szCs w:val="24"/>
        </w:rPr>
        <w:t xml:space="preserve">to </w:t>
      </w:r>
      <w:r w:rsidRPr="00AF4628" w:rsidR="00DF0392">
        <w:rPr>
          <w:rFonts w:cs="Arial"/>
          <w:szCs w:val="24"/>
        </w:rPr>
        <w:t>$2,375,000</w:t>
      </w:r>
      <w:r w:rsidR="00036370">
        <w:rPr>
          <w:rFonts w:cs="Arial"/>
          <w:szCs w:val="24"/>
        </w:rPr>
        <w:t>; (950 respondents X $2,500)</w:t>
      </w:r>
      <w:r w:rsidRPr="00AF4628" w:rsidR="00DF0392">
        <w:rPr>
          <w:rFonts w:cs="Arial"/>
          <w:szCs w:val="24"/>
        </w:rPr>
        <w:t>.</w:t>
      </w:r>
      <w:r w:rsidR="00036370">
        <w:rPr>
          <w:rFonts w:cs="Arial"/>
          <w:szCs w:val="24"/>
        </w:rPr>
        <w:t xml:space="preserve">  </w:t>
      </w:r>
    </w:p>
    <w:p w:rsidR="00C97433" w:rsidRDefault="00C97433" w14:paraId="48CDB1ED" w14:textId="180E2BC1">
      <w:pPr>
        <w:pStyle w:val="BodyText2"/>
        <w:rPr>
          <w:rFonts w:cs="Arial"/>
          <w:szCs w:val="24"/>
        </w:rPr>
      </w:pPr>
    </w:p>
    <w:p w:rsidRPr="00AF4628" w:rsidR="00D07F97" w:rsidRDefault="00D07F97" w14:paraId="4265920B" w14:textId="6F40816A">
      <w:pPr>
        <w:pStyle w:val="BodyText2"/>
        <w:rPr>
          <w:rFonts w:cs="Arial"/>
          <w:szCs w:val="24"/>
        </w:rPr>
      </w:pPr>
      <w:r w:rsidRPr="00AF4628">
        <w:rPr>
          <w:rFonts w:cs="Arial"/>
          <w:szCs w:val="24"/>
        </w:rPr>
        <w:t xml:space="preserve">In addition, this </w:t>
      </w:r>
      <w:r w:rsidRPr="00AF4628" w:rsidR="00C32BF0">
        <w:rPr>
          <w:rFonts w:cs="Arial"/>
          <w:szCs w:val="24"/>
        </w:rPr>
        <w:t xml:space="preserve">information </w:t>
      </w:r>
      <w:r w:rsidRPr="00AF4628">
        <w:rPr>
          <w:rFonts w:cs="Arial"/>
          <w:szCs w:val="24"/>
        </w:rPr>
        <w:t xml:space="preserve">collection </w:t>
      </w:r>
      <w:r w:rsidRPr="00AF4628" w:rsidR="00313420">
        <w:rPr>
          <w:rFonts w:cs="Arial"/>
          <w:szCs w:val="24"/>
        </w:rPr>
        <w:t xml:space="preserve">has </w:t>
      </w:r>
      <w:r w:rsidRPr="00AF4628" w:rsidR="00D87912">
        <w:rPr>
          <w:rFonts w:cs="Arial"/>
          <w:szCs w:val="24"/>
        </w:rPr>
        <w:t>postage</w:t>
      </w:r>
      <w:r w:rsidRPr="00AF4628">
        <w:rPr>
          <w:rFonts w:cs="Arial"/>
          <w:szCs w:val="24"/>
        </w:rPr>
        <w:t xml:space="preserve"> costs.  Biological deposits are generally shipped to the depository “Domestic Overnight” by Federal Express (F</w:t>
      </w:r>
      <w:r w:rsidRPr="00AF4628" w:rsidR="00511761">
        <w:rPr>
          <w:rFonts w:cs="Arial"/>
          <w:szCs w:val="24"/>
        </w:rPr>
        <w:t>ed</w:t>
      </w:r>
      <w:r w:rsidRPr="00AF4628">
        <w:rPr>
          <w:rFonts w:cs="Arial"/>
          <w:szCs w:val="24"/>
        </w:rPr>
        <w:t>Ex) and, since depositors are urged to supply frozen or freeze-dried materia</w:t>
      </w:r>
      <w:r w:rsidRPr="00AF4628" w:rsidR="00C33552">
        <w:rPr>
          <w:rFonts w:cs="Arial"/>
          <w:szCs w:val="24"/>
        </w:rPr>
        <w:t>l, it must be packed in dry ice</w:t>
      </w:r>
      <w:r w:rsidRPr="00AF4628">
        <w:rPr>
          <w:rFonts w:cs="Arial"/>
          <w:szCs w:val="24"/>
        </w:rPr>
        <w:t xml:space="preserve"> according to a representative from the Patent Department at ATCC.  Dry ice itself is considered dangerous goods and requires special packaging.  Additional FedEx special handling charges for inaccessible dangerous goods shipments of $</w:t>
      </w:r>
      <w:r w:rsidRPr="00AF4628" w:rsidR="002966ED">
        <w:rPr>
          <w:rFonts w:cs="Arial"/>
          <w:szCs w:val="24"/>
        </w:rPr>
        <w:t>40</w:t>
      </w:r>
      <w:r w:rsidRPr="00AF4628">
        <w:rPr>
          <w:rFonts w:cs="Arial"/>
          <w:szCs w:val="24"/>
        </w:rPr>
        <w:t xml:space="preserve"> per shipment apply for temperature-sensitive biological materials and also for the dry ice.  An average cost for shipping by FedEx “Domestic Overnight” is estimated to be $75.  If the shipment requires a pick-up by FedEx, there is an additional charge of $</w:t>
      </w:r>
      <w:r w:rsidRPr="00AF4628" w:rsidR="002F71D1">
        <w:rPr>
          <w:rFonts w:cs="Arial"/>
          <w:szCs w:val="24"/>
        </w:rPr>
        <w:t>4</w:t>
      </w:r>
      <w:r w:rsidRPr="00AF4628">
        <w:rPr>
          <w:rFonts w:cs="Arial"/>
          <w:szCs w:val="24"/>
        </w:rPr>
        <w:t>.  Special packaging is also required for these shipments.  According to DG Supplies Inc., a supplier of infectious and diagnostic goods packaging, the average cost of frozen infectious shippers is estimated to be $</w:t>
      </w:r>
      <w:r w:rsidRPr="00AF4628" w:rsidR="002F71D1">
        <w:rPr>
          <w:rFonts w:cs="Arial"/>
          <w:szCs w:val="24"/>
        </w:rPr>
        <w:t>352.82</w:t>
      </w:r>
      <w:r w:rsidRPr="00AF4628">
        <w:rPr>
          <w:rFonts w:cs="Arial"/>
          <w:szCs w:val="24"/>
        </w:rPr>
        <w:t xml:space="preserve"> per package of four for specimen shipments requiring refrigeration or dry ice.  Therefore, postage costs average $</w:t>
      </w:r>
      <w:r w:rsidRPr="00AF4628" w:rsidR="002966ED">
        <w:rPr>
          <w:rFonts w:cs="Arial"/>
          <w:szCs w:val="24"/>
        </w:rPr>
        <w:t>471.8</w:t>
      </w:r>
      <w:r w:rsidRPr="00AF4628" w:rsidR="002F71D1">
        <w:rPr>
          <w:rFonts w:cs="Arial"/>
          <w:szCs w:val="24"/>
        </w:rPr>
        <w:t>2</w:t>
      </w:r>
      <w:r w:rsidRPr="00AF4628">
        <w:rPr>
          <w:rFonts w:cs="Arial"/>
          <w:szCs w:val="24"/>
        </w:rPr>
        <w:t xml:space="preserve"> per shipment, for a cost to respondents of </w:t>
      </w:r>
      <w:r w:rsidR="00880ED8">
        <w:rPr>
          <w:rFonts w:cs="Arial"/>
          <w:szCs w:val="24"/>
        </w:rPr>
        <w:t>$448,229</w:t>
      </w:r>
      <w:r w:rsidR="00036370">
        <w:rPr>
          <w:rFonts w:cs="Arial"/>
          <w:szCs w:val="24"/>
        </w:rPr>
        <w:t>; (950 respondents X $471.82).</w:t>
      </w:r>
    </w:p>
    <w:p w:rsidRPr="00AF4628" w:rsidR="00D07F97" w:rsidRDefault="00D07F97" w14:paraId="4DA08EB4" w14:textId="77777777">
      <w:pPr>
        <w:pStyle w:val="BodyText2"/>
        <w:rPr>
          <w:rFonts w:cs="Arial"/>
          <w:szCs w:val="24"/>
        </w:rPr>
      </w:pPr>
    </w:p>
    <w:p w:rsidRPr="00AF4628" w:rsidR="00D07F97" w:rsidRDefault="00D07F97" w14:paraId="238F8003" w14:textId="7B19ECFE">
      <w:pPr>
        <w:pStyle w:val="BodyText2"/>
        <w:rPr>
          <w:rFonts w:cs="Arial"/>
          <w:szCs w:val="24"/>
        </w:rPr>
      </w:pPr>
      <w:r w:rsidRPr="00AF4628">
        <w:rPr>
          <w:rFonts w:cs="Arial"/>
          <w:szCs w:val="24"/>
        </w:rPr>
        <w:t>The postage cost for a depository seeking recognition is estimated to be $</w:t>
      </w:r>
      <w:r w:rsidRPr="00AF4628" w:rsidR="00E53532">
        <w:rPr>
          <w:rFonts w:cs="Arial"/>
          <w:szCs w:val="24"/>
        </w:rPr>
        <w:t>7.65</w:t>
      </w:r>
      <w:r w:rsidRPr="00AF4628">
        <w:rPr>
          <w:rFonts w:cs="Arial"/>
          <w:szCs w:val="24"/>
        </w:rPr>
        <w:t>, sent to the USPTO by priority mail through the United States Postal Service.  Since the USPTO estimates that it receives one request for recognition from a depository eve</w:t>
      </w:r>
      <w:r w:rsidRPr="00AF4628" w:rsidR="00C33552">
        <w:rPr>
          <w:rFonts w:cs="Arial"/>
          <w:szCs w:val="24"/>
        </w:rPr>
        <w:t xml:space="preserve">ry </w:t>
      </w:r>
      <w:r w:rsidR="00880ED8">
        <w:rPr>
          <w:rFonts w:cs="Arial"/>
          <w:szCs w:val="24"/>
        </w:rPr>
        <w:t>4</w:t>
      </w:r>
      <w:r w:rsidRPr="00AF4628" w:rsidR="00C33552">
        <w:rPr>
          <w:rFonts w:cs="Arial"/>
          <w:szCs w:val="24"/>
        </w:rPr>
        <w:t xml:space="preserve"> years, the postage cost</w:t>
      </w:r>
      <w:r w:rsidRPr="00AF4628">
        <w:rPr>
          <w:rFonts w:cs="Arial"/>
          <w:szCs w:val="24"/>
        </w:rPr>
        <w:t xml:space="preserve"> average</w:t>
      </w:r>
      <w:r w:rsidRPr="00AF4628" w:rsidR="00C33552">
        <w:rPr>
          <w:rFonts w:cs="Arial"/>
          <w:szCs w:val="24"/>
        </w:rPr>
        <w:t>s</w:t>
      </w:r>
      <w:r w:rsidRPr="00AF4628">
        <w:rPr>
          <w:rFonts w:cs="Arial"/>
          <w:szCs w:val="24"/>
        </w:rPr>
        <w:t xml:space="preserve"> $</w:t>
      </w:r>
      <w:r w:rsidRPr="00AF4628" w:rsidR="00C37BC5">
        <w:rPr>
          <w:rFonts w:cs="Arial"/>
          <w:szCs w:val="24"/>
        </w:rPr>
        <w:t>7.65</w:t>
      </w:r>
      <w:r w:rsidRPr="00AF4628">
        <w:rPr>
          <w:rFonts w:cs="Arial"/>
          <w:szCs w:val="24"/>
        </w:rPr>
        <w:t xml:space="preserve"> per depository request</w:t>
      </w:r>
      <w:r w:rsidRPr="00AF4628" w:rsidR="00377FD8">
        <w:rPr>
          <w:rFonts w:cs="Arial"/>
          <w:szCs w:val="24"/>
        </w:rPr>
        <w:t>.</w:t>
      </w:r>
      <w:r w:rsidR="00880ED8">
        <w:rPr>
          <w:rFonts w:cs="Arial"/>
          <w:szCs w:val="24"/>
        </w:rPr>
        <w:t xml:space="preserve">  </w:t>
      </w:r>
      <w:r w:rsidR="00A13021">
        <w:rPr>
          <w:rFonts w:cs="Arial"/>
          <w:szCs w:val="24"/>
        </w:rPr>
        <w:t xml:space="preserve">The total estimated postage costs in this information collection is $448,237.  </w:t>
      </w:r>
    </w:p>
    <w:p w:rsidRPr="00AF4628" w:rsidR="00313420" w:rsidRDefault="00313420" w14:paraId="532EA6CA" w14:textId="77777777">
      <w:pPr>
        <w:pStyle w:val="BodyText2"/>
        <w:rPr>
          <w:rFonts w:cs="Arial"/>
          <w:szCs w:val="24"/>
        </w:rPr>
      </w:pPr>
    </w:p>
    <w:p w:rsidRPr="00AF4628" w:rsidR="00313420" w:rsidP="00313420" w:rsidRDefault="00313420" w14:paraId="3FC179F6" w14:textId="77777777">
      <w:pPr>
        <w:pStyle w:val="BodyText2"/>
        <w:rPr>
          <w:rFonts w:cs="Arial"/>
          <w:szCs w:val="24"/>
        </w:rPr>
      </w:pPr>
      <w:r w:rsidRPr="00AF4628">
        <w:rPr>
          <w:rFonts w:cs="Arial"/>
          <w:szCs w:val="24"/>
        </w:rPr>
        <w:t xml:space="preserve">Therefore, the USPTO estimates that the total (non-hour) respondent cost burden for this </w:t>
      </w:r>
      <w:r w:rsidRPr="00AF4628" w:rsidR="00C32BF0">
        <w:rPr>
          <w:rFonts w:cs="Arial"/>
          <w:szCs w:val="24"/>
        </w:rPr>
        <w:t xml:space="preserve">information </w:t>
      </w:r>
      <w:r w:rsidRPr="00AF4628">
        <w:rPr>
          <w:rFonts w:cs="Arial"/>
          <w:szCs w:val="24"/>
        </w:rPr>
        <w:t xml:space="preserve">collection in the form of capital start-up costs and postage costs is </w:t>
      </w:r>
      <w:r w:rsidRPr="00AF4628" w:rsidR="00DF0392">
        <w:rPr>
          <w:rFonts w:cs="Arial"/>
          <w:szCs w:val="24"/>
        </w:rPr>
        <w:t>$2,823,23</w:t>
      </w:r>
      <w:r w:rsidRPr="00AF4628" w:rsidR="009D363D">
        <w:rPr>
          <w:rFonts w:cs="Arial"/>
          <w:szCs w:val="24"/>
        </w:rPr>
        <w:t>7</w:t>
      </w:r>
    </w:p>
    <w:p w:rsidRPr="00AF4628" w:rsidR="00AC6C03" w:rsidRDefault="00AC6C03" w14:paraId="7C709F64" w14:textId="77777777">
      <w:pPr>
        <w:jc w:val="both"/>
        <w:rPr>
          <w:rFonts w:ascii="Arial" w:hAnsi="Arial" w:cs="Arial"/>
          <w:sz w:val="24"/>
          <w:szCs w:val="24"/>
        </w:rPr>
      </w:pPr>
    </w:p>
    <w:p w:rsidRPr="00AF4628" w:rsidR="00492CD1" w:rsidP="00AF4628" w:rsidRDefault="00492CD1" w14:paraId="079FB50B" w14:textId="77777777">
      <w:pPr>
        <w:numPr>
          <w:ilvl w:val="0"/>
          <w:numId w:val="13"/>
        </w:numPr>
        <w:jc w:val="both"/>
        <w:rPr>
          <w:rFonts w:ascii="Arial" w:hAnsi="Arial" w:eastAsia="Calibri" w:cs="Arial"/>
          <w:b/>
          <w:bCs/>
          <w:sz w:val="24"/>
          <w:szCs w:val="24"/>
        </w:rPr>
      </w:pPr>
      <w:r w:rsidRPr="00AF4628">
        <w:rPr>
          <w:rFonts w:ascii="Arial" w:hAnsi="Arial" w:eastAsia="Calibri" w:cs="Arial"/>
          <w:b/>
          <w:bCs/>
          <w:sz w:val="24"/>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F4628" w:rsidR="00492CD1" w:rsidP="00492CD1" w:rsidRDefault="00492CD1" w14:paraId="14F12843" w14:textId="77777777">
      <w:pPr>
        <w:jc w:val="both"/>
        <w:rPr>
          <w:rFonts w:ascii="Arial" w:hAnsi="Arial" w:eastAsia="Calibri" w:cs="Arial"/>
          <w:b/>
          <w:bCs/>
          <w:sz w:val="24"/>
          <w:szCs w:val="24"/>
        </w:rPr>
      </w:pPr>
    </w:p>
    <w:p w:rsidRPr="00AF4628" w:rsidR="00D07F97" w:rsidRDefault="00D07F97" w14:paraId="02A24DD6" w14:textId="77777777">
      <w:pPr>
        <w:jc w:val="both"/>
        <w:rPr>
          <w:rFonts w:ascii="Arial" w:hAnsi="Arial" w:cs="Arial"/>
          <w:sz w:val="24"/>
          <w:szCs w:val="24"/>
        </w:rPr>
      </w:pPr>
    </w:p>
    <w:p w:rsidRPr="00AF4628" w:rsidR="00D07F97" w:rsidRDefault="00D07F97" w14:paraId="2790C6C3" w14:textId="77777777">
      <w:pPr>
        <w:pStyle w:val="BodyText2"/>
        <w:rPr>
          <w:rFonts w:cs="Arial"/>
          <w:szCs w:val="24"/>
        </w:rPr>
      </w:pPr>
      <w:r w:rsidRPr="00AF4628">
        <w:rPr>
          <w:rFonts w:cs="Arial"/>
          <w:szCs w:val="24"/>
        </w:rPr>
        <w:lastRenderedPageBreak/>
        <w:t xml:space="preserve">For clarity, the burden explanations for the annual cost to the Federal Government have been separated into sections a. and b.  Table </w:t>
      </w:r>
      <w:r w:rsidRPr="00AF4628" w:rsidR="00D73069">
        <w:rPr>
          <w:rFonts w:cs="Arial"/>
          <w:szCs w:val="24"/>
        </w:rPr>
        <w:t>4</w:t>
      </w:r>
      <w:r w:rsidRPr="00AF4628">
        <w:rPr>
          <w:rFonts w:cs="Arial"/>
          <w:szCs w:val="24"/>
        </w:rPr>
        <w:t xml:space="preserve"> combines both the deposits of biological material and depositories’ information and calculates the burden hours and costs of this information collection to the </w:t>
      </w:r>
      <w:r w:rsidRPr="00AF4628" w:rsidR="00C33552">
        <w:rPr>
          <w:rFonts w:cs="Arial"/>
          <w:szCs w:val="24"/>
        </w:rPr>
        <w:t>Federal Government</w:t>
      </w:r>
      <w:r w:rsidRPr="00AF4628">
        <w:rPr>
          <w:rFonts w:cs="Arial"/>
          <w:szCs w:val="24"/>
        </w:rPr>
        <w:t>, based on the following factors:</w:t>
      </w:r>
    </w:p>
    <w:p w:rsidRPr="00AF4628" w:rsidR="00D07F97" w:rsidRDefault="00D07F97" w14:paraId="7825ED46" w14:textId="77777777">
      <w:pPr>
        <w:pStyle w:val="BodyText2"/>
        <w:rPr>
          <w:rFonts w:cs="Arial"/>
          <w:szCs w:val="24"/>
        </w:rPr>
      </w:pPr>
    </w:p>
    <w:p w:rsidRPr="00AF4628" w:rsidR="00D07F97" w:rsidRDefault="00D07F97" w14:paraId="620C7D61" w14:textId="77777777">
      <w:pPr>
        <w:pStyle w:val="BodyText2"/>
        <w:rPr>
          <w:rFonts w:cs="Arial"/>
          <w:szCs w:val="24"/>
        </w:rPr>
      </w:pPr>
      <w:r w:rsidRPr="00AF4628">
        <w:rPr>
          <w:rFonts w:cs="Arial"/>
          <w:szCs w:val="24"/>
        </w:rPr>
        <w:t>a.</w:t>
      </w:r>
      <w:r w:rsidRPr="00AF4628">
        <w:rPr>
          <w:rFonts w:cs="Arial"/>
          <w:szCs w:val="24"/>
        </w:rPr>
        <w:tab/>
      </w:r>
      <w:r w:rsidRPr="00AF4628">
        <w:rPr>
          <w:rFonts w:cs="Arial"/>
          <w:szCs w:val="24"/>
          <w:u w:val="single"/>
        </w:rPr>
        <w:t>Deposits of Biological Material</w:t>
      </w:r>
    </w:p>
    <w:p w:rsidRPr="00AF4628" w:rsidR="00D07F97" w:rsidRDefault="00D07F97" w14:paraId="1432E242" w14:textId="77777777">
      <w:pPr>
        <w:pStyle w:val="BodyText2"/>
        <w:rPr>
          <w:rFonts w:cs="Arial"/>
          <w:szCs w:val="24"/>
        </w:rPr>
      </w:pPr>
    </w:p>
    <w:p w:rsidRPr="00AF4628" w:rsidR="00D07F97" w:rsidRDefault="00D07F97" w14:paraId="7F1EC6A7" w14:textId="321EE948">
      <w:pPr>
        <w:pStyle w:val="BodyText2"/>
        <w:rPr>
          <w:rFonts w:cs="Arial"/>
          <w:szCs w:val="24"/>
        </w:rPr>
      </w:pPr>
      <w:r w:rsidRPr="00AF4628">
        <w:rPr>
          <w:rFonts w:cs="Arial"/>
          <w:szCs w:val="24"/>
        </w:rPr>
        <w:t xml:space="preserve">The USPTO estimates that it takes a </w:t>
      </w:r>
      <w:hyperlink w:history="1" r:id="rId16">
        <w:r w:rsidRPr="0085218F">
          <w:rPr>
            <w:rStyle w:val="Hyperlink"/>
            <w:rFonts w:cs="Arial"/>
            <w:szCs w:val="24"/>
          </w:rPr>
          <w:t>GS-11, step 1</w:t>
        </w:r>
      </w:hyperlink>
      <w:r w:rsidR="0085218F">
        <w:rPr>
          <w:rStyle w:val="FootnoteReference"/>
          <w:rFonts w:cs="Arial"/>
          <w:szCs w:val="24"/>
        </w:rPr>
        <w:footnoteReference w:id="4"/>
      </w:r>
      <w:r w:rsidRPr="00AF4628">
        <w:rPr>
          <w:rFonts w:cs="Arial"/>
          <w:szCs w:val="24"/>
        </w:rPr>
        <w:t xml:space="preserve"> examiner, approximately 15 minutes (0.25 hours) to verify that biological materials have been deposited in compliance with the patent statute and regulations.  The hourly rate for a GS-11, step 1 is currently $</w:t>
      </w:r>
      <w:r w:rsidRPr="00AF4628" w:rsidR="00C37BC5">
        <w:rPr>
          <w:rFonts w:cs="Arial"/>
          <w:szCs w:val="24"/>
        </w:rPr>
        <w:t>34.51</w:t>
      </w:r>
      <w:r w:rsidRPr="00AF4628">
        <w:rPr>
          <w:rFonts w:cs="Arial"/>
          <w:szCs w:val="24"/>
        </w:rPr>
        <w:t>.  When 30% is added to accou</w:t>
      </w:r>
      <w:r w:rsidRPr="00AF4628" w:rsidR="00205562">
        <w:rPr>
          <w:rFonts w:cs="Arial"/>
          <w:szCs w:val="24"/>
        </w:rPr>
        <w:t>nt for a fully-</w:t>
      </w:r>
      <w:r w:rsidRPr="00AF4628">
        <w:rPr>
          <w:rFonts w:cs="Arial"/>
          <w:szCs w:val="24"/>
        </w:rPr>
        <w:t>loaded hourly rate (benefits plus overhead), the rate pe</w:t>
      </w:r>
      <w:r w:rsidRPr="00AF4628" w:rsidR="004F7880">
        <w:rPr>
          <w:rFonts w:cs="Arial"/>
          <w:szCs w:val="24"/>
        </w:rPr>
        <w:t>r</w:t>
      </w:r>
      <w:r w:rsidRPr="00AF4628">
        <w:rPr>
          <w:rFonts w:cs="Arial"/>
          <w:szCs w:val="24"/>
        </w:rPr>
        <w:t xml:space="preserve"> hour for a GS-11, step 1, is $</w:t>
      </w:r>
      <w:r w:rsidRPr="00AF4628" w:rsidR="00C37BC5">
        <w:rPr>
          <w:rFonts w:cs="Arial"/>
          <w:szCs w:val="24"/>
        </w:rPr>
        <w:t>44.86</w:t>
      </w:r>
      <w:r w:rsidRPr="00AF4628" w:rsidDel="00A628B7" w:rsidR="00A628B7">
        <w:rPr>
          <w:rFonts w:cs="Arial"/>
          <w:szCs w:val="24"/>
        </w:rPr>
        <w:t xml:space="preserve"> </w:t>
      </w:r>
      <w:r w:rsidRPr="00AF4628" w:rsidR="001126C0">
        <w:rPr>
          <w:rFonts w:cs="Arial"/>
          <w:szCs w:val="24"/>
        </w:rPr>
        <w:t>($</w:t>
      </w:r>
      <w:r w:rsidRPr="00AF4628" w:rsidR="00C37BC5">
        <w:rPr>
          <w:rFonts w:cs="Arial"/>
          <w:szCs w:val="24"/>
        </w:rPr>
        <w:t>34.51</w:t>
      </w:r>
      <w:r w:rsidRPr="00AF4628" w:rsidR="00132AA1">
        <w:rPr>
          <w:rFonts w:cs="Arial"/>
          <w:szCs w:val="24"/>
        </w:rPr>
        <w:t>+ $</w:t>
      </w:r>
      <w:r w:rsidRPr="00AF4628" w:rsidR="00C37BC5">
        <w:rPr>
          <w:rFonts w:cs="Arial"/>
          <w:szCs w:val="24"/>
        </w:rPr>
        <w:t>10.35</w:t>
      </w:r>
      <w:r w:rsidRPr="00AF4628">
        <w:rPr>
          <w:rFonts w:cs="Arial"/>
          <w:szCs w:val="24"/>
        </w:rPr>
        <w:t xml:space="preserve">).  </w:t>
      </w:r>
    </w:p>
    <w:p w:rsidRPr="00AF4628" w:rsidR="00D07F97" w:rsidRDefault="00D07F97" w14:paraId="5AB7FC36" w14:textId="77777777">
      <w:pPr>
        <w:pStyle w:val="BodyText2"/>
        <w:rPr>
          <w:rFonts w:cs="Arial"/>
          <w:szCs w:val="24"/>
        </w:rPr>
      </w:pPr>
    </w:p>
    <w:p w:rsidRPr="00AF4628" w:rsidR="00D07F97" w:rsidRDefault="00D07F97" w14:paraId="5F539415" w14:textId="77777777">
      <w:pPr>
        <w:pStyle w:val="BodyText2"/>
        <w:rPr>
          <w:rFonts w:cs="Arial"/>
          <w:szCs w:val="24"/>
        </w:rPr>
      </w:pPr>
      <w:r w:rsidRPr="00AF4628">
        <w:rPr>
          <w:rFonts w:cs="Arial"/>
          <w:szCs w:val="24"/>
        </w:rPr>
        <w:t>b.</w:t>
      </w:r>
      <w:r w:rsidRPr="00AF4628">
        <w:rPr>
          <w:rFonts w:cs="Arial"/>
          <w:szCs w:val="24"/>
        </w:rPr>
        <w:tab/>
      </w:r>
      <w:r w:rsidRPr="00AF4628">
        <w:rPr>
          <w:rFonts w:cs="Arial"/>
          <w:szCs w:val="24"/>
          <w:u w:val="single"/>
        </w:rPr>
        <w:t>Depositories</w:t>
      </w:r>
    </w:p>
    <w:p w:rsidRPr="00AF4628" w:rsidR="00D07F97" w:rsidRDefault="00D07F97" w14:paraId="2464DC1F" w14:textId="77777777">
      <w:pPr>
        <w:pStyle w:val="BodyText2"/>
        <w:rPr>
          <w:rFonts w:cs="Arial"/>
          <w:szCs w:val="24"/>
        </w:rPr>
      </w:pPr>
    </w:p>
    <w:p w:rsidRPr="00AF4628" w:rsidR="00D07F97" w:rsidRDefault="00D07F97" w14:paraId="4C5D59B8" w14:textId="32C2CFC1">
      <w:pPr>
        <w:pStyle w:val="BodyText2"/>
        <w:rPr>
          <w:rFonts w:cs="Arial"/>
          <w:szCs w:val="24"/>
        </w:rPr>
      </w:pPr>
      <w:r w:rsidRPr="00AF4628">
        <w:rPr>
          <w:rFonts w:cs="Arial"/>
          <w:szCs w:val="24"/>
        </w:rPr>
        <w:t xml:space="preserve">The USPTO estimates that it would take a </w:t>
      </w:r>
      <w:hyperlink w:history="1" r:id="rId17">
        <w:r w:rsidRPr="0085218F">
          <w:rPr>
            <w:rStyle w:val="Hyperlink"/>
            <w:rFonts w:cs="Arial"/>
            <w:szCs w:val="24"/>
          </w:rPr>
          <w:t>GS-15, step 5</w:t>
        </w:r>
      </w:hyperlink>
      <w:r w:rsidR="0085218F">
        <w:rPr>
          <w:rStyle w:val="FootnoteReference"/>
          <w:rFonts w:cs="Arial"/>
          <w:szCs w:val="24"/>
        </w:rPr>
        <w:footnoteReference w:id="5"/>
      </w:r>
      <w:r w:rsidRPr="00AF4628">
        <w:rPr>
          <w:rFonts w:cs="Arial"/>
          <w:szCs w:val="24"/>
        </w:rPr>
        <w:t xml:space="preserve">, approximately 10 hours to recognize an applicant as a suitable depository.  The hourly rate for a GS-15, step </w:t>
      </w:r>
      <w:r w:rsidRPr="00AF4628" w:rsidR="001849D2">
        <w:rPr>
          <w:rFonts w:cs="Arial"/>
          <w:szCs w:val="24"/>
        </w:rPr>
        <w:t>5</w:t>
      </w:r>
      <w:r w:rsidRPr="00AF4628">
        <w:rPr>
          <w:rFonts w:cs="Arial"/>
          <w:szCs w:val="24"/>
        </w:rPr>
        <w:t>, is currently $</w:t>
      </w:r>
      <w:r w:rsidRPr="00AF4628" w:rsidR="00585F06">
        <w:rPr>
          <w:rFonts w:cs="Arial"/>
          <w:szCs w:val="24"/>
        </w:rPr>
        <w:t>77.49</w:t>
      </w:r>
      <w:r w:rsidRPr="00AF4628" w:rsidR="00B52517">
        <w:rPr>
          <w:rFonts w:cs="Arial"/>
          <w:szCs w:val="24"/>
        </w:rPr>
        <w:t xml:space="preserve">. </w:t>
      </w:r>
      <w:r w:rsidRPr="00AF4628">
        <w:rPr>
          <w:rFonts w:cs="Arial"/>
          <w:szCs w:val="24"/>
        </w:rPr>
        <w:t xml:space="preserve">  When 30% </w:t>
      </w:r>
      <w:r w:rsidRPr="00AF4628" w:rsidR="00205562">
        <w:rPr>
          <w:rFonts w:cs="Arial"/>
          <w:szCs w:val="24"/>
        </w:rPr>
        <w:t>is added to account for a fully-</w:t>
      </w:r>
      <w:r w:rsidRPr="00AF4628">
        <w:rPr>
          <w:rFonts w:cs="Arial"/>
          <w:szCs w:val="24"/>
        </w:rPr>
        <w:t>loaded hourly rate (benefits plus overhead), the rate per hour for a GS-15, step 5, is $</w:t>
      </w:r>
      <w:r w:rsidRPr="00AF4628" w:rsidR="00C37BC5">
        <w:rPr>
          <w:rFonts w:cs="Arial"/>
          <w:szCs w:val="24"/>
        </w:rPr>
        <w:t>100.74</w:t>
      </w:r>
      <w:r w:rsidRPr="00AF4628" w:rsidDel="00C37BC5" w:rsidR="00C37BC5">
        <w:rPr>
          <w:rFonts w:cs="Arial"/>
          <w:szCs w:val="24"/>
        </w:rPr>
        <w:t xml:space="preserve"> </w:t>
      </w:r>
      <w:r w:rsidRPr="00AF4628">
        <w:rPr>
          <w:rFonts w:cs="Arial"/>
          <w:szCs w:val="24"/>
        </w:rPr>
        <w:t>($</w:t>
      </w:r>
      <w:r w:rsidRPr="00AF4628" w:rsidR="00C37BC5">
        <w:rPr>
          <w:rFonts w:cs="Arial"/>
          <w:szCs w:val="24"/>
        </w:rPr>
        <w:t>77.49</w:t>
      </w:r>
      <w:r w:rsidRPr="00AF4628">
        <w:rPr>
          <w:rFonts w:cs="Arial"/>
          <w:szCs w:val="24"/>
        </w:rPr>
        <w:t xml:space="preserve"> + $</w:t>
      </w:r>
      <w:r w:rsidRPr="00AF4628" w:rsidR="00C37BC5">
        <w:rPr>
          <w:rFonts w:cs="Arial"/>
          <w:szCs w:val="24"/>
        </w:rPr>
        <w:t>23.25</w:t>
      </w:r>
      <w:r w:rsidRPr="00AF4628">
        <w:rPr>
          <w:rFonts w:cs="Arial"/>
          <w:szCs w:val="24"/>
        </w:rPr>
        <w:t xml:space="preserve">).  </w:t>
      </w:r>
    </w:p>
    <w:p w:rsidRPr="00AF4628" w:rsidR="00D07F97" w:rsidRDefault="00D07F97" w14:paraId="3447B41F" w14:textId="77777777">
      <w:pPr>
        <w:jc w:val="both"/>
        <w:rPr>
          <w:rFonts w:ascii="Arial" w:hAnsi="Arial" w:cs="Arial"/>
          <w:sz w:val="24"/>
          <w:szCs w:val="24"/>
        </w:rPr>
      </w:pPr>
    </w:p>
    <w:p w:rsidRPr="00AF4628" w:rsidR="00D07F97" w:rsidRDefault="00D07F97" w14:paraId="3DD5DFA8" w14:textId="77777777">
      <w:pPr>
        <w:jc w:val="both"/>
        <w:rPr>
          <w:rFonts w:ascii="Arial" w:hAnsi="Arial" w:cs="Arial"/>
          <w:sz w:val="24"/>
          <w:szCs w:val="24"/>
        </w:rPr>
      </w:pPr>
      <w:r w:rsidRPr="00AF4628">
        <w:rPr>
          <w:rFonts w:ascii="Arial" w:hAnsi="Arial" w:cs="Arial"/>
          <w:sz w:val="24"/>
          <w:szCs w:val="24"/>
        </w:rPr>
        <w:t xml:space="preserve">Table </w:t>
      </w:r>
      <w:r w:rsidRPr="00AF4628" w:rsidR="00DF076D">
        <w:rPr>
          <w:rFonts w:ascii="Arial" w:hAnsi="Arial" w:cs="Arial"/>
          <w:sz w:val="24"/>
          <w:szCs w:val="24"/>
        </w:rPr>
        <w:t>3</w:t>
      </w:r>
      <w:r w:rsidRPr="00AF4628">
        <w:rPr>
          <w:rFonts w:ascii="Arial" w:hAnsi="Arial" w:cs="Arial"/>
          <w:sz w:val="24"/>
          <w:szCs w:val="24"/>
        </w:rPr>
        <w:t xml:space="preserve"> calculates the processing hours and costs associated with this information collection to the Federal Government:</w:t>
      </w:r>
    </w:p>
    <w:p w:rsidRPr="00AF4628" w:rsidR="00D07F97" w:rsidRDefault="00D07F97" w14:paraId="50F1F411" w14:textId="77777777">
      <w:pPr>
        <w:rPr>
          <w:rFonts w:ascii="Arial" w:hAnsi="Arial" w:cs="Arial"/>
          <w:sz w:val="24"/>
          <w:szCs w:val="24"/>
        </w:rPr>
      </w:pPr>
    </w:p>
    <w:p w:rsidRPr="00AF4628" w:rsidR="00D07F97" w:rsidRDefault="00D07F97" w14:paraId="6D2D0751" w14:textId="77777777">
      <w:pPr>
        <w:pStyle w:val="Heading5"/>
        <w:jc w:val="both"/>
        <w:rPr>
          <w:rFonts w:cs="Arial"/>
          <w:sz w:val="24"/>
          <w:szCs w:val="24"/>
        </w:rPr>
      </w:pPr>
      <w:r w:rsidRPr="00AF4628">
        <w:rPr>
          <w:rFonts w:cs="Arial"/>
          <w:sz w:val="24"/>
          <w:szCs w:val="24"/>
        </w:rPr>
        <w:t xml:space="preserve">Table </w:t>
      </w:r>
      <w:r w:rsidRPr="00AF4628" w:rsidR="00C11C4B">
        <w:rPr>
          <w:rFonts w:cs="Arial"/>
          <w:sz w:val="24"/>
          <w:szCs w:val="24"/>
        </w:rPr>
        <w:t>3</w:t>
      </w:r>
      <w:r w:rsidRPr="00AF4628">
        <w:rPr>
          <w:rFonts w:cs="Arial"/>
          <w:sz w:val="24"/>
          <w:szCs w:val="24"/>
        </w:rPr>
        <w:t>:  Burden Hour/Burden</w:t>
      </w:r>
      <w:r w:rsidRPr="00AF4628" w:rsidR="00DF076D">
        <w:rPr>
          <w:rFonts w:cs="Arial"/>
          <w:sz w:val="24"/>
          <w:szCs w:val="24"/>
        </w:rPr>
        <w:t xml:space="preserve"> Cost to the Federal Government</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2610"/>
        <w:gridCol w:w="1170"/>
        <w:gridCol w:w="1170"/>
        <w:gridCol w:w="1260"/>
        <w:gridCol w:w="1170"/>
        <w:gridCol w:w="1350"/>
      </w:tblGrid>
      <w:tr w:rsidRPr="00AF4628" w:rsidR="009F5066" w:rsidTr="00B327C3" w14:paraId="0CB9C9A7" w14:textId="77777777">
        <w:trPr>
          <w:cantSplit/>
        </w:trPr>
        <w:tc>
          <w:tcPr>
            <w:tcW w:w="630" w:type="dxa"/>
          </w:tcPr>
          <w:p w:rsidRPr="00AF4628" w:rsidR="009F5066" w:rsidRDefault="009F5066" w14:paraId="737E91C7" w14:textId="77777777">
            <w:pPr>
              <w:jc w:val="center"/>
              <w:rPr>
                <w:rFonts w:ascii="Arial" w:hAnsi="Arial" w:cs="Arial"/>
                <w:b/>
                <w:sz w:val="24"/>
                <w:szCs w:val="24"/>
              </w:rPr>
            </w:pPr>
          </w:p>
          <w:p w:rsidRPr="00AF4628" w:rsidR="009F5066" w:rsidRDefault="009F5066" w14:paraId="59AB7A19" w14:textId="77777777">
            <w:pPr>
              <w:jc w:val="center"/>
              <w:rPr>
                <w:rFonts w:ascii="Arial" w:hAnsi="Arial" w:cs="Arial"/>
                <w:b/>
                <w:sz w:val="24"/>
                <w:szCs w:val="24"/>
              </w:rPr>
            </w:pPr>
            <w:r w:rsidRPr="00AF4628">
              <w:rPr>
                <w:rFonts w:ascii="Arial" w:hAnsi="Arial" w:cs="Arial"/>
                <w:b/>
                <w:sz w:val="24"/>
                <w:szCs w:val="24"/>
              </w:rPr>
              <w:t>Item</w:t>
            </w:r>
          </w:p>
          <w:p w:rsidRPr="00AF4628" w:rsidR="009F5066" w:rsidRDefault="009F5066" w14:paraId="22780632" w14:textId="77777777">
            <w:pPr>
              <w:jc w:val="center"/>
              <w:rPr>
                <w:rFonts w:ascii="Arial" w:hAnsi="Arial" w:cs="Arial"/>
                <w:b/>
                <w:sz w:val="24"/>
                <w:szCs w:val="24"/>
              </w:rPr>
            </w:pPr>
            <w:r w:rsidRPr="00AF4628">
              <w:rPr>
                <w:rFonts w:ascii="Arial" w:hAnsi="Arial" w:cs="Arial"/>
                <w:b/>
                <w:sz w:val="24"/>
                <w:szCs w:val="24"/>
              </w:rPr>
              <w:t>#</w:t>
            </w:r>
          </w:p>
        </w:tc>
        <w:tc>
          <w:tcPr>
            <w:tcW w:w="2610" w:type="dxa"/>
          </w:tcPr>
          <w:p w:rsidRPr="00AF4628" w:rsidR="009F5066" w:rsidRDefault="009F5066" w14:paraId="71928254" w14:textId="77777777">
            <w:pPr>
              <w:jc w:val="center"/>
              <w:rPr>
                <w:rFonts w:ascii="Arial" w:hAnsi="Arial" w:cs="Arial"/>
                <w:b/>
                <w:sz w:val="24"/>
                <w:szCs w:val="24"/>
              </w:rPr>
            </w:pPr>
          </w:p>
          <w:p w:rsidRPr="00AF4628" w:rsidR="009F5066" w:rsidRDefault="009F5066" w14:paraId="1C9ECC60" w14:textId="77777777">
            <w:pPr>
              <w:jc w:val="center"/>
              <w:rPr>
                <w:rFonts w:ascii="Arial" w:hAnsi="Arial" w:cs="Arial"/>
                <w:b/>
                <w:sz w:val="24"/>
                <w:szCs w:val="24"/>
              </w:rPr>
            </w:pPr>
            <w:r w:rsidRPr="00AF4628">
              <w:rPr>
                <w:rFonts w:ascii="Arial" w:hAnsi="Arial" w:cs="Arial"/>
                <w:b/>
                <w:sz w:val="24"/>
                <w:szCs w:val="24"/>
              </w:rPr>
              <w:t>Item</w:t>
            </w:r>
          </w:p>
        </w:tc>
        <w:tc>
          <w:tcPr>
            <w:tcW w:w="1170" w:type="dxa"/>
          </w:tcPr>
          <w:p w:rsidRPr="00AF4628" w:rsidR="009F5066" w:rsidRDefault="009F5066" w14:paraId="13133C18" w14:textId="77777777">
            <w:pPr>
              <w:jc w:val="center"/>
              <w:rPr>
                <w:rFonts w:ascii="Arial" w:hAnsi="Arial" w:cs="Arial"/>
                <w:b/>
                <w:sz w:val="24"/>
                <w:szCs w:val="24"/>
              </w:rPr>
            </w:pPr>
          </w:p>
          <w:p w:rsidRPr="00AF4628" w:rsidR="009F5066" w:rsidRDefault="009F5066" w14:paraId="63F5278E" w14:textId="77777777">
            <w:pPr>
              <w:jc w:val="center"/>
              <w:rPr>
                <w:rFonts w:ascii="Arial" w:hAnsi="Arial" w:cs="Arial"/>
                <w:b/>
                <w:sz w:val="24"/>
                <w:szCs w:val="24"/>
              </w:rPr>
            </w:pPr>
            <w:r w:rsidRPr="00AF4628">
              <w:rPr>
                <w:rFonts w:ascii="Arial" w:hAnsi="Arial" w:cs="Arial"/>
                <w:b/>
                <w:sz w:val="24"/>
                <w:szCs w:val="24"/>
              </w:rPr>
              <w:t>Hours</w:t>
            </w:r>
          </w:p>
          <w:p w:rsidRPr="00AF4628" w:rsidR="009F5066" w:rsidRDefault="009F5066" w14:paraId="4EFB4D53" w14:textId="77777777">
            <w:pPr>
              <w:jc w:val="center"/>
              <w:rPr>
                <w:rFonts w:ascii="Arial" w:hAnsi="Arial" w:cs="Arial"/>
                <w:b/>
                <w:sz w:val="24"/>
                <w:szCs w:val="24"/>
              </w:rPr>
            </w:pPr>
            <w:r w:rsidRPr="00AF4628">
              <w:rPr>
                <w:rFonts w:ascii="Arial" w:hAnsi="Arial" w:cs="Arial"/>
                <w:b/>
                <w:sz w:val="24"/>
                <w:szCs w:val="24"/>
              </w:rPr>
              <w:t>(a)</w:t>
            </w:r>
          </w:p>
        </w:tc>
        <w:tc>
          <w:tcPr>
            <w:tcW w:w="1170" w:type="dxa"/>
          </w:tcPr>
          <w:p w:rsidRPr="00AF4628" w:rsidR="009F5066" w:rsidRDefault="009F5066" w14:paraId="19D241B8" w14:textId="77777777">
            <w:pPr>
              <w:jc w:val="center"/>
              <w:rPr>
                <w:rFonts w:ascii="Arial" w:hAnsi="Arial" w:cs="Arial"/>
                <w:b/>
                <w:sz w:val="24"/>
                <w:szCs w:val="24"/>
              </w:rPr>
            </w:pPr>
          </w:p>
          <w:p w:rsidRPr="00AF4628" w:rsidR="009F5066" w:rsidRDefault="009F5066" w14:paraId="322FFE25" w14:textId="77777777">
            <w:pPr>
              <w:jc w:val="center"/>
              <w:rPr>
                <w:rFonts w:ascii="Arial" w:hAnsi="Arial" w:cs="Arial"/>
                <w:b/>
                <w:sz w:val="24"/>
                <w:szCs w:val="24"/>
              </w:rPr>
            </w:pPr>
            <w:r w:rsidRPr="00AF4628">
              <w:rPr>
                <w:rFonts w:ascii="Arial" w:hAnsi="Arial" w:cs="Arial"/>
                <w:b/>
                <w:sz w:val="24"/>
                <w:szCs w:val="24"/>
              </w:rPr>
              <w:t>Responses</w:t>
            </w:r>
          </w:p>
          <w:p w:rsidRPr="00AF4628" w:rsidR="009F5066" w:rsidRDefault="009F5066" w14:paraId="7635A429" w14:textId="77777777">
            <w:pPr>
              <w:jc w:val="center"/>
              <w:rPr>
                <w:rFonts w:ascii="Arial" w:hAnsi="Arial" w:cs="Arial"/>
                <w:b/>
                <w:sz w:val="24"/>
                <w:szCs w:val="24"/>
              </w:rPr>
            </w:pPr>
            <w:r w:rsidRPr="00AF4628">
              <w:rPr>
                <w:rFonts w:ascii="Arial" w:hAnsi="Arial" w:cs="Arial"/>
                <w:b/>
                <w:sz w:val="24"/>
                <w:szCs w:val="24"/>
              </w:rPr>
              <w:t>(</w:t>
            </w:r>
            <w:proofErr w:type="spellStart"/>
            <w:r w:rsidRPr="00AF4628">
              <w:rPr>
                <w:rFonts w:ascii="Arial" w:hAnsi="Arial" w:cs="Arial"/>
                <w:b/>
                <w:sz w:val="24"/>
                <w:szCs w:val="24"/>
              </w:rPr>
              <w:t>yr</w:t>
            </w:r>
            <w:proofErr w:type="spellEnd"/>
            <w:r w:rsidRPr="00AF4628">
              <w:rPr>
                <w:rFonts w:ascii="Arial" w:hAnsi="Arial" w:cs="Arial"/>
                <w:b/>
                <w:sz w:val="24"/>
                <w:szCs w:val="24"/>
              </w:rPr>
              <w:t>)</w:t>
            </w:r>
          </w:p>
          <w:p w:rsidRPr="00AF4628" w:rsidR="009F5066" w:rsidRDefault="009F5066" w14:paraId="02E7A71E" w14:textId="77777777">
            <w:pPr>
              <w:jc w:val="center"/>
              <w:rPr>
                <w:rFonts w:ascii="Arial" w:hAnsi="Arial" w:cs="Arial"/>
                <w:b/>
                <w:sz w:val="24"/>
                <w:szCs w:val="24"/>
              </w:rPr>
            </w:pPr>
            <w:r w:rsidRPr="00AF4628">
              <w:rPr>
                <w:rFonts w:ascii="Arial" w:hAnsi="Arial" w:cs="Arial"/>
                <w:b/>
                <w:sz w:val="24"/>
                <w:szCs w:val="24"/>
              </w:rPr>
              <w:t>(b)</w:t>
            </w:r>
          </w:p>
        </w:tc>
        <w:tc>
          <w:tcPr>
            <w:tcW w:w="1260" w:type="dxa"/>
          </w:tcPr>
          <w:p w:rsidRPr="00AF4628" w:rsidR="009F5066" w:rsidRDefault="009F5066" w14:paraId="0C02E4DF" w14:textId="77777777">
            <w:pPr>
              <w:jc w:val="center"/>
              <w:rPr>
                <w:rFonts w:ascii="Arial" w:hAnsi="Arial" w:cs="Arial"/>
                <w:b/>
                <w:sz w:val="24"/>
                <w:szCs w:val="24"/>
              </w:rPr>
            </w:pPr>
          </w:p>
          <w:p w:rsidRPr="00AF4628" w:rsidR="009F5066" w:rsidRDefault="009F5066" w14:paraId="6612F09D" w14:textId="77777777">
            <w:pPr>
              <w:jc w:val="center"/>
              <w:rPr>
                <w:rFonts w:ascii="Arial" w:hAnsi="Arial" w:cs="Arial"/>
                <w:b/>
                <w:sz w:val="24"/>
                <w:szCs w:val="24"/>
              </w:rPr>
            </w:pPr>
            <w:r w:rsidRPr="00AF4628">
              <w:rPr>
                <w:rFonts w:ascii="Arial" w:hAnsi="Arial" w:cs="Arial"/>
                <w:b/>
                <w:sz w:val="24"/>
                <w:szCs w:val="24"/>
              </w:rPr>
              <w:t>Burden</w:t>
            </w:r>
          </w:p>
          <w:p w:rsidRPr="00AF4628" w:rsidR="009F5066" w:rsidRDefault="009F5066" w14:paraId="7FA5B14E" w14:textId="77777777">
            <w:pPr>
              <w:jc w:val="center"/>
              <w:rPr>
                <w:rFonts w:ascii="Arial" w:hAnsi="Arial" w:cs="Arial"/>
                <w:b/>
                <w:sz w:val="24"/>
                <w:szCs w:val="24"/>
              </w:rPr>
            </w:pPr>
            <w:r w:rsidRPr="00AF4628">
              <w:rPr>
                <w:rFonts w:ascii="Arial" w:hAnsi="Arial" w:cs="Arial"/>
                <w:b/>
                <w:sz w:val="24"/>
                <w:szCs w:val="24"/>
              </w:rPr>
              <w:t>(</w:t>
            </w:r>
            <w:proofErr w:type="spellStart"/>
            <w:r w:rsidRPr="00AF4628">
              <w:rPr>
                <w:rFonts w:ascii="Arial" w:hAnsi="Arial" w:cs="Arial"/>
                <w:b/>
                <w:sz w:val="24"/>
                <w:szCs w:val="24"/>
              </w:rPr>
              <w:t>hrs</w:t>
            </w:r>
            <w:proofErr w:type="spellEnd"/>
            <w:r w:rsidRPr="00AF4628">
              <w:rPr>
                <w:rFonts w:ascii="Arial" w:hAnsi="Arial" w:cs="Arial"/>
                <w:b/>
                <w:sz w:val="24"/>
                <w:szCs w:val="24"/>
              </w:rPr>
              <w:t>/</w:t>
            </w:r>
            <w:proofErr w:type="spellStart"/>
            <w:r w:rsidRPr="00AF4628">
              <w:rPr>
                <w:rFonts w:ascii="Arial" w:hAnsi="Arial" w:cs="Arial"/>
                <w:b/>
                <w:sz w:val="24"/>
                <w:szCs w:val="24"/>
              </w:rPr>
              <w:t>yr</w:t>
            </w:r>
            <w:proofErr w:type="spellEnd"/>
            <w:r w:rsidRPr="00AF4628">
              <w:rPr>
                <w:rFonts w:ascii="Arial" w:hAnsi="Arial" w:cs="Arial"/>
                <w:b/>
                <w:sz w:val="24"/>
                <w:szCs w:val="24"/>
              </w:rPr>
              <w:t>)</w:t>
            </w:r>
          </w:p>
          <w:p w:rsidRPr="00AF4628" w:rsidR="009F5066" w:rsidRDefault="009F5066" w14:paraId="128FFF0A" w14:textId="77777777">
            <w:pPr>
              <w:jc w:val="center"/>
              <w:rPr>
                <w:rFonts w:ascii="Arial" w:hAnsi="Arial" w:cs="Arial"/>
                <w:b/>
                <w:sz w:val="24"/>
                <w:szCs w:val="24"/>
              </w:rPr>
            </w:pPr>
            <w:r w:rsidRPr="00AF4628">
              <w:rPr>
                <w:rFonts w:ascii="Arial" w:hAnsi="Arial" w:cs="Arial"/>
                <w:b/>
                <w:sz w:val="24"/>
                <w:szCs w:val="24"/>
              </w:rPr>
              <w:t>(c)</w:t>
            </w:r>
          </w:p>
          <w:p w:rsidRPr="00AF4628" w:rsidR="009F5066" w:rsidRDefault="009F5066" w14:paraId="3937E64B" w14:textId="77777777">
            <w:pPr>
              <w:jc w:val="center"/>
              <w:rPr>
                <w:rFonts w:ascii="Arial" w:hAnsi="Arial" w:cs="Arial"/>
                <w:b/>
                <w:sz w:val="24"/>
                <w:szCs w:val="24"/>
              </w:rPr>
            </w:pPr>
            <w:r w:rsidRPr="00AF4628">
              <w:rPr>
                <w:rFonts w:ascii="Arial" w:hAnsi="Arial" w:cs="Arial"/>
                <w:b/>
                <w:sz w:val="24"/>
                <w:szCs w:val="24"/>
              </w:rPr>
              <w:t>(a) x (b)</w:t>
            </w:r>
          </w:p>
        </w:tc>
        <w:tc>
          <w:tcPr>
            <w:tcW w:w="1170" w:type="dxa"/>
          </w:tcPr>
          <w:p w:rsidRPr="00AF4628" w:rsidR="009F5066" w:rsidRDefault="009F5066" w14:paraId="308AA5E9" w14:textId="77777777">
            <w:pPr>
              <w:jc w:val="center"/>
              <w:rPr>
                <w:rFonts w:ascii="Arial" w:hAnsi="Arial" w:cs="Arial"/>
                <w:b/>
                <w:sz w:val="24"/>
                <w:szCs w:val="24"/>
              </w:rPr>
            </w:pPr>
          </w:p>
          <w:p w:rsidRPr="00AF4628" w:rsidR="009F5066" w:rsidRDefault="009F5066" w14:paraId="520BAD3E" w14:textId="77777777">
            <w:pPr>
              <w:jc w:val="center"/>
              <w:rPr>
                <w:rFonts w:ascii="Arial" w:hAnsi="Arial" w:cs="Arial"/>
                <w:b/>
                <w:sz w:val="24"/>
                <w:szCs w:val="24"/>
              </w:rPr>
            </w:pPr>
            <w:r w:rsidRPr="00AF4628">
              <w:rPr>
                <w:rFonts w:ascii="Arial" w:hAnsi="Arial" w:cs="Arial"/>
                <w:b/>
                <w:sz w:val="24"/>
                <w:szCs w:val="24"/>
              </w:rPr>
              <w:t>Rate</w:t>
            </w:r>
          </w:p>
          <w:p w:rsidRPr="00AF4628" w:rsidR="009F5066" w:rsidRDefault="009F5066" w14:paraId="2501F5F2" w14:textId="77777777">
            <w:pPr>
              <w:jc w:val="center"/>
              <w:rPr>
                <w:rFonts w:ascii="Arial" w:hAnsi="Arial" w:cs="Arial"/>
                <w:b/>
                <w:sz w:val="24"/>
                <w:szCs w:val="24"/>
              </w:rPr>
            </w:pPr>
            <w:r w:rsidRPr="00AF4628">
              <w:rPr>
                <w:rFonts w:ascii="Arial" w:hAnsi="Arial" w:cs="Arial"/>
                <w:b/>
                <w:sz w:val="24"/>
                <w:szCs w:val="24"/>
              </w:rPr>
              <w:t>($/</w:t>
            </w:r>
            <w:proofErr w:type="spellStart"/>
            <w:r w:rsidRPr="00AF4628">
              <w:rPr>
                <w:rFonts w:ascii="Arial" w:hAnsi="Arial" w:cs="Arial"/>
                <w:b/>
                <w:sz w:val="24"/>
                <w:szCs w:val="24"/>
              </w:rPr>
              <w:t>hr</w:t>
            </w:r>
            <w:proofErr w:type="spellEnd"/>
            <w:r w:rsidRPr="00AF4628">
              <w:rPr>
                <w:rFonts w:ascii="Arial" w:hAnsi="Arial" w:cs="Arial"/>
                <w:b/>
                <w:sz w:val="24"/>
                <w:szCs w:val="24"/>
              </w:rPr>
              <w:t>)</w:t>
            </w:r>
          </w:p>
          <w:p w:rsidRPr="00AF4628" w:rsidR="009F5066" w:rsidRDefault="009F5066" w14:paraId="57451742" w14:textId="77777777">
            <w:pPr>
              <w:jc w:val="center"/>
              <w:rPr>
                <w:rFonts w:ascii="Arial" w:hAnsi="Arial" w:cs="Arial"/>
                <w:b/>
                <w:sz w:val="24"/>
                <w:szCs w:val="24"/>
              </w:rPr>
            </w:pPr>
            <w:r w:rsidRPr="00AF4628">
              <w:rPr>
                <w:rFonts w:ascii="Arial" w:hAnsi="Arial" w:cs="Arial"/>
                <w:b/>
                <w:sz w:val="24"/>
                <w:szCs w:val="24"/>
              </w:rPr>
              <w:t>(d)</w:t>
            </w:r>
          </w:p>
        </w:tc>
        <w:tc>
          <w:tcPr>
            <w:tcW w:w="1350" w:type="dxa"/>
          </w:tcPr>
          <w:p w:rsidRPr="00AF4628" w:rsidR="009F5066" w:rsidRDefault="009F5066" w14:paraId="109A30B9" w14:textId="77777777">
            <w:pPr>
              <w:jc w:val="center"/>
              <w:rPr>
                <w:rFonts w:ascii="Arial" w:hAnsi="Arial" w:cs="Arial"/>
                <w:b/>
                <w:sz w:val="24"/>
                <w:szCs w:val="24"/>
              </w:rPr>
            </w:pPr>
          </w:p>
          <w:p w:rsidRPr="00AF4628" w:rsidR="009F5066" w:rsidRDefault="009F5066" w14:paraId="064BD259" w14:textId="77777777">
            <w:pPr>
              <w:jc w:val="center"/>
              <w:rPr>
                <w:rFonts w:ascii="Arial" w:hAnsi="Arial" w:cs="Arial"/>
                <w:b/>
                <w:sz w:val="24"/>
                <w:szCs w:val="24"/>
              </w:rPr>
            </w:pPr>
            <w:r w:rsidRPr="00AF4628">
              <w:rPr>
                <w:rFonts w:ascii="Arial" w:hAnsi="Arial" w:cs="Arial"/>
                <w:b/>
                <w:sz w:val="24"/>
                <w:szCs w:val="24"/>
              </w:rPr>
              <w:t>Total Cost</w:t>
            </w:r>
          </w:p>
          <w:p w:rsidRPr="00AF4628" w:rsidR="009F5066" w:rsidRDefault="009F5066" w14:paraId="25D14918" w14:textId="77777777">
            <w:pPr>
              <w:jc w:val="center"/>
              <w:rPr>
                <w:rFonts w:ascii="Arial" w:hAnsi="Arial" w:cs="Arial"/>
                <w:b/>
                <w:sz w:val="24"/>
                <w:szCs w:val="24"/>
              </w:rPr>
            </w:pPr>
            <w:r w:rsidRPr="00AF4628">
              <w:rPr>
                <w:rFonts w:ascii="Arial" w:hAnsi="Arial" w:cs="Arial"/>
                <w:b/>
                <w:sz w:val="24"/>
                <w:szCs w:val="24"/>
              </w:rPr>
              <w:t>($/</w:t>
            </w:r>
            <w:proofErr w:type="spellStart"/>
            <w:r w:rsidRPr="00AF4628">
              <w:rPr>
                <w:rFonts w:ascii="Arial" w:hAnsi="Arial" w:cs="Arial"/>
                <w:b/>
                <w:sz w:val="24"/>
                <w:szCs w:val="24"/>
              </w:rPr>
              <w:t>hr</w:t>
            </w:r>
            <w:proofErr w:type="spellEnd"/>
            <w:r w:rsidRPr="00AF4628">
              <w:rPr>
                <w:rFonts w:ascii="Arial" w:hAnsi="Arial" w:cs="Arial"/>
                <w:b/>
                <w:sz w:val="24"/>
                <w:szCs w:val="24"/>
              </w:rPr>
              <w:t>)</w:t>
            </w:r>
          </w:p>
          <w:p w:rsidRPr="00AF4628" w:rsidR="009F5066" w:rsidRDefault="009F5066" w14:paraId="68EDF05D" w14:textId="77777777">
            <w:pPr>
              <w:jc w:val="center"/>
              <w:rPr>
                <w:rFonts w:ascii="Arial" w:hAnsi="Arial" w:cs="Arial"/>
                <w:b/>
                <w:sz w:val="24"/>
                <w:szCs w:val="24"/>
              </w:rPr>
            </w:pPr>
            <w:r w:rsidRPr="00AF4628">
              <w:rPr>
                <w:rFonts w:ascii="Arial" w:hAnsi="Arial" w:cs="Arial"/>
                <w:b/>
                <w:sz w:val="24"/>
                <w:szCs w:val="24"/>
              </w:rPr>
              <w:t>(e)</w:t>
            </w:r>
          </w:p>
          <w:p w:rsidRPr="00AF4628" w:rsidR="009F5066" w:rsidRDefault="009F5066" w14:paraId="0B2B070A" w14:textId="77777777">
            <w:pPr>
              <w:jc w:val="center"/>
              <w:rPr>
                <w:rFonts w:ascii="Arial" w:hAnsi="Arial" w:cs="Arial"/>
                <w:b/>
                <w:sz w:val="24"/>
                <w:szCs w:val="24"/>
              </w:rPr>
            </w:pPr>
            <w:r w:rsidRPr="00AF4628">
              <w:rPr>
                <w:rFonts w:ascii="Arial" w:hAnsi="Arial" w:cs="Arial"/>
                <w:b/>
                <w:sz w:val="24"/>
                <w:szCs w:val="24"/>
              </w:rPr>
              <w:t>(c) x (d)</w:t>
            </w:r>
          </w:p>
        </w:tc>
      </w:tr>
      <w:tr w:rsidRPr="00AF4628" w:rsidR="009F5066" w:rsidTr="00B327C3" w14:paraId="08748896" w14:textId="77777777">
        <w:trPr>
          <w:cantSplit/>
        </w:trPr>
        <w:tc>
          <w:tcPr>
            <w:tcW w:w="630" w:type="dxa"/>
          </w:tcPr>
          <w:p w:rsidRPr="00AF4628" w:rsidR="009F5066" w:rsidP="009F5066" w:rsidRDefault="009F5066" w14:paraId="4E79B5ED" w14:textId="77777777">
            <w:pPr>
              <w:jc w:val="center"/>
              <w:rPr>
                <w:rFonts w:ascii="Arial" w:hAnsi="Arial" w:cs="Arial"/>
                <w:sz w:val="24"/>
                <w:szCs w:val="24"/>
              </w:rPr>
            </w:pPr>
          </w:p>
          <w:p w:rsidRPr="00AF4628" w:rsidR="009F5066" w:rsidP="009F5066" w:rsidRDefault="009F5066" w14:paraId="2E453006" w14:textId="77777777">
            <w:pPr>
              <w:jc w:val="center"/>
              <w:rPr>
                <w:rFonts w:ascii="Arial" w:hAnsi="Arial" w:cs="Arial"/>
                <w:sz w:val="24"/>
                <w:szCs w:val="24"/>
              </w:rPr>
            </w:pPr>
            <w:r w:rsidRPr="00AF4628">
              <w:rPr>
                <w:rFonts w:ascii="Arial" w:hAnsi="Arial" w:cs="Arial"/>
                <w:sz w:val="24"/>
                <w:szCs w:val="24"/>
              </w:rPr>
              <w:t>1</w:t>
            </w:r>
          </w:p>
        </w:tc>
        <w:tc>
          <w:tcPr>
            <w:tcW w:w="2610" w:type="dxa"/>
          </w:tcPr>
          <w:p w:rsidRPr="00AF4628" w:rsidR="009F5066" w:rsidRDefault="009F5066" w14:paraId="2F501160" w14:textId="77777777">
            <w:pPr>
              <w:rPr>
                <w:rFonts w:ascii="Arial" w:hAnsi="Arial" w:cs="Arial"/>
                <w:sz w:val="24"/>
                <w:szCs w:val="24"/>
              </w:rPr>
            </w:pPr>
          </w:p>
          <w:p w:rsidRPr="00AF4628" w:rsidR="009F5066" w:rsidRDefault="009F5066" w14:paraId="2DB75662" w14:textId="77777777">
            <w:pPr>
              <w:rPr>
                <w:rFonts w:ascii="Arial" w:hAnsi="Arial" w:cs="Arial"/>
                <w:sz w:val="24"/>
                <w:szCs w:val="24"/>
              </w:rPr>
            </w:pPr>
            <w:r w:rsidRPr="00AF4628">
              <w:rPr>
                <w:rFonts w:ascii="Arial" w:hAnsi="Arial" w:cs="Arial"/>
                <w:sz w:val="24"/>
                <w:szCs w:val="24"/>
              </w:rPr>
              <w:t>Deposited Materials</w:t>
            </w:r>
          </w:p>
        </w:tc>
        <w:tc>
          <w:tcPr>
            <w:tcW w:w="1170" w:type="dxa"/>
          </w:tcPr>
          <w:p w:rsidRPr="00AF4628" w:rsidR="009F5066" w:rsidP="00821CC2" w:rsidRDefault="009F5066" w14:paraId="6D79C484" w14:textId="77777777">
            <w:pPr>
              <w:jc w:val="right"/>
              <w:rPr>
                <w:rFonts w:ascii="Arial" w:hAnsi="Arial" w:cs="Arial"/>
                <w:sz w:val="24"/>
                <w:szCs w:val="24"/>
              </w:rPr>
            </w:pPr>
          </w:p>
          <w:p w:rsidRPr="00AF4628" w:rsidR="009F5066" w:rsidP="00821CC2" w:rsidRDefault="009F5066" w14:paraId="7374F0C3" w14:textId="77777777">
            <w:pPr>
              <w:jc w:val="right"/>
              <w:rPr>
                <w:rFonts w:ascii="Arial" w:hAnsi="Arial" w:cs="Arial"/>
                <w:sz w:val="24"/>
                <w:szCs w:val="24"/>
              </w:rPr>
            </w:pPr>
            <w:r w:rsidRPr="00AF4628">
              <w:rPr>
                <w:rFonts w:ascii="Arial" w:hAnsi="Arial" w:cs="Arial"/>
                <w:sz w:val="24"/>
                <w:szCs w:val="24"/>
              </w:rPr>
              <w:t>0.25</w:t>
            </w:r>
          </w:p>
        </w:tc>
        <w:tc>
          <w:tcPr>
            <w:tcW w:w="1170" w:type="dxa"/>
          </w:tcPr>
          <w:p w:rsidRPr="00AF4628" w:rsidR="009F5066" w:rsidRDefault="009F5066" w14:paraId="68456FEF" w14:textId="77777777">
            <w:pPr>
              <w:jc w:val="right"/>
              <w:rPr>
                <w:rFonts w:ascii="Arial" w:hAnsi="Arial" w:cs="Arial"/>
                <w:sz w:val="24"/>
                <w:szCs w:val="24"/>
              </w:rPr>
            </w:pPr>
          </w:p>
          <w:p w:rsidRPr="00AF4628" w:rsidR="009F5066" w:rsidRDefault="00074A4A" w14:paraId="4AE410D8" w14:textId="77777777">
            <w:pPr>
              <w:jc w:val="right"/>
              <w:rPr>
                <w:rFonts w:ascii="Arial" w:hAnsi="Arial" w:cs="Arial"/>
                <w:sz w:val="24"/>
                <w:szCs w:val="24"/>
              </w:rPr>
            </w:pPr>
            <w:r w:rsidRPr="00AF4628">
              <w:rPr>
                <w:rFonts w:ascii="Arial" w:hAnsi="Arial" w:cs="Arial"/>
                <w:sz w:val="24"/>
                <w:szCs w:val="24"/>
              </w:rPr>
              <w:t>950</w:t>
            </w:r>
          </w:p>
        </w:tc>
        <w:tc>
          <w:tcPr>
            <w:tcW w:w="1260" w:type="dxa"/>
          </w:tcPr>
          <w:p w:rsidRPr="00AF4628" w:rsidR="009F5066" w:rsidRDefault="009F5066" w14:paraId="2A671353" w14:textId="77777777">
            <w:pPr>
              <w:jc w:val="right"/>
              <w:rPr>
                <w:rFonts w:ascii="Arial" w:hAnsi="Arial" w:cs="Arial"/>
                <w:sz w:val="24"/>
                <w:szCs w:val="24"/>
              </w:rPr>
            </w:pPr>
          </w:p>
          <w:p w:rsidRPr="00AF4628" w:rsidR="009F5066" w:rsidRDefault="00074A4A" w14:paraId="4F5D1D5C" w14:textId="77777777">
            <w:pPr>
              <w:jc w:val="right"/>
              <w:rPr>
                <w:rFonts w:ascii="Arial" w:hAnsi="Arial" w:cs="Arial"/>
                <w:sz w:val="24"/>
                <w:szCs w:val="24"/>
              </w:rPr>
            </w:pPr>
            <w:r w:rsidRPr="00AF4628">
              <w:rPr>
                <w:rFonts w:ascii="Arial" w:hAnsi="Arial" w:cs="Arial"/>
                <w:sz w:val="24"/>
                <w:szCs w:val="24"/>
              </w:rPr>
              <w:t>238</w:t>
            </w:r>
          </w:p>
        </w:tc>
        <w:tc>
          <w:tcPr>
            <w:tcW w:w="1170" w:type="dxa"/>
          </w:tcPr>
          <w:p w:rsidRPr="00AF4628" w:rsidR="009F5066" w:rsidRDefault="009F5066" w14:paraId="423C33D4" w14:textId="77777777">
            <w:pPr>
              <w:jc w:val="right"/>
              <w:rPr>
                <w:rFonts w:ascii="Arial" w:hAnsi="Arial" w:cs="Arial"/>
                <w:sz w:val="24"/>
                <w:szCs w:val="24"/>
              </w:rPr>
            </w:pPr>
          </w:p>
          <w:p w:rsidRPr="00AF4628" w:rsidR="009F5066" w:rsidP="00B52517" w:rsidRDefault="00C37BC5" w14:paraId="1A9D2AF4" w14:textId="77777777">
            <w:pPr>
              <w:jc w:val="right"/>
              <w:rPr>
                <w:rFonts w:ascii="Arial" w:hAnsi="Arial" w:cs="Arial"/>
                <w:sz w:val="24"/>
                <w:szCs w:val="24"/>
              </w:rPr>
            </w:pPr>
            <w:r w:rsidRPr="00AF4628">
              <w:rPr>
                <w:rFonts w:ascii="Arial" w:hAnsi="Arial" w:cs="Arial"/>
                <w:sz w:val="24"/>
                <w:szCs w:val="24"/>
              </w:rPr>
              <w:t>$44.86</w:t>
            </w:r>
          </w:p>
        </w:tc>
        <w:tc>
          <w:tcPr>
            <w:tcW w:w="1350" w:type="dxa"/>
          </w:tcPr>
          <w:p w:rsidRPr="00AF4628" w:rsidR="009F5066" w:rsidRDefault="009F5066" w14:paraId="1A858B70" w14:textId="77777777">
            <w:pPr>
              <w:jc w:val="right"/>
              <w:rPr>
                <w:rFonts w:ascii="Arial" w:hAnsi="Arial" w:cs="Arial"/>
                <w:sz w:val="24"/>
                <w:szCs w:val="24"/>
              </w:rPr>
            </w:pPr>
          </w:p>
          <w:p w:rsidRPr="00AF4628" w:rsidR="00C37BC5" w:rsidP="00C37BC5" w:rsidRDefault="00860394" w14:paraId="10431564" w14:textId="5C92F732">
            <w:pPr>
              <w:jc w:val="right"/>
              <w:rPr>
                <w:rFonts w:ascii="Arial" w:hAnsi="Arial" w:cs="Arial"/>
                <w:color w:val="000000"/>
                <w:sz w:val="24"/>
                <w:szCs w:val="24"/>
              </w:rPr>
            </w:pPr>
            <w:r>
              <w:rPr>
                <w:rFonts w:ascii="Arial" w:hAnsi="Arial" w:cs="Arial"/>
                <w:color w:val="000000"/>
                <w:sz w:val="24"/>
                <w:szCs w:val="24"/>
              </w:rPr>
              <w:t>$10,677</w:t>
            </w:r>
            <w:r w:rsidRPr="00AF4628" w:rsidR="00C37BC5">
              <w:rPr>
                <w:rFonts w:ascii="Arial" w:hAnsi="Arial" w:cs="Arial"/>
                <w:color w:val="000000"/>
                <w:sz w:val="24"/>
                <w:szCs w:val="24"/>
              </w:rPr>
              <w:t xml:space="preserve"> </w:t>
            </w:r>
          </w:p>
          <w:p w:rsidRPr="00AF4628" w:rsidR="009F5066" w:rsidP="00B52517" w:rsidRDefault="009F5066" w14:paraId="78985EAA" w14:textId="77777777">
            <w:pPr>
              <w:jc w:val="right"/>
              <w:rPr>
                <w:rFonts w:ascii="Arial" w:hAnsi="Arial" w:cs="Arial"/>
                <w:sz w:val="24"/>
                <w:szCs w:val="24"/>
              </w:rPr>
            </w:pPr>
          </w:p>
        </w:tc>
      </w:tr>
      <w:tr w:rsidRPr="00AF4628" w:rsidR="009F5066" w:rsidTr="00B327C3" w14:paraId="4F0D4B60" w14:textId="77777777">
        <w:trPr>
          <w:cantSplit/>
        </w:trPr>
        <w:tc>
          <w:tcPr>
            <w:tcW w:w="630" w:type="dxa"/>
          </w:tcPr>
          <w:p w:rsidRPr="00AF4628" w:rsidR="009F5066" w:rsidP="009F5066" w:rsidRDefault="009F5066" w14:paraId="79A89A76" w14:textId="77777777">
            <w:pPr>
              <w:jc w:val="center"/>
              <w:rPr>
                <w:rFonts w:ascii="Arial" w:hAnsi="Arial" w:cs="Arial"/>
                <w:sz w:val="24"/>
                <w:szCs w:val="24"/>
              </w:rPr>
            </w:pPr>
          </w:p>
          <w:p w:rsidRPr="00AF4628" w:rsidR="009F5066" w:rsidP="009F5066" w:rsidRDefault="009F5066" w14:paraId="543A9501" w14:textId="77777777">
            <w:pPr>
              <w:jc w:val="center"/>
              <w:rPr>
                <w:rFonts w:ascii="Arial" w:hAnsi="Arial" w:cs="Arial"/>
                <w:sz w:val="24"/>
                <w:szCs w:val="24"/>
              </w:rPr>
            </w:pPr>
            <w:r w:rsidRPr="00AF4628">
              <w:rPr>
                <w:rFonts w:ascii="Arial" w:hAnsi="Arial" w:cs="Arial"/>
                <w:sz w:val="24"/>
                <w:szCs w:val="24"/>
              </w:rPr>
              <w:t>2</w:t>
            </w:r>
          </w:p>
        </w:tc>
        <w:tc>
          <w:tcPr>
            <w:tcW w:w="2610" w:type="dxa"/>
          </w:tcPr>
          <w:p w:rsidRPr="00AF4628" w:rsidR="009F5066" w:rsidRDefault="00B327C3" w14:paraId="6CF27559" w14:textId="67B68FC2">
            <w:pPr>
              <w:rPr>
                <w:rFonts w:ascii="Arial" w:hAnsi="Arial" w:cs="Arial"/>
                <w:sz w:val="24"/>
                <w:szCs w:val="24"/>
              </w:rPr>
            </w:pPr>
            <w:r w:rsidRPr="00AF4628">
              <w:rPr>
                <w:rFonts w:ascii="Arial" w:hAnsi="Arial" w:cs="Arial"/>
                <w:sz w:val="24"/>
                <w:szCs w:val="24"/>
              </w:rPr>
              <w:t xml:space="preserve">Request for </w:t>
            </w:r>
            <w:r w:rsidRPr="00AF4628" w:rsidR="009F5066">
              <w:rPr>
                <w:rFonts w:ascii="Arial" w:hAnsi="Arial" w:cs="Arial"/>
                <w:sz w:val="24"/>
                <w:szCs w:val="24"/>
              </w:rPr>
              <w:t>Depository Approval</w:t>
            </w:r>
          </w:p>
        </w:tc>
        <w:tc>
          <w:tcPr>
            <w:tcW w:w="1170" w:type="dxa"/>
          </w:tcPr>
          <w:p w:rsidRPr="00AF4628" w:rsidR="009F5066" w:rsidP="00821CC2" w:rsidRDefault="009F5066" w14:paraId="2C8CD417" w14:textId="77777777">
            <w:pPr>
              <w:jc w:val="right"/>
              <w:rPr>
                <w:rFonts w:ascii="Arial" w:hAnsi="Arial" w:cs="Arial"/>
                <w:sz w:val="24"/>
                <w:szCs w:val="24"/>
              </w:rPr>
            </w:pPr>
          </w:p>
          <w:p w:rsidRPr="00AF4628" w:rsidR="009F5066" w:rsidP="00821CC2" w:rsidRDefault="009F5066" w14:paraId="31B13A77" w14:textId="77777777">
            <w:pPr>
              <w:jc w:val="right"/>
              <w:rPr>
                <w:rFonts w:ascii="Arial" w:hAnsi="Arial" w:cs="Arial"/>
                <w:sz w:val="24"/>
                <w:szCs w:val="24"/>
              </w:rPr>
            </w:pPr>
            <w:r w:rsidRPr="00AF4628">
              <w:rPr>
                <w:rFonts w:ascii="Arial" w:hAnsi="Arial" w:cs="Arial"/>
                <w:sz w:val="24"/>
                <w:szCs w:val="24"/>
              </w:rPr>
              <w:t>10.0</w:t>
            </w:r>
          </w:p>
        </w:tc>
        <w:tc>
          <w:tcPr>
            <w:tcW w:w="1170" w:type="dxa"/>
          </w:tcPr>
          <w:p w:rsidRPr="00AF4628" w:rsidR="009F5066" w:rsidRDefault="009F5066" w14:paraId="771CC556" w14:textId="77777777">
            <w:pPr>
              <w:jc w:val="right"/>
              <w:rPr>
                <w:rFonts w:ascii="Arial" w:hAnsi="Arial" w:cs="Arial"/>
                <w:sz w:val="24"/>
                <w:szCs w:val="24"/>
              </w:rPr>
            </w:pPr>
          </w:p>
          <w:p w:rsidRPr="00AF4628" w:rsidR="009F5066" w:rsidRDefault="009F5066" w14:paraId="25CB79D7" w14:textId="77777777">
            <w:pPr>
              <w:jc w:val="right"/>
              <w:rPr>
                <w:rFonts w:ascii="Arial" w:hAnsi="Arial" w:cs="Arial"/>
                <w:sz w:val="24"/>
                <w:szCs w:val="24"/>
              </w:rPr>
            </w:pPr>
            <w:r w:rsidRPr="00AF4628">
              <w:rPr>
                <w:rFonts w:ascii="Arial" w:hAnsi="Arial" w:cs="Arial"/>
                <w:sz w:val="24"/>
                <w:szCs w:val="24"/>
              </w:rPr>
              <w:t>1</w:t>
            </w:r>
          </w:p>
        </w:tc>
        <w:tc>
          <w:tcPr>
            <w:tcW w:w="1260" w:type="dxa"/>
          </w:tcPr>
          <w:p w:rsidRPr="00AF4628" w:rsidR="009F5066" w:rsidRDefault="009F5066" w14:paraId="0A0E01DA" w14:textId="77777777">
            <w:pPr>
              <w:jc w:val="right"/>
              <w:rPr>
                <w:rFonts w:ascii="Arial" w:hAnsi="Arial" w:cs="Arial"/>
                <w:sz w:val="24"/>
                <w:szCs w:val="24"/>
              </w:rPr>
            </w:pPr>
          </w:p>
          <w:p w:rsidRPr="00AF4628" w:rsidR="009F5066" w:rsidRDefault="009F5066" w14:paraId="5669CC61" w14:textId="77777777">
            <w:pPr>
              <w:jc w:val="right"/>
              <w:rPr>
                <w:rFonts w:ascii="Arial" w:hAnsi="Arial" w:cs="Arial"/>
                <w:sz w:val="24"/>
                <w:szCs w:val="24"/>
              </w:rPr>
            </w:pPr>
            <w:r w:rsidRPr="00AF4628">
              <w:rPr>
                <w:rFonts w:ascii="Arial" w:hAnsi="Arial" w:cs="Arial"/>
                <w:sz w:val="24"/>
                <w:szCs w:val="24"/>
              </w:rPr>
              <w:t>10</w:t>
            </w:r>
          </w:p>
        </w:tc>
        <w:tc>
          <w:tcPr>
            <w:tcW w:w="1170" w:type="dxa"/>
          </w:tcPr>
          <w:p w:rsidRPr="00AF4628" w:rsidR="009F5066" w:rsidRDefault="009F5066" w14:paraId="33D28A51" w14:textId="77777777">
            <w:pPr>
              <w:jc w:val="right"/>
              <w:rPr>
                <w:rFonts w:ascii="Arial" w:hAnsi="Arial" w:cs="Arial"/>
                <w:sz w:val="24"/>
                <w:szCs w:val="24"/>
              </w:rPr>
            </w:pPr>
          </w:p>
          <w:p w:rsidRPr="00AF4628" w:rsidR="009F5066" w:rsidP="001849D2" w:rsidRDefault="00C37BC5" w14:paraId="2F11208A" w14:textId="77777777">
            <w:pPr>
              <w:jc w:val="right"/>
              <w:rPr>
                <w:rFonts w:ascii="Arial" w:hAnsi="Arial" w:cs="Arial"/>
                <w:sz w:val="24"/>
                <w:szCs w:val="24"/>
              </w:rPr>
            </w:pPr>
            <w:r w:rsidRPr="00AF4628">
              <w:rPr>
                <w:rFonts w:ascii="Arial" w:hAnsi="Arial" w:cs="Arial"/>
                <w:sz w:val="24"/>
                <w:szCs w:val="24"/>
              </w:rPr>
              <w:t>$100.74</w:t>
            </w:r>
          </w:p>
        </w:tc>
        <w:tc>
          <w:tcPr>
            <w:tcW w:w="1350" w:type="dxa"/>
          </w:tcPr>
          <w:p w:rsidRPr="00AF4628" w:rsidR="009F5066" w:rsidRDefault="009F5066" w14:paraId="3F1A232D" w14:textId="77777777">
            <w:pPr>
              <w:jc w:val="right"/>
              <w:rPr>
                <w:rFonts w:ascii="Arial" w:hAnsi="Arial" w:cs="Arial"/>
                <w:sz w:val="24"/>
                <w:szCs w:val="24"/>
              </w:rPr>
            </w:pPr>
          </w:p>
          <w:p w:rsidRPr="00AF4628" w:rsidR="009F5066" w:rsidP="00B52517" w:rsidRDefault="00C37BC5" w14:paraId="68C45567" w14:textId="6D18DA1D">
            <w:pPr>
              <w:jc w:val="right"/>
              <w:rPr>
                <w:rFonts w:ascii="Arial" w:hAnsi="Arial" w:cs="Arial"/>
                <w:sz w:val="24"/>
                <w:szCs w:val="24"/>
              </w:rPr>
            </w:pPr>
            <w:r w:rsidRPr="00AF4628">
              <w:rPr>
                <w:rFonts w:ascii="Arial" w:hAnsi="Arial" w:cs="Arial"/>
                <w:sz w:val="24"/>
                <w:szCs w:val="24"/>
              </w:rPr>
              <w:t xml:space="preserve">$1,007 </w:t>
            </w:r>
          </w:p>
        </w:tc>
      </w:tr>
      <w:tr w:rsidRPr="00AF4628" w:rsidR="009F5066" w:rsidTr="00B327C3" w14:paraId="267744EA" w14:textId="77777777">
        <w:trPr>
          <w:cantSplit/>
        </w:trPr>
        <w:tc>
          <w:tcPr>
            <w:tcW w:w="630" w:type="dxa"/>
          </w:tcPr>
          <w:p w:rsidRPr="00AF4628" w:rsidR="009F5066" w:rsidRDefault="009F5066" w14:paraId="4C117E7C" w14:textId="77777777">
            <w:pPr>
              <w:rPr>
                <w:rFonts w:ascii="Arial" w:hAnsi="Arial" w:cs="Arial"/>
                <w:b/>
                <w:sz w:val="24"/>
                <w:szCs w:val="24"/>
              </w:rPr>
            </w:pPr>
          </w:p>
        </w:tc>
        <w:tc>
          <w:tcPr>
            <w:tcW w:w="2610" w:type="dxa"/>
          </w:tcPr>
          <w:p w:rsidRPr="00AF4628" w:rsidR="009F5066" w:rsidRDefault="009F5066" w14:paraId="562E485E" w14:textId="77777777">
            <w:pPr>
              <w:rPr>
                <w:rFonts w:ascii="Arial" w:hAnsi="Arial" w:cs="Arial"/>
                <w:b/>
                <w:sz w:val="24"/>
                <w:szCs w:val="24"/>
              </w:rPr>
            </w:pPr>
          </w:p>
          <w:p w:rsidRPr="00AF4628" w:rsidR="009F5066" w:rsidRDefault="009F5066" w14:paraId="489B1883" w14:textId="77777777">
            <w:pPr>
              <w:rPr>
                <w:rFonts w:ascii="Arial" w:hAnsi="Arial" w:cs="Arial"/>
                <w:b/>
                <w:sz w:val="24"/>
                <w:szCs w:val="24"/>
              </w:rPr>
            </w:pPr>
            <w:r w:rsidRPr="00AF4628">
              <w:rPr>
                <w:rFonts w:ascii="Arial" w:hAnsi="Arial" w:cs="Arial"/>
                <w:b/>
                <w:sz w:val="24"/>
                <w:szCs w:val="24"/>
              </w:rPr>
              <w:t>Total</w:t>
            </w:r>
          </w:p>
        </w:tc>
        <w:tc>
          <w:tcPr>
            <w:tcW w:w="1170" w:type="dxa"/>
          </w:tcPr>
          <w:p w:rsidRPr="00AF4628" w:rsidR="009F5066" w:rsidRDefault="009F5066" w14:paraId="010835AE" w14:textId="77777777">
            <w:pPr>
              <w:jc w:val="center"/>
              <w:rPr>
                <w:rFonts w:ascii="Arial" w:hAnsi="Arial" w:cs="Arial"/>
                <w:b/>
                <w:sz w:val="24"/>
                <w:szCs w:val="24"/>
              </w:rPr>
            </w:pPr>
          </w:p>
          <w:p w:rsidRPr="00AF4628" w:rsidR="009F5066" w:rsidP="00821CC2" w:rsidRDefault="009F5066" w14:paraId="330010C1" w14:textId="77777777">
            <w:pPr>
              <w:jc w:val="right"/>
              <w:rPr>
                <w:rFonts w:ascii="Arial" w:hAnsi="Arial" w:cs="Arial"/>
                <w:b/>
                <w:sz w:val="24"/>
                <w:szCs w:val="24"/>
              </w:rPr>
            </w:pPr>
            <w:r w:rsidRPr="00AF4628">
              <w:rPr>
                <w:rFonts w:ascii="Arial" w:hAnsi="Arial" w:cs="Arial"/>
                <w:b/>
                <w:sz w:val="24"/>
                <w:szCs w:val="24"/>
              </w:rPr>
              <w:t xml:space="preserve">  -  -  -</w:t>
            </w:r>
          </w:p>
        </w:tc>
        <w:tc>
          <w:tcPr>
            <w:tcW w:w="1170" w:type="dxa"/>
          </w:tcPr>
          <w:p w:rsidRPr="00AF4628" w:rsidR="009F5066" w:rsidRDefault="009F5066" w14:paraId="248F8CF7" w14:textId="77777777">
            <w:pPr>
              <w:jc w:val="right"/>
              <w:rPr>
                <w:rFonts w:ascii="Arial" w:hAnsi="Arial" w:cs="Arial"/>
                <w:b/>
                <w:sz w:val="24"/>
                <w:szCs w:val="24"/>
              </w:rPr>
            </w:pPr>
          </w:p>
          <w:p w:rsidRPr="00AF4628" w:rsidR="009F5066" w:rsidP="00235BAF" w:rsidRDefault="00074A4A" w14:paraId="321F9E56" w14:textId="77777777">
            <w:pPr>
              <w:jc w:val="right"/>
              <w:rPr>
                <w:rFonts w:ascii="Arial" w:hAnsi="Arial" w:cs="Arial"/>
                <w:b/>
                <w:sz w:val="24"/>
                <w:szCs w:val="24"/>
              </w:rPr>
            </w:pPr>
            <w:r w:rsidRPr="00AF4628">
              <w:rPr>
                <w:rFonts w:ascii="Arial" w:hAnsi="Arial" w:cs="Arial"/>
                <w:b/>
                <w:sz w:val="24"/>
                <w:szCs w:val="24"/>
              </w:rPr>
              <w:t>951</w:t>
            </w:r>
          </w:p>
        </w:tc>
        <w:tc>
          <w:tcPr>
            <w:tcW w:w="1260" w:type="dxa"/>
          </w:tcPr>
          <w:p w:rsidRPr="00AF4628" w:rsidR="009F5066" w:rsidRDefault="009F5066" w14:paraId="020A06BA" w14:textId="77777777">
            <w:pPr>
              <w:jc w:val="right"/>
              <w:rPr>
                <w:rFonts w:ascii="Arial" w:hAnsi="Arial" w:cs="Arial"/>
                <w:b/>
                <w:sz w:val="24"/>
                <w:szCs w:val="24"/>
              </w:rPr>
            </w:pPr>
          </w:p>
          <w:p w:rsidRPr="00AF4628" w:rsidR="009F5066" w:rsidP="00074A4A" w:rsidRDefault="00074A4A" w14:paraId="55B0AF40" w14:textId="77777777">
            <w:pPr>
              <w:jc w:val="right"/>
              <w:rPr>
                <w:rFonts w:ascii="Arial" w:hAnsi="Arial" w:cs="Arial"/>
                <w:b/>
                <w:sz w:val="24"/>
                <w:szCs w:val="24"/>
              </w:rPr>
            </w:pPr>
            <w:r w:rsidRPr="00AF4628">
              <w:rPr>
                <w:rFonts w:ascii="Arial" w:hAnsi="Arial" w:cs="Arial"/>
                <w:b/>
                <w:sz w:val="24"/>
                <w:szCs w:val="24"/>
              </w:rPr>
              <w:t>248</w:t>
            </w:r>
          </w:p>
        </w:tc>
        <w:tc>
          <w:tcPr>
            <w:tcW w:w="1170" w:type="dxa"/>
          </w:tcPr>
          <w:p w:rsidRPr="00AF4628" w:rsidR="009F5066" w:rsidRDefault="009F5066" w14:paraId="764009BF" w14:textId="77777777">
            <w:pPr>
              <w:jc w:val="right"/>
              <w:rPr>
                <w:rFonts w:ascii="Arial" w:hAnsi="Arial" w:cs="Arial"/>
                <w:b/>
                <w:sz w:val="24"/>
                <w:szCs w:val="24"/>
              </w:rPr>
            </w:pPr>
          </w:p>
          <w:p w:rsidRPr="00AF4628" w:rsidR="009F5066" w:rsidRDefault="009F5066" w14:paraId="11C2D53B" w14:textId="77777777">
            <w:pPr>
              <w:jc w:val="right"/>
              <w:rPr>
                <w:rFonts w:ascii="Arial" w:hAnsi="Arial" w:cs="Arial"/>
                <w:b/>
                <w:sz w:val="24"/>
                <w:szCs w:val="24"/>
              </w:rPr>
            </w:pPr>
            <w:r w:rsidRPr="00AF4628">
              <w:rPr>
                <w:rFonts w:ascii="Arial" w:hAnsi="Arial" w:cs="Arial"/>
                <w:b/>
                <w:sz w:val="24"/>
                <w:szCs w:val="24"/>
              </w:rPr>
              <w:t xml:space="preserve">  -  -  -</w:t>
            </w:r>
          </w:p>
        </w:tc>
        <w:tc>
          <w:tcPr>
            <w:tcW w:w="1350" w:type="dxa"/>
          </w:tcPr>
          <w:p w:rsidRPr="00AF4628" w:rsidR="009F5066" w:rsidRDefault="009F5066" w14:paraId="7A7B0130" w14:textId="77777777">
            <w:pPr>
              <w:jc w:val="right"/>
              <w:rPr>
                <w:rFonts w:ascii="Arial" w:hAnsi="Arial" w:cs="Arial"/>
                <w:b/>
                <w:sz w:val="24"/>
                <w:szCs w:val="24"/>
              </w:rPr>
            </w:pPr>
          </w:p>
          <w:p w:rsidRPr="00AF4628" w:rsidR="009F5066" w:rsidP="001849D2" w:rsidRDefault="00DF71F8" w14:paraId="5BE97696" w14:textId="475152AA">
            <w:pPr>
              <w:jc w:val="right"/>
              <w:rPr>
                <w:rFonts w:ascii="Arial" w:hAnsi="Arial" w:cs="Arial"/>
                <w:b/>
                <w:sz w:val="24"/>
                <w:szCs w:val="24"/>
              </w:rPr>
            </w:pPr>
            <w:r>
              <w:rPr>
                <w:rFonts w:ascii="Arial" w:hAnsi="Arial" w:cs="Arial"/>
                <w:b/>
                <w:sz w:val="24"/>
                <w:szCs w:val="24"/>
              </w:rPr>
              <w:t>$11,684</w:t>
            </w:r>
            <w:r w:rsidRPr="00AF4628" w:rsidR="00C11C4B">
              <w:rPr>
                <w:rFonts w:ascii="Arial" w:hAnsi="Arial" w:cs="Arial"/>
                <w:b/>
                <w:sz w:val="24"/>
                <w:szCs w:val="24"/>
              </w:rPr>
              <w:t xml:space="preserve"> </w:t>
            </w:r>
          </w:p>
        </w:tc>
      </w:tr>
    </w:tbl>
    <w:p w:rsidRPr="00AF4628" w:rsidR="00CC0FF3" w:rsidRDefault="00CC0FF3" w14:paraId="14356780" w14:textId="088B7129">
      <w:pPr>
        <w:jc w:val="both"/>
        <w:rPr>
          <w:rFonts w:ascii="Arial" w:hAnsi="Arial" w:cs="Arial"/>
          <w:sz w:val="24"/>
          <w:szCs w:val="24"/>
        </w:rPr>
      </w:pPr>
    </w:p>
    <w:p w:rsidRPr="00435B59" w:rsidR="00EA2D84" w:rsidP="00AF4628" w:rsidRDefault="00492CD1" w14:paraId="5FD0518B" w14:textId="77777777">
      <w:pPr>
        <w:numPr>
          <w:ilvl w:val="0"/>
          <w:numId w:val="13"/>
        </w:numPr>
        <w:jc w:val="both"/>
        <w:rPr>
          <w:rFonts w:ascii="Arial" w:hAnsi="Arial" w:cs="Arial"/>
          <w:b/>
          <w:sz w:val="24"/>
          <w:szCs w:val="24"/>
        </w:rPr>
      </w:pPr>
      <w:r w:rsidRPr="00AF4628">
        <w:rPr>
          <w:rFonts w:ascii="Arial" w:hAnsi="Arial" w:eastAsia="Calibri" w:cs="Arial"/>
          <w:b/>
          <w:bCs/>
          <w:sz w:val="24"/>
          <w:szCs w:val="24"/>
        </w:rPr>
        <w:t xml:space="preserve"> </w:t>
      </w:r>
      <w:r w:rsidRPr="00AF4628" w:rsidR="00EA2D84">
        <w:rPr>
          <w:rFonts w:ascii="Arial" w:hAnsi="Arial" w:eastAsia="Calibri" w:cs="Arial"/>
          <w:b/>
          <w:bCs/>
          <w:sz w:val="24"/>
          <w:szCs w:val="24"/>
        </w:rPr>
        <w:t>Explain the reasons for any program changes or adjustments reported on the burden worksheet</w:t>
      </w:r>
      <w:r w:rsidRPr="00AF4628" w:rsidR="00EA2D84">
        <w:rPr>
          <w:rFonts w:ascii="Arial" w:hAnsi="Arial" w:eastAsia="Calibri" w:cs="Arial"/>
          <w:bCs/>
          <w:sz w:val="24"/>
          <w:szCs w:val="24"/>
        </w:rPr>
        <w:t xml:space="preserve">. </w:t>
      </w:r>
    </w:p>
    <w:p w:rsidRPr="003408EA" w:rsidR="00D07F97" w:rsidRDefault="00D07F97" w14:paraId="55D53C9A" w14:textId="77777777">
      <w:pPr>
        <w:jc w:val="both"/>
        <w:rPr>
          <w:rFonts w:ascii="Arial" w:hAnsi="Arial" w:cs="Arial"/>
          <w:sz w:val="24"/>
          <w:szCs w:val="24"/>
        </w:rPr>
      </w:pPr>
    </w:p>
    <w:p w:rsidRPr="003D0D82" w:rsidR="00D6249A" w:rsidP="00AF4628" w:rsidRDefault="00D6249A" w14:paraId="7082CA7E" w14:textId="77777777">
      <w:pPr>
        <w:numPr>
          <w:ilvl w:val="0"/>
          <w:numId w:val="8"/>
        </w:numPr>
        <w:ind w:left="360"/>
        <w:jc w:val="both"/>
        <w:rPr>
          <w:rFonts w:ascii="Arial" w:hAnsi="Arial" w:cs="Arial"/>
          <w:sz w:val="24"/>
          <w:szCs w:val="24"/>
          <w:u w:val="single"/>
        </w:rPr>
      </w:pPr>
      <w:r w:rsidRPr="003408EA">
        <w:rPr>
          <w:rFonts w:ascii="Arial" w:hAnsi="Arial" w:cs="Arial"/>
          <w:sz w:val="24"/>
          <w:szCs w:val="24"/>
          <w:u w:val="single"/>
        </w:rPr>
        <w:t xml:space="preserve">Changes in </w:t>
      </w:r>
      <w:r w:rsidR="003D0D82">
        <w:rPr>
          <w:rFonts w:ascii="Arial" w:hAnsi="Arial" w:cs="Arial"/>
          <w:sz w:val="24"/>
          <w:szCs w:val="24"/>
          <w:u w:val="single"/>
        </w:rPr>
        <w:t xml:space="preserve">information </w:t>
      </w:r>
      <w:r w:rsidRPr="003D0D82">
        <w:rPr>
          <w:rFonts w:ascii="Arial" w:hAnsi="Arial" w:cs="Arial"/>
          <w:sz w:val="24"/>
          <w:szCs w:val="24"/>
          <w:u w:val="single"/>
        </w:rPr>
        <w:t xml:space="preserve">collection since previous OMB approval in </w:t>
      </w:r>
      <w:r w:rsidRPr="003D0D82" w:rsidR="00B82682">
        <w:rPr>
          <w:rFonts w:ascii="Arial" w:hAnsi="Arial" w:cs="Arial"/>
          <w:sz w:val="24"/>
          <w:szCs w:val="24"/>
          <w:u w:val="single"/>
        </w:rPr>
        <w:t>2016</w:t>
      </w:r>
    </w:p>
    <w:p w:rsidRPr="003408EA" w:rsidR="00D6249A" w:rsidP="00D6249A" w:rsidRDefault="00D6249A" w14:paraId="649F28DA" w14:textId="77777777">
      <w:pPr>
        <w:ind w:left="360"/>
        <w:jc w:val="both"/>
        <w:rPr>
          <w:rFonts w:ascii="Arial" w:hAnsi="Arial" w:cs="Arial"/>
          <w:sz w:val="24"/>
          <w:szCs w:val="24"/>
          <w:u w:val="single"/>
        </w:rPr>
      </w:pPr>
    </w:p>
    <w:p w:rsidRPr="003408EA" w:rsidR="00D6249A" w:rsidP="00AF4628" w:rsidRDefault="00866C9F" w14:paraId="48EF0E62" w14:textId="16CFB194">
      <w:pPr>
        <w:jc w:val="both"/>
        <w:rPr>
          <w:rFonts w:ascii="Arial" w:hAnsi="Arial" w:cs="Arial"/>
          <w:sz w:val="24"/>
          <w:szCs w:val="24"/>
        </w:rPr>
      </w:pPr>
      <w:r w:rsidRPr="003408EA">
        <w:rPr>
          <w:rFonts w:ascii="Arial" w:hAnsi="Arial" w:cs="Arial"/>
          <w:sz w:val="24"/>
          <w:szCs w:val="24"/>
        </w:rPr>
        <w:lastRenderedPageBreak/>
        <w:t xml:space="preserve">OMB previously approved this information collection in </w:t>
      </w:r>
      <w:r w:rsidRPr="003408EA" w:rsidR="00993E89">
        <w:rPr>
          <w:rFonts w:ascii="Arial" w:hAnsi="Arial" w:cs="Arial"/>
          <w:sz w:val="24"/>
          <w:szCs w:val="24"/>
        </w:rPr>
        <w:t>November</w:t>
      </w:r>
      <w:r w:rsidRPr="003408EA">
        <w:rPr>
          <w:rFonts w:ascii="Arial" w:hAnsi="Arial" w:cs="Arial"/>
          <w:sz w:val="24"/>
          <w:szCs w:val="24"/>
        </w:rPr>
        <w:t xml:space="preserve"> </w:t>
      </w:r>
      <w:r w:rsidRPr="003408EA" w:rsidR="00B82682">
        <w:rPr>
          <w:rFonts w:ascii="Arial" w:hAnsi="Arial" w:cs="Arial"/>
          <w:sz w:val="24"/>
          <w:szCs w:val="24"/>
        </w:rPr>
        <w:t>2016</w:t>
      </w:r>
      <w:r w:rsidRPr="003408EA" w:rsidR="00821CC2">
        <w:rPr>
          <w:rFonts w:ascii="Arial" w:hAnsi="Arial" w:cs="Arial"/>
          <w:sz w:val="24"/>
          <w:szCs w:val="24"/>
        </w:rPr>
        <w:t>.</w:t>
      </w:r>
      <w:r w:rsidR="00F36A96">
        <w:rPr>
          <w:rFonts w:ascii="Arial" w:hAnsi="Arial" w:cs="Arial"/>
          <w:sz w:val="24"/>
          <w:szCs w:val="24"/>
        </w:rPr>
        <w:t xml:space="preserve"> This information collection, as currently approved, contains an estimated:</w:t>
      </w:r>
    </w:p>
    <w:p w:rsidRPr="003408EA" w:rsidR="00074A4A" w:rsidP="00AF4628" w:rsidRDefault="00074A4A" w14:paraId="3DCFDFF9" w14:textId="77777777">
      <w:pPr>
        <w:numPr>
          <w:ilvl w:val="1"/>
          <w:numId w:val="8"/>
        </w:numPr>
        <w:ind w:left="720"/>
        <w:jc w:val="both"/>
        <w:rPr>
          <w:rFonts w:ascii="Arial" w:hAnsi="Arial" w:cs="Arial"/>
          <w:sz w:val="24"/>
          <w:szCs w:val="24"/>
        </w:rPr>
      </w:pPr>
      <w:r w:rsidRPr="003408EA">
        <w:rPr>
          <w:rFonts w:ascii="Arial" w:hAnsi="Arial" w:cs="Arial"/>
          <w:sz w:val="24"/>
          <w:szCs w:val="24"/>
        </w:rPr>
        <w:t>901 responses</w:t>
      </w:r>
    </w:p>
    <w:p w:rsidRPr="003408EA" w:rsidR="00074A4A" w:rsidP="00AF4628" w:rsidRDefault="00074A4A" w14:paraId="6AD0286C" w14:textId="77777777">
      <w:pPr>
        <w:numPr>
          <w:ilvl w:val="1"/>
          <w:numId w:val="8"/>
        </w:numPr>
        <w:ind w:left="720"/>
        <w:jc w:val="both"/>
        <w:rPr>
          <w:rFonts w:ascii="Arial" w:hAnsi="Arial" w:cs="Arial"/>
          <w:sz w:val="24"/>
          <w:szCs w:val="24"/>
        </w:rPr>
      </w:pPr>
      <w:r w:rsidRPr="003408EA">
        <w:rPr>
          <w:rFonts w:ascii="Arial" w:hAnsi="Arial" w:cs="Arial"/>
          <w:sz w:val="24"/>
          <w:szCs w:val="24"/>
        </w:rPr>
        <w:t>905 burden hours</w:t>
      </w:r>
    </w:p>
    <w:p w:rsidRPr="00825BCE" w:rsidR="00074A4A" w:rsidP="00AF4628" w:rsidRDefault="00860394" w14:paraId="2C8C56BB" w14:textId="10670E1A">
      <w:pPr>
        <w:numPr>
          <w:ilvl w:val="1"/>
          <w:numId w:val="8"/>
        </w:numPr>
        <w:ind w:left="720"/>
        <w:jc w:val="both"/>
        <w:rPr>
          <w:rFonts w:ascii="Arial" w:hAnsi="Arial" w:cs="Arial"/>
          <w:sz w:val="24"/>
          <w:szCs w:val="24"/>
        </w:rPr>
      </w:pPr>
      <w:r>
        <w:rPr>
          <w:rFonts w:ascii="Arial" w:hAnsi="Arial" w:cs="Arial"/>
          <w:sz w:val="24"/>
          <w:szCs w:val="24"/>
        </w:rPr>
        <w:t>$2,674,644</w:t>
      </w:r>
      <w:r w:rsidR="00F36A96">
        <w:rPr>
          <w:rFonts w:ascii="Arial" w:hAnsi="Arial" w:cs="Arial"/>
          <w:sz w:val="24"/>
          <w:szCs w:val="24"/>
        </w:rPr>
        <w:t xml:space="preserve"> annual (non-hourly) cost burden</w:t>
      </w:r>
    </w:p>
    <w:p w:rsidRPr="003408EA" w:rsidR="00866C9F" w:rsidRDefault="00866C9F" w14:paraId="1EE800C7" w14:textId="77777777">
      <w:pPr>
        <w:jc w:val="both"/>
        <w:rPr>
          <w:rFonts w:ascii="Arial" w:hAnsi="Arial" w:cs="Arial"/>
          <w:sz w:val="24"/>
          <w:szCs w:val="24"/>
        </w:rPr>
      </w:pPr>
    </w:p>
    <w:p w:rsidRPr="003408EA" w:rsidR="00D07F97" w:rsidP="00AF4628" w:rsidRDefault="00D6249A" w14:paraId="457298A7" w14:textId="77777777">
      <w:pPr>
        <w:pStyle w:val="Heading8"/>
        <w:numPr>
          <w:ilvl w:val="0"/>
          <w:numId w:val="8"/>
        </w:numPr>
        <w:ind w:left="360"/>
        <w:rPr>
          <w:rFonts w:cs="Arial"/>
          <w:szCs w:val="24"/>
        </w:rPr>
      </w:pPr>
      <w:r w:rsidRPr="003408EA">
        <w:rPr>
          <w:rFonts w:cs="Arial"/>
          <w:szCs w:val="24"/>
        </w:rPr>
        <w:t>Changes proposed in this request to OMB</w:t>
      </w:r>
    </w:p>
    <w:p w:rsidRPr="003A502D" w:rsidR="00216BF5" w:rsidRDefault="00216BF5" w14:paraId="585707A6" w14:textId="77777777">
      <w:pPr>
        <w:jc w:val="both"/>
        <w:rPr>
          <w:rFonts w:ascii="Arial" w:hAnsi="Arial" w:cs="Arial"/>
          <w:sz w:val="24"/>
          <w:szCs w:val="24"/>
        </w:rPr>
      </w:pPr>
    </w:p>
    <w:p w:rsidRPr="003408EA" w:rsidR="00866C9F" w:rsidRDefault="00D6249A" w14:paraId="1DCD4200" w14:textId="35F8FD30">
      <w:pPr>
        <w:jc w:val="both"/>
        <w:rPr>
          <w:rFonts w:ascii="Arial" w:hAnsi="Arial" w:cs="Arial"/>
          <w:sz w:val="24"/>
          <w:szCs w:val="24"/>
        </w:rPr>
      </w:pPr>
      <w:r w:rsidRPr="00AF4628">
        <w:rPr>
          <w:rFonts w:ascii="Arial" w:hAnsi="Arial" w:cs="Arial"/>
          <w:sz w:val="24"/>
          <w:szCs w:val="24"/>
        </w:rPr>
        <w:t xml:space="preserve">The proposed </w:t>
      </w:r>
      <w:r w:rsidRPr="00AF4628" w:rsidR="00C32BF0">
        <w:rPr>
          <w:rFonts w:ascii="Arial" w:hAnsi="Arial" w:cs="Arial"/>
          <w:sz w:val="24"/>
          <w:szCs w:val="24"/>
        </w:rPr>
        <w:t xml:space="preserve">information </w:t>
      </w:r>
      <w:r w:rsidRPr="00AF4628">
        <w:rPr>
          <w:rFonts w:ascii="Arial" w:hAnsi="Arial" w:cs="Arial"/>
          <w:sz w:val="24"/>
          <w:szCs w:val="24"/>
        </w:rPr>
        <w:t>collection, as outlined in the tables above, seeks to modify the ex</w:t>
      </w:r>
      <w:r w:rsidRPr="00AF4628" w:rsidR="00386C08">
        <w:rPr>
          <w:rFonts w:ascii="Arial" w:hAnsi="Arial" w:cs="Arial"/>
          <w:sz w:val="24"/>
          <w:szCs w:val="24"/>
        </w:rPr>
        <w:t xml:space="preserve">isting </w:t>
      </w:r>
      <w:r w:rsidR="003D0D82">
        <w:rPr>
          <w:rFonts w:ascii="Arial" w:hAnsi="Arial" w:cs="Arial"/>
          <w:sz w:val="24"/>
          <w:szCs w:val="24"/>
        </w:rPr>
        <w:t xml:space="preserve">information </w:t>
      </w:r>
      <w:r w:rsidR="00F36A96">
        <w:rPr>
          <w:rFonts w:ascii="Arial" w:hAnsi="Arial" w:cs="Arial"/>
          <w:sz w:val="24"/>
          <w:szCs w:val="24"/>
        </w:rPr>
        <w:t xml:space="preserve">collection.  The </w:t>
      </w:r>
      <w:r w:rsidRPr="003D0D82" w:rsidR="00386C08">
        <w:rPr>
          <w:rFonts w:ascii="Arial" w:hAnsi="Arial" w:cs="Arial"/>
          <w:sz w:val="24"/>
          <w:szCs w:val="24"/>
        </w:rPr>
        <w:t xml:space="preserve">proposed </w:t>
      </w:r>
      <w:r w:rsidRPr="003D0D82" w:rsidR="00C32BF0">
        <w:rPr>
          <w:rFonts w:ascii="Arial" w:hAnsi="Arial" w:cs="Arial"/>
          <w:sz w:val="24"/>
          <w:szCs w:val="24"/>
        </w:rPr>
        <w:t xml:space="preserve">information </w:t>
      </w:r>
      <w:r w:rsidRPr="003D0D82" w:rsidR="00386C08">
        <w:rPr>
          <w:rFonts w:ascii="Arial" w:hAnsi="Arial" w:cs="Arial"/>
          <w:sz w:val="24"/>
          <w:szCs w:val="24"/>
        </w:rPr>
        <w:t>col</w:t>
      </w:r>
      <w:r w:rsidRPr="003D0D82">
        <w:rPr>
          <w:rFonts w:ascii="Arial" w:hAnsi="Arial" w:cs="Arial"/>
          <w:sz w:val="24"/>
          <w:szCs w:val="24"/>
        </w:rPr>
        <w:t>l</w:t>
      </w:r>
      <w:r w:rsidRPr="003D0D82" w:rsidR="00386C08">
        <w:rPr>
          <w:rFonts w:ascii="Arial" w:hAnsi="Arial" w:cs="Arial"/>
          <w:sz w:val="24"/>
          <w:szCs w:val="24"/>
        </w:rPr>
        <w:t>e</w:t>
      </w:r>
      <w:r w:rsidRPr="003D0D82">
        <w:rPr>
          <w:rFonts w:ascii="Arial" w:hAnsi="Arial" w:cs="Arial"/>
          <w:sz w:val="24"/>
          <w:szCs w:val="24"/>
        </w:rPr>
        <w:t>ction</w:t>
      </w:r>
      <w:r w:rsidR="00F36A96">
        <w:rPr>
          <w:rFonts w:ascii="Arial" w:hAnsi="Arial" w:cs="Arial"/>
          <w:sz w:val="24"/>
          <w:szCs w:val="24"/>
        </w:rPr>
        <w:t>, if approved, is estimated to contain</w:t>
      </w:r>
      <w:r w:rsidRPr="003D0D82" w:rsidR="00386C08">
        <w:rPr>
          <w:rFonts w:ascii="Arial" w:hAnsi="Arial" w:cs="Arial"/>
          <w:sz w:val="24"/>
          <w:szCs w:val="24"/>
        </w:rPr>
        <w:t>:</w:t>
      </w:r>
    </w:p>
    <w:p w:rsidRPr="003408EA" w:rsidR="00386C08" w:rsidP="00AF4628" w:rsidRDefault="00074A4A" w14:paraId="6669B38B" w14:textId="77777777">
      <w:pPr>
        <w:numPr>
          <w:ilvl w:val="0"/>
          <w:numId w:val="9"/>
        </w:numPr>
        <w:jc w:val="both"/>
        <w:rPr>
          <w:rFonts w:ascii="Arial" w:hAnsi="Arial" w:cs="Arial"/>
          <w:sz w:val="24"/>
          <w:szCs w:val="24"/>
        </w:rPr>
      </w:pPr>
      <w:r w:rsidRPr="003408EA">
        <w:rPr>
          <w:rFonts w:ascii="Arial" w:hAnsi="Arial" w:cs="Arial"/>
          <w:sz w:val="24"/>
          <w:szCs w:val="24"/>
        </w:rPr>
        <w:t xml:space="preserve">951 </w:t>
      </w:r>
      <w:r w:rsidRPr="003408EA" w:rsidR="00386C08">
        <w:rPr>
          <w:rFonts w:ascii="Arial" w:hAnsi="Arial" w:cs="Arial"/>
          <w:sz w:val="24"/>
          <w:szCs w:val="24"/>
        </w:rPr>
        <w:t>responses</w:t>
      </w:r>
    </w:p>
    <w:p w:rsidRPr="003408EA" w:rsidR="00386C08" w:rsidP="00AF4628" w:rsidRDefault="00074A4A" w14:paraId="0019C885" w14:textId="77777777">
      <w:pPr>
        <w:numPr>
          <w:ilvl w:val="0"/>
          <w:numId w:val="9"/>
        </w:numPr>
        <w:jc w:val="both"/>
        <w:rPr>
          <w:rFonts w:ascii="Arial" w:hAnsi="Arial" w:cs="Arial"/>
          <w:sz w:val="24"/>
          <w:szCs w:val="24"/>
        </w:rPr>
      </w:pPr>
      <w:r w:rsidRPr="003408EA">
        <w:rPr>
          <w:rFonts w:ascii="Arial" w:hAnsi="Arial" w:cs="Arial"/>
          <w:sz w:val="24"/>
          <w:szCs w:val="24"/>
        </w:rPr>
        <w:t xml:space="preserve">955 </w:t>
      </w:r>
      <w:r w:rsidRPr="003408EA" w:rsidR="00386C08">
        <w:rPr>
          <w:rFonts w:ascii="Arial" w:hAnsi="Arial" w:cs="Arial"/>
          <w:sz w:val="24"/>
          <w:szCs w:val="24"/>
        </w:rPr>
        <w:t>burden hours</w:t>
      </w:r>
    </w:p>
    <w:p w:rsidRPr="00AF4628" w:rsidR="00866C9F" w:rsidP="00AF4628" w:rsidRDefault="00386C08" w14:paraId="24784F69" w14:textId="2FA08398">
      <w:pPr>
        <w:numPr>
          <w:ilvl w:val="0"/>
          <w:numId w:val="9"/>
        </w:numPr>
        <w:jc w:val="both"/>
        <w:rPr>
          <w:rFonts w:ascii="Arial" w:hAnsi="Arial" w:cs="Arial"/>
          <w:sz w:val="24"/>
          <w:szCs w:val="24"/>
        </w:rPr>
      </w:pPr>
      <w:r w:rsidRPr="00AF4628">
        <w:rPr>
          <w:rFonts w:ascii="Arial" w:hAnsi="Arial" w:cs="Arial"/>
          <w:sz w:val="24"/>
          <w:szCs w:val="24"/>
        </w:rPr>
        <w:t>$</w:t>
      </w:r>
      <w:r w:rsidRPr="00AF4628" w:rsidR="006227CD">
        <w:rPr>
          <w:rFonts w:ascii="Arial" w:hAnsi="Arial" w:cs="Arial"/>
          <w:sz w:val="24"/>
          <w:szCs w:val="24"/>
        </w:rPr>
        <w:t>2,823,23</w:t>
      </w:r>
      <w:r w:rsidRPr="00AF4628" w:rsidR="00DA11BB">
        <w:rPr>
          <w:rFonts w:ascii="Arial" w:hAnsi="Arial" w:cs="Arial"/>
          <w:sz w:val="24"/>
          <w:szCs w:val="24"/>
        </w:rPr>
        <w:t>7</w:t>
      </w:r>
      <w:r w:rsidR="00860394">
        <w:rPr>
          <w:rFonts w:ascii="Arial" w:hAnsi="Arial" w:cs="Arial"/>
          <w:sz w:val="24"/>
          <w:szCs w:val="24"/>
        </w:rPr>
        <w:t xml:space="preserve"> </w:t>
      </w:r>
      <w:r w:rsidR="00CD7B59">
        <w:rPr>
          <w:rFonts w:ascii="Arial" w:hAnsi="Arial" w:cs="Arial"/>
          <w:sz w:val="24"/>
          <w:szCs w:val="24"/>
        </w:rPr>
        <w:t>annual (non-hour</w:t>
      </w:r>
      <w:r w:rsidR="00F36A96">
        <w:rPr>
          <w:rFonts w:ascii="Arial" w:hAnsi="Arial" w:cs="Arial"/>
          <w:sz w:val="24"/>
          <w:szCs w:val="24"/>
        </w:rPr>
        <w:t>) cost burden</w:t>
      </w:r>
    </w:p>
    <w:p w:rsidRPr="00AF4628" w:rsidR="00C57360" w:rsidP="004277E6" w:rsidRDefault="00C57360" w14:paraId="368B37E7" w14:textId="77777777">
      <w:pPr>
        <w:pStyle w:val="BodyText2"/>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rFonts w:cs="Arial"/>
          <w:szCs w:val="24"/>
        </w:rPr>
      </w:pPr>
    </w:p>
    <w:p w:rsidR="00007BA2" w:rsidP="003A502D" w:rsidRDefault="00007BA2" w14:paraId="7802BC95"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These changes are due to the following adjustments: </w:t>
      </w:r>
    </w:p>
    <w:p w:rsidR="00007BA2" w:rsidP="003A502D" w:rsidRDefault="00007BA2" w14:paraId="4E1F9961"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36A96" w:rsidP="003A502D" w:rsidRDefault="003A502D" w14:paraId="541EDBFD" w14:textId="71FD447F">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AF4628">
        <w:rPr>
          <w:rFonts w:ascii="Arial" w:hAnsi="Arial" w:cs="Arial"/>
          <w:sz w:val="24"/>
          <w:szCs w:val="24"/>
        </w:rPr>
        <w:t xml:space="preserve">The </w:t>
      </w:r>
      <w:r w:rsidR="00F36A96">
        <w:rPr>
          <w:rFonts w:ascii="Arial" w:hAnsi="Arial" w:cs="Arial"/>
          <w:sz w:val="24"/>
          <w:szCs w:val="24"/>
        </w:rPr>
        <w:t>USPTO estimates that this information collection will receive 50 more annual responses (for the deposits of biological materials activity</w:t>
      </w:r>
      <w:r w:rsidR="00007BA2">
        <w:rPr>
          <w:rFonts w:ascii="Arial" w:hAnsi="Arial" w:cs="Arial"/>
          <w:sz w:val="24"/>
          <w:szCs w:val="24"/>
        </w:rPr>
        <w:t>,</w:t>
      </w:r>
      <w:r w:rsidR="00F36A96">
        <w:rPr>
          <w:rFonts w:ascii="Arial" w:hAnsi="Arial" w:cs="Arial"/>
          <w:sz w:val="24"/>
          <w:szCs w:val="24"/>
        </w:rPr>
        <w:t xml:space="preserve"> in particular) over the 3-year period covered by this renewal request.</w:t>
      </w:r>
      <w:r w:rsidR="00007BA2">
        <w:rPr>
          <w:rFonts w:ascii="Arial" w:hAnsi="Arial" w:cs="Arial"/>
          <w:sz w:val="24"/>
          <w:szCs w:val="24"/>
        </w:rPr>
        <w:t xml:space="preserve">  This adjustment caused the number of burden hour to increase by 50 hours. In addition, this adjustment, along with increased estimated hourly rates, caused the annual cost burden to increase by $148,593.</w:t>
      </w:r>
    </w:p>
    <w:p w:rsidRPr="003408EA" w:rsidR="00AC6C03" w:rsidRDefault="00AC6C03" w14:paraId="276097AA" w14:textId="1FBE6A23">
      <w:pPr>
        <w:pStyle w:val="BodyText2"/>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rFonts w:cs="Arial"/>
          <w:szCs w:val="24"/>
        </w:rPr>
      </w:pPr>
    </w:p>
    <w:p w:rsidRPr="003044CD" w:rsidR="00EA2D84" w:rsidP="003044CD" w:rsidRDefault="003044CD" w14:paraId="3FA71A4B" w14:textId="1ABB469E">
      <w:pPr>
        <w:pStyle w:val="ListParagraph"/>
        <w:numPr>
          <w:ilvl w:val="0"/>
          <w:numId w:val="13"/>
        </w:numPr>
        <w:tabs>
          <w:tab w:val="left" w:pos="-984"/>
          <w:tab w:val="left" w:pos="-720"/>
          <w:tab w:val="left" w:pos="720"/>
        </w:tabs>
        <w:jc w:val="both"/>
        <w:rPr>
          <w:rFonts w:ascii="Arial" w:hAnsi="Arial" w:cs="Arial"/>
          <w:b/>
          <w:sz w:val="24"/>
          <w:szCs w:val="24"/>
        </w:rPr>
      </w:pPr>
      <w:r w:rsidRPr="003044CD">
        <w:rPr>
          <w:rFonts w:ascii="Arial"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C000C" w:rsidR="00D07F97" w:rsidRDefault="00D07F97" w14:paraId="08A8784E" w14:textId="77777777">
      <w:pPr>
        <w:jc w:val="both"/>
        <w:rPr>
          <w:rFonts w:ascii="Arial" w:hAnsi="Arial" w:cs="Arial"/>
          <w:sz w:val="24"/>
          <w:szCs w:val="24"/>
        </w:rPr>
      </w:pPr>
      <w:bookmarkStart w:name="_GoBack" w:id="0"/>
      <w:bookmarkEnd w:id="0"/>
    </w:p>
    <w:p w:rsidRPr="00AF4628" w:rsidR="00D07F97" w:rsidRDefault="00D07F97" w14:paraId="421BFFA2" w14:textId="2B5AFCC8">
      <w:pPr>
        <w:pStyle w:val="BodyText2"/>
        <w:rPr>
          <w:rFonts w:cs="Arial"/>
          <w:szCs w:val="24"/>
        </w:rPr>
      </w:pPr>
      <w:r w:rsidRPr="00AF4628">
        <w:rPr>
          <w:rFonts w:cs="Arial"/>
          <w:szCs w:val="24"/>
        </w:rPr>
        <w:t xml:space="preserve">The USPTO does not plan to publish this information for statistical use.  However, notice of recognized, defaulted or discontinued depositories is required to be published in the </w:t>
      </w:r>
      <w:hyperlink w:history="1" r:id="rId18">
        <w:r w:rsidRPr="00007BA2">
          <w:rPr>
            <w:rStyle w:val="Hyperlink"/>
            <w:rFonts w:cs="Arial"/>
            <w:i/>
            <w:iCs/>
            <w:szCs w:val="24"/>
          </w:rPr>
          <w:t>Official Gazette of the United States Patent and Trademark Office</w:t>
        </w:r>
      </w:hyperlink>
      <w:r w:rsidRPr="00AF4628">
        <w:rPr>
          <w:rFonts w:cs="Arial"/>
          <w:i/>
          <w:iCs/>
          <w:szCs w:val="24"/>
        </w:rPr>
        <w:t>.</w:t>
      </w:r>
    </w:p>
    <w:p w:rsidRPr="00AF4628" w:rsidR="00A12CA2" w:rsidRDefault="00A12CA2" w14:paraId="472AC5A3" w14:textId="77777777">
      <w:pPr>
        <w:jc w:val="both"/>
        <w:rPr>
          <w:rFonts w:ascii="Arial" w:hAnsi="Arial" w:cs="Arial"/>
          <w:sz w:val="24"/>
          <w:szCs w:val="24"/>
        </w:rPr>
      </w:pPr>
    </w:p>
    <w:p w:rsidRPr="00AF4628" w:rsidR="00EA2D84" w:rsidP="00AF4628" w:rsidRDefault="00E07B94" w14:paraId="4EECEB9C" w14:textId="77777777">
      <w:pPr>
        <w:numPr>
          <w:ilvl w:val="0"/>
          <w:numId w:val="13"/>
        </w:numPr>
        <w:jc w:val="both"/>
        <w:rPr>
          <w:rFonts w:ascii="Arial" w:hAnsi="Arial" w:cs="Arial"/>
          <w:b/>
          <w:sz w:val="24"/>
          <w:szCs w:val="24"/>
        </w:rPr>
      </w:pPr>
      <w:r w:rsidRPr="00AF4628">
        <w:rPr>
          <w:rFonts w:ascii="Arial" w:hAnsi="Arial" w:eastAsia="Calibri" w:cs="Arial"/>
          <w:b/>
          <w:bCs/>
          <w:sz w:val="24"/>
          <w:szCs w:val="24"/>
        </w:rPr>
        <w:t xml:space="preserve"> </w:t>
      </w:r>
      <w:r w:rsidRPr="00AF4628" w:rsidR="00EA2D84">
        <w:rPr>
          <w:rFonts w:ascii="Arial" w:hAnsi="Arial" w:eastAsia="Calibri" w:cs="Arial"/>
          <w:b/>
          <w:bCs/>
          <w:sz w:val="24"/>
          <w:szCs w:val="24"/>
        </w:rPr>
        <w:t>If seeking approval to not display the expiration date for OMB approval of the information collection, explain the reasons that display would be inappropriate.</w:t>
      </w:r>
    </w:p>
    <w:p w:rsidRPr="00AF4628" w:rsidR="00D07F97" w:rsidRDefault="00D07F97" w14:paraId="7217A100" w14:textId="77777777">
      <w:pPr>
        <w:jc w:val="both"/>
        <w:rPr>
          <w:rFonts w:ascii="Arial" w:hAnsi="Arial" w:cs="Arial"/>
          <w:sz w:val="24"/>
          <w:szCs w:val="24"/>
        </w:rPr>
      </w:pPr>
    </w:p>
    <w:p w:rsidRPr="00AF4628" w:rsidR="00D07F97" w:rsidRDefault="00D07F97" w14:paraId="0F887B55" w14:textId="55F89614">
      <w:pPr>
        <w:jc w:val="both"/>
        <w:rPr>
          <w:rFonts w:ascii="Arial" w:hAnsi="Arial" w:cs="Arial"/>
          <w:sz w:val="24"/>
          <w:szCs w:val="24"/>
        </w:rPr>
      </w:pPr>
      <w:r w:rsidRPr="00AF4628">
        <w:rPr>
          <w:rFonts w:ascii="Arial" w:hAnsi="Arial" w:cs="Arial"/>
          <w:sz w:val="24"/>
          <w:szCs w:val="24"/>
        </w:rPr>
        <w:t xml:space="preserve">There are no forms associated with this </w:t>
      </w:r>
      <w:r w:rsidRPr="00AF4628" w:rsidR="00C32BF0">
        <w:rPr>
          <w:rFonts w:ascii="Arial" w:hAnsi="Arial" w:cs="Arial"/>
          <w:sz w:val="24"/>
          <w:szCs w:val="24"/>
        </w:rPr>
        <w:t xml:space="preserve">information </w:t>
      </w:r>
      <w:r w:rsidRPr="00AF4628">
        <w:rPr>
          <w:rFonts w:ascii="Arial" w:hAnsi="Arial" w:cs="Arial"/>
          <w:sz w:val="24"/>
          <w:szCs w:val="24"/>
        </w:rPr>
        <w:t>collection.  Therefore, the display of the expiration date</w:t>
      </w:r>
      <w:r w:rsidR="00007BA2">
        <w:rPr>
          <w:rFonts w:ascii="Arial" w:hAnsi="Arial" w:cs="Arial"/>
          <w:sz w:val="24"/>
          <w:szCs w:val="24"/>
        </w:rPr>
        <w:t xml:space="preserve"> for OMB approval</w:t>
      </w:r>
      <w:r w:rsidRPr="00AF4628">
        <w:rPr>
          <w:rFonts w:ascii="Arial" w:hAnsi="Arial" w:cs="Arial"/>
          <w:sz w:val="24"/>
          <w:szCs w:val="24"/>
        </w:rPr>
        <w:t xml:space="preserve"> is not applicable.</w:t>
      </w:r>
    </w:p>
    <w:p w:rsidRPr="00AF4628" w:rsidR="00AC6C03" w:rsidRDefault="00AC6C03" w14:paraId="01F028F3" w14:textId="77777777">
      <w:pPr>
        <w:jc w:val="both"/>
        <w:rPr>
          <w:rFonts w:ascii="Arial" w:hAnsi="Arial" w:cs="Arial"/>
          <w:sz w:val="24"/>
          <w:szCs w:val="24"/>
        </w:rPr>
      </w:pPr>
    </w:p>
    <w:p w:rsidRPr="00AF4628" w:rsidR="00EA2D84" w:rsidP="00AF4628" w:rsidRDefault="00E07B94" w14:paraId="755FA72C" w14:textId="77777777">
      <w:pPr>
        <w:numPr>
          <w:ilvl w:val="0"/>
          <w:numId w:val="13"/>
        </w:numPr>
        <w:jc w:val="both"/>
        <w:rPr>
          <w:rFonts w:ascii="Arial" w:hAnsi="Arial" w:cs="Arial"/>
          <w:b/>
          <w:sz w:val="24"/>
          <w:szCs w:val="24"/>
        </w:rPr>
      </w:pPr>
      <w:r w:rsidRPr="00AF4628">
        <w:rPr>
          <w:rFonts w:ascii="Arial" w:hAnsi="Arial" w:eastAsia="Calibri" w:cs="Arial"/>
          <w:b/>
          <w:bCs/>
          <w:sz w:val="24"/>
          <w:szCs w:val="24"/>
        </w:rPr>
        <w:t xml:space="preserve"> </w:t>
      </w:r>
      <w:r w:rsidRPr="00AF4628" w:rsidR="00EA2D84">
        <w:rPr>
          <w:rFonts w:ascii="Arial" w:hAnsi="Arial" w:eastAsia="Calibri" w:cs="Arial"/>
          <w:b/>
          <w:bCs/>
          <w:sz w:val="24"/>
          <w:szCs w:val="24"/>
        </w:rPr>
        <w:t>Explain each exception to the topics of the certification statement identified in “Certification for Paperwork Reduction Act Submissions.”</w:t>
      </w:r>
    </w:p>
    <w:p w:rsidRPr="00AF4628" w:rsidR="00D07F97" w:rsidRDefault="00D07F97" w14:paraId="719D4C54" w14:textId="77777777">
      <w:pPr>
        <w:jc w:val="both"/>
        <w:rPr>
          <w:rFonts w:ascii="Arial" w:hAnsi="Arial" w:cs="Arial"/>
          <w:sz w:val="24"/>
          <w:szCs w:val="24"/>
        </w:rPr>
      </w:pPr>
    </w:p>
    <w:p w:rsidRPr="00AF4628" w:rsidR="00EE28FA" w:rsidRDefault="00D07F97" w14:paraId="3A862156" w14:textId="77777777">
      <w:pPr>
        <w:jc w:val="both"/>
        <w:rPr>
          <w:rFonts w:ascii="Arial" w:hAnsi="Arial" w:cs="Arial"/>
          <w:sz w:val="24"/>
          <w:szCs w:val="24"/>
        </w:rPr>
      </w:pPr>
      <w:r w:rsidRPr="00AF4628">
        <w:rPr>
          <w:rFonts w:ascii="Arial" w:hAnsi="Arial" w:cs="Arial"/>
          <w:sz w:val="24"/>
          <w:szCs w:val="24"/>
        </w:rPr>
        <w:t>This collection of information does not include any exceptions to the certificate statement.</w:t>
      </w:r>
    </w:p>
    <w:p w:rsidRPr="00AF4628" w:rsidR="00D07F97" w:rsidRDefault="00D07F97" w14:paraId="46B9AC98" w14:textId="77777777">
      <w:pPr>
        <w:jc w:val="both"/>
        <w:rPr>
          <w:rFonts w:ascii="Arial" w:hAnsi="Arial" w:cs="Arial"/>
          <w:sz w:val="24"/>
          <w:szCs w:val="24"/>
        </w:rPr>
      </w:pPr>
    </w:p>
    <w:p w:rsidRPr="00AF4628" w:rsidR="00D07F97" w:rsidRDefault="00D07F97" w14:paraId="5C1F2094" w14:textId="77777777">
      <w:pPr>
        <w:pStyle w:val="Heading1"/>
        <w:tabs>
          <w:tab w:val="clear" w:pos="720"/>
        </w:tabs>
        <w:rPr>
          <w:rFonts w:cs="Arial"/>
          <w:szCs w:val="24"/>
        </w:rPr>
      </w:pPr>
      <w:r w:rsidRPr="00AF4628">
        <w:rPr>
          <w:rFonts w:cs="Arial"/>
          <w:szCs w:val="24"/>
        </w:rPr>
        <w:t>B.</w:t>
      </w:r>
      <w:r w:rsidRPr="00AF4628">
        <w:rPr>
          <w:rFonts w:cs="Arial"/>
          <w:szCs w:val="24"/>
        </w:rPr>
        <w:tab/>
        <w:t>COLLECTIONS OF INFORMATION EMPLOYING STATISTICAL METHODS</w:t>
      </w:r>
    </w:p>
    <w:p w:rsidRPr="00AF4628" w:rsidR="00D07F97" w:rsidRDefault="00D07F97" w14:paraId="3131B40B" w14:textId="77777777">
      <w:pPr>
        <w:jc w:val="both"/>
        <w:rPr>
          <w:rFonts w:ascii="Arial" w:hAnsi="Arial" w:cs="Arial"/>
          <w:sz w:val="24"/>
          <w:szCs w:val="24"/>
        </w:rPr>
      </w:pPr>
    </w:p>
    <w:p w:rsidRPr="00AF4628" w:rsidR="00D07F97" w:rsidRDefault="00D07F97" w14:paraId="5AD4E183" w14:textId="77777777">
      <w:pPr>
        <w:jc w:val="both"/>
        <w:rPr>
          <w:rFonts w:ascii="Arial" w:hAnsi="Arial" w:cs="Arial"/>
          <w:sz w:val="24"/>
          <w:szCs w:val="24"/>
        </w:rPr>
      </w:pPr>
      <w:r w:rsidRPr="00AF4628">
        <w:rPr>
          <w:rFonts w:ascii="Arial" w:hAnsi="Arial" w:cs="Arial"/>
          <w:sz w:val="24"/>
          <w:szCs w:val="24"/>
        </w:rPr>
        <w:lastRenderedPageBreak/>
        <w:t>This collection of information does not employ statistical methods.</w:t>
      </w:r>
    </w:p>
    <w:p w:rsidRPr="00AF4628" w:rsidR="00D07F97" w:rsidRDefault="00D07F97" w14:paraId="33DC3E6D" w14:textId="77777777">
      <w:pPr>
        <w:pStyle w:val="BodyText2"/>
        <w:tabs>
          <w:tab w:val="left" w:pos="540"/>
        </w:tabs>
        <w:rPr>
          <w:rFonts w:cs="Arial"/>
          <w:szCs w:val="24"/>
        </w:rPr>
      </w:pPr>
    </w:p>
    <w:sectPr w:rsidRPr="00AF4628" w:rsidR="00D07F97">
      <w:footerReference w:type="even" r:id="rId19"/>
      <w:footerReference w:type="default" r:id="rId2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30427" w14:textId="77777777" w:rsidR="00854A6F" w:rsidRDefault="00854A6F">
      <w:r>
        <w:separator/>
      </w:r>
    </w:p>
  </w:endnote>
  <w:endnote w:type="continuationSeparator" w:id="0">
    <w:p w14:paraId="7C896580" w14:textId="77777777" w:rsidR="00854A6F" w:rsidRDefault="00854A6F">
      <w:r>
        <w:continuationSeparator/>
      </w:r>
    </w:p>
  </w:endnote>
  <w:endnote w:type="continuationNotice" w:id="1">
    <w:p w14:paraId="4F20ADEF" w14:textId="77777777" w:rsidR="00854A6F" w:rsidRDefault="00854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EFC7" w14:textId="77777777" w:rsidR="004C6B5A" w:rsidRDefault="004C6B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19F9ED4" w14:textId="77777777" w:rsidR="004C6B5A" w:rsidRDefault="004C6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3010" w14:textId="6CE1A826" w:rsidR="004C6B5A" w:rsidRDefault="004C6B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4CD">
      <w:rPr>
        <w:rStyle w:val="PageNumber"/>
        <w:noProof/>
      </w:rPr>
      <w:t>14</w:t>
    </w:r>
    <w:r>
      <w:rPr>
        <w:rStyle w:val="PageNumber"/>
      </w:rPr>
      <w:fldChar w:fldCharType="end"/>
    </w:r>
  </w:p>
  <w:p w14:paraId="4A48A0D1" w14:textId="77777777" w:rsidR="004C6B5A" w:rsidRDefault="004C6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FBA18" w14:textId="77777777" w:rsidR="00854A6F" w:rsidRDefault="00854A6F">
      <w:r>
        <w:separator/>
      </w:r>
    </w:p>
  </w:footnote>
  <w:footnote w:type="continuationSeparator" w:id="0">
    <w:p w14:paraId="7C3D3A58" w14:textId="77777777" w:rsidR="00854A6F" w:rsidRDefault="00854A6F">
      <w:r>
        <w:continuationSeparator/>
      </w:r>
    </w:p>
  </w:footnote>
  <w:footnote w:type="continuationNotice" w:id="1">
    <w:p w14:paraId="5A28BFEC" w14:textId="77777777" w:rsidR="00854A6F" w:rsidRDefault="00854A6F"/>
  </w:footnote>
  <w:footnote w:id="2">
    <w:p w14:paraId="6A8668EF" w14:textId="77777777" w:rsidR="0060663D" w:rsidRDefault="0060663D" w:rsidP="0060663D">
      <w:pPr>
        <w:pStyle w:val="FootnoteText"/>
      </w:pPr>
      <w:r>
        <w:rPr>
          <w:rStyle w:val="FootnoteReference"/>
        </w:rPr>
        <w:footnoteRef/>
      </w:r>
      <w:r>
        <w:t xml:space="preserve"> </w:t>
      </w:r>
      <w:hyperlink r:id="rId1" w:history="1">
        <w:r>
          <w:rPr>
            <w:rStyle w:val="Hyperlink"/>
          </w:rPr>
          <w:t>https://www.bls.gov/oes/2017/may/oes431011.htm</w:t>
        </w:r>
      </w:hyperlink>
    </w:p>
  </w:footnote>
  <w:footnote w:id="3">
    <w:p w14:paraId="41748BD7" w14:textId="77777777" w:rsidR="0060663D" w:rsidRDefault="0060663D" w:rsidP="0060663D">
      <w:pPr>
        <w:pStyle w:val="FootnoteText"/>
      </w:pPr>
      <w:r>
        <w:rPr>
          <w:rStyle w:val="FootnoteReference"/>
        </w:rPr>
        <w:footnoteRef/>
      </w:r>
      <w:r>
        <w:t xml:space="preserve"> </w:t>
      </w:r>
      <w:hyperlink r:id="rId2" w:history="1">
        <w:r>
          <w:rPr>
            <w:rStyle w:val="Hyperlink"/>
          </w:rPr>
          <w:t>https://www.bls.gov/oes/2017/may/oes231011.htm</w:t>
        </w:r>
      </w:hyperlink>
    </w:p>
  </w:footnote>
  <w:footnote w:id="4">
    <w:p w14:paraId="66E8373C" w14:textId="126B0423" w:rsidR="0085218F" w:rsidRDefault="0085218F">
      <w:pPr>
        <w:pStyle w:val="FootnoteText"/>
      </w:pPr>
      <w:r>
        <w:rPr>
          <w:rStyle w:val="FootnoteReference"/>
        </w:rPr>
        <w:footnoteRef/>
      </w:r>
      <w:r>
        <w:t xml:space="preserve"> </w:t>
      </w:r>
      <w:hyperlink r:id="rId3" w:history="1">
        <w:r w:rsidRPr="0085218F">
          <w:rPr>
            <w:rStyle w:val="Hyperlink"/>
          </w:rPr>
          <w:t>https://www.opm.gov/policy-data-oversight/pay-leave/salaries-wages/salary-tables/pdf/2020/DCB_h.pdf</w:t>
        </w:r>
      </w:hyperlink>
    </w:p>
  </w:footnote>
  <w:footnote w:id="5">
    <w:p w14:paraId="76A8E4B8" w14:textId="67F3F4D4" w:rsidR="0085218F" w:rsidRDefault="0085218F">
      <w:pPr>
        <w:pStyle w:val="FootnoteText"/>
      </w:pPr>
      <w:r>
        <w:rPr>
          <w:rStyle w:val="FootnoteReference"/>
        </w:rPr>
        <w:footnoteRef/>
      </w:r>
      <w:r>
        <w:t xml:space="preserve"> </w:t>
      </w:r>
      <w:hyperlink r:id="rId4" w:history="1">
        <w:r w:rsidRPr="0085218F">
          <w:rPr>
            <w:rStyle w:val="Hyperlink"/>
          </w:rPr>
          <w:t>https://www.opm.gov/policy-data-oversight/pay-leave/salaries-wages/salary-tables/pdf/2020/DCB_h.pdf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702CC9"/>
    <w:multiLevelType w:val="hybridMultilevel"/>
    <w:tmpl w:val="94C0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065489"/>
    <w:multiLevelType w:val="hybridMultilevel"/>
    <w:tmpl w:val="11FAF5C0"/>
    <w:lvl w:ilvl="0" w:tplc="04090015">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E7B156F"/>
    <w:multiLevelType w:val="hybridMultilevel"/>
    <w:tmpl w:val="481E306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60D3D"/>
    <w:multiLevelType w:val="hybridMultilevel"/>
    <w:tmpl w:val="25CE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256C97"/>
    <w:multiLevelType w:val="hybridMultilevel"/>
    <w:tmpl w:val="570CF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2D1064"/>
    <w:multiLevelType w:val="hybridMultilevel"/>
    <w:tmpl w:val="2DBC0BB4"/>
    <w:lvl w:ilvl="0" w:tplc="32AE9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8A6A5C"/>
    <w:multiLevelType w:val="hybridMultilevel"/>
    <w:tmpl w:val="4E7C6D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D23DF2"/>
    <w:multiLevelType w:val="hybridMultilevel"/>
    <w:tmpl w:val="D5EEBA76"/>
    <w:lvl w:ilvl="0" w:tplc="7D4ADBC0">
      <w:start w:val="1"/>
      <w:numFmt w:val="decimal"/>
      <w:lvlText w:val="%1."/>
      <w:lvlJc w:val="left"/>
      <w:pPr>
        <w:ind w:left="360" w:hanging="360"/>
      </w:pPr>
      <w:rPr>
        <w:rFonts w:ascii="Arial" w:hAnsi="Arial" w:cs="Arial"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F16779"/>
    <w:multiLevelType w:val="hybridMultilevel"/>
    <w:tmpl w:val="D7AA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7F0705CA"/>
    <w:multiLevelType w:val="hybridMultilevel"/>
    <w:tmpl w:val="2758CC82"/>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2"/>
  </w:num>
  <w:num w:numId="2">
    <w:abstractNumId w:val="12"/>
  </w:num>
  <w:num w:numId="3">
    <w:abstractNumId w:val="6"/>
  </w:num>
  <w:num w:numId="4">
    <w:abstractNumId w:val="13"/>
  </w:num>
  <w:num w:numId="5">
    <w:abstractNumId w:val="8"/>
  </w:num>
  <w:num w:numId="6">
    <w:abstractNumId w:val="7"/>
  </w:num>
  <w:num w:numId="7">
    <w:abstractNumId w:val="1"/>
  </w:num>
  <w:num w:numId="8">
    <w:abstractNumId w:val="4"/>
  </w:num>
  <w:num w:numId="9">
    <w:abstractNumId w:val="11"/>
  </w:num>
  <w:num w:numId="10">
    <w:abstractNumId w:val="0"/>
  </w:num>
  <w:num w:numId="11">
    <w:abstractNumId w:val="5"/>
  </w:num>
  <w:num w:numId="12">
    <w:abstractNumId w:val="14"/>
  </w:num>
  <w:num w:numId="13">
    <w:abstractNumId w:val="10"/>
  </w:num>
  <w:num w:numId="14">
    <w:abstractNumId w:val="3"/>
  </w:num>
  <w:num w:numId="15">
    <w:abstractNumId w:val="9"/>
  </w:num>
  <w:num w:numId="16">
    <w:abstractNumId w:val="13"/>
  </w:num>
  <w:num w:numId="17">
    <w:abstractNumId w:val="12"/>
  </w:num>
  <w:num w:numId="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F4"/>
    <w:rsid w:val="00002563"/>
    <w:rsid w:val="00004ADA"/>
    <w:rsid w:val="00005DEF"/>
    <w:rsid w:val="00007BA2"/>
    <w:rsid w:val="00011C22"/>
    <w:rsid w:val="0001659C"/>
    <w:rsid w:val="00023AB9"/>
    <w:rsid w:val="000274BB"/>
    <w:rsid w:val="00036370"/>
    <w:rsid w:val="00042DFB"/>
    <w:rsid w:val="000476D1"/>
    <w:rsid w:val="00051108"/>
    <w:rsid w:val="00051DA6"/>
    <w:rsid w:val="000542F8"/>
    <w:rsid w:val="00057387"/>
    <w:rsid w:val="00060D0D"/>
    <w:rsid w:val="000619BD"/>
    <w:rsid w:val="00063D5F"/>
    <w:rsid w:val="00066135"/>
    <w:rsid w:val="00074A4A"/>
    <w:rsid w:val="000803EF"/>
    <w:rsid w:val="00084029"/>
    <w:rsid w:val="00097D48"/>
    <w:rsid w:val="000A2C2D"/>
    <w:rsid w:val="000B08AA"/>
    <w:rsid w:val="000B35DC"/>
    <w:rsid w:val="000B5B1E"/>
    <w:rsid w:val="000B5B40"/>
    <w:rsid w:val="000C10FF"/>
    <w:rsid w:val="000D0892"/>
    <w:rsid w:val="000D6621"/>
    <w:rsid w:val="000D7DDE"/>
    <w:rsid w:val="000E4FBA"/>
    <w:rsid w:val="000F216B"/>
    <w:rsid w:val="001014C0"/>
    <w:rsid w:val="001126C0"/>
    <w:rsid w:val="00114788"/>
    <w:rsid w:val="00114BD1"/>
    <w:rsid w:val="00125168"/>
    <w:rsid w:val="00132834"/>
    <w:rsid w:val="00132AA1"/>
    <w:rsid w:val="0013606F"/>
    <w:rsid w:val="00140D1A"/>
    <w:rsid w:val="0014177F"/>
    <w:rsid w:val="00150618"/>
    <w:rsid w:val="001507EE"/>
    <w:rsid w:val="00152B26"/>
    <w:rsid w:val="001614EC"/>
    <w:rsid w:val="00166448"/>
    <w:rsid w:val="00180F58"/>
    <w:rsid w:val="00181CCE"/>
    <w:rsid w:val="001849D2"/>
    <w:rsid w:val="00187498"/>
    <w:rsid w:val="001926A3"/>
    <w:rsid w:val="0019322A"/>
    <w:rsid w:val="00196EC3"/>
    <w:rsid w:val="001B14DC"/>
    <w:rsid w:val="001B1F07"/>
    <w:rsid w:val="001D080B"/>
    <w:rsid w:val="001D47F5"/>
    <w:rsid w:val="001E0599"/>
    <w:rsid w:val="00202762"/>
    <w:rsid w:val="00203B17"/>
    <w:rsid w:val="0020506E"/>
    <w:rsid w:val="00205562"/>
    <w:rsid w:val="00216BF5"/>
    <w:rsid w:val="00216EF7"/>
    <w:rsid w:val="0022475E"/>
    <w:rsid w:val="002319E6"/>
    <w:rsid w:val="00234F53"/>
    <w:rsid w:val="00235265"/>
    <w:rsid w:val="00235BAF"/>
    <w:rsid w:val="00237965"/>
    <w:rsid w:val="002448DE"/>
    <w:rsid w:val="002460BE"/>
    <w:rsid w:val="00252082"/>
    <w:rsid w:val="0026172F"/>
    <w:rsid w:val="00262A84"/>
    <w:rsid w:val="0028089E"/>
    <w:rsid w:val="0028161A"/>
    <w:rsid w:val="00285CE8"/>
    <w:rsid w:val="002942B9"/>
    <w:rsid w:val="002966ED"/>
    <w:rsid w:val="002A3348"/>
    <w:rsid w:val="002A69B7"/>
    <w:rsid w:val="002C5D3E"/>
    <w:rsid w:val="002D1DA7"/>
    <w:rsid w:val="002D4903"/>
    <w:rsid w:val="002D5C13"/>
    <w:rsid w:val="002D7A2E"/>
    <w:rsid w:val="002E30A7"/>
    <w:rsid w:val="002F71D1"/>
    <w:rsid w:val="003044CD"/>
    <w:rsid w:val="00313420"/>
    <w:rsid w:val="00314BBB"/>
    <w:rsid w:val="00317AFA"/>
    <w:rsid w:val="00317CD8"/>
    <w:rsid w:val="00327858"/>
    <w:rsid w:val="003305AB"/>
    <w:rsid w:val="00331C49"/>
    <w:rsid w:val="003408EA"/>
    <w:rsid w:val="003527D0"/>
    <w:rsid w:val="00352C99"/>
    <w:rsid w:val="00360034"/>
    <w:rsid w:val="00361556"/>
    <w:rsid w:val="00363511"/>
    <w:rsid w:val="003709B2"/>
    <w:rsid w:val="00371746"/>
    <w:rsid w:val="003725D6"/>
    <w:rsid w:val="00373C27"/>
    <w:rsid w:val="00376B51"/>
    <w:rsid w:val="0037708C"/>
    <w:rsid w:val="00377FD8"/>
    <w:rsid w:val="00383D31"/>
    <w:rsid w:val="00386C08"/>
    <w:rsid w:val="00386EEB"/>
    <w:rsid w:val="00392226"/>
    <w:rsid w:val="00392C6B"/>
    <w:rsid w:val="00393190"/>
    <w:rsid w:val="003A3E06"/>
    <w:rsid w:val="003A4C58"/>
    <w:rsid w:val="003A502D"/>
    <w:rsid w:val="003D0D82"/>
    <w:rsid w:val="003D23D0"/>
    <w:rsid w:val="003E5842"/>
    <w:rsid w:val="003E5AB3"/>
    <w:rsid w:val="003F18D2"/>
    <w:rsid w:val="003F26CC"/>
    <w:rsid w:val="003F2FA9"/>
    <w:rsid w:val="003F6CAA"/>
    <w:rsid w:val="0040737B"/>
    <w:rsid w:val="004277E6"/>
    <w:rsid w:val="004322FE"/>
    <w:rsid w:val="004347F1"/>
    <w:rsid w:val="00435B59"/>
    <w:rsid w:val="00436794"/>
    <w:rsid w:val="0045080C"/>
    <w:rsid w:val="0045271D"/>
    <w:rsid w:val="00454817"/>
    <w:rsid w:val="00461C8B"/>
    <w:rsid w:val="00463752"/>
    <w:rsid w:val="004674E4"/>
    <w:rsid w:val="00475B52"/>
    <w:rsid w:val="00477F3F"/>
    <w:rsid w:val="0048258E"/>
    <w:rsid w:val="00492CD1"/>
    <w:rsid w:val="004A0AF8"/>
    <w:rsid w:val="004A70B3"/>
    <w:rsid w:val="004B43F6"/>
    <w:rsid w:val="004B4C85"/>
    <w:rsid w:val="004C3461"/>
    <w:rsid w:val="004C6B5A"/>
    <w:rsid w:val="004D113B"/>
    <w:rsid w:val="004E5888"/>
    <w:rsid w:val="004F5067"/>
    <w:rsid w:val="004F7819"/>
    <w:rsid w:val="004F7880"/>
    <w:rsid w:val="004F7C36"/>
    <w:rsid w:val="005113B2"/>
    <w:rsid w:val="00511761"/>
    <w:rsid w:val="00517C22"/>
    <w:rsid w:val="00523736"/>
    <w:rsid w:val="00527AB0"/>
    <w:rsid w:val="00531D27"/>
    <w:rsid w:val="00541AE7"/>
    <w:rsid w:val="00542FAB"/>
    <w:rsid w:val="00557DE9"/>
    <w:rsid w:val="00561B26"/>
    <w:rsid w:val="005661C5"/>
    <w:rsid w:val="0057064B"/>
    <w:rsid w:val="00572775"/>
    <w:rsid w:val="0057536A"/>
    <w:rsid w:val="00585F06"/>
    <w:rsid w:val="00587051"/>
    <w:rsid w:val="00590978"/>
    <w:rsid w:val="00593CF8"/>
    <w:rsid w:val="005961FB"/>
    <w:rsid w:val="005A0879"/>
    <w:rsid w:val="005A76B7"/>
    <w:rsid w:val="005B122E"/>
    <w:rsid w:val="005C035C"/>
    <w:rsid w:val="005C0C01"/>
    <w:rsid w:val="005C522B"/>
    <w:rsid w:val="005C6D23"/>
    <w:rsid w:val="005D4B60"/>
    <w:rsid w:val="005E5D6E"/>
    <w:rsid w:val="006054FC"/>
    <w:rsid w:val="0060663D"/>
    <w:rsid w:val="00607210"/>
    <w:rsid w:val="00612C60"/>
    <w:rsid w:val="00615C5E"/>
    <w:rsid w:val="006227CD"/>
    <w:rsid w:val="00623428"/>
    <w:rsid w:val="00626A05"/>
    <w:rsid w:val="00636CAD"/>
    <w:rsid w:val="00637534"/>
    <w:rsid w:val="00642E23"/>
    <w:rsid w:val="00655F88"/>
    <w:rsid w:val="00670E19"/>
    <w:rsid w:val="006958B3"/>
    <w:rsid w:val="0069638A"/>
    <w:rsid w:val="006A23D8"/>
    <w:rsid w:val="006A5DA4"/>
    <w:rsid w:val="006B1A79"/>
    <w:rsid w:val="006B3C83"/>
    <w:rsid w:val="006D2F13"/>
    <w:rsid w:val="006E03ED"/>
    <w:rsid w:val="006F2370"/>
    <w:rsid w:val="0071034E"/>
    <w:rsid w:val="00716E39"/>
    <w:rsid w:val="007212F3"/>
    <w:rsid w:val="00722528"/>
    <w:rsid w:val="00725767"/>
    <w:rsid w:val="00726E90"/>
    <w:rsid w:val="00732FC0"/>
    <w:rsid w:val="00741510"/>
    <w:rsid w:val="007434CD"/>
    <w:rsid w:val="007443CB"/>
    <w:rsid w:val="00750885"/>
    <w:rsid w:val="00764AD2"/>
    <w:rsid w:val="00772B0A"/>
    <w:rsid w:val="0077502B"/>
    <w:rsid w:val="00775DC9"/>
    <w:rsid w:val="00783DBC"/>
    <w:rsid w:val="00791A0B"/>
    <w:rsid w:val="007936C8"/>
    <w:rsid w:val="00793900"/>
    <w:rsid w:val="0079498B"/>
    <w:rsid w:val="007A0740"/>
    <w:rsid w:val="007A28C3"/>
    <w:rsid w:val="007A5DC8"/>
    <w:rsid w:val="007A7DA0"/>
    <w:rsid w:val="007C000C"/>
    <w:rsid w:val="007C27B3"/>
    <w:rsid w:val="007C57EE"/>
    <w:rsid w:val="007D26D9"/>
    <w:rsid w:val="007F1AD1"/>
    <w:rsid w:val="007F5B8C"/>
    <w:rsid w:val="00803C38"/>
    <w:rsid w:val="00811736"/>
    <w:rsid w:val="00812E37"/>
    <w:rsid w:val="008206AC"/>
    <w:rsid w:val="00821CC2"/>
    <w:rsid w:val="0082203D"/>
    <w:rsid w:val="00825BCE"/>
    <w:rsid w:val="0082605D"/>
    <w:rsid w:val="00847232"/>
    <w:rsid w:val="0085218F"/>
    <w:rsid w:val="00854A6F"/>
    <w:rsid w:val="00860394"/>
    <w:rsid w:val="00861DE4"/>
    <w:rsid w:val="00866C9F"/>
    <w:rsid w:val="00880ED8"/>
    <w:rsid w:val="00885244"/>
    <w:rsid w:val="00887154"/>
    <w:rsid w:val="008B6DCD"/>
    <w:rsid w:val="008C1897"/>
    <w:rsid w:val="008D461F"/>
    <w:rsid w:val="008D5689"/>
    <w:rsid w:val="008E2912"/>
    <w:rsid w:val="008E3252"/>
    <w:rsid w:val="008E7552"/>
    <w:rsid w:val="008F73B2"/>
    <w:rsid w:val="0090002A"/>
    <w:rsid w:val="00914A71"/>
    <w:rsid w:val="00914C61"/>
    <w:rsid w:val="009209D1"/>
    <w:rsid w:val="009322CB"/>
    <w:rsid w:val="00936E0F"/>
    <w:rsid w:val="00942DAA"/>
    <w:rsid w:val="00963242"/>
    <w:rsid w:val="0096591F"/>
    <w:rsid w:val="0097238D"/>
    <w:rsid w:val="00983556"/>
    <w:rsid w:val="00993E89"/>
    <w:rsid w:val="009A1033"/>
    <w:rsid w:val="009A4308"/>
    <w:rsid w:val="009A45BF"/>
    <w:rsid w:val="009B46B3"/>
    <w:rsid w:val="009B6C2A"/>
    <w:rsid w:val="009C2C6A"/>
    <w:rsid w:val="009C49A4"/>
    <w:rsid w:val="009C50B6"/>
    <w:rsid w:val="009C6B8A"/>
    <w:rsid w:val="009D363D"/>
    <w:rsid w:val="009D3C78"/>
    <w:rsid w:val="009E3442"/>
    <w:rsid w:val="009F4CF2"/>
    <w:rsid w:val="009F5066"/>
    <w:rsid w:val="00A01922"/>
    <w:rsid w:val="00A01D2E"/>
    <w:rsid w:val="00A0220F"/>
    <w:rsid w:val="00A05799"/>
    <w:rsid w:val="00A07D8C"/>
    <w:rsid w:val="00A12CA2"/>
    <w:rsid w:val="00A13021"/>
    <w:rsid w:val="00A16458"/>
    <w:rsid w:val="00A177FB"/>
    <w:rsid w:val="00A221E7"/>
    <w:rsid w:val="00A23A15"/>
    <w:rsid w:val="00A317C7"/>
    <w:rsid w:val="00A36AD2"/>
    <w:rsid w:val="00A436A5"/>
    <w:rsid w:val="00A437F8"/>
    <w:rsid w:val="00A47177"/>
    <w:rsid w:val="00A5120E"/>
    <w:rsid w:val="00A533EC"/>
    <w:rsid w:val="00A53D48"/>
    <w:rsid w:val="00A576FC"/>
    <w:rsid w:val="00A6029B"/>
    <w:rsid w:val="00A61E28"/>
    <w:rsid w:val="00A628B7"/>
    <w:rsid w:val="00A67DB0"/>
    <w:rsid w:val="00A707A8"/>
    <w:rsid w:val="00A92ED2"/>
    <w:rsid w:val="00A9405D"/>
    <w:rsid w:val="00AA0B10"/>
    <w:rsid w:val="00AB2A8E"/>
    <w:rsid w:val="00AB564A"/>
    <w:rsid w:val="00AB6280"/>
    <w:rsid w:val="00AB6660"/>
    <w:rsid w:val="00AC6C03"/>
    <w:rsid w:val="00AE116C"/>
    <w:rsid w:val="00AE1401"/>
    <w:rsid w:val="00AE1991"/>
    <w:rsid w:val="00AE5E5E"/>
    <w:rsid w:val="00AE725B"/>
    <w:rsid w:val="00AF18BF"/>
    <w:rsid w:val="00AF4628"/>
    <w:rsid w:val="00AF4C9C"/>
    <w:rsid w:val="00B2025C"/>
    <w:rsid w:val="00B22055"/>
    <w:rsid w:val="00B236ED"/>
    <w:rsid w:val="00B23BDD"/>
    <w:rsid w:val="00B25699"/>
    <w:rsid w:val="00B327C3"/>
    <w:rsid w:val="00B405E3"/>
    <w:rsid w:val="00B40822"/>
    <w:rsid w:val="00B447F4"/>
    <w:rsid w:val="00B46008"/>
    <w:rsid w:val="00B52517"/>
    <w:rsid w:val="00B62142"/>
    <w:rsid w:val="00B7036A"/>
    <w:rsid w:val="00B80EEC"/>
    <w:rsid w:val="00B82682"/>
    <w:rsid w:val="00B92B1C"/>
    <w:rsid w:val="00B957B7"/>
    <w:rsid w:val="00B97396"/>
    <w:rsid w:val="00BA28E1"/>
    <w:rsid w:val="00BA5D05"/>
    <w:rsid w:val="00BA5E8F"/>
    <w:rsid w:val="00BA6DDB"/>
    <w:rsid w:val="00BA7F88"/>
    <w:rsid w:val="00BB587B"/>
    <w:rsid w:val="00BC12AE"/>
    <w:rsid w:val="00BC3E36"/>
    <w:rsid w:val="00BE6EBB"/>
    <w:rsid w:val="00BE782F"/>
    <w:rsid w:val="00BF5295"/>
    <w:rsid w:val="00BF7A8B"/>
    <w:rsid w:val="00C050C9"/>
    <w:rsid w:val="00C10354"/>
    <w:rsid w:val="00C11C4B"/>
    <w:rsid w:val="00C1418F"/>
    <w:rsid w:val="00C16CA3"/>
    <w:rsid w:val="00C17279"/>
    <w:rsid w:val="00C2792D"/>
    <w:rsid w:val="00C302F3"/>
    <w:rsid w:val="00C31DC3"/>
    <w:rsid w:val="00C32BF0"/>
    <w:rsid w:val="00C33552"/>
    <w:rsid w:val="00C37BC5"/>
    <w:rsid w:val="00C43E91"/>
    <w:rsid w:val="00C47965"/>
    <w:rsid w:val="00C47CD7"/>
    <w:rsid w:val="00C51366"/>
    <w:rsid w:val="00C57360"/>
    <w:rsid w:val="00C60F6D"/>
    <w:rsid w:val="00C812EB"/>
    <w:rsid w:val="00C853A4"/>
    <w:rsid w:val="00C9551E"/>
    <w:rsid w:val="00C97433"/>
    <w:rsid w:val="00CA01D1"/>
    <w:rsid w:val="00CA70AE"/>
    <w:rsid w:val="00CB0983"/>
    <w:rsid w:val="00CB1822"/>
    <w:rsid w:val="00CB2003"/>
    <w:rsid w:val="00CB2F8D"/>
    <w:rsid w:val="00CB3C9C"/>
    <w:rsid w:val="00CB5C8D"/>
    <w:rsid w:val="00CB71B4"/>
    <w:rsid w:val="00CC01C7"/>
    <w:rsid w:val="00CC0FF3"/>
    <w:rsid w:val="00CC1767"/>
    <w:rsid w:val="00CC5309"/>
    <w:rsid w:val="00CD38EE"/>
    <w:rsid w:val="00CD7B59"/>
    <w:rsid w:val="00CE1403"/>
    <w:rsid w:val="00CE7BB2"/>
    <w:rsid w:val="00D0087E"/>
    <w:rsid w:val="00D01A3F"/>
    <w:rsid w:val="00D07F97"/>
    <w:rsid w:val="00D1349A"/>
    <w:rsid w:val="00D253F0"/>
    <w:rsid w:val="00D270EF"/>
    <w:rsid w:val="00D27E10"/>
    <w:rsid w:val="00D31758"/>
    <w:rsid w:val="00D360CA"/>
    <w:rsid w:val="00D36A71"/>
    <w:rsid w:val="00D46404"/>
    <w:rsid w:val="00D541C8"/>
    <w:rsid w:val="00D56F34"/>
    <w:rsid w:val="00D61FFE"/>
    <w:rsid w:val="00D6249A"/>
    <w:rsid w:val="00D73069"/>
    <w:rsid w:val="00D81521"/>
    <w:rsid w:val="00D824DE"/>
    <w:rsid w:val="00D87912"/>
    <w:rsid w:val="00D97139"/>
    <w:rsid w:val="00DA11BB"/>
    <w:rsid w:val="00DA1ED7"/>
    <w:rsid w:val="00DB1B80"/>
    <w:rsid w:val="00DB3EE6"/>
    <w:rsid w:val="00DC6A62"/>
    <w:rsid w:val="00DD6F6F"/>
    <w:rsid w:val="00DE2C98"/>
    <w:rsid w:val="00DE3EB8"/>
    <w:rsid w:val="00DE7027"/>
    <w:rsid w:val="00DF0392"/>
    <w:rsid w:val="00DF076D"/>
    <w:rsid w:val="00DF15ED"/>
    <w:rsid w:val="00DF71F8"/>
    <w:rsid w:val="00E01C7B"/>
    <w:rsid w:val="00E02715"/>
    <w:rsid w:val="00E03208"/>
    <w:rsid w:val="00E072FD"/>
    <w:rsid w:val="00E07B94"/>
    <w:rsid w:val="00E10280"/>
    <w:rsid w:val="00E11540"/>
    <w:rsid w:val="00E1396E"/>
    <w:rsid w:val="00E164D9"/>
    <w:rsid w:val="00E16FF7"/>
    <w:rsid w:val="00E2068B"/>
    <w:rsid w:val="00E35DEA"/>
    <w:rsid w:val="00E47273"/>
    <w:rsid w:val="00E477AC"/>
    <w:rsid w:val="00E53532"/>
    <w:rsid w:val="00E55457"/>
    <w:rsid w:val="00E80219"/>
    <w:rsid w:val="00E820F1"/>
    <w:rsid w:val="00E82693"/>
    <w:rsid w:val="00E83AA8"/>
    <w:rsid w:val="00E85E7D"/>
    <w:rsid w:val="00E93BB3"/>
    <w:rsid w:val="00EA1288"/>
    <w:rsid w:val="00EA2D84"/>
    <w:rsid w:val="00EB51A4"/>
    <w:rsid w:val="00EB6281"/>
    <w:rsid w:val="00EB78A8"/>
    <w:rsid w:val="00EB7C4B"/>
    <w:rsid w:val="00EC153C"/>
    <w:rsid w:val="00EC2212"/>
    <w:rsid w:val="00EC3318"/>
    <w:rsid w:val="00EC7F46"/>
    <w:rsid w:val="00ED193A"/>
    <w:rsid w:val="00EE28FA"/>
    <w:rsid w:val="00EF6D6C"/>
    <w:rsid w:val="00F15DE5"/>
    <w:rsid w:val="00F3088B"/>
    <w:rsid w:val="00F33E8F"/>
    <w:rsid w:val="00F36A96"/>
    <w:rsid w:val="00F51601"/>
    <w:rsid w:val="00F51F9D"/>
    <w:rsid w:val="00F526A5"/>
    <w:rsid w:val="00F53AE2"/>
    <w:rsid w:val="00F54AEE"/>
    <w:rsid w:val="00F62C89"/>
    <w:rsid w:val="00F720C9"/>
    <w:rsid w:val="00F772B0"/>
    <w:rsid w:val="00F77E19"/>
    <w:rsid w:val="00F82D9B"/>
    <w:rsid w:val="00F8385C"/>
    <w:rsid w:val="00F92C66"/>
    <w:rsid w:val="00F96C69"/>
    <w:rsid w:val="00FA0954"/>
    <w:rsid w:val="00FA2FFE"/>
    <w:rsid w:val="00FA7582"/>
    <w:rsid w:val="00FC019D"/>
    <w:rsid w:val="00FE24F7"/>
    <w:rsid w:val="00FE4B90"/>
    <w:rsid w:val="00FF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1E1CD"/>
  <w15:chartTrackingRefBased/>
  <w15:docId w15:val="{151D1129-0C38-4723-BCAA-02FE1B15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link w:val="Heading5Char"/>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qFormat/>
    <w:pPr>
      <w:keepNext/>
      <w:jc w:val="both"/>
      <w:outlineLvl w:val="7"/>
    </w:pPr>
    <w:rPr>
      <w:rFonts w:ascii="Arial" w:hAnsi="Arial"/>
      <w:sz w:val="24"/>
      <w:u w:val="single"/>
    </w:rPr>
  </w:style>
  <w:style w:type="paragraph" w:styleId="Heading9">
    <w:name w:val="heading 9"/>
    <w:basedOn w:val="Normal"/>
    <w:next w:val="Normal"/>
    <w:qFormat/>
    <w:pPr>
      <w:keepNext/>
      <w:tabs>
        <w:tab w:val="left" w:pos="720"/>
      </w:tabs>
      <w:jc w:val="both"/>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link w:val="BodyTextIndentChar"/>
    <w:pPr>
      <w:ind w:left="720"/>
      <w:jc w:val="both"/>
    </w:pPr>
    <w:rPr>
      <w:rFonts w:ascii="Arial" w:hAnsi="Arial"/>
      <w:sz w:val="24"/>
    </w:rPr>
  </w:style>
  <w:style w:type="paragraph" w:styleId="BodyTextIndent2">
    <w:name w:val="Body Text Indent 2"/>
    <w:basedOn w:val="Normal"/>
    <w:link w:val="BodyTextIndent2Char"/>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080"/>
        <w:tab w:val="left" w:pos="-840"/>
        <w:tab w:val="left" w:pos="72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ind w:left="720" w:hanging="720"/>
      <w:jc w:val="both"/>
    </w:pPr>
    <w:rPr>
      <w:rFonts w:ascii="Arial" w:hAnsi="Arial"/>
      <w:sz w:val="24"/>
    </w:rPr>
  </w:style>
  <w:style w:type="table" w:styleId="TableGrid">
    <w:name w:val="Table Grid"/>
    <w:basedOn w:val="TableNormal"/>
    <w:rsid w:val="0086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1FFE"/>
    <w:rPr>
      <w:rFonts w:ascii="Tahoma" w:hAnsi="Tahoma" w:cs="Tahoma"/>
      <w:sz w:val="16"/>
      <w:szCs w:val="16"/>
    </w:rPr>
  </w:style>
  <w:style w:type="character" w:customStyle="1" w:styleId="BalloonTextChar">
    <w:name w:val="Balloon Text Char"/>
    <w:link w:val="BalloonText"/>
    <w:rsid w:val="00D61FFE"/>
    <w:rPr>
      <w:rFonts w:ascii="Tahoma" w:hAnsi="Tahoma" w:cs="Tahoma"/>
      <w:sz w:val="16"/>
      <w:szCs w:val="16"/>
    </w:rPr>
  </w:style>
  <w:style w:type="character" w:styleId="CommentReference">
    <w:name w:val="annotation reference"/>
    <w:rsid w:val="0013606F"/>
    <w:rPr>
      <w:sz w:val="16"/>
      <w:szCs w:val="16"/>
    </w:rPr>
  </w:style>
  <w:style w:type="paragraph" w:styleId="CommentText">
    <w:name w:val="annotation text"/>
    <w:basedOn w:val="Normal"/>
    <w:link w:val="CommentTextChar"/>
    <w:rsid w:val="0013606F"/>
  </w:style>
  <w:style w:type="character" w:customStyle="1" w:styleId="CommentTextChar">
    <w:name w:val="Comment Text Char"/>
    <w:basedOn w:val="DefaultParagraphFont"/>
    <w:link w:val="CommentText"/>
    <w:rsid w:val="0013606F"/>
  </w:style>
  <w:style w:type="paragraph" w:styleId="CommentSubject">
    <w:name w:val="annotation subject"/>
    <w:basedOn w:val="CommentText"/>
    <w:next w:val="CommentText"/>
    <w:link w:val="CommentSubjectChar"/>
    <w:rsid w:val="0013606F"/>
    <w:rPr>
      <w:b/>
      <w:bCs/>
    </w:rPr>
  </w:style>
  <w:style w:type="character" w:customStyle="1" w:styleId="CommentSubjectChar">
    <w:name w:val="Comment Subject Char"/>
    <w:link w:val="CommentSubject"/>
    <w:rsid w:val="0013606F"/>
    <w:rPr>
      <w:b/>
      <w:bCs/>
    </w:rPr>
  </w:style>
  <w:style w:type="character" w:styleId="Hyperlink">
    <w:name w:val="Hyperlink"/>
    <w:rsid w:val="0013606F"/>
    <w:rPr>
      <w:color w:val="0000FF"/>
      <w:u w:val="single"/>
    </w:rPr>
  </w:style>
  <w:style w:type="paragraph" w:styleId="ListParagraph">
    <w:name w:val="List Paragraph"/>
    <w:basedOn w:val="Normal"/>
    <w:uiPriority w:val="34"/>
    <w:qFormat/>
    <w:rsid w:val="006A23D8"/>
    <w:pPr>
      <w:ind w:left="720"/>
    </w:pPr>
  </w:style>
  <w:style w:type="paragraph" w:styleId="NoSpacing">
    <w:name w:val="No Spacing"/>
    <w:uiPriority w:val="1"/>
    <w:qFormat/>
    <w:rsid w:val="00EA2D84"/>
    <w:rPr>
      <w:rFonts w:ascii="Calibri" w:eastAsia="Calibri" w:hAnsi="Calibri"/>
      <w:sz w:val="22"/>
      <w:szCs w:val="22"/>
    </w:rPr>
  </w:style>
  <w:style w:type="character" w:styleId="FollowedHyperlink">
    <w:name w:val="FollowedHyperlink"/>
    <w:rsid w:val="00637534"/>
    <w:rPr>
      <w:color w:val="954F72"/>
      <w:u w:val="single"/>
    </w:rPr>
  </w:style>
  <w:style w:type="paragraph" w:styleId="FootnoteText">
    <w:name w:val="footnote text"/>
    <w:basedOn w:val="Normal"/>
    <w:link w:val="FootnoteTextChar"/>
    <w:rsid w:val="00775DC9"/>
  </w:style>
  <w:style w:type="character" w:customStyle="1" w:styleId="FootnoteTextChar">
    <w:name w:val="Footnote Text Char"/>
    <w:basedOn w:val="DefaultParagraphFont"/>
    <w:link w:val="FootnoteText"/>
    <w:rsid w:val="00775DC9"/>
  </w:style>
  <w:style w:type="character" w:styleId="FootnoteReference">
    <w:name w:val="footnote reference"/>
    <w:basedOn w:val="DefaultParagraphFont"/>
    <w:rsid w:val="00775DC9"/>
    <w:rPr>
      <w:vertAlign w:val="superscript"/>
    </w:rPr>
  </w:style>
  <w:style w:type="character" w:customStyle="1" w:styleId="Heading5Char">
    <w:name w:val="Heading 5 Char"/>
    <w:basedOn w:val="DefaultParagraphFont"/>
    <w:link w:val="Heading5"/>
    <w:rsid w:val="0060663D"/>
    <w:rPr>
      <w:rFonts w:ascii="Arial" w:hAnsi="Arial"/>
      <w:b/>
    </w:rPr>
  </w:style>
  <w:style w:type="character" w:customStyle="1" w:styleId="BodyTextIndentChar">
    <w:name w:val="Body Text Indent Char"/>
    <w:basedOn w:val="DefaultParagraphFont"/>
    <w:link w:val="BodyTextIndent"/>
    <w:rsid w:val="0060663D"/>
    <w:rPr>
      <w:rFonts w:ascii="Arial" w:hAnsi="Arial"/>
      <w:sz w:val="24"/>
    </w:rPr>
  </w:style>
  <w:style w:type="character" w:customStyle="1" w:styleId="BodyText2Char">
    <w:name w:val="Body Text 2 Char"/>
    <w:basedOn w:val="DefaultParagraphFont"/>
    <w:link w:val="BodyText2"/>
    <w:rsid w:val="0060663D"/>
    <w:rPr>
      <w:rFonts w:ascii="Arial" w:hAnsi="Arial"/>
      <w:sz w:val="24"/>
    </w:rPr>
  </w:style>
  <w:style w:type="character" w:customStyle="1" w:styleId="BodyTextIndent2Char">
    <w:name w:val="Body Text Indent 2 Char"/>
    <w:basedOn w:val="DefaultParagraphFont"/>
    <w:link w:val="BodyTextIndent2"/>
    <w:rsid w:val="0060663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9008">
      <w:bodyDiv w:val="1"/>
      <w:marLeft w:val="0"/>
      <w:marRight w:val="0"/>
      <w:marTop w:val="0"/>
      <w:marBottom w:val="0"/>
      <w:divBdr>
        <w:top w:val="none" w:sz="0" w:space="0" w:color="auto"/>
        <w:left w:val="none" w:sz="0" w:space="0" w:color="auto"/>
        <w:bottom w:val="none" w:sz="0" w:space="0" w:color="auto"/>
        <w:right w:val="none" w:sz="0" w:space="0" w:color="auto"/>
      </w:divBdr>
    </w:div>
    <w:div w:id="844903513">
      <w:bodyDiv w:val="1"/>
      <w:marLeft w:val="0"/>
      <w:marRight w:val="0"/>
      <w:marTop w:val="0"/>
      <w:marBottom w:val="0"/>
      <w:divBdr>
        <w:top w:val="none" w:sz="0" w:space="0" w:color="auto"/>
        <w:left w:val="none" w:sz="0" w:space="0" w:color="auto"/>
        <w:bottom w:val="none" w:sz="0" w:space="0" w:color="auto"/>
        <w:right w:val="none" w:sz="0" w:space="0" w:color="auto"/>
      </w:divBdr>
    </w:div>
    <w:div w:id="1042943746">
      <w:bodyDiv w:val="1"/>
      <w:marLeft w:val="0"/>
      <w:marRight w:val="0"/>
      <w:marTop w:val="0"/>
      <w:marBottom w:val="0"/>
      <w:divBdr>
        <w:top w:val="none" w:sz="0" w:space="0" w:color="auto"/>
        <w:left w:val="none" w:sz="0" w:space="0" w:color="auto"/>
        <w:bottom w:val="none" w:sz="0" w:space="0" w:color="auto"/>
        <w:right w:val="none" w:sz="0" w:space="0" w:color="auto"/>
      </w:divBdr>
    </w:div>
    <w:div w:id="1073314413">
      <w:bodyDiv w:val="1"/>
      <w:marLeft w:val="0"/>
      <w:marRight w:val="0"/>
      <w:marTop w:val="0"/>
      <w:marBottom w:val="0"/>
      <w:divBdr>
        <w:top w:val="none" w:sz="0" w:space="0" w:color="auto"/>
        <w:left w:val="none" w:sz="0" w:space="0" w:color="auto"/>
        <w:bottom w:val="none" w:sz="0" w:space="0" w:color="auto"/>
        <w:right w:val="none" w:sz="0" w:space="0" w:color="auto"/>
      </w:divBdr>
    </w:div>
    <w:div w:id="1345130111">
      <w:bodyDiv w:val="1"/>
      <w:marLeft w:val="0"/>
      <w:marRight w:val="0"/>
      <w:marTop w:val="0"/>
      <w:marBottom w:val="0"/>
      <w:divBdr>
        <w:top w:val="none" w:sz="0" w:space="0" w:color="auto"/>
        <w:left w:val="none" w:sz="0" w:space="0" w:color="auto"/>
        <w:bottom w:val="none" w:sz="0" w:space="0" w:color="auto"/>
        <w:right w:val="none" w:sz="0" w:space="0" w:color="auto"/>
      </w:divBdr>
    </w:div>
    <w:div w:id="19384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sec.doc.gov/opog/PrivacyAct/SORNs/pat-tm-7.html" TargetMode="External"/><Relationship Id="rId18" Type="http://schemas.openxmlformats.org/officeDocument/2006/relationships/hyperlink" Target="https://www.uspto.gov/learning-and-resources/official-gazet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regulations.gov/document?D=PTO_FRDOC_0001-0937" TargetMode="External"/><Relationship Id="rId17"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_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2017/may/oes231011.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7/may/oes431011.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0/DCB_h.pdf" TargetMode="External"/><Relationship Id="rId2" Type="http://schemas.openxmlformats.org/officeDocument/2006/relationships/hyperlink" Target="https://www.bls.gov/oes/2017/may/oes231011.htm" TargetMode="External"/><Relationship Id="rId1" Type="http://schemas.openxmlformats.org/officeDocument/2006/relationships/hyperlink" Target="https://www.bls.gov/oes/2017/may/oes431011.htm" TargetMode="External"/><Relationship Id="rId4"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D50F-7BBD-4561-BC20-FC889557B9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E4578BE8-A860-4360-AFB2-34CB5C53F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97DA6-A851-4679-AD83-ABB36E2B4072}">
  <ds:schemaRefs>
    <ds:schemaRef ds:uri="http://schemas.microsoft.com/sharepoint/v3/contenttype/forms"/>
  </ds:schemaRefs>
</ds:datastoreItem>
</file>

<file path=customXml/itemProps4.xml><?xml version="1.0" encoding="utf-8"?>
<ds:datastoreItem xmlns:ds="http://schemas.openxmlformats.org/officeDocument/2006/customXml" ds:itemID="{A8A38F9A-4D54-4A39-85A4-26D3FFC9A41C}">
  <ds:schemaRefs>
    <ds:schemaRef ds:uri="http://schemas.microsoft.com/office/2006/metadata/longProperties"/>
  </ds:schemaRefs>
</ds:datastoreItem>
</file>

<file path=customXml/itemProps5.xml><?xml version="1.0" encoding="utf-8"?>
<ds:datastoreItem xmlns:ds="http://schemas.openxmlformats.org/officeDocument/2006/customXml" ds:itemID="{81739E09-A297-4DEA-A33E-D0D2D694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4716</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subject/>
  <dc:creator>Galaxy Scientific Corporation</dc:creator>
  <cp:keywords/>
  <cp:lastModifiedBy>Hardy, Kimberly</cp:lastModifiedBy>
  <cp:revision>4</cp:revision>
  <cp:lastPrinted>2020-01-31T15:23:00Z</cp:lastPrinted>
  <dcterms:created xsi:type="dcterms:W3CDTF">2020-01-31T16:07:00Z</dcterms:created>
  <dcterms:modified xsi:type="dcterms:W3CDTF">2020-01-31T17:23:00Z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Tamayo, Raul</vt:lpwstr>
  </property>
  <property fmtid="{D5CDD505-2E9C-101B-9397-08002B2CF9AE}" pid="4" name="ContentTypeId">
    <vt:lpwstr>0x010100F24456AF1700B74AA0CEDDAFE8B89B18</vt:lpwstr>
  </property>
</Properties>
</file>