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rPr>
        <w:id w:val="1232351027"/>
        <w:docPartObj>
          <w:docPartGallery w:val="Cover Pages"/>
          <w:docPartUnique/>
        </w:docPartObj>
      </w:sdtPr>
      <w:sdtEndPr/>
      <w:sdtContent>
        <w:p w:rsidRPr="009A5895" w:rsidR="002F03D6" w:rsidRDefault="002F03D6" w14:paraId="5D303CA4" w14:textId="77777777">
          <w:pPr>
            <w:rPr>
              <w:rFonts w:asciiTheme="minorHAnsi" w:hAnsiTheme="minorHAnsi"/>
            </w:rPr>
          </w:pPr>
        </w:p>
        <w:tbl>
          <w:tblPr>
            <w:tblpPr w:leftFromText="187" w:rightFromText="187" w:horzAnchor="margin" w:tblpXSpec="center" w:tblpY="2881"/>
            <w:tblW w:w="3955" w:type="pct"/>
            <w:tblBorders>
              <w:left w:val="single" w:color="4F81BD" w:themeColor="accent1" w:sz="12" w:space="0"/>
            </w:tblBorders>
            <w:tblCellMar>
              <w:left w:w="144" w:type="dxa"/>
              <w:right w:w="115" w:type="dxa"/>
            </w:tblCellMar>
            <w:tblLook w:val="04A0" w:firstRow="1" w:lastRow="0" w:firstColumn="1" w:lastColumn="0" w:noHBand="0" w:noVBand="1"/>
          </w:tblPr>
          <w:tblGrid>
            <w:gridCol w:w="7961"/>
          </w:tblGrid>
          <w:tr w:rsidRPr="009A5895" w:rsidR="002F03D6" w:rsidTr="007012A7" w14:paraId="11ACA86F" w14:textId="77777777">
            <w:trPr>
              <w:trHeight w:val="439"/>
            </w:trPr>
            <w:tc>
              <w:tcPr>
                <w:tcW w:w="7962" w:type="dxa"/>
                <w:tcMar>
                  <w:top w:w="216" w:type="dxa"/>
                  <w:left w:w="115" w:type="dxa"/>
                  <w:bottom w:w="216" w:type="dxa"/>
                  <w:right w:w="115" w:type="dxa"/>
                </w:tcMar>
              </w:tcPr>
              <w:p w:rsidRPr="009A5895" w:rsidR="002F03D6" w:rsidP="00A17B6F" w:rsidRDefault="002F03D6" w14:paraId="1E933D8A" w14:textId="432944CA">
                <w:pPr>
                  <w:pStyle w:val="NoSpacing"/>
                  <w:rPr>
                    <w:color w:val="365F91" w:themeColor="accent1" w:themeShade="BF"/>
                  </w:rPr>
                </w:pPr>
              </w:p>
            </w:tc>
          </w:tr>
          <w:tr w:rsidRPr="009A5895" w:rsidR="002F03D6" w:rsidTr="007012A7" w14:paraId="007F2DD9" w14:textId="77777777">
            <w:trPr>
              <w:trHeight w:val="948"/>
            </w:trPr>
            <w:tc>
              <w:tcPr>
                <w:tcW w:w="7962" w:type="dxa"/>
              </w:tcPr>
              <w:sdt>
                <w:sdtPr>
                  <w:rPr>
                    <w:rFonts w:eastAsiaTheme="majorEastAsia" w:cstheme="majorBidi"/>
                    <w:b/>
                    <w:color w:val="4F81BD" w:themeColor="accent1"/>
                    <w:sz w:val="28"/>
                  </w:rPr>
                  <w:alias w:val="Title"/>
                  <w:id w:val="13406919"/>
                  <w:placeholder>
                    <w:docPart w:val="327B627405014E67A7981B5420C41BF3"/>
                  </w:placeholder>
                  <w:dataBinding w:prefixMappings="xmlns:ns0='http://schemas.openxmlformats.org/package/2006/metadata/core-properties' xmlns:ns1='http://purl.org/dc/elements/1.1/'" w:xpath="/ns0:coreProperties[1]/ns1:title[1]" w:storeItemID="{6C3C8BC8-F283-45AE-878A-BAB7291924A1}"/>
                  <w:text/>
                </w:sdtPr>
                <w:sdtEndPr/>
                <w:sdtContent>
                  <w:p w:rsidRPr="009A5895" w:rsidR="002F03D6" w:rsidP="002F03D6" w:rsidRDefault="0000671A" w14:paraId="27C660E0" w14:textId="022BB693">
                    <w:pPr>
                      <w:pStyle w:val="NoSpacing"/>
                      <w:spacing w:line="216" w:lineRule="auto"/>
                      <w:rPr>
                        <w:rFonts w:eastAsiaTheme="majorEastAsia" w:cstheme="majorBidi"/>
                        <w:color w:val="4F81BD" w:themeColor="accent1"/>
                      </w:rPr>
                    </w:pPr>
                    <w:r>
                      <w:rPr>
                        <w:rFonts w:eastAsiaTheme="majorEastAsia" w:cstheme="majorBidi"/>
                        <w:b/>
                        <w:color w:val="4F81BD" w:themeColor="accent1"/>
                        <w:sz w:val="28"/>
                      </w:rPr>
                      <w:t>Ideation Catalyst (I-Catalyst) Program and Customer Engagement Information Collection</w:t>
                    </w:r>
                  </w:p>
                </w:sdtContent>
              </w:sdt>
            </w:tc>
          </w:tr>
          <w:tr w:rsidRPr="009A5895" w:rsidR="002F03D6" w:rsidTr="007012A7" w14:paraId="098510EC" w14:textId="77777777">
            <w:trPr>
              <w:trHeight w:val="416"/>
            </w:trPr>
            <w:sdt>
              <w:sdtPr>
                <w:rPr>
                  <w:color w:val="365F91" w:themeColor="accent1" w:themeShade="BF"/>
                </w:rPr>
                <w:alias w:val="Subtitle"/>
                <w:id w:val="13406923"/>
                <w:placeholder>
                  <w:docPart w:val="F3C8A0BFBA134057A8FBAD54042C850E"/>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2" w:type="dxa"/>
                    <w:tcMar>
                      <w:top w:w="216" w:type="dxa"/>
                      <w:left w:w="115" w:type="dxa"/>
                      <w:bottom w:w="216" w:type="dxa"/>
                      <w:right w:w="115" w:type="dxa"/>
                    </w:tcMar>
                  </w:tcPr>
                  <w:p w:rsidRPr="009A5895" w:rsidR="002F03D6" w:rsidP="002F03D6" w:rsidRDefault="00DB607B" w14:paraId="2A0E815A" w14:textId="42A3ECEA">
                    <w:pPr>
                      <w:pStyle w:val="NoSpacing"/>
                      <w:rPr>
                        <w:color w:val="365F91" w:themeColor="accent1" w:themeShade="BF"/>
                      </w:rPr>
                    </w:pPr>
                    <w:r>
                      <w:rPr>
                        <w:color w:val="365F91" w:themeColor="accent1" w:themeShade="BF"/>
                      </w:rPr>
                      <w:t>OMB No. 0920-1158</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76"/>
          </w:tblGrid>
          <w:tr w:rsidRPr="009A5895" w:rsidR="002F03D6" w:rsidTr="007012A7" w14:paraId="4F6E5B21" w14:textId="77777777">
            <w:tc>
              <w:tcPr>
                <w:tcW w:w="7776" w:type="dxa"/>
                <w:tcMar>
                  <w:top w:w="216" w:type="dxa"/>
                  <w:left w:w="115" w:type="dxa"/>
                  <w:bottom w:w="216" w:type="dxa"/>
                  <w:right w:w="115" w:type="dxa"/>
                </w:tcMar>
              </w:tcPr>
              <w:p w:rsidR="007012A7" w:rsidP="00A17B6F" w:rsidRDefault="005540F8" w14:paraId="05AAA104" w14:textId="135D8FCE">
                <w:pPr>
                  <w:rPr>
                    <w:color w:val="44546A"/>
                  </w:rPr>
                </w:pPr>
                <w:r>
                  <w:rPr>
                    <w:color w:val="44546A"/>
                  </w:rPr>
                  <w:t>January 1</w:t>
                </w:r>
                <w:r w:rsidR="0073157C">
                  <w:rPr>
                    <w:color w:val="44546A"/>
                  </w:rPr>
                  <w:t>4</w:t>
                </w:r>
                <w:r>
                  <w:rPr>
                    <w:color w:val="44546A"/>
                  </w:rPr>
                  <w:t>, 2020</w:t>
                </w:r>
              </w:p>
              <w:p w:rsidR="007012A7" w:rsidP="00A17B6F" w:rsidRDefault="007012A7" w14:paraId="70BE3CAD" w14:textId="77777777">
                <w:pPr>
                  <w:rPr>
                    <w:color w:val="44546A"/>
                  </w:rPr>
                </w:pPr>
              </w:p>
              <w:p w:rsidR="00A17B6F" w:rsidP="00A17B6F" w:rsidRDefault="00A17B6F" w14:paraId="57684F0B" w14:textId="7DEFB9F7">
                <w:pPr>
                  <w:rPr>
                    <w:color w:val="44546A"/>
                  </w:rPr>
                </w:pPr>
                <w:r>
                  <w:rPr>
                    <w:color w:val="44546A"/>
                  </w:rPr>
                  <w:t>Juliana K. Cyril, MPH, PhD</w:t>
                </w:r>
              </w:p>
              <w:p w:rsidR="00A17B6F" w:rsidP="00A17B6F" w:rsidRDefault="00A17B6F" w14:paraId="57AD2E7D" w14:textId="77777777">
                <w:pPr>
                  <w:rPr>
                    <w:color w:val="44546A"/>
                  </w:rPr>
                </w:pPr>
                <w:r>
                  <w:rPr>
                    <w:color w:val="44546A"/>
                  </w:rPr>
                  <w:t>Director</w:t>
                </w:r>
              </w:p>
              <w:p w:rsidR="00A17B6F" w:rsidP="00A17B6F" w:rsidRDefault="00A17B6F" w14:paraId="29DD54EB" w14:textId="77777777">
                <w:pPr>
                  <w:rPr>
                    <w:color w:val="44546A"/>
                  </w:rPr>
                </w:pPr>
                <w:r>
                  <w:rPr>
                    <w:color w:val="44546A"/>
                  </w:rPr>
                  <w:t xml:space="preserve">Office of Technology and Innovation </w:t>
                </w:r>
              </w:p>
              <w:p w:rsidR="00A17B6F" w:rsidP="00A17B6F" w:rsidRDefault="00A17B6F" w14:paraId="2B0F773E" w14:textId="753BFDE1">
                <w:pPr>
                  <w:rPr>
                    <w:color w:val="44546A"/>
                  </w:rPr>
                </w:pPr>
                <w:r>
                  <w:rPr>
                    <w:color w:val="44546A"/>
                  </w:rPr>
                  <w:t>Office of Science</w:t>
                </w:r>
              </w:p>
              <w:p w:rsidR="00A17B6F" w:rsidP="00A17B6F" w:rsidRDefault="00A17B6F" w14:paraId="0B5E3E06" w14:textId="77777777">
                <w:pPr>
                  <w:rPr>
                    <w:color w:val="44546A"/>
                  </w:rPr>
                </w:pPr>
                <w:r>
                  <w:rPr>
                    <w:color w:val="44546A"/>
                  </w:rPr>
                  <w:t>Centers for Disease Control and Prevention</w:t>
                </w:r>
              </w:p>
              <w:p w:rsidR="00A17B6F" w:rsidP="00A17B6F" w:rsidRDefault="00A17B6F" w14:paraId="397E1E02" w14:textId="77777777">
                <w:pPr>
                  <w:rPr>
                    <w:color w:val="44546A"/>
                  </w:rPr>
                </w:pPr>
                <w:r>
                  <w:rPr>
                    <w:color w:val="44546A"/>
                  </w:rPr>
                  <w:t>Ph: 404-639-4639</w:t>
                </w:r>
              </w:p>
              <w:p w:rsidR="00A17B6F" w:rsidP="00A17B6F" w:rsidRDefault="00A17B6F" w14:paraId="3652048D" w14:textId="69D4A7FE">
                <w:pPr>
                  <w:rPr>
                    <w:color w:val="44546A"/>
                  </w:rPr>
                </w:pPr>
                <w:r>
                  <w:rPr>
                    <w:color w:val="44546A"/>
                  </w:rPr>
                  <w:t>Fax: 404-639-4903</w:t>
                </w:r>
              </w:p>
              <w:p w:rsidR="007012A7" w:rsidP="00A17B6F" w:rsidRDefault="007012A7" w14:paraId="1E3D9950" w14:textId="08B07E25">
                <w:pPr>
                  <w:rPr>
                    <w:color w:val="44546A"/>
                  </w:rPr>
                </w:pPr>
              </w:p>
              <w:p w:rsidR="00A17B6F" w:rsidP="00A17B6F" w:rsidRDefault="00A17B6F" w14:paraId="28EF2AED" w14:textId="77777777">
                <w:pPr>
                  <w:rPr>
                    <w:color w:val="44546A"/>
                  </w:rPr>
                </w:pPr>
              </w:p>
              <w:p w:rsidR="00A17B6F" w:rsidP="00A17B6F" w:rsidRDefault="00A17B6F" w14:paraId="7A4E8961" w14:textId="77777777">
                <w:pPr>
                  <w:rPr>
                    <w:color w:val="44546A"/>
                  </w:rPr>
                </w:pPr>
              </w:p>
              <w:p w:rsidRPr="009A5895" w:rsidR="007527DE" w:rsidRDefault="007527DE" w14:paraId="277505DB" w14:textId="64D56DF4">
                <w:pPr>
                  <w:pStyle w:val="NoSpacing"/>
                  <w:rPr>
                    <w:color w:val="4F81BD" w:themeColor="accent1"/>
                  </w:rPr>
                </w:pPr>
              </w:p>
            </w:tc>
          </w:tr>
        </w:tbl>
        <w:p w:rsidRPr="009A5895" w:rsidR="002F03D6" w:rsidRDefault="007012A7" w14:paraId="57AAE025" w14:textId="2140D40C">
          <w:pPr>
            <w:spacing w:after="200" w:line="276" w:lineRule="auto"/>
            <w:rPr>
              <w:rFonts w:asciiTheme="minorHAnsi" w:hAnsiTheme="minorHAnsi"/>
            </w:rPr>
          </w:pPr>
          <w:r w:rsidRPr="007012A7">
            <w:rPr>
              <w:rFonts w:eastAsia="Calibri" w:asciiTheme="minorHAnsi" w:hAnsiTheme="minorHAnsi"/>
              <w:noProof/>
              <w:sz w:val="24"/>
            </w:rPr>
            <mc:AlternateContent>
              <mc:Choice Requires="wps">
                <w:drawing>
                  <wp:anchor distT="45720" distB="45720" distL="114300" distR="114300" simplePos="0" relativeHeight="251661312" behindDoc="0" locked="0" layoutInCell="1" allowOverlap="1" wp14:editId="376ACFD2" wp14:anchorId="605E8C53">
                    <wp:simplePos x="0" y="0"/>
                    <wp:positionH relativeFrom="margin">
                      <wp:posOffset>666750</wp:posOffset>
                    </wp:positionH>
                    <wp:positionV relativeFrom="paragraph">
                      <wp:posOffset>3343910</wp:posOffset>
                    </wp:positionV>
                    <wp:extent cx="2390775" cy="52387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23875"/>
                            </a:xfrm>
                            <a:prstGeom prst="rect">
                              <a:avLst/>
                            </a:prstGeom>
                            <a:solidFill>
                              <a:srgbClr val="FFFFFF"/>
                            </a:solidFill>
                            <a:ln w="9525">
                              <a:noFill/>
                              <a:miter lim="800000"/>
                              <a:headEnd/>
                              <a:tailEnd/>
                            </a:ln>
                          </wps:spPr>
                          <wps:txbx>
                            <w:txbxContent>
                              <w:p w:rsidRPr="007012A7" w:rsidR="007012A7" w:rsidP="007012A7" w:rsidRDefault="007012A7" w14:paraId="1DE4ED37" w14:textId="15177D1E">
                                <w:pPr>
                                  <w:rPr>
                                    <w:color w:val="365F91" w:themeColor="accent1" w:themeShade="BF"/>
                                  </w:rPr>
                                </w:pPr>
                                <w:r w:rsidRPr="007012A7">
                                  <w:rPr>
                                    <w:color w:val="365F91" w:themeColor="accent1" w:themeShade="BF"/>
                                  </w:rPr>
                                  <w:t>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5E8C53">
                    <v:stroke joinstyle="miter"/>
                    <v:path gradientshapeok="t" o:connecttype="rect"/>
                  </v:shapetype>
                  <v:shape id="Text Box 2" style="position:absolute;margin-left:52.5pt;margin-top:263.3pt;width:188.25pt;height:4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ILHgIAABsEAAAOAAAAZHJzL2Uyb0RvYy54bWysU9uO2yAQfa/Uf0C8N3a8SZNYcVbbbFNV&#10;2l6k3X4AxjhGBYYCiZ1+/Q44m43at6o8oBmYOZw5M6xvB63IUTgvwVR0OskpEYZDI82+oj+edu+W&#10;lPjATMMUGFHRk/D0dvP2zbq3pSigA9UIRxDE+LK3Fe1CsGWWed4JzfwErDB42YLTLKDr9lnjWI/o&#10;WmVFnr/PenCNdcCF93h6P17STcJvW8HDt7b1IhBVUeQW0u7SXsc926xZuXfMdpKfabB/YKGZNPjo&#10;BeqeBUYOTv4FpSV34KENEw46g7aVXKQasJpp/kc1jx2zItWC4nh7kcn/P1j+9fjdEdlg7ygxTGOL&#10;nsQQyAcYSBHV6a0vMejRYlgY8DhGxkq9fQD+0xMD246ZvbhzDvpOsAbZTWNmdpU64vgIUvdfoMFn&#10;2CFAAhpapyMgikEQHbt0unQmUuF4WNys8sViTgnHu3lxs0Q7PsHKl2zrfPgkQJNoVNRh5xM6Oz74&#10;MIa+hCT2oGSzk0olx+3rrXLkyHBKdmmd0f11mDKkr+hqXswTsoGYj9Cs1DLgFCupK7rM44rprIxq&#10;fDRNsgOTarSRtDJneaIiozZhqAcMjJrV0JxQKAfjtOLvQqMD95uSHie1ov7XgTlBifpsUOzVdDaL&#10;o52c2XxRoOOub+rrG2Y4QlU0UDKa25C+Q+Rr4A6b0sqk1yuTM1ecwKT4+bfEEb/2U9Trn948AwAA&#10;//8DAFBLAwQUAAYACAAAACEAbBdPlt8AAAALAQAADwAAAGRycy9kb3ducmV2LnhtbEyPzU7DMBCE&#10;70i8g7VIXBB1UjVuG+JUgATi2p8H2MRuEhGvo9ht0rdnOcFxNKOZb4rd7HpxtWPoPGlIFwkIS7U3&#10;HTUaTseP5w2IEJEM9p6shpsNsCvv7wrMjZ9ob6+H2AguoZCjhjbGIZcy1K11GBZ+sMTe2Y8OI8ux&#10;kWbEictdL5dJoqTDjnihxcG+t7b+PlychvPX9JRtp+ozntb7lXrDbl35m9aPD/PrC4ho5/gXhl98&#10;RoeSmSp/IRNEzzrJ+EvUkC2VAsGJ1SbNQFQaVLJNQZaF/P+h/AEAAP//AwBQSwECLQAUAAYACAAA&#10;ACEAtoM4kv4AAADhAQAAEwAAAAAAAAAAAAAAAAAAAAAAW0NvbnRlbnRfVHlwZXNdLnhtbFBLAQIt&#10;ABQABgAIAAAAIQA4/SH/1gAAAJQBAAALAAAAAAAAAAAAAAAAAC8BAABfcmVscy8ucmVsc1BLAQIt&#10;ABQABgAIAAAAIQCDAjILHgIAABsEAAAOAAAAAAAAAAAAAAAAAC4CAABkcnMvZTJvRG9jLnhtbFBL&#10;AQItABQABgAIAAAAIQBsF0+W3wAAAAsBAAAPAAAAAAAAAAAAAAAAAHgEAABkcnMvZG93bnJldi54&#10;bWxQSwUGAAAAAAQABADzAAAAhAUAAAAA&#10;">
                    <v:textbox>
                      <w:txbxContent>
                        <w:p w:rsidRPr="007012A7" w:rsidR="007012A7" w:rsidP="007012A7" w:rsidRDefault="007012A7" w14:paraId="1DE4ED37" w14:textId="15177D1E">
                          <w:pPr>
                            <w:rPr>
                              <w:color w:val="365F91" w:themeColor="accent1" w:themeShade="BF"/>
                            </w:rPr>
                          </w:pPr>
                          <w:r w:rsidRPr="007012A7">
                            <w:rPr>
                              <w:color w:val="365F91" w:themeColor="accent1" w:themeShade="BF"/>
                            </w:rPr>
                            <w:t>REVISION</w:t>
                          </w:r>
                        </w:p>
                      </w:txbxContent>
                    </v:textbox>
                    <w10:wrap type="square" anchorx="margin"/>
                  </v:shape>
                </w:pict>
              </mc:Fallback>
            </mc:AlternateContent>
          </w:r>
          <w:r w:rsidRPr="009A5895" w:rsidR="002F03D6">
            <w:rPr>
              <w:rFonts w:asciiTheme="minorHAnsi" w:hAnsiTheme="minorHAnsi"/>
            </w:rPr>
            <w:br w:type="page"/>
          </w:r>
        </w:p>
      </w:sdtContent>
    </w:sdt>
    <w:sdt>
      <w:sdtPr>
        <w:rPr>
          <w:rFonts w:cs="Times New Roman" w:asciiTheme="minorHAnsi" w:hAnsiTheme="minorHAnsi" w:eastAsiaTheme="minorHAnsi"/>
          <w:color w:val="auto"/>
          <w:sz w:val="22"/>
          <w:szCs w:val="22"/>
        </w:rPr>
        <w:id w:val="897554357"/>
        <w:docPartObj>
          <w:docPartGallery w:val="Table of Contents"/>
          <w:docPartUnique/>
        </w:docPartObj>
      </w:sdtPr>
      <w:sdtEndPr>
        <w:rPr>
          <w:b/>
          <w:bCs/>
          <w:noProof/>
        </w:rPr>
      </w:sdtEndPr>
      <w:sdtContent>
        <w:p w:rsidRPr="009A5895" w:rsidR="00DC2CD8" w:rsidRDefault="00DC2CD8" w14:paraId="5165DF81" w14:textId="77777777">
          <w:pPr>
            <w:pStyle w:val="TOCHeading"/>
            <w:rPr>
              <w:rFonts w:asciiTheme="minorHAnsi" w:hAnsiTheme="minorHAnsi"/>
              <w:sz w:val="22"/>
              <w:szCs w:val="22"/>
            </w:rPr>
          </w:pPr>
          <w:r w:rsidRPr="009A5895">
            <w:rPr>
              <w:rFonts w:asciiTheme="minorHAnsi" w:hAnsiTheme="minorHAnsi"/>
              <w:sz w:val="22"/>
              <w:szCs w:val="22"/>
            </w:rPr>
            <w:t>Contents</w:t>
          </w:r>
        </w:p>
        <w:p w:rsidR="00BC1559" w:rsidRDefault="00DC2CD8" w14:paraId="78B20F6D" w14:textId="77777777">
          <w:pPr>
            <w:pStyle w:val="TOC1"/>
            <w:tabs>
              <w:tab w:val="right" w:leader="dot" w:pos="10070"/>
            </w:tabs>
            <w:rPr>
              <w:rFonts w:cstheme="minorBidi"/>
              <w:noProof/>
            </w:rPr>
          </w:pPr>
          <w:r w:rsidRPr="009A5895">
            <w:fldChar w:fldCharType="begin"/>
          </w:r>
          <w:r w:rsidRPr="009A5895">
            <w:instrText xml:space="preserve"> TOC \o "1-3" \h \z \u </w:instrText>
          </w:r>
          <w:r w:rsidRPr="009A5895">
            <w:fldChar w:fldCharType="separate"/>
          </w:r>
          <w:hyperlink w:history="1" w:anchor="_Toc466364029">
            <w:r w:rsidRPr="00984776" w:rsidR="00BC1559">
              <w:rPr>
                <w:rStyle w:val="Hyperlink"/>
                <w:noProof/>
              </w:rPr>
              <w:t>A. Justification</w:t>
            </w:r>
            <w:r w:rsidR="00BC1559">
              <w:rPr>
                <w:noProof/>
                <w:webHidden/>
              </w:rPr>
              <w:tab/>
            </w:r>
            <w:r w:rsidR="00BC1559">
              <w:rPr>
                <w:noProof/>
                <w:webHidden/>
              </w:rPr>
              <w:fldChar w:fldCharType="begin"/>
            </w:r>
            <w:r w:rsidR="00BC1559">
              <w:rPr>
                <w:noProof/>
                <w:webHidden/>
              </w:rPr>
              <w:instrText xml:space="preserve"> PAGEREF _Toc466364029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5B0FBE" w14:paraId="6206CF8B" w14:textId="77777777">
          <w:pPr>
            <w:pStyle w:val="TOC3"/>
            <w:tabs>
              <w:tab w:val="right" w:leader="dot" w:pos="10070"/>
            </w:tabs>
            <w:rPr>
              <w:rFonts w:cstheme="minorBidi"/>
              <w:noProof/>
            </w:rPr>
          </w:pPr>
          <w:hyperlink w:history="1" w:anchor="_Toc466364030">
            <w:r w:rsidRPr="00984776" w:rsidR="00BC1559">
              <w:rPr>
                <w:rStyle w:val="Hyperlink"/>
                <w:noProof/>
              </w:rPr>
              <w:t>1. Circumstances Making the Collection of Information Necessary</w:t>
            </w:r>
            <w:r w:rsidR="00BC1559">
              <w:rPr>
                <w:noProof/>
                <w:webHidden/>
              </w:rPr>
              <w:tab/>
            </w:r>
            <w:r w:rsidR="00BC1559">
              <w:rPr>
                <w:noProof/>
                <w:webHidden/>
              </w:rPr>
              <w:fldChar w:fldCharType="begin"/>
            </w:r>
            <w:r w:rsidR="00BC1559">
              <w:rPr>
                <w:noProof/>
                <w:webHidden/>
              </w:rPr>
              <w:instrText xml:space="preserve"> PAGEREF _Toc466364030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5B0FBE" w14:paraId="3A54E695" w14:textId="77777777">
          <w:pPr>
            <w:pStyle w:val="TOC3"/>
            <w:tabs>
              <w:tab w:val="right" w:leader="dot" w:pos="10070"/>
            </w:tabs>
            <w:rPr>
              <w:rFonts w:cstheme="minorBidi"/>
              <w:noProof/>
            </w:rPr>
          </w:pPr>
          <w:hyperlink w:history="1" w:anchor="_Toc466364031">
            <w:r w:rsidRPr="00984776" w:rsidR="00BC1559">
              <w:rPr>
                <w:rStyle w:val="Hyperlink"/>
                <w:noProof/>
              </w:rPr>
              <w:t>2. Purpose and Use of Information Collection</w:t>
            </w:r>
            <w:r w:rsidR="00BC1559">
              <w:rPr>
                <w:noProof/>
                <w:webHidden/>
              </w:rPr>
              <w:tab/>
            </w:r>
            <w:r w:rsidR="00BC1559">
              <w:rPr>
                <w:noProof/>
                <w:webHidden/>
              </w:rPr>
              <w:fldChar w:fldCharType="begin"/>
            </w:r>
            <w:r w:rsidR="00BC1559">
              <w:rPr>
                <w:noProof/>
                <w:webHidden/>
              </w:rPr>
              <w:instrText xml:space="preserve"> PAGEREF _Toc466364031 \h </w:instrText>
            </w:r>
            <w:r w:rsidR="00BC1559">
              <w:rPr>
                <w:noProof/>
                <w:webHidden/>
              </w:rPr>
            </w:r>
            <w:r w:rsidR="00BC1559">
              <w:rPr>
                <w:noProof/>
                <w:webHidden/>
              </w:rPr>
              <w:fldChar w:fldCharType="separate"/>
            </w:r>
            <w:r w:rsidR="00BC1559">
              <w:rPr>
                <w:noProof/>
                <w:webHidden/>
              </w:rPr>
              <w:t>3</w:t>
            </w:r>
            <w:r w:rsidR="00BC1559">
              <w:rPr>
                <w:noProof/>
                <w:webHidden/>
              </w:rPr>
              <w:fldChar w:fldCharType="end"/>
            </w:r>
          </w:hyperlink>
        </w:p>
        <w:p w:rsidR="00BC1559" w:rsidRDefault="005B0FBE" w14:paraId="661EA8DC" w14:textId="77777777">
          <w:pPr>
            <w:pStyle w:val="TOC3"/>
            <w:tabs>
              <w:tab w:val="right" w:leader="dot" w:pos="10070"/>
            </w:tabs>
            <w:rPr>
              <w:rFonts w:cstheme="minorBidi"/>
              <w:noProof/>
            </w:rPr>
          </w:pPr>
          <w:hyperlink w:history="1" w:anchor="_Toc466364032">
            <w:r w:rsidRPr="00984776" w:rsidR="00BC1559">
              <w:rPr>
                <w:rStyle w:val="Hyperlink"/>
                <w:noProof/>
              </w:rPr>
              <w:t>3. Use of Improved Information Technology and Burden Reduction</w:t>
            </w:r>
            <w:r w:rsidR="00BC1559">
              <w:rPr>
                <w:noProof/>
                <w:webHidden/>
              </w:rPr>
              <w:tab/>
            </w:r>
            <w:r w:rsidR="00BC1559">
              <w:rPr>
                <w:noProof/>
                <w:webHidden/>
              </w:rPr>
              <w:fldChar w:fldCharType="begin"/>
            </w:r>
            <w:r w:rsidR="00BC1559">
              <w:rPr>
                <w:noProof/>
                <w:webHidden/>
              </w:rPr>
              <w:instrText xml:space="preserve"> PAGEREF _Toc466364032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5B0FBE" w14:paraId="4140EBBE" w14:textId="77777777">
          <w:pPr>
            <w:pStyle w:val="TOC3"/>
            <w:tabs>
              <w:tab w:val="right" w:leader="dot" w:pos="10070"/>
            </w:tabs>
            <w:rPr>
              <w:rFonts w:cstheme="minorBidi"/>
              <w:noProof/>
            </w:rPr>
          </w:pPr>
          <w:hyperlink w:history="1" w:anchor="_Toc466364033">
            <w:r w:rsidRPr="00984776" w:rsidR="00BC1559">
              <w:rPr>
                <w:rStyle w:val="Hyperlink"/>
                <w:noProof/>
              </w:rPr>
              <w:t>4. Efforts to Identify Duplication and Use of Similar Information</w:t>
            </w:r>
            <w:r w:rsidR="00BC1559">
              <w:rPr>
                <w:noProof/>
                <w:webHidden/>
              </w:rPr>
              <w:tab/>
            </w:r>
            <w:r w:rsidR="00BC1559">
              <w:rPr>
                <w:noProof/>
                <w:webHidden/>
              </w:rPr>
              <w:fldChar w:fldCharType="begin"/>
            </w:r>
            <w:r w:rsidR="00BC1559">
              <w:rPr>
                <w:noProof/>
                <w:webHidden/>
              </w:rPr>
              <w:instrText xml:space="preserve"> PAGEREF _Toc466364033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5B0FBE" w14:paraId="72A0C079" w14:textId="77777777">
          <w:pPr>
            <w:pStyle w:val="TOC3"/>
            <w:tabs>
              <w:tab w:val="right" w:leader="dot" w:pos="10070"/>
            </w:tabs>
            <w:rPr>
              <w:rFonts w:cstheme="minorBidi"/>
              <w:noProof/>
            </w:rPr>
          </w:pPr>
          <w:hyperlink w:history="1" w:anchor="_Toc466364034">
            <w:r w:rsidRPr="00984776" w:rsidR="00BC1559">
              <w:rPr>
                <w:rStyle w:val="Hyperlink"/>
                <w:noProof/>
              </w:rPr>
              <w:t>5. Impact on Small Businesses or Other Small Entities</w:t>
            </w:r>
            <w:r w:rsidR="00BC1559">
              <w:rPr>
                <w:noProof/>
                <w:webHidden/>
              </w:rPr>
              <w:tab/>
            </w:r>
            <w:r w:rsidR="00BC1559">
              <w:rPr>
                <w:noProof/>
                <w:webHidden/>
              </w:rPr>
              <w:fldChar w:fldCharType="begin"/>
            </w:r>
            <w:r w:rsidR="00BC1559">
              <w:rPr>
                <w:noProof/>
                <w:webHidden/>
              </w:rPr>
              <w:instrText xml:space="preserve"> PAGEREF _Toc466364034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5B0FBE" w14:paraId="1C04C3BE" w14:textId="77777777">
          <w:pPr>
            <w:pStyle w:val="TOC3"/>
            <w:tabs>
              <w:tab w:val="right" w:leader="dot" w:pos="10070"/>
            </w:tabs>
            <w:rPr>
              <w:rFonts w:cstheme="minorBidi"/>
              <w:noProof/>
            </w:rPr>
          </w:pPr>
          <w:hyperlink w:history="1" w:anchor="_Toc466364035">
            <w:r w:rsidRPr="00984776" w:rsidR="00BC1559">
              <w:rPr>
                <w:rStyle w:val="Hyperlink"/>
                <w:noProof/>
              </w:rPr>
              <w:t>6. Consequences of Collecting the Information Less Frequently</w:t>
            </w:r>
            <w:r w:rsidR="00BC1559">
              <w:rPr>
                <w:noProof/>
                <w:webHidden/>
              </w:rPr>
              <w:tab/>
            </w:r>
            <w:r w:rsidR="00BC1559">
              <w:rPr>
                <w:noProof/>
                <w:webHidden/>
              </w:rPr>
              <w:fldChar w:fldCharType="begin"/>
            </w:r>
            <w:r w:rsidR="00BC1559">
              <w:rPr>
                <w:noProof/>
                <w:webHidden/>
              </w:rPr>
              <w:instrText xml:space="preserve"> PAGEREF _Toc466364035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5B0FBE" w14:paraId="7DD60525" w14:textId="77777777">
          <w:pPr>
            <w:pStyle w:val="TOC3"/>
            <w:tabs>
              <w:tab w:val="right" w:leader="dot" w:pos="10070"/>
            </w:tabs>
            <w:rPr>
              <w:rFonts w:cstheme="minorBidi"/>
              <w:noProof/>
            </w:rPr>
          </w:pPr>
          <w:hyperlink w:history="1" w:anchor="_Toc466364036">
            <w:r w:rsidRPr="00984776" w:rsidR="00BC1559">
              <w:rPr>
                <w:rStyle w:val="Hyperlink"/>
                <w:noProof/>
              </w:rPr>
              <w:t>7. Special Circumstances Relating to the Guidelines of 5 CFR 1320.5</w:t>
            </w:r>
            <w:r w:rsidR="00BC1559">
              <w:rPr>
                <w:noProof/>
                <w:webHidden/>
              </w:rPr>
              <w:tab/>
            </w:r>
            <w:r w:rsidR="00BC1559">
              <w:rPr>
                <w:noProof/>
                <w:webHidden/>
              </w:rPr>
              <w:fldChar w:fldCharType="begin"/>
            </w:r>
            <w:r w:rsidR="00BC1559">
              <w:rPr>
                <w:noProof/>
                <w:webHidden/>
              </w:rPr>
              <w:instrText xml:space="preserve"> PAGEREF _Toc466364036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5B0FBE" w14:paraId="16905454" w14:textId="77777777">
          <w:pPr>
            <w:pStyle w:val="TOC3"/>
            <w:tabs>
              <w:tab w:val="right" w:leader="dot" w:pos="10070"/>
            </w:tabs>
            <w:rPr>
              <w:rFonts w:cstheme="minorBidi"/>
              <w:noProof/>
            </w:rPr>
          </w:pPr>
          <w:hyperlink w:history="1" w:anchor="_Toc466364037">
            <w:r w:rsidRPr="00984776" w:rsidR="00BC1559">
              <w:rPr>
                <w:rStyle w:val="Hyperlink"/>
                <w:noProof/>
              </w:rPr>
              <w:t>8. Comments in Response to the Federal Register Notice and Efforts to Consult Outside the Agency</w:t>
            </w:r>
            <w:r w:rsidR="00BC1559">
              <w:rPr>
                <w:noProof/>
                <w:webHidden/>
              </w:rPr>
              <w:tab/>
            </w:r>
            <w:r w:rsidR="00BC1559">
              <w:rPr>
                <w:noProof/>
                <w:webHidden/>
              </w:rPr>
              <w:fldChar w:fldCharType="begin"/>
            </w:r>
            <w:r w:rsidR="00BC1559">
              <w:rPr>
                <w:noProof/>
                <w:webHidden/>
              </w:rPr>
              <w:instrText xml:space="preserve"> PAGEREF _Toc466364037 \h </w:instrText>
            </w:r>
            <w:r w:rsidR="00BC1559">
              <w:rPr>
                <w:noProof/>
                <w:webHidden/>
              </w:rPr>
            </w:r>
            <w:r w:rsidR="00BC1559">
              <w:rPr>
                <w:noProof/>
                <w:webHidden/>
              </w:rPr>
              <w:fldChar w:fldCharType="separate"/>
            </w:r>
            <w:r w:rsidR="00BC1559">
              <w:rPr>
                <w:noProof/>
                <w:webHidden/>
              </w:rPr>
              <w:t>4</w:t>
            </w:r>
            <w:r w:rsidR="00BC1559">
              <w:rPr>
                <w:noProof/>
                <w:webHidden/>
              </w:rPr>
              <w:fldChar w:fldCharType="end"/>
            </w:r>
          </w:hyperlink>
        </w:p>
        <w:p w:rsidR="00BC1559" w:rsidRDefault="005B0FBE" w14:paraId="39FFE5F8" w14:textId="77777777">
          <w:pPr>
            <w:pStyle w:val="TOC3"/>
            <w:tabs>
              <w:tab w:val="right" w:leader="dot" w:pos="10070"/>
            </w:tabs>
            <w:rPr>
              <w:rFonts w:cstheme="minorBidi"/>
              <w:noProof/>
            </w:rPr>
          </w:pPr>
          <w:hyperlink w:history="1" w:anchor="_Toc466364038">
            <w:r w:rsidRPr="00984776" w:rsidR="00BC1559">
              <w:rPr>
                <w:rStyle w:val="Hyperlink"/>
                <w:noProof/>
              </w:rPr>
              <w:t>9. Explanation of Any Payment or Gift to Respondents</w:t>
            </w:r>
            <w:r w:rsidR="00BC1559">
              <w:rPr>
                <w:noProof/>
                <w:webHidden/>
              </w:rPr>
              <w:tab/>
            </w:r>
            <w:r w:rsidR="00BC1559">
              <w:rPr>
                <w:noProof/>
                <w:webHidden/>
              </w:rPr>
              <w:fldChar w:fldCharType="begin"/>
            </w:r>
            <w:r w:rsidR="00BC1559">
              <w:rPr>
                <w:noProof/>
                <w:webHidden/>
              </w:rPr>
              <w:instrText xml:space="preserve"> PAGEREF _Toc466364038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5B0FBE" w14:paraId="29263190" w14:textId="77777777">
          <w:pPr>
            <w:pStyle w:val="TOC3"/>
            <w:tabs>
              <w:tab w:val="right" w:leader="dot" w:pos="10070"/>
            </w:tabs>
            <w:rPr>
              <w:rFonts w:cstheme="minorBidi"/>
              <w:noProof/>
            </w:rPr>
          </w:pPr>
          <w:hyperlink w:history="1" w:anchor="_Toc466364039">
            <w:r w:rsidRPr="00984776" w:rsidR="00BC1559">
              <w:rPr>
                <w:rStyle w:val="Hyperlink"/>
                <w:noProof/>
              </w:rPr>
              <w:t>10. Assurance of Confidentiality Provided to Respondents</w:t>
            </w:r>
            <w:r w:rsidR="00BC1559">
              <w:rPr>
                <w:noProof/>
                <w:webHidden/>
              </w:rPr>
              <w:tab/>
            </w:r>
            <w:r w:rsidR="00BC1559">
              <w:rPr>
                <w:noProof/>
                <w:webHidden/>
              </w:rPr>
              <w:fldChar w:fldCharType="begin"/>
            </w:r>
            <w:r w:rsidR="00BC1559">
              <w:rPr>
                <w:noProof/>
                <w:webHidden/>
              </w:rPr>
              <w:instrText xml:space="preserve"> PAGEREF _Toc466364039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5B0FBE" w14:paraId="39482C51" w14:textId="77777777">
          <w:pPr>
            <w:pStyle w:val="TOC3"/>
            <w:tabs>
              <w:tab w:val="right" w:leader="dot" w:pos="10070"/>
            </w:tabs>
            <w:rPr>
              <w:rFonts w:cstheme="minorBidi"/>
              <w:noProof/>
            </w:rPr>
          </w:pPr>
          <w:hyperlink w:history="1" w:anchor="_Toc466364040">
            <w:r w:rsidRPr="00984776" w:rsidR="00BC1559">
              <w:rPr>
                <w:rStyle w:val="Hyperlink"/>
                <w:noProof/>
              </w:rPr>
              <w:t>11. Justification for Sensitive Questions</w:t>
            </w:r>
            <w:r w:rsidR="00BC1559">
              <w:rPr>
                <w:noProof/>
                <w:webHidden/>
              </w:rPr>
              <w:tab/>
            </w:r>
            <w:r w:rsidR="00BC1559">
              <w:rPr>
                <w:noProof/>
                <w:webHidden/>
              </w:rPr>
              <w:fldChar w:fldCharType="begin"/>
            </w:r>
            <w:r w:rsidR="00BC1559">
              <w:rPr>
                <w:noProof/>
                <w:webHidden/>
              </w:rPr>
              <w:instrText xml:space="preserve"> PAGEREF _Toc466364040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5B0FBE" w14:paraId="20D8F273" w14:textId="77777777">
          <w:pPr>
            <w:pStyle w:val="TOC3"/>
            <w:tabs>
              <w:tab w:val="right" w:leader="dot" w:pos="10070"/>
            </w:tabs>
            <w:rPr>
              <w:rFonts w:cstheme="minorBidi"/>
              <w:noProof/>
            </w:rPr>
          </w:pPr>
          <w:hyperlink w:history="1" w:anchor="_Toc466364041">
            <w:r w:rsidRPr="00984776" w:rsidR="00BC1559">
              <w:rPr>
                <w:rStyle w:val="Hyperlink"/>
                <w:noProof/>
              </w:rPr>
              <w:t>12. Estimates of Annualized Burden Hours and Costs</w:t>
            </w:r>
            <w:r w:rsidR="00BC1559">
              <w:rPr>
                <w:noProof/>
                <w:webHidden/>
              </w:rPr>
              <w:tab/>
            </w:r>
            <w:r w:rsidR="00BC1559">
              <w:rPr>
                <w:noProof/>
                <w:webHidden/>
              </w:rPr>
              <w:fldChar w:fldCharType="begin"/>
            </w:r>
            <w:r w:rsidR="00BC1559">
              <w:rPr>
                <w:noProof/>
                <w:webHidden/>
              </w:rPr>
              <w:instrText xml:space="preserve"> PAGEREF _Toc466364041 \h </w:instrText>
            </w:r>
            <w:r w:rsidR="00BC1559">
              <w:rPr>
                <w:noProof/>
                <w:webHidden/>
              </w:rPr>
            </w:r>
            <w:r w:rsidR="00BC1559">
              <w:rPr>
                <w:noProof/>
                <w:webHidden/>
              </w:rPr>
              <w:fldChar w:fldCharType="separate"/>
            </w:r>
            <w:r w:rsidR="00BC1559">
              <w:rPr>
                <w:noProof/>
                <w:webHidden/>
              </w:rPr>
              <w:t>5</w:t>
            </w:r>
            <w:r w:rsidR="00BC1559">
              <w:rPr>
                <w:noProof/>
                <w:webHidden/>
              </w:rPr>
              <w:fldChar w:fldCharType="end"/>
            </w:r>
          </w:hyperlink>
        </w:p>
        <w:p w:rsidR="00BC1559" w:rsidRDefault="005B0FBE" w14:paraId="3DD9E325" w14:textId="77777777">
          <w:pPr>
            <w:pStyle w:val="TOC3"/>
            <w:tabs>
              <w:tab w:val="right" w:leader="dot" w:pos="10070"/>
            </w:tabs>
            <w:rPr>
              <w:rFonts w:cstheme="minorBidi"/>
              <w:noProof/>
            </w:rPr>
          </w:pPr>
          <w:hyperlink w:history="1" w:anchor="_Toc466364042">
            <w:r w:rsidRPr="00984776" w:rsidR="00BC1559">
              <w:rPr>
                <w:rStyle w:val="Hyperlink"/>
                <w:noProof/>
              </w:rPr>
              <w:t>13. Estimates of Other Total Annual Cost Burden to Respondents or Record Keepers</w:t>
            </w:r>
            <w:r w:rsidR="00BC1559">
              <w:rPr>
                <w:noProof/>
                <w:webHidden/>
              </w:rPr>
              <w:tab/>
            </w:r>
            <w:r w:rsidR="00BC1559">
              <w:rPr>
                <w:noProof/>
                <w:webHidden/>
              </w:rPr>
              <w:fldChar w:fldCharType="begin"/>
            </w:r>
            <w:r w:rsidR="00BC1559">
              <w:rPr>
                <w:noProof/>
                <w:webHidden/>
              </w:rPr>
              <w:instrText xml:space="preserve"> PAGEREF _Toc466364042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5B0FBE" w14:paraId="6AEBD336" w14:textId="77777777">
          <w:pPr>
            <w:pStyle w:val="TOC3"/>
            <w:tabs>
              <w:tab w:val="right" w:leader="dot" w:pos="10070"/>
            </w:tabs>
            <w:rPr>
              <w:rFonts w:cstheme="minorBidi"/>
              <w:noProof/>
            </w:rPr>
          </w:pPr>
          <w:hyperlink w:history="1" w:anchor="_Toc466364043">
            <w:r w:rsidRPr="00984776" w:rsidR="00BC1559">
              <w:rPr>
                <w:rStyle w:val="Hyperlink"/>
                <w:noProof/>
              </w:rPr>
              <w:t>14. Annualized Cost to the Government</w:t>
            </w:r>
            <w:r w:rsidR="00BC1559">
              <w:rPr>
                <w:noProof/>
                <w:webHidden/>
              </w:rPr>
              <w:tab/>
            </w:r>
            <w:r w:rsidR="00BC1559">
              <w:rPr>
                <w:noProof/>
                <w:webHidden/>
              </w:rPr>
              <w:fldChar w:fldCharType="begin"/>
            </w:r>
            <w:r w:rsidR="00BC1559">
              <w:rPr>
                <w:noProof/>
                <w:webHidden/>
              </w:rPr>
              <w:instrText xml:space="preserve"> PAGEREF _Toc466364043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5B0FBE" w14:paraId="7412B779" w14:textId="77777777">
          <w:pPr>
            <w:pStyle w:val="TOC3"/>
            <w:tabs>
              <w:tab w:val="right" w:leader="dot" w:pos="10070"/>
            </w:tabs>
            <w:rPr>
              <w:rFonts w:cstheme="minorBidi"/>
              <w:noProof/>
            </w:rPr>
          </w:pPr>
          <w:hyperlink w:history="1" w:anchor="_Toc466364044">
            <w:r w:rsidRPr="00984776" w:rsidR="00BC1559">
              <w:rPr>
                <w:rStyle w:val="Hyperlink"/>
                <w:noProof/>
              </w:rPr>
              <w:t>15. Explanation for Program Changes or Adjustments</w:t>
            </w:r>
            <w:r w:rsidR="00BC1559">
              <w:rPr>
                <w:noProof/>
                <w:webHidden/>
              </w:rPr>
              <w:tab/>
            </w:r>
            <w:r w:rsidR="00BC1559">
              <w:rPr>
                <w:noProof/>
                <w:webHidden/>
              </w:rPr>
              <w:fldChar w:fldCharType="begin"/>
            </w:r>
            <w:r w:rsidR="00BC1559">
              <w:rPr>
                <w:noProof/>
                <w:webHidden/>
              </w:rPr>
              <w:instrText xml:space="preserve"> PAGEREF _Toc466364044 \h </w:instrText>
            </w:r>
            <w:r w:rsidR="00BC1559">
              <w:rPr>
                <w:noProof/>
                <w:webHidden/>
              </w:rPr>
            </w:r>
            <w:r w:rsidR="00BC1559">
              <w:rPr>
                <w:noProof/>
                <w:webHidden/>
              </w:rPr>
              <w:fldChar w:fldCharType="separate"/>
            </w:r>
            <w:r w:rsidR="00BC1559">
              <w:rPr>
                <w:noProof/>
                <w:webHidden/>
              </w:rPr>
              <w:t>6</w:t>
            </w:r>
            <w:r w:rsidR="00BC1559">
              <w:rPr>
                <w:noProof/>
                <w:webHidden/>
              </w:rPr>
              <w:fldChar w:fldCharType="end"/>
            </w:r>
          </w:hyperlink>
        </w:p>
        <w:p w:rsidR="00BC1559" w:rsidRDefault="005B0FBE" w14:paraId="0D159CB7" w14:textId="77777777">
          <w:pPr>
            <w:pStyle w:val="TOC3"/>
            <w:tabs>
              <w:tab w:val="right" w:leader="dot" w:pos="10070"/>
            </w:tabs>
            <w:rPr>
              <w:rFonts w:cstheme="minorBidi"/>
              <w:noProof/>
            </w:rPr>
          </w:pPr>
          <w:hyperlink w:history="1" w:anchor="_Toc466364045">
            <w:r w:rsidRPr="00984776" w:rsidR="00BC1559">
              <w:rPr>
                <w:rStyle w:val="Hyperlink"/>
                <w:noProof/>
              </w:rPr>
              <w:t>16. Plans for Tabulation and Publication and Project Time Schedule</w:t>
            </w:r>
            <w:r w:rsidR="00BC1559">
              <w:rPr>
                <w:noProof/>
                <w:webHidden/>
              </w:rPr>
              <w:tab/>
            </w:r>
            <w:r w:rsidR="00BC1559">
              <w:rPr>
                <w:noProof/>
                <w:webHidden/>
              </w:rPr>
              <w:fldChar w:fldCharType="begin"/>
            </w:r>
            <w:r w:rsidR="00BC1559">
              <w:rPr>
                <w:noProof/>
                <w:webHidden/>
              </w:rPr>
              <w:instrText xml:space="preserve"> PAGEREF _Toc466364045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BC1559" w:rsidRDefault="005B0FBE" w14:paraId="1129C06C" w14:textId="77777777">
          <w:pPr>
            <w:pStyle w:val="TOC3"/>
            <w:tabs>
              <w:tab w:val="right" w:leader="dot" w:pos="10070"/>
            </w:tabs>
            <w:rPr>
              <w:rFonts w:cstheme="minorBidi"/>
              <w:noProof/>
            </w:rPr>
          </w:pPr>
          <w:hyperlink w:history="1" w:anchor="_Toc466364046">
            <w:r w:rsidRPr="00984776" w:rsidR="00BC1559">
              <w:rPr>
                <w:rStyle w:val="Hyperlink"/>
                <w:noProof/>
              </w:rPr>
              <w:t>17. Reason(s) Display of OMB Expiration Date is Inappropriate</w:t>
            </w:r>
            <w:r w:rsidR="00BC1559">
              <w:rPr>
                <w:noProof/>
                <w:webHidden/>
              </w:rPr>
              <w:tab/>
            </w:r>
            <w:r w:rsidR="00BC1559">
              <w:rPr>
                <w:noProof/>
                <w:webHidden/>
              </w:rPr>
              <w:fldChar w:fldCharType="begin"/>
            </w:r>
            <w:r w:rsidR="00BC1559">
              <w:rPr>
                <w:noProof/>
                <w:webHidden/>
              </w:rPr>
              <w:instrText xml:space="preserve"> PAGEREF _Toc466364046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00BC1559" w:rsidRDefault="005B0FBE" w14:paraId="09C79B98" w14:textId="77777777">
          <w:pPr>
            <w:pStyle w:val="TOC3"/>
            <w:tabs>
              <w:tab w:val="right" w:leader="dot" w:pos="10070"/>
            </w:tabs>
            <w:rPr>
              <w:rFonts w:cstheme="minorBidi"/>
              <w:noProof/>
            </w:rPr>
          </w:pPr>
          <w:hyperlink w:history="1" w:anchor="_Toc466364047">
            <w:r w:rsidRPr="00984776" w:rsidR="00BC1559">
              <w:rPr>
                <w:rStyle w:val="Hyperlink"/>
                <w:noProof/>
              </w:rPr>
              <w:t>18. Exceptions to Certification for Paperwork Reduction Act Submissions</w:t>
            </w:r>
            <w:r w:rsidR="00BC1559">
              <w:rPr>
                <w:noProof/>
                <w:webHidden/>
              </w:rPr>
              <w:tab/>
            </w:r>
            <w:r w:rsidR="00BC1559">
              <w:rPr>
                <w:noProof/>
                <w:webHidden/>
              </w:rPr>
              <w:fldChar w:fldCharType="begin"/>
            </w:r>
            <w:r w:rsidR="00BC1559">
              <w:rPr>
                <w:noProof/>
                <w:webHidden/>
              </w:rPr>
              <w:instrText xml:space="preserve"> PAGEREF _Toc466364047 \h </w:instrText>
            </w:r>
            <w:r w:rsidR="00BC1559">
              <w:rPr>
                <w:noProof/>
                <w:webHidden/>
              </w:rPr>
            </w:r>
            <w:r w:rsidR="00BC1559">
              <w:rPr>
                <w:noProof/>
                <w:webHidden/>
              </w:rPr>
              <w:fldChar w:fldCharType="separate"/>
            </w:r>
            <w:r w:rsidR="00BC1559">
              <w:rPr>
                <w:noProof/>
                <w:webHidden/>
              </w:rPr>
              <w:t>7</w:t>
            </w:r>
            <w:r w:rsidR="00BC1559">
              <w:rPr>
                <w:noProof/>
                <w:webHidden/>
              </w:rPr>
              <w:fldChar w:fldCharType="end"/>
            </w:r>
          </w:hyperlink>
        </w:p>
        <w:p w:rsidRPr="009A5895" w:rsidR="00DC2CD8" w:rsidRDefault="00DC2CD8" w14:paraId="1E061EDF" w14:textId="77777777">
          <w:pPr>
            <w:rPr>
              <w:rFonts w:asciiTheme="minorHAnsi" w:hAnsiTheme="minorHAnsi"/>
            </w:rPr>
          </w:pPr>
          <w:r w:rsidRPr="009A5895">
            <w:rPr>
              <w:rFonts w:asciiTheme="minorHAnsi" w:hAnsiTheme="minorHAnsi"/>
              <w:b/>
              <w:bCs/>
              <w:noProof/>
            </w:rPr>
            <w:fldChar w:fldCharType="end"/>
          </w:r>
        </w:p>
      </w:sdtContent>
    </w:sdt>
    <w:p w:rsidRPr="009A5895" w:rsidR="00DC57CC" w:rsidRDefault="00DC57CC" w14:paraId="6BDB2049" w14:textId="75064C88">
      <w:pPr>
        <w:rPr>
          <w:rFonts w:asciiTheme="minorHAnsi" w:hAnsiTheme="minorHAnsi"/>
        </w:rPr>
      </w:pPr>
    </w:p>
    <w:p w:rsidRPr="009A5895" w:rsidR="007D5B5C" w:rsidRDefault="007D5B5C" w14:paraId="5169D187" w14:textId="77777777">
      <w:pPr>
        <w:rPr>
          <w:rFonts w:asciiTheme="minorHAnsi" w:hAnsiTheme="minorHAnsi"/>
        </w:rPr>
      </w:pPr>
    </w:p>
    <w:p w:rsidRPr="00DA7300" w:rsidR="00AC0988" w:rsidP="00AC0988" w:rsidRDefault="005B0FBE" w14:paraId="6E7FBC48" w14:textId="3DAD1025">
      <w:pPr>
        <w:spacing w:line="360" w:lineRule="auto"/>
        <w:rPr>
          <w:rFonts w:asciiTheme="majorHAnsi" w:hAnsiTheme="majorHAnsi"/>
          <w:b/>
        </w:rPr>
      </w:pPr>
      <w:r>
        <w:rPr>
          <w:rFonts w:asciiTheme="majorHAnsi" w:hAnsiTheme="majorHAnsi"/>
          <w:b/>
        </w:rPr>
        <w:t xml:space="preserve">List of </w:t>
      </w:r>
      <w:bookmarkStart w:name="_GoBack" w:id="0"/>
      <w:bookmarkEnd w:id="0"/>
      <w:r w:rsidRPr="00DA7300" w:rsidR="00AC0988">
        <w:rPr>
          <w:rFonts w:asciiTheme="majorHAnsi" w:hAnsiTheme="majorHAnsi"/>
          <w:b/>
        </w:rPr>
        <w:t>Attachments</w:t>
      </w:r>
    </w:p>
    <w:p w:rsidR="00AC0988" w:rsidP="00594C6F" w:rsidRDefault="00AC0988" w14:paraId="46A9B8B4" w14:textId="032609FE">
      <w:pPr>
        <w:ind w:left="360"/>
      </w:pPr>
    </w:p>
    <w:p w:rsidR="00AC0988" w:rsidP="00AC0988" w:rsidRDefault="00AC0988" w14:paraId="781FAC9D" w14:textId="7B8AF372">
      <w:pPr>
        <w:pStyle w:val="ListParagraph"/>
        <w:numPr>
          <w:ilvl w:val="0"/>
          <w:numId w:val="20"/>
        </w:numPr>
      </w:pPr>
      <w:bookmarkStart w:name="_Hlk21699185" w:id="1"/>
      <w:r>
        <w:t xml:space="preserve">Att. 1: </w:t>
      </w:r>
      <w:r w:rsidR="008E5C6E">
        <w:t xml:space="preserve">Public Health </w:t>
      </w:r>
      <w:r>
        <w:t>Service Act</w:t>
      </w:r>
    </w:p>
    <w:p w:rsidR="005540F8" w:rsidP="00AC0988" w:rsidRDefault="00AC0988" w14:paraId="51963777" w14:textId="77777777">
      <w:pPr>
        <w:pStyle w:val="ListParagraph"/>
        <w:numPr>
          <w:ilvl w:val="0"/>
          <w:numId w:val="20"/>
        </w:numPr>
      </w:pPr>
      <w:r>
        <w:t>Att. 2: 60 –Day F</w:t>
      </w:r>
      <w:r w:rsidR="005540F8">
        <w:t>ederal Register Notice</w:t>
      </w:r>
    </w:p>
    <w:p w:rsidR="00AC0988" w:rsidP="00B66550" w:rsidRDefault="005540F8" w14:paraId="722DF5AC" w14:textId="0B85DDD6">
      <w:pPr>
        <w:pStyle w:val="ListParagraph"/>
        <w:numPr>
          <w:ilvl w:val="1"/>
          <w:numId w:val="20"/>
        </w:numPr>
      </w:pPr>
      <w:r>
        <w:t>Att. 2a:</w:t>
      </w:r>
      <w:r>
        <w:tab/>
        <w:t>Summary of Public Comments</w:t>
      </w:r>
    </w:p>
    <w:p w:rsidR="00DE77F6" w:rsidP="00DE77F6" w:rsidRDefault="00DE77F6" w14:paraId="2A4CA1F0" w14:textId="30FF06B9">
      <w:pPr>
        <w:pStyle w:val="ListParagraph"/>
        <w:numPr>
          <w:ilvl w:val="0"/>
          <w:numId w:val="20"/>
        </w:numPr>
      </w:pPr>
      <w:r>
        <w:t>Att. 3: I</w:t>
      </w:r>
      <w:r w:rsidR="00274718">
        <w:t>-Cat</w:t>
      </w:r>
      <w:r>
        <w:t xml:space="preserve"> Example Interview Protocol Guide and Questions </w:t>
      </w:r>
    </w:p>
    <w:p w:rsidR="00DE77F6" w:rsidP="00DE77F6" w:rsidRDefault="00DE77F6" w14:paraId="58ED3CCB" w14:textId="77777777">
      <w:pPr>
        <w:pStyle w:val="ListParagraph"/>
        <w:numPr>
          <w:ilvl w:val="0"/>
          <w:numId w:val="20"/>
        </w:numPr>
      </w:pPr>
      <w:r>
        <w:t>Att. 4: I-Cat Sample Customer Discovery Slides + Processes</w:t>
      </w:r>
    </w:p>
    <w:p w:rsidR="00DE77F6" w:rsidP="00DE77F6" w:rsidRDefault="00DE77F6" w14:paraId="204228F7" w14:textId="77777777">
      <w:pPr>
        <w:pStyle w:val="ListParagraph"/>
        <w:numPr>
          <w:ilvl w:val="0"/>
          <w:numId w:val="20"/>
        </w:numPr>
      </w:pPr>
      <w:r>
        <w:t xml:space="preserve">Att. 5: IRB Determination Form </w:t>
      </w:r>
    </w:p>
    <w:p w:rsidR="00DE77F6" w:rsidP="00DE77F6" w:rsidRDefault="00DE77F6" w14:paraId="252A50D1" w14:textId="77777777">
      <w:pPr>
        <w:pStyle w:val="ListParagraph"/>
        <w:numPr>
          <w:ilvl w:val="0"/>
          <w:numId w:val="20"/>
        </w:numPr>
      </w:pPr>
      <w:r>
        <w:t>Att. 6: Privacy Act &amp; Confidentiality Statement</w:t>
      </w:r>
    </w:p>
    <w:bookmarkEnd w:id="1"/>
    <w:p w:rsidR="00DE77F6" w:rsidP="00DE77F6" w:rsidRDefault="00DE77F6" w14:paraId="5EEC3DD5" w14:textId="77777777">
      <w:pPr>
        <w:pStyle w:val="ListParagraph"/>
      </w:pPr>
    </w:p>
    <w:p w:rsidR="00AC0988" w:rsidP="00594C6F" w:rsidRDefault="00AC0988" w14:paraId="6836C463" w14:textId="6BD9850A">
      <w:pPr>
        <w:pStyle w:val="ListParagraph"/>
      </w:pPr>
      <w:r>
        <w:t xml:space="preserve"> </w:t>
      </w:r>
    </w:p>
    <w:p w:rsidRPr="009A5895" w:rsidR="007D5B5C" w:rsidRDefault="00821335" w14:paraId="5C6FCB89" w14:textId="7BADC2F0">
      <w:pPr>
        <w:rPr>
          <w:rFonts w:asciiTheme="minorHAnsi" w:hAnsiTheme="minorHAnsi"/>
        </w:rPr>
      </w:pPr>
      <w:r w:rsidRPr="00DA7300">
        <w:rPr>
          <w:rFonts w:cs="Helvetica" w:asciiTheme="minorHAnsi" w:hAnsiTheme="minorHAnsi"/>
          <w:b/>
          <w:noProof/>
          <w:sz w:val="24"/>
          <w:szCs w:val="24"/>
        </w:rPr>
        <w:lastRenderedPageBreak/>
        <mc:AlternateContent>
          <mc:Choice Requires="wps">
            <w:drawing>
              <wp:anchor distT="45720" distB="45720" distL="114300" distR="114300" simplePos="0" relativeHeight="251659264" behindDoc="0" locked="0" layoutInCell="1" allowOverlap="1" wp14:editId="23B75626" wp14:anchorId="6F62B7AA">
                <wp:simplePos x="0" y="0"/>
                <wp:positionH relativeFrom="margin">
                  <wp:posOffset>-76200</wp:posOffset>
                </wp:positionH>
                <wp:positionV relativeFrom="paragraph">
                  <wp:posOffset>464820</wp:posOffset>
                </wp:positionV>
                <wp:extent cx="6484620" cy="60198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6019800"/>
                        </a:xfrm>
                        <a:prstGeom prst="rect">
                          <a:avLst/>
                        </a:prstGeom>
                        <a:solidFill>
                          <a:srgbClr val="FFFFFF"/>
                        </a:solidFill>
                        <a:ln w="9525">
                          <a:solidFill>
                            <a:srgbClr val="000000"/>
                          </a:solidFill>
                          <a:miter lim="800000"/>
                          <a:headEnd/>
                          <a:tailEnd/>
                        </a:ln>
                      </wps:spPr>
                      <wps:txbx>
                        <w:txbxContent>
                          <w:p w:rsidR="00AC0988" w:rsidP="00C878D6" w:rsidRDefault="00AC0988" w14:paraId="05CD397C" w14:textId="7B6AE1DA">
                            <w:pPr>
                              <w:pStyle w:val="ListParagraph"/>
                              <w:numPr>
                                <w:ilvl w:val="0"/>
                                <w:numId w:val="21"/>
                              </w:numPr>
                              <w:jc w:val="both"/>
                              <w:rPr>
                                <w:rFonts w:eastAsia="Times New Roman" w:cs="Segoe UI"/>
                              </w:rPr>
                            </w:pPr>
                            <w:r w:rsidRPr="009931A0">
                              <w:rPr>
                                <w:rFonts w:cs="Helvetica"/>
                              </w:rPr>
                              <w:t>The Office of Technology and Innovation (OTI) in the Office of Science at the Centers for Diseases Control and Prevention</w:t>
                            </w:r>
                            <w:r w:rsidR="0052666A">
                              <w:rPr>
                                <w:rFonts w:cs="Helvetica"/>
                              </w:rPr>
                              <w:t xml:space="preserve"> (CDC)</w:t>
                            </w:r>
                            <w:r w:rsidRPr="009931A0">
                              <w:rPr>
                                <w:rFonts w:cs="Helvetica"/>
                              </w:rPr>
                              <w:t xml:space="preserve">, </w:t>
                            </w:r>
                            <w:r w:rsidRPr="009931A0">
                              <w:rPr>
                                <w:rFonts w:eastAsia="Times New Roman" w:cs="Segoe UI"/>
                              </w:rPr>
                              <w:t xml:space="preserve">encourages, fosters, and develops innovative science, technologies, processes and policies that support the CDC/ATSDR. </w:t>
                            </w:r>
                            <w:r w:rsidR="009931A0">
                              <w:rPr>
                                <w:rFonts w:eastAsia="Times New Roman" w:cs="Segoe UI"/>
                              </w:rPr>
                              <w:t xml:space="preserve"> </w:t>
                            </w:r>
                            <w:r w:rsidR="00FB50F4">
                              <w:rPr>
                                <w:rFonts w:ascii="Verdana" w:hAnsi="Verdana"/>
                                <w:color w:val="000000"/>
                                <w:sz w:val="18"/>
                                <w:szCs w:val="18"/>
                                <w:shd w:val="clear" w:color="auto" w:fill="FFFFFF"/>
                              </w:rPr>
                              <w:t xml:space="preserve">OTI’s </w:t>
                            </w:r>
                            <w:hyperlink w:history="1" r:id="rId9">
                              <w:r w:rsidR="00FB50F4">
                                <w:rPr>
                                  <w:rStyle w:val="Hyperlink"/>
                                  <w:rFonts w:ascii="Verdana" w:hAnsi="Verdana"/>
                                  <w:color w:val="4A006E"/>
                                  <w:sz w:val="18"/>
                                  <w:szCs w:val="18"/>
                                </w:rPr>
                                <w:t>Innovation Lab (I-Lab)</w:t>
                              </w:r>
                            </w:hyperlink>
                            <w:r w:rsidR="00FB50F4">
                              <w:rPr>
                                <w:rFonts w:ascii="Verdana" w:hAnsi="Verdana"/>
                                <w:color w:val="000000"/>
                                <w:sz w:val="18"/>
                                <w:szCs w:val="18"/>
                                <w:shd w:val="clear" w:color="auto" w:fill="FFFFFF"/>
                              </w:rPr>
                              <w:t xml:space="preserve"> </w:t>
                            </w:r>
                            <w:r w:rsidRPr="00B66550" w:rsidR="00FB50F4">
                              <w:rPr>
                                <w:rFonts w:asciiTheme="minorHAnsi" w:hAnsiTheme="minorHAnsi" w:cstheme="minorHAnsi"/>
                                <w:color w:val="000000"/>
                                <w:shd w:val="clear" w:color="auto" w:fill="FFFFFF"/>
                              </w:rPr>
                              <w:t>promotes the testing and implementation of innovative ideas to advance public health acros</w:t>
                            </w:r>
                            <w:r w:rsidRPr="00B66550" w:rsidR="000D0E7B">
                              <w:rPr>
                                <w:rFonts w:asciiTheme="minorHAnsi" w:hAnsiTheme="minorHAnsi" w:cstheme="minorHAnsi"/>
                                <w:color w:val="000000"/>
                                <w:shd w:val="clear" w:color="auto" w:fill="FFFFFF"/>
                              </w:rPr>
                              <w:t>s the agency through the I-Catalyst program and other activities</w:t>
                            </w:r>
                            <w:r w:rsidRPr="00B66550" w:rsidR="00FB50F4">
                              <w:rPr>
                                <w:rFonts w:asciiTheme="minorHAnsi" w:hAnsiTheme="minorHAnsi" w:cstheme="minorHAnsi"/>
                                <w:color w:val="000000"/>
                                <w:shd w:val="clear" w:color="auto" w:fill="FFFFFF"/>
                              </w:rPr>
                              <w:t>. The</w:t>
                            </w:r>
                            <w:r w:rsidR="00B409E1">
                              <w:rPr>
                                <w:rFonts w:eastAsia="Times New Roman" w:cs="Segoe UI"/>
                              </w:rPr>
                              <w:t xml:space="preserve"> I</w:t>
                            </w:r>
                            <w:r w:rsidR="006A604B">
                              <w:rPr>
                                <w:rFonts w:eastAsia="Times New Roman" w:cs="Segoe UI"/>
                              </w:rPr>
                              <w:t>deation Catalyst (I</w:t>
                            </w:r>
                            <w:r w:rsidR="00B409E1">
                              <w:rPr>
                                <w:rFonts w:eastAsia="Times New Roman" w:cs="Segoe UI"/>
                              </w:rPr>
                              <w:t>-Catalyst</w:t>
                            </w:r>
                            <w:r w:rsidR="006A604B">
                              <w:rPr>
                                <w:rFonts w:eastAsia="Times New Roman" w:cs="Segoe UI"/>
                              </w:rPr>
                              <w:t>)</w:t>
                            </w:r>
                            <w:r w:rsidR="00B409E1">
                              <w:rPr>
                                <w:rFonts w:eastAsia="Times New Roman" w:cs="Segoe UI"/>
                              </w:rPr>
                              <w:t xml:space="preserve"> </w:t>
                            </w:r>
                            <w:r w:rsidR="00E8156D">
                              <w:rPr>
                                <w:rFonts w:eastAsia="Times New Roman" w:cs="Segoe UI"/>
                              </w:rPr>
                              <w:t xml:space="preserve">and Customer Engagement </w:t>
                            </w:r>
                            <w:r w:rsidR="00B409E1">
                              <w:rPr>
                                <w:rFonts w:eastAsia="Times New Roman" w:cs="Segoe UI"/>
                              </w:rPr>
                              <w:t>generic clearance supports</w:t>
                            </w:r>
                            <w:r w:rsidR="009931A0">
                              <w:rPr>
                                <w:rFonts w:eastAsia="Times New Roman" w:cs="Segoe UI"/>
                              </w:rPr>
                              <w:t xml:space="preserve"> </w:t>
                            </w:r>
                            <w:r w:rsidR="00B409E1">
                              <w:rPr>
                                <w:rFonts w:eastAsia="Times New Roman" w:cs="Segoe UI"/>
                              </w:rPr>
                              <w:t xml:space="preserve">the collection of </w:t>
                            </w:r>
                            <w:r w:rsidR="009931A0">
                              <w:rPr>
                                <w:rFonts w:eastAsia="Times New Roman" w:cs="Segoe UI"/>
                              </w:rPr>
                              <w:t>information from specific stakeholder groups for the purpose of facilitating implementation and effectiveness of CDC technologie</w:t>
                            </w:r>
                            <w:r w:rsidR="00506E72">
                              <w:rPr>
                                <w:rFonts w:eastAsia="Times New Roman" w:cs="Segoe UI"/>
                              </w:rPr>
                              <w:t xml:space="preserve">s, programs, </w:t>
                            </w:r>
                            <w:r w:rsidR="009931A0">
                              <w:rPr>
                                <w:rFonts w:eastAsia="Times New Roman" w:cs="Segoe UI"/>
                              </w:rPr>
                              <w:t>and communications.</w:t>
                            </w:r>
                          </w:p>
                          <w:p w:rsidRPr="009931A0" w:rsidR="00C878D6" w:rsidP="00C878D6" w:rsidRDefault="00C878D6" w14:paraId="78E3B752" w14:textId="77777777">
                            <w:pPr>
                              <w:pStyle w:val="ListParagraph"/>
                              <w:jc w:val="both"/>
                              <w:rPr>
                                <w:rFonts w:eastAsia="Times New Roman" w:cs="Segoe UI"/>
                              </w:rPr>
                            </w:pPr>
                          </w:p>
                          <w:p w:rsidR="00AC0988" w:rsidP="00AC0988" w:rsidRDefault="00AC0988" w14:paraId="2D23034B" w14:textId="34D541A0">
                            <w:pPr>
                              <w:pStyle w:val="ListParagraph"/>
                              <w:numPr>
                                <w:ilvl w:val="0"/>
                                <w:numId w:val="21"/>
                              </w:numPr>
                              <w:jc w:val="both"/>
                              <w:rPr>
                                <w:rFonts w:eastAsia="Times New Roman" w:cs="Segoe UI"/>
                              </w:rPr>
                            </w:pPr>
                            <w:r w:rsidRPr="0014428B">
                              <w:rPr>
                                <w:rFonts w:eastAsia="Times New Roman" w:cs="Segoe UI"/>
                              </w:rPr>
                              <w:t>The</w:t>
                            </w:r>
                            <w:r w:rsidR="00506E72">
                              <w:rPr>
                                <w:rFonts w:eastAsia="Times New Roman" w:cs="Segoe UI"/>
                              </w:rPr>
                              <w:t xml:space="preserve"> OTI and the</w:t>
                            </w:r>
                            <w:r w:rsidRPr="0014428B">
                              <w:rPr>
                                <w:rFonts w:eastAsia="Times New Roman" w:cs="Segoe UI"/>
                              </w:rPr>
                              <w:t xml:space="preserve"> CDC I-Catalyst program teach CDC teams a “customer discovery” process. This is done by taking a team’s main assumptions about who their customer is, the exact problem they are solving for the customer, and how the customer wants to receive or use the solution from the team—and turning those assumptions into hypotheses which the teams will then test (through interviews with potential customers).</w:t>
                            </w:r>
                          </w:p>
                          <w:p w:rsidR="00AC0988" w:rsidP="00AC0988" w:rsidRDefault="00AC0988" w14:paraId="33422565" w14:textId="77777777">
                            <w:pPr>
                              <w:pStyle w:val="ListParagraph"/>
                              <w:jc w:val="both"/>
                              <w:rPr>
                                <w:rFonts w:eastAsia="Times New Roman" w:cs="Segoe UI"/>
                              </w:rPr>
                            </w:pPr>
                          </w:p>
                          <w:p w:rsidRPr="0014428B" w:rsidR="00AC0988" w:rsidP="00AC0988" w:rsidRDefault="00AC0988" w14:paraId="0BA162AB" w14:textId="01BF8FA4">
                            <w:pPr>
                              <w:pStyle w:val="ListParagraph"/>
                              <w:numPr>
                                <w:ilvl w:val="0"/>
                                <w:numId w:val="21"/>
                              </w:numPr>
                              <w:jc w:val="both"/>
                              <w:rPr>
                                <w:rFonts w:eastAsia="Times New Roman" w:cs="Segoe UI"/>
                              </w:rPr>
                            </w:pPr>
                            <w:r w:rsidRPr="0014428B">
                              <w:t xml:space="preserve">Teams </w:t>
                            </w:r>
                            <w:r w:rsidR="00B53AF6">
                              <w:t xml:space="preserve">and programs </w:t>
                            </w:r>
                            <w:r w:rsidRPr="0014428B">
                              <w:t xml:space="preserve">will use convenience sampling methods to select subjects </w:t>
                            </w:r>
                            <w:r w:rsidR="009931A0">
                              <w:t xml:space="preserve">within the target stakeholder group </w:t>
                            </w:r>
                            <w:r w:rsidRPr="0014428B">
                              <w:t>who are readily available and within close proximity.</w:t>
                            </w:r>
                          </w:p>
                          <w:p w:rsidRPr="006D1DC4" w:rsidR="00AC0988" w:rsidP="00AC0988" w:rsidRDefault="00AC0988" w14:paraId="4952FED5" w14:textId="77777777">
                            <w:pPr>
                              <w:autoSpaceDE w:val="0"/>
                              <w:autoSpaceDN w:val="0"/>
                              <w:adjustRightInd w:val="0"/>
                              <w:jc w:val="both"/>
                              <w:rPr>
                                <w:rFonts w:cs="Helvetica"/>
                              </w:rPr>
                            </w:pPr>
                          </w:p>
                          <w:p w:rsidRPr="0014428B" w:rsidR="00AC0988" w:rsidP="00AC0988" w:rsidRDefault="00AC0988" w14:paraId="1006FA83" w14:textId="0302E30C">
                            <w:pPr>
                              <w:pStyle w:val="ListParagraph"/>
                              <w:numPr>
                                <w:ilvl w:val="0"/>
                                <w:numId w:val="21"/>
                              </w:numPr>
                              <w:autoSpaceDE w:val="0"/>
                              <w:autoSpaceDN w:val="0"/>
                              <w:adjustRightInd w:val="0"/>
                              <w:jc w:val="both"/>
                              <w:rPr>
                                <w:rFonts w:cs="Helvetica"/>
                              </w:rPr>
                            </w:pPr>
                            <w:r w:rsidRPr="0014428B">
                              <w:rPr>
                                <w:rFonts w:cs="Helvetica"/>
                              </w:rPr>
                              <w:t xml:space="preserve">Populations and customers to be interviewed will be dependent on the kinds of public health solutions being proposed. Populations could include internal customers (i.e., CDC staff) or external customers (e.g., grantees, partner organizations, businesses, etc.). </w:t>
                            </w:r>
                            <w:r w:rsidR="009931A0">
                              <w:rPr>
                                <w:rFonts w:cs="Helvetica"/>
                              </w:rPr>
                              <w:t>Each collection submitted under this generic mechanism will clearly identify the targeted customer group and the need to solicit information from such groups.</w:t>
                            </w:r>
                          </w:p>
                          <w:p w:rsidR="00AC0988" w:rsidP="00AC0988" w:rsidRDefault="00AC0988" w14:paraId="76C531DA" w14:textId="77777777">
                            <w:pPr>
                              <w:contextualSpacing/>
                              <w:jc w:val="both"/>
                              <w:rPr>
                                <w:rFonts w:cs="Helvetica"/>
                              </w:rPr>
                            </w:pPr>
                          </w:p>
                          <w:p w:rsidRPr="006D1DC4" w:rsidR="00AC0988" w:rsidP="00AC0988" w:rsidRDefault="005540F8" w14:paraId="0616763B" w14:textId="566C1247">
                            <w:pPr>
                              <w:pStyle w:val="ListParagraph"/>
                              <w:numPr>
                                <w:ilvl w:val="0"/>
                                <w:numId w:val="21"/>
                              </w:numPr>
                              <w:jc w:val="both"/>
                            </w:pPr>
                            <w:r>
                              <w:rPr>
                                <w:rFonts w:cs="Helvetica" w:asciiTheme="minorHAnsi" w:hAnsiTheme="minorHAnsi"/>
                                <w:color w:val="000000"/>
                              </w:rPr>
                              <w:t>Findings</w:t>
                            </w:r>
                            <w:r w:rsidRPr="0014428B" w:rsidR="00AC0988">
                              <w:rPr>
                                <w:rFonts w:cs="Helvetica" w:asciiTheme="minorHAnsi" w:hAnsiTheme="minorHAnsi"/>
                                <w:color w:val="000000"/>
                              </w:rPr>
                              <w:t xml:space="preserve"> will be used for internal CDC decision making and to </w:t>
                            </w:r>
                            <w:r w:rsidRPr="0014428B" w:rsidR="00AC0988">
                              <w:rPr>
                                <w:rFonts w:cs="CourierStd" w:asciiTheme="minorHAnsi" w:hAnsiTheme="minorHAnsi"/>
                              </w:rPr>
                              <w:t>provide suggestions for improving development of public health solutions.</w:t>
                            </w:r>
                            <w:r w:rsidRPr="0014428B" w:rsidR="00AC0988">
                              <w:rPr>
                                <w:rFonts w:ascii="CourierStd" w:hAnsi="CourierStd" w:cs="CourierStd"/>
                                <w:sz w:val="24"/>
                                <w:szCs w:val="24"/>
                              </w:rPr>
                              <w:t xml:space="preserve"> </w:t>
                            </w:r>
                            <w:r w:rsidRPr="0014428B" w:rsidR="00AC0988">
                              <w:rPr>
                                <w:rFonts w:cs="Helvetica"/>
                                <w:color w:val="000000"/>
                              </w:rPr>
                              <w:t>Data will be collected through</w:t>
                            </w:r>
                            <w:r w:rsidRPr="009E2DA8" w:rsidR="009E2DA8">
                              <w:rPr>
                                <w:rFonts w:cs="Helvetica"/>
                                <w:color w:val="000000"/>
                              </w:rPr>
                              <w:t xml:space="preserve"> questionnaires, web-based surveys</w:t>
                            </w:r>
                            <w:r w:rsidR="000A5D9F">
                              <w:rPr>
                                <w:rFonts w:cs="Helvetica"/>
                                <w:color w:val="000000"/>
                              </w:rPr>
                              <w:t xml:space="preserve">, </w:t>
                            </w:r>
                            <w:r w:rsidR="009931A0">
                              <w:rPr>
                                <w:rFonts w:cs="Helvetica"/>
                                <w:color w:val="000000"/>
                              </w:rPr>
                              <w:t>qualitative</w:t>
                            </w:r>
                            <w:r w:rsidRPr="0014428B" w:rsidR="009931A0">
                              <w:rPr>
                                <w:rFonts w:cs="Helvetica"/>
                                <w:color w:val="000000"/>
                              </w:rPr>
                              <w:t xml:space="preserve"> </w:t>
                            </w:r>
                            <w:r w:rsidRPr="0014428B" w:rsidR="00AC0988">
                              <w:rPr>
                                <w:rFonts w:cs="Helvetica"/>
                                <w:color w:val="000000"/>
                              </w:rPr>
                              <w:t xml:space="preserve">interviews and </w:t>
                            </w:r>
                            <w:r w:rsidR="009931A0">
                              <w:rPr>
                                <w:rFonts w:cs="Helvetica"/>
                                <w:color w:val="000000"/>
                              </w:rPr>
                              <w:t xml:space="preserve">direct </w:t>
                            </w:r>
                            <w:r w:rsidRPr="0014428B" w:rsidR="00AC0988">
                              <w:rPr>
                                <w:rFonts w:cs="Helvetica"/>
                                <w:color w:val="000000"/>
                              </w:rPr>
                              <w:t>observation</w:t>
                            </w:r>
                            <w:r w:rsidR="009931A0">
                              <w:rPr>
                                <w:rFonts w:cs="Helvetica"/>
                                <w:color w:val="000000"/>
                              </w:rPr>
                              <w:t xml:space="preserve"> of participants</w:t>
                            </w:r>
                            <w:r w:rsidRPr="0014428B" w:rsidR="00AC0988">
                              <w:rPr>
                                <w:rFonts w:cs="Helvetica"/>
                                <w:color w:val="000000"/>
                              </w:rPr>
                              <w:t xml:space="preserve">. Teams will set up in-person or phone interviews with individual customers. </w:t>
                            </w:r>
                            <w:r w:rsidRPr="0014428B" w:rsidR="00AC0988">
                              <w:rPr>
                                <w:rFonts w:cs="Helvetica"/>
                              </w:rPr>
                              <w:t xml:space="preserve">Information and data gathered via the customer interviews will be organized into ideas or themes that appear to be related so that teams can better understand their customers and their problems. </w:t>
                            </w:r>
                            <w:r w:rsidR="009931A0">
                              <w:rPr>
                                <w:rFonts w:cs="Helvetica"/>
                              </w:rPr>
                              <w:t xml:space="preserve"> Data collected under this generic mechanism are not research, or generalizable to broader populations.</w:t>
                            </w:r>
                          </w:p>
                          <w:p w:rsidRPr="007A2903" w:rsidR="007A1C68" w:rsidP="00DA7300" w:rsidRDefault="007A1C68" w14:paraId="304D9921" w14:textId="77777777">
                            <w:pPr>
                              <w:autoSpaceDE w:val="0"/>
                              <w:autoSpaceDN w:val="0"/>
                              <w:adjustRightInd w:val="0"/>
                              <w:rPr>
                                <w:rFonts w:cs="Helvetica"/>
                                <w:sz w:val="24"/>
                                <w:szCs w:val="24"/>
                              </w:rPr>
                            </w:pPr>
                          </w:p>
                          <w:p w:rsidR="007A1C68" w:rsidP="00DA7300" w:rsidRDefault="007A1C68" w14:paraId="2BF851F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6pt;margin-top:36.6pt;width:510.6pt;height:47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soKAIAAE4EAAAOAAAAZHJzL2Uyb0RvYy54bWysVFFv0zAQfkfiP1h+p0mqtlujptPoKEIa&#10;A2njBziO01jYPmO7Tcqv5+x0XTXgBZEH6+w7f/7uu7usbgatyEE4L8FUtJjklAjDoZFmV9FvT9t3&#10;15T4wEzDFBhR0aPw9Gb99s2qt6WYQgeqEY4giPFlbyvahWDLLPO8E5r5CVhh0NmC0yzg1u2yxrEe&#10;0bXKpnm+yHpwjXXAhfd4ejc66Trht63g4UvbehGIqihyC2l1aa3jmq1XrNw5ZjvJTzTYP7DQTBp8&#10;9Ax1xwIjeyd/g9KSO/DQhgkHnUHbSi5SDphNkb/K5rFjVqRcUBxvzzL5/wfLHw5fHZFNRafFFSWG&#10;aSzSkxgCeQ8DmUZ9eutLDHu0GBgGPMY6p1y9vQf+3RMDm46Znbh1DvpOsAb5FfFmdnF1xPERpO4/&#10;Q4PPsH2ABDS0TkfxUA6C6Fin47k2kQrHw8XseraYooujb5EXy+s8VS9j5fN163z4KECTaFTUYfET&#10;PDvc+xDpsPI5JL7mQclmK5VKG7erN8qRA8NG2aYvZfAqTBnSV3Q5n85HBf4KkafvTxBaBux4JXVF&#10;MQX8YhAro24fTJPswKQabaSszEnIqN2oYhjqIdUsqRxFrqE5orIOxgbHgUSjA/eTkh6bu6L+x545&#10;QYn6ZLA6y2I2i9OQNrP5VdTVXXrqSw8zHKEqGigZzU1IExRpG7jFKrYy6fvC5EQZmzbJfhqwOBWX&#10;+xT18htY/wIAAP//AwBQSwMEFAAGAAgAAAAhAEscZjDhAAAADAEAAA8AAABkcnMvZG93bnJldi54&#10;bWxMj81OwzAQhO9IvIO1SFxQaydF/QlxKoQEglspCK5uvE0i7HWw3TS8Pc4JbjPa0ew35Xa0hg3o&#10;Q+dIQjYXwJBqpztqJLy/Pc7WwEJUpJVxhBJ+MMC2urwoVaHdmV5x2MeGpRIKhZLQxtgXnIe6RavC&#10;3PVI6XZ03qqYrG+49uqcyq3huRBLblVH6UOrenxosf7an6yE9e3z8BleFruPenk0m3izGp6+vZTX&#10;V+P9HbCIY/wLw4Sf0KFKTAd3Ih2YkTDL8rQlSlgtcmBTQIhNUodJ5VkOvCr5/xHVLwAAAP//AwBQ&#10;SwECLQAUAAYACAAAACEAtoM4kv4AAADhAQAAEwAAAAAAAAAAAAAAAAAAAAAAW0NvbnRlbnRfVHlw&#10;ZXNdLnhtbFBLAQItABQABgAIAAAAIQA4/SH/1gAAAJQBAAALAAAAAAAAAAAAAAAAAC8BAABfcmVs&#10;cy8ucmVsc1BLAQItABQABgAIAAAAIQAuQqsoKAIAAE4EAAAOAAAAAAAAAAAAAAAAAC4CAABkcnMv&#10;ZTJvRG9jLnhtbFBLAQItABQABgAIAAAAIQBLHGYw4QAAAAwBAAAPAAAAAAAAAAAAAAAAAIIEAABk&#10;cnMvZG93bnJldi54bWxQSwUGAAAAAAQABADzAAAAkAUAAAAA&#10;" w14:anchorId="6F62B7AA">
                <v:textbox>
                  <w:txbxContent>
                    <w:p w:rsidR="00AC0988" w:rsidP="00C878D6" w:rsidRDefault="00AC0988" w14:paraId="05CD397C" w14:textId="7B6AE1DA">
                      <w:pPr>
                        <w:pStyle w:val="ListParagraph"/>
                        <w:numPr>
                          <w:ilvl w:val="0"/>
                          <w:numId w:val="21"/>
                        </w:numPr>
                        <w:jc w:val="both"/>
                        <w:rPr>
                          <w:rFonts w:eastAsia="Times New Roman" w:cs="Segoe UI"/>
                        </w:rPr>
                      </w:pPr>
                      <w:r w:rsidRPr="009931A0">
                        <w:rPr>
                          <w:rFonts w:cs="Helvetica"/>
                        </w:rPr>
                        <w:t>The Office of Technology and Innovation (OTI) in the Office of Science at the Centers for Diseases Control and Prevention</w:t>
                      </w:r>
                      <w:r w:rsidR="0052666A">
                        <w:rPr>
                          <w:rFonts w:cs="Helvetica"/>
                        </w:rPr>
                        <w:t xml:space="preserve"> (CDC)</w:t>
                      </w:r>
                      <w:r w:rsidRPr="009931A0">
                        <w:rPr>
                          <w:rFonts w:cs="Helvetica"/>
                        </w:rPr>
                        <w:t xml:space="preserve">, </w:t>
                      </w:r>
                      <w:r w:rsidRPr="009931A0">
                        <w:rPr>
                          <w:rFonts w:eastAsia="Times New Roman" w:cs="Segoe UI"/>
                        </w:rPr>
                        <w:t xml:space="preserve">encourages, fosters, and develops innovative science, technologies, processes and policies that support the CDC/ATSDR. </w:t>
                      </w:r>
                      <w:r w:rsidR="009931A0">
                        <w:rPr>
                          <w:rFonts w:eastAsia="Times New Roman" w:cs="Segoe UI"/>
                        </w:rPr>
                        <w:t xml:space="preserve"> </w:t>
                      </w:r>
                      <w:r w:rsidR="00FB50F4">
                        <w:rPr>
                          <w:rFonts w:ascii="Verdana" w:hAnsi="Verdana"/>
                          <w:color w:val="000000"/>
                          <w:sz w:val="18"/>
                          <w:szCs w:val="18"/>
                          <w:shd w:val="clear" w:color="auto" w:fill="FFFFFF"/>
                        </w:rPr>
                        <w:t xml:space="preserve">OTI’s </w:t>
                      </w:r>
                      <w:hyperlink w:history="1" r:id="rId10">
                        <w:r w:rsidR="00FB50F4">
                          <w:rPr>
                            <w:rStyle w:val="Hyperlink"/>
                            <w:rFonts w:ascii="Verdana" w:hAnsi="Verdana"/>
                            <w:color w:val="4A006E"/>
                            <w:sz w:val="18"/>
                            <w:szCs w:val="18"/>
                          </w:rPr>
                          <w:t>Innovation Lab (I-Lab)</w:t>
                        </w:r>
                      </w:hyperlink>
                      <w:r w:rsidR="00FB50F4">
                        <w:rPr>
                          <w:rFonts w:ascii="Verdana" w:hAnsi="Verdana"/>
                          <w:color w:val="000000"/>
                          <w:sz w:val="18"/>
                          <w:szCs w:val="18"/>
                          <w:shd w:val="clear" w:color="auto" w:fill="FFFFFF"/>
                        </w:rPr>
                        <w:t xml:space="preserve"> </w:t>
                      </w:r>
                      <w:r w:rsidRPr="00B66550" w:rsidR="00FB50F4">
                        <w:rPr>
                          <w:rFonts w:asciiTheme="minorHAnsi" w:hAnsiTheme="minorHAnsi" w:cstheme="minorHAnsi"/>
                          <w:color w:val="000000"/>
                          <w:shd w:val="clear" w:color="auto" w:fill="FFFFFF"/>
                        </w:rPr>
                        <w:t>promotes the testing and implementation of innovative ideas to advance public health acros</w:t>
                      </w:r>
                      <w:r w:rsidRPr="00B66550" w:rsidR="000D0E7B">
                        <w:rPr>
                          <w:rFonts w:asciiTheme="minorHAnsi" w:hAnsiTheme="minorHAnsi" w:cstheme="minorHAnsi"/>
                          <w:color w:val="000000"/>
                          <w:shd w:val="clear" w:color="auto" w:fill="FFFFFF"/>
                        </w:rPr>
                        <w:t>s the agency through the I-Catalyst program and other activities</w:t>
                      </w:r>
                      <w:r w:rsidRPr="00B66550" w:rsidR="00FB50F4">
                        <w:rPr>
                          <w:rFonts w:asciiTheme="minorHAnsi" w:hAnsiTheme="minorHAnsi" w:cstheme="minorHAnsi"/>
                          <w:color w:val="000000"/>
                          <w:shd w:val="clear" w:color="auto" w:fill="FFFFFF"/>
                        </w:rPr>
                        <w:t>. The</w:t>
                      </w:r>
                      <w:r w:rsidR="00B409E1">
                        <w:rPr>
                          <w:rFonts w:eastAsia="Times New Roman" w:cs="Segoe UI"/>
                        </w:rPr>
                        <w:t xml:space="preserve"> I</w:t>
                      </w:r>
                      <w:r w:rsidR="006A604B">
                        <w:rPr>
                          <w:rFonts w:eastAsia="Times New Roman" w:cs="Segoe UI"/>
                        </w:rPr>
                        <w:t>deation Catalyst (I</w:t>
                      </w:r>
                      <w:r w:rsidR="00B409E1">
                        <w:rPr>
                          <w:rFonts w:eastAsia="Times New Roman" w:cs="Segoe UI"/>
                        </w:rPr>
                        <w:t>-Catalyst</w:t>
                      </w:r>
                      <w:r w:rsidR="006A604B">
                        <w:rPr>
                          <w:rFonts w:eastAsia="Times New Roman" w:cs="Segoe UI"/>
                        </w:rPr>
                        <w:t>)</w:t>
                      </w:r>
                      <w:r w:rsidR="00B409E1">
                        <w:rPr>
                          <w:rFonts w:eastAsia="Times New Roman" w:cs="Segoe UI"/>
                        </w:rPr>
                        <w:t xml:space="preserve"> </w:t>
                      </w:r>
                      <w:r w:rsidR="00E8156D">
                        <w:rPr>
                          <w:rFonts w:eastAsia="Times New Roman" w:cs="Segoe UI"/>
                        </w:rPr>
                        <w:t xml:space="preserve">and Customer Engagement </w:t>
                      </w:r>
                      <w:r w:rsidR="00B409E1">
                        <w:rPr>
                          <w:rFonts w:eastAsia="Times New Roman" w:cs="Segoe UI"/>
                        </w:rPr>
                        <w:t>generic clearance supports</w:t>
                      </w:r>
                      <w:r w:rsidR="009931A0">
                        <w:rPr>
                          <w:rFonts w:eastAsia="Times New Roman" w:cs="Segoe UI"/>
                        </w:rPr>
                        <w:t xml:space="preserve"> </w:t>
                      </w:r>
                      <w:r w:rsidR="00B409E1">
                        <w:rPr>
                          <w:rFonts w:eastAsia="Times New Roman" w:cs="Segoe UI"/>
                        </w:rPr>
                        <w:t xml:space="preserve">the collection of </w:t>
                      </w:r>
                      <w:r w:rsidR="009931A0">
                        <w:rPr>
                          <w:rFonts w:eastAsia="Times New Roman" w:cs="Segoe UI"/>
                        </w:rPr>
                        <w:t>information from specific stakeholder groups for the purpose of facilitating implementation and effectiveness of CDC technologie</w:t>
                      </w:r>
                      <w:r w:rsidR="00506E72">
                        <w:rPr>
                          <w:rFonts w:eastAsia="Times New Roman" w:cs="Segoe UI"/>
                        </w:rPr>
                        <w:t xml:space="preserve">s, programs, </w:t>
                      </w:r>
                      <w:r w:rsidR="009931A0">
                        <w:rPr>
                          <w:rFonts w:eastAsia="Times New Roman" w:cs="Segoe UI"/>
                        </w:rPr>
                        <w:t>and communications.</w:t>
                      </w:r>
                    </w:p>
                    <w:p w:rsidRPr="009931A0" w:rsidR="00C878D6" w:rsidP="00C878D6" w:rsidRDefault="00C878D6" w14:paraId="78E3B752" w14:textId="77777777">
                      <w:pPr>
                        <w:pStyle w:val="ListParagraph"/>
                        <w:jc w:val="both"/>
                        <w:rPr>
                          <w:rFonts w:eastAsia="Times New Roman" w:cs="Segoe UI"/>
                        </w:rPr>
                      </w:pPr>
                    </w:p>
                    <w:p w:rsidR="00AC0988" w:rsidP="00AC0988" w:rsidRDefault="00AC0988" w14:paraId="2D23034B" w14:textId="34D541A0">
                      <w:pPr>
                        <w:pStyle w:val="ListParagraph"/>
                        <w:numPr>
                          <w:ilvl w:val="0"/>
                          <w:numId w:val="21"/>
                        </w:numPr>
                        <w:jc w:val="both"/>
                        <w:rPr>
                          <w:rFonts w:eastAsia="Times New Roman" w:cs="Segoe UI"/>
                        </w:rPr>
                      </w:pPr>
                      <w:r w:rsidRPr="0014428B">
                        <w:rPr>
                          <w:rFonts w:eastAsia="Times New Roman" w:cs="Segoe UI"/>
                        </w:rPr>
                        <w:t>The</w:t>
                      </w:r>
                      <w:r w:rsidR="00506E72">
                        <w:rPr>
                          <w:rFonts w:eastAsia="Times New Roman" w:cs="Segoe UI"/>
                        </w:rPr>
                        <w:t xml:space="preserve"> OTI and the</w:t>
                      </w:r>
                      <w:r w:rsidRPr="0014428B">
                        <w:rPr>
                          <w:rFonts w:eastAsia="Times New Roman" w:cs="Segoe UI"/>
                        </w:rPr>
                        <w:t xml:space="preserve"> CDC I-Catalyst program teach CDC teams a “customer discovery” process. This is done by taking a team’s main assumptions about who their customer is, the exact problem they are solving for the customer, and how the customer wants to receive or use the solution from the team—and turning those assumptions into hypotheses which the teams will then test (through interviews with potential customers).</w:t>
                      </w:r>
                    </w:p>
                    <w:p w:rsidR="00AC0988" w:rsidP="00AC0988" w:rsidRDefault="00AC0988" w14:paraId="33422565" w14:textId="77777777">
                      <w:pPr>
                        <w:pStyle w:val="ListParagraph"/>
                        <w:jc w:val="both"/>
                        <w:rPr>
                          <w:rFonts w:eastAsia="Times New Roman" w:cs="Segoe UI"/>
                        </w:rPr>
                      </w:pPr>
                    </w:p>
                    <w:p w:rsidRPr="0014428B" w:rsidR="00AC0988" w:rsidP="00AC0988" w:rsidRDefault="00AC0988" w14:paraId="0BA162AB" w14:textId="01BF8FA4">
                      <w:pPr>
                        <w:pStyle w:val="ListParagraph"/>
                        <w:numPr>
                          <w:ilvl w:val="0"/>
                          <w:numId w:val="21"/>
                        </w:numPr>
                        <w:jc w:val="both"/>
                        <w:rPr>
                          <w:rFonts w:eastAsia="Times New Roman" w:cs="Segoe UI"/>
                        </w:rPr>
                      </w:pPr>
                      <w:r w:rsidRPr="0014428B">
                        <w:t xml:space="preserve">Teams </w:t>
                      </w:r>
                      <w:r w:rsidR="00B53AF6">
                        <w:t xml:space="preserve">and programs </w:t>
                      </w:r>
                      <w:r w:rsidRPr="0014428B">
                        <w:t xml:space="preserve">will use convenience sampling methods to select subjects </w:t>
                      </w:r>
                      <w:r w:rsidR="009931A0">
                        <w:t xml:space="preserve">within the target stakeholder group </w:t>
                      </w:r>
                      <w:r w:rsidRPr="0014428B">
                        <w:t>who are readily available and within close proximity.</w:t>
                      </w:r>
                    </w:p>
                    <w:p w:rsidRPr="006D1DC4" w:rsidR="00AC0988" w:rsidP="00AC0988" w:rsidRDefault="00AC0988" w14:paraId="4952FED5" w14:textId="77777777">
                      <w:pPr>
                        <w:autoSpaceDE w:val="0"/>
                        <w:autoSpaceDN w:val="0"/>
                        <w:adjustRightInd w:val="0"/>
                        <w:jc w:val="both"/>
                        <w:rPr>
                          <w:rFonts w:cs="Helvetica"/>
                        </w:rPr>
                      </w:pPr>
                    </w:p>
                    <w:p w:rsidRPr="0014428B" w:rsidR="00AC0988" w:rsidP="00AC0988" w:rsidRDefault="00AC0988" w14:paraId="1006FA83" w14:textId="0302E30C">
                      <w:pPr>
                        <w:pStyle w:val="ListParagraph"/>
                        <w:numPr>
                          <w:ilvl w:val="0"/>
                          <w:numId w:val="21"/>
                        </w:numPr>
                        <w:autoSpaceDE w:val="0"/>
                        <w:autoSpaceDN w:val="0"/>
                        <w:adjustRightInd w:val="0"/>
                        <w:jc w:val="both"/>
                        <w:rPr>
                          <w:rFonts w:cs="Helvetica"/>
                        </w:rPr>
                      </w:pPr>
                      <w:r w:rsidRPr="0014428B">
                        <w:rPr>
                          <w:rFonts w:cs="Helvetica"/>
                        </w:rPr>
                        <w:t xml:space="preserve">Populations and customers to be interviewed will be dependent on the kinds of public health solutions being proposed. Populations could include internal customers (i.e., CDC staff) or external customers (e.g., grantees, partner organizations, businesses, etc.). </w:t>
                      </w:r>
                      <w:r w:rsidR="009931A0">
                        <w:rPr>
                          <w:rFonts w:cs="Helvetica"/>
                        </w:rPr>
                        <w:t>Each collection submitted under this generic mechanism will clearly identify the targeted customer group and the need to solicit information from such groups.</w:t>
                      </w:r>
                    </w:p>
                    <w:p w:rsidR="00AC0988" w:rsidP="00AC0988" w:rsidRDefault="00AC0988" w14:paraId="76C531DA" w14:textId="77777777">
                      <w:pPr>
                        <w:contextualSpacing/>
                        <w:jc w:val="both"/>
                        <w:rPr>
                          <w:rFonts w:cs="Helvetica"/>
                        </w:rPr>
                      </w:pPr>
                    </w:p>
                    <w:p w:rsidRPr="006D1DC4" w:rsidR="00AC0988" w:rsidP="00AC0988" w:rsidRDefault="005540F8" w14:paraId="0616763B" w14:textId="566C1247">
                      <w:pPr>
                        <w:pStyle w:val="ListParagraph"/>
                        <w:numPr>
                          <w:ilvl w:val="0"/>
                          <w:numId w:val="21"/>
                        </w:numPr>
                        <w:jc w:val="both"/>
                      </w:pPr>
                      <w:r>
                        <w:rPr>
                          <w:rFonts w:cs="Helvetica" w:asciiTheme="minorHAnsi" w:hAnsiTheme="minorHAnsi"/>
                          <w:color w:val="000000"/>
                        </w:rPr>
                        <w:t>Findings</w:t>
                      </w:r>
                      <w:r w:rsidRPr="0014428B" w:rsidR="00AC0988">
                        <w:rPr>
                          <w:rFonts w:cs="Helvetica" w:asciiTheme="minorHAnsi" w:hAnsiTheme="minorHAnsi"/>
                          <w:color w:val="000000"/>
                        </w:rPr>
                        <w:t xml:space="preserve"> will be used for internal CDC decision making and to </w:t>
                      </w:r>
                      <w:r w:rsidRPr="0014428B" w:rsidR="00AC0988">
                        <w:rPr>
                          <w:rFonts w:cs="CourierStd" w:asciiTheme="minorHAnsi" w:hAnsiTheme="minorHAnsi"/>
                        </w:rPr>
                        <w:t>provide suggestions for improving development of public health solutions.</w:t>
                      </w:r>
                      <w:r w:rsidRPr="0014428B" w:rsidR="00AC0988">
                        <w:rPr>
                          <w:rFonts w:ascii="CourierStd" w:hAnsi="CourierStd" w:cs="CourierStd"/>
                          <w:sz w:val="24"/>
                          <w:szCs w:val="24"/>
                        </w:rPr>
                        <w:t xml:space="preserve"> </w:t>
                      </w:r>
                      <w:r w:rsidRPr="0014428B" w:rsidR="00AC0988">
                        <w:rPr>
                          <w:rFonts w:cs="Helvetica"/>
                          <w:color w:val="000000"/>
                        </w:rPr>
                        <w:t>Data will be collected through</w:t>
                      </w:r>
                      <w:r w:rsidRPr="009E2DA8" w:rsidR="009E2DA8">
                        <w:rPr>
                          <w:rFonts w:cs="Helvetica"/>
                          <w:color w:val="000000"/>
                        </w:rPr>
                        <w:t xml:space="preserve"> questionnaires, web-based surveys</w:t>
                      </w:r>
                      <w:r w:rsidR="000A5D9F">
                        <w:rPr>
                          <w:rFonts w:cs="Helvetica"/>
                          <w:color w:val="000000"/>
                        </w:rPr>
                        <w:t xml:space="preserve">, </w:t>
                      </w:r>
                      <w:r w:rsidR="009931A0">
                        <w:rPr>
                          <w:rFonts w:cs="Helvetica"/>
                          <w:color w:val="000000"/>
                        </w:rPr>
                        <w:t>qualitative</w:t>
                      </w:r>
                      <w:r w:rsidRPr="0014428B" w:rsidR="009931A0">
                        <w:rPr>
                          <w:rFonts w:cs="Helvetica"/>
                          <w:color w:val="000000"/>
                        </w:rPr>
                        <w:t xml:space="preserve"> </w:t>
                      </w:r>
                      <w:r w:rsidRPr="0014428B" w:rsidR="00AC0988">
                        <w:rPr>
                          <w:rFonts w:cs="Helvetica"/>
                          <w:color w:val="000000"/>
                        </w:rPr>
                        <w:t xml:space="preserve">interviews and </w:t>
                      </w:r>
                      <w:r w:rsidR="009931A0">
                        <w:rPr>
                          <w:rFonts w:cs="Helvetica"/>
                          <w:color w:val="000000"/>
                        </w:rPr>
                        <w:t xml:space="preserve">direct </w:t>
                      </w:r>
                      <w:r w:rsidRPr="0014428B" w:rsidR="00AC0988">
                        <w:rPr>
                          <w:rFonts w:cs="Helvetica"/>
                          <w:color w:val="000000"/>
                        </w:rPr>
                        <w:t>observation</w:t>
                      </w:r>
                      <w:r w:rsidR="009931A0">
                        <w:rPr>
                          <w:rFonts w:cs="Helvetica"/>
                          <w:color w:val="000000"/>
                        </w:rPr>
                        <w:t xml:space="preserve"> of participants</w:t>
                      </w:r>
                      <w:r w:rsidRPr="0014428B" w:rsidR="00AC0988">
                        <w:rPr>
                          <w:rFonts w:cs="Helvetica"/>
                          <w:color w:val="000000"/>
                        </w:rPr>
                        <w:t xml:space="preserve">. Teams will set up in-person or phone interviews with individual customers. </w:t>
                      </w:r>
                      <w:r w:rsidRPr="0014428B" w:rsidR="00AC0988">
                        <w:rPr>
                          <w:rFonts w:cs="Helvetica"/>
                        </w:rPr>
                        <w:t xml:space="preserve">Information and data gathered via the customer interviews will be organized into ideas or themes that appear to be related so that teams can better understand their customers and their problems. </w:t>
                      </w:r>
                      <w:r w:rsidR="009931A0">
                        <w:rPr>
                          <w:rFonts w:cs="Helvetica"/>
                        </w:rPr>
                        <w:t xml:space="preserve"> Data collected under this generic mechanism are not research, or generalizable to broader populations.</w:t>
                      </w:r>
                    </w:p>
                    <w:p w:rsidRPr="007A2903" w:rsidR="007A1C68" w:rsidP="00DA7300" w:rsidRDefault="007A1C68" w14:paraId="304D9921" w14:textId="77777777">
                      <w:pPr>
                        <w:autoSpaceDE w:val="0"/>
                        <w:autoSpaceDN w:val="0"/>
                        <w:adjustRightInd w:val="0"/>
                        <w:rPr>
                          <w:rFonts w:cs="Helvetica"/>
                          <w:sz w:val="24"/>
                          <w:szCs w:val="24"/>
                        </w:rPr>
                      </w:pPr>
                    </w:p>
                    <w:p w:rsidR="007A1C68" w:rsidP="00DA7300" w:rsidRDefault="007A1C68" w14:paraId="2BF851FE" w14:textId="77777777"/>
                  </w:txbxContent>
                </v:textbox>
                <w10:wrap type="square" anchorx="margin"/>
              </v:shape>
            </w:pict>
          </mc:Fallback>
        </mc:AlternateContent>
      </w:r>
    </w:p>
    <w:p w:rsidR="00821335" w:rsidP="005B2A35" w:rsidRDefault="00821335" w14:paraId="416C16E8" w14:textId="2A362ECA">
      <w:pPr>
        <w:pStyle w:val="Heading1"/>
        <w:rPr>
          <w:rFonts w:asciiTheme="minorHAnsi" w:hAnsiTheme="minorHAnsi"/>
          <w:sz w:val="22"/>
          <w:szCs w:val="22"/>
        </w:rPr>
      </w:pPr>
    </w:p>
    <w:p w:rsidR="00821335" w:rsidP="005B2A35" w:rsidRDefault="00821335" w14:paraId="72B175CF" w14:textId="3F067BC9">
      <w:pPr>
        <w:pStyle w:val="Heading1"/>
        <w:rPr>
          <w:rFonts w:asciiTheme="minorHAnsi" w:hAnsiTheme="minorHAnsi"/>
          <w:sz w:val="22"/>
          <w:szCs w:val="22"/>
        </w:rPr>
      </w:pPr>
    </w:p>
    <w:p w:rsidR="00821335" w:rsidP="00821335" w:rsidRDefault="00821335" w14:paraId="360E58E5" w14:textId="77777777"/>
    <w:p w:rsidR="00821335" w:rsidP="00821335" w:rsidRDefault="00821335" w14:paraId="5F750B80" w14:textId="77777777"/>
    <w:p w:rsidR="00821335" w:rsidP="00821335" w:rsidRDefault="00821335" w14:paraId="28472430" w14:textId="77777777"/>
    <w:p w:rsidR="00DF2AA3" w:rsidP="00821335" w:rsidRDefault="00DF2AA3" w14:paraId="30FCDA8C" w14:textId="77777777"/>
    <w:p w:rsidR="00DF2AA3" w:rsidP="00821335" w:rsidRDefault="00DF2AA3" w14:paraId="6F58F2C4" w14:textId="77777777"/>
    <w:p w:rsidR="00DF2AA3" w:rsidP="00821335" w:rsidRDefault="00DF2AA3" w14:paraId="4266351A" w14:textId="77777777"/>
    <w:p w:rsidR="00DF2AA3" w:rsidP="00821335" w:rsidRDefault="00DF2AA3" w14:paraId="660FEF80" w14:textId="77777777"/>
    <w:p w:rsidR="00DF2AA3" w:rsidP="00821335" w:rsidRDefault="00DF2AA3" w14:paraId="0C63DF2A" w14:textId="77777777"/>
    <w:p w:rsidR="00DF2AA3" w:rsidP="00821335" w:rsidRDefault="00DF2AA3" w14:paraId="6E7503AE" w14:textId="77777777"/>
    <w:p w:rsidRPr="009A5895" w:rsidR="00DC2CD8" w:rsidP="005B2A35" w:rsidRDefault="00DC2CD8" w14:paraId="0681F11D" w14:textId="77777777">
      <w:pPr>
        <w:pStyle w:val="Heading1"/>
        <w:rPr>
          <w:rFonts w:asciiTheme="minorHAnsi" w:hAnsiTheme="minorHAnsi"/>
          <w:sz w:val="22"/>
          <w:szCs w:val="22"/>
        </w:rPr>
      </w:pPr>
      <w:bookmarkStart w:name="_Toc466364029" w:id="2"/>
      <w:r w:rsidRPr="009A5895">
        <w:rPr>
          <w:rFonts w:asciiTheme="minorHAnsi" w:hAnsiTheme="minorHAnsi"/>
          <w:sz w:val="22"/>
          <w:szCs w:val="22"/>
        </w:rPr>
        <w:t>A. Justification</w:t>
      </w:r>
      <w:bookmarkEnd w:id="2"/>
      <w:r w:rsidRPr="009A5895">
        <w:rPr>
          <w:rFonts w:asciiTheme="minorHAnsi" w:hAnsiTheme="minorHAnsi"/>
          <w:sz w:val="22"/>
          <w:szCs w:val="22"/>
        </w:rPr>
        <w:t xml:space="preserve"> </w:t>
      </w:r>
    </w:p>
    <w:p w:rsidRPr="009A5895" w:rsidR="002B470C" w:rsidP="005B2A35" w:rsidRDefault="002B470C" w14:paraId="420BA18E" w14:textId="77777777">
      <w:pPr>
        <w:pStyle w:val="Heading3"/>
        <w:rPr>
          <w:rFonts w:asciiTheme="minorHAnsi" w:hAnsiTheme="minorHAnsi"/>
          <w:sz w:val="22"/>
          <w:szCs w:val="22"/>
        </w:rPr>
      </w:pPr>
      <w:bookmarkStart w:name="_Toc466364030" w:id="3"/>
      <w:r w:rsidRPr="009A5895">
        <w:rPr>
          <w:rFonts w:asciiTheme="minorHAnsi" w:hAnsiTheme="minorHAnsi"/>
          <w:sz w:val="22"/>
          <w:szCs w:val="22"/>
        </w:rPr>
        <w:t>1. Circumstances Making the Collection of Information Necessary</w:t>
      </w:r>
      <w:bookmarkEnd w:id="3"/>
    </w:p>
    <w:p w:rsidR="000D0E7B" w:rsidP="00ED01F1" w:rsidRDefault="00726232" w14:paraId="3A5D9033" w14:textId="264B265C">
      <w:pPr>
        <w:jc w:val="both"/>
        <w:rPr>
          <w:rFonts w:asciiTheme="minorHAnsi" w:hAnsiTheme="minorHAnsi"/>
        </w:rPr>
      </w:pPr>
      <w:r w:rsidRPr="00726232">
        <w:rPr>
          <w:rFonts w:asciiTheme="minorHAnsi" w:hAnsiTheme="minorHAnsi"/>
        </w:rPr>
        <w:t>The Office of Technology and Innovation (OTI) in the Office of Science at the Centers for Diseases Control and Prevention</w:t>
      </w:r>
      <w:r w:rsidR="0052666A">
        <w:rPr>
          <w:rFonts w:asciiTheme="minorHAnsi" w:hAnsiTheme="minorHAnsi"/>
        </w:rPr>
        <w:t xml:space="preserve"> (CDC)</w:t>
      </w:r>
      <w:r w:rsidRPr="00726232">
        <w:rPr>
          <w:rFonts w:asciiTheme="minorHAnsi" w:hAnsiTheme="minorHAnsi"/>
        </w:rPr>
        <w:t>, encourages, fosters, and develops innovative science, technologies, processes and policies that support the CDC/ATSDR. Federal scientific agencies, like the CDC, rely on research and scientific findings to help them develop solutions to public health problems which ultimately are disseminated to customers and stakeholders for adoption and use. However, anecdotal and empirical data show that many well-meaning, robust solutions are never used or adopted by the intended customer. This has resulted in a path littered with failed and unused government sponsored outputs.</w:t>
      </w:r>
      <w:r>
        <w:rPr>
          <w:rFonts w:asciiTheme="minorHAnsi" w:hAnsiTheme="minorHAnsi"/>
        </w:rPr>
        <w:t xml:space="preserve"> </w:t>
      </w:r>
      <w:r w:rsidR="00AC0988">
        <w:rPr>
          <w:rFonts w:asciiTheme="minorHAnsi" w:hAnsiTheme="minorHAnsi"/>
        </w:rPr>
        <w:t xml:space="preserve">A very general example of this is that some CDC divisions produce recommendations but evaluate that those recommendations are not adhered to because it may add extra work load burden on the user and they do not see the value rather than extra work. </w:t>
      </w:r>
      <w:r>
        <w:rPr>
          <w:rFonts w:asciiTheme="minorHAnsi" w:hAnsiTheme="minorHAnsi"/>
        </w:rPr>
        <w:t xml:space="preserve">One reason for this is that very often federal agencies make assumptions about what our customers want and need. </w:t>
      </w:r>
    </w:p>
    <w:p w:rsidR="000D0E7B" w:rsidP="00ED01F1" w:rsidRDefault="000D0E7B" w14:paraId="549C0B96" w14:textId="77777777">
      <w:pPr>
        <w:jc w:val="both"/>
        <w:rPr>
          <w:rFonts w:asciiTheme="minorHAnsi" w:hAnsiTheme="minorHAnsi"/>
        </w:rPr>
      </w:pPr>
    </w:p>
    <w:p w:rsidR="00ED01F1" w:rsidP="00ED01F1" w:rsidRDefault="00F973E6" w14:paraId="071BEC4F" w14:textId="32AC5F10">
      <w:pPr>
        <w:jc w:val="both"/>
        <w:rPr>
          <w:rFonts w:asciiTheme="minorHAnsi" w:hAnsiTheme="minorHAnsi"/>
        </w:rPr>
      </w:pPr>
      <w:r>
        <w:rPr>
          <w:rFonts w:asciiTheme="minorHAnsi" w:hAnsiTheme="minorHAnsi"/>
        </w:rPr>
        <w:t>The O</w:t>
      </w:r>
      <w:r w:rsidR="001624F4">
        <w:rPr>
          <w:rFonts w:asciiTheme="minorHAnsi" w:hAnsiTheme="minorHAnsi"/>
        </w:rPr>
        <w:t>TI</w:t>
      </w:r>
      <w:r w:rsidR="000C6AFE">
        <w:rPr>
          <w:rFonts w:asciiTheme="minorHAnsi" w:hAnsiTheme="minorHAnsi"/>
        </w:rPr>
        <w:t>’s</w:t>
      </w:r>
      <w:r>
        <w:rPr>
          <w:rFonts w:asciiTheme="minorHAnsi" w:hAnsiTheme="minorHAnsi"/>
        </w:rPr>
        <w:t xml:space="preserve"> </w:t>
      </w:r>
      <w:hyperlink w:history="1" r:id="rId11">
        <w:r w:rsidR="009F6EBC">
          <w:rPr>
            <w:rStyle w:val="Hyperlink"/>
            <w:rFonts w:ascii="Verdana" w:hAnsi="Verdana"/>
            <w:color w:val="4A006E"/>
            <w:sz w:val="18"/>
            <w:szCs w:val="18"/>
          </w:rPr>
          <w:t>Innovation Lab (I-Lab)</w:t>
        </w:r>
      </w:hyperlink>
      <w:r w:rsidR="009F6EBC">
        <w:rPr>
          <w:rFonts w:ascii="Verdana" w:hAnsi="Verdana"/>
          <w:color w:val="000000"/>
          <w:sz w:val="18"/>
          <w:szCs w:val="18"/>
          <w:shd w:val="clear" w:color="auto" w:fill="FFFFFF"/>
        </w:rPr>
        <w:t xml:space="preserve"> </w:t>
      </w:r>
      <w:r w:rsidR="00AB66EF">
        <w:rPr>
          <w:rFonts w:ascii="Verdana" w:hAnsi="Verdana"/>
          <w:color w:val="000000"/>
          <w:sz w:val="18"/>
          <w:szCs w:val="18"/>
          <w:shd w:val="clear" w:color="auto" w:fill="FFFFFF"/>
        </w:rPr>
        <w:t>offers a variety of programs and services t</w:t>
      </w:r>
      <w:r w:rsidR="000C6AFE">
        <w:rPr>
          <w:rFonts w:ascii="Verdana" w:hAnsi="Verdana"/>
          <w:color w:val="000000"/>
          <w:sz w:val="18"/>
          <w:szCs w:val="18"/>
          <w:shd w:val="clear" w:color="auto" w:fill="FFFFFF"/>
        </w:rPr>
        <w:t>o</w:t>
      </w:r>
      <w:r w:rsidR="00AB66EF">
        <w:rPr>
          <w:rFonts w:ascii="Verdana" w:hAnsi="Verdana"/>
          <w:color w:val="000000"/>
          <w:sz w:val="18"/>
          <w:szCs w:val="18"/>
          <w:shd w:val="clear" w:color="auto" w:fill="FFFFFF"/>
        </w:rPr>
        <w:t xml:space="preserve"> promote</w:t>
      </w:r>
      <w:r w:rsidR="009F6EBC">
        <w:rPr>
          <w:rFonts w:ascii="Verdana" w:hAnsi="Verdana"/>
          <w:color w:val="000000"/>
          <w:sz w:val="18"/>
          <w:szCs w:val="18"/>
          <w:shd w:val="clear" w:color="auto" w:fill="FFFFFF"/>
        </w:rPr>
        <w:t xml:space="preserve"> the development of </w:t>
      </w:r>
      <w:r w:rsidR="00AB66EF">
        <w:rPr>
          <w:rFonts w:ascii="Verdana" w:hAnsi="Verdana"/>
          <w:color w:val="000000"/>
          <w:sz w:val="18"/>
          <w:szCs w:val="18"/>
          <w:shd w:val="clear" w:color="auto" w:fill="FFFFFF"/>
        </w:rPr>
        <w:t xml:space="preserve">innovative, </w:t>
      </w:r>
      <w:r w:rsidR="009F6EBC">
        <w:rPr>
          <w:rFonts w:ascii="Verdana" w:hAnsi="Verdana"/>
          <w:color w:val="000000"/>
          <w:sz w:val="18"/>
          <w:szCs w:val="18"/>
          <w:shd w:val="clear" w:color="auto" w:fill="FFFFFF"/>
        </w:rPr>
        <w:t>timely</w:t>
      </w:r>
      <w:r w:rsidR="00AB66EF">
        <w:rPr>
          <w:rFonts w:ascii="Verdana" w:hAnsi="Verdana"/>
          <w:color w:val="000000"/>
          <w:sz w:val="18"/>
          <w:szCs w:val="18"/>
          <w:shd w:val="clear" w:color="auto" w:fill="FFFFFF"/>
        </w:rPr>
        <w:t>, and customer-focused</w:t>
      </w:r>
      <w:r w:rsidR="009F6EBC">
        <w:rPr>
          <w:rFonts w:ascii="Verdana" w:hAnsi="Verdana"/>
          <w:color w:val="000000"/>
          <w:sz w:val="18"/>
          <w:szCs w:val="18"/>
          <w:shd w:val="clear" w:color="auto" w:fill="FFFFFF"/>
        </w:rPr>
        <w:t xml:space="preserve"> public health solutions</w:t>
      </w:r>
      <w:r w:rsidR="001136BF">
        <w:rPr>
          <w:rFonts w:ascii="Verdana" w:hAnsi="Verdana"/>
          <w:color w:val="000000"/>
          <w:sz w:val="18"/>
          <w:szCs w:val="18"/>
          <w:shd w:val="clear" w:color="auto" w:fill="FFFFFF"/>
        </w:rPr>
        <w:t xml:space="preserve">, including </w:t>
      </w:r>
      <w:r w:rsidR="001136BF">
        <w:rPr>
          <w:rFonts w:asciiTheme="minorHAnsi" w:hAnsiTheme="minorHAnsi"/>
        </w:rPr>
        <w:t>t</w:t>
      </w:r>
      <w:r w:rsidR="00726232">
        <w:rPr>
          <w:rFonts w:asciiTheme="minorHAnsi" w:hAnsiTheme="minorHAnsi"/>
        </w:rPr>
        <w:t>he</w:t>
      </w:r>
      <w:r w:rsidR="00C17A84">
        <w:rPr>
          <w:rFonts w:asciiTheme="minorHAnsi" w:hAnsiTheme="minorHAnsi"/>
        </w:rPr>
        <w:t xml:space="preserve"> Ideation Catalyst (</w:t>
      </w:r>
      <w:r w:rsidR="00726232">
        <w:rPr>
          <w:rFonts w:asciiTheme="minorHAnsi" w:hAnsiTheme="minorHAnsi"/>
        </w:rPr>
        <w:t>I-Catalyst</w:t>
      </w:r>
      <w:r w:rsidR="00C17A84">
        <w:rPr>
          <w:rFonts w:asciiTheme="minorHAnsi" w:hAnsiTheme="minorHAnsi"/>
        </w:rPr>
        <w:t>)</w:t>
      </w:r>
      <w:r w:rsidR="00726232">
        <w:rPr>
          <w:rFonts w:asciiTheme="minorHAnsi" w:hAnsiTheme="minorHAnsi"/>
        </w:rPr>
        <w:t xml:space="preserve"> program</w:t>
      </w:r>
      <w:r w:rsidR="001136BF">
        <w:rPr>
          <w:rFonts w:asciiTheme="minorHAnsi" w:hAnsiTheme="minorHAnsi"/>
        </w:rPr>
        <w:t>. The I-Catalyst program</w:t>
      </w:r>
      <w:r w:rsidR="00A8337E">
        <w:rPr>
          <w:rFonts w:asciiTheme="minorHAnsi" w:hAnsiTheme="minorHAnsi"/>
        </w:rPr>
        <w:t xml:space="preserve">, </w:t>
      </w:r>
      <w:r w:rsidR="00136E0E">
        <w:rPr>
          <w:rFonts w:asciiTheme="minorHAnsi" w:hAnsiTheme="minorHAnsi"/>
        </w:rPr>
        <w:t>available to all</w:t>
      </w:r>
      <w:r w:rsidR="00A8337E">
        <w:rPr>
          <w:rFonts w:asciiTheme="minorHAnsi" w:hAnsiTheme="minorHAnsi"/>
        </w:rPr>
        <w:t xml:space="preserve"> CDC/ATSDR staff, </w:t>
      </w:r>
      <w:r w:rsidR="00A8337E">
        <w:rPr>
          <w:rFonts w:ascii="Verdana" w:hAnsi="Verdana"/>
          <w:color w:val="000000"/>
          <w:sz w:val="18"/>
          <w:szCs w:val="18"/>
          <w:shd w:val="clear" w:color="auto" w:fill="FFFFFF"/>
        </w:rPr>
        <w:t xml:space="preserve">specifically address the issue of customer engagement in the planning and development of potential public health solutions. </w:t>
      </w:r>
      <w:r w:rsidRPr="00594C6F" w:rsidR="00136E0E">
        <w:rPr>
          <w:rFonts w:asciiTheme="minorHAnsi" w:hAnsiTheme="minorHAnsi" w:cstheme="minorHAnsi"/>
          <w:color w:val="000000"/>
          <w:shd w:val="clear" w:color="auto" w:fill="FFFFFF"/>
        </w:rPr>
        <w:t xml:space="preserve">The program combines in-class and virtual lectures with out-of-class learning and interactions with various stakeholders. </w:t>
      </w:r>
      <w:r w:rsidRPr="00136E0E" w:rsidR="00ED01F1">
        <w:rPr>
          <w:rFonts w:asciiTheme="minorHAnsi" w:hAnsiTheme="minorHAnsi" w:cstheme="minorHAnsi"/>
        </w:rPr>
        <w:t>The</w:t>
      </w:r>
      <w:r w:rsidRPr="00726232" w:rsidR="00ED01F1">
        <w:rPr>
          <w:rFonts w:asciiTheme="minorHAnsi" w:hAnsiTheme="minorHAnsi"/>
        </w:rPr>
        <w:t xml:space="preserve"> I-Catalyst program </w:t>
      </w:r>
      <w:r w:rsidR="00ED01F1">
        <w:rPr>
          <w:rFonts w:asciiTheme="minorHAnsi" w:hAnsiTheme="minorHAnsi"/>
        </w:rPr>
        <w:t xml:space="preserve">guides </w:t>
      </w:r>
      <w:r w:rsidR="00C1221A">
        <w:rPr>
          <w:rFonts w:asciiTheme="minorHAnsi" w:hAnsiTheme="minorHAnsi"/>
        </w:rPr>
        <w:t xml:space="preserve">CDC/ATSDR </w:t>
      </w:r>
      <w:r w:rsidR="00ED01F1">
        <w:rPr>
          <w:rFonts w:asciiTheme="minorHAnsi" w:hAnsiTheme="minorHAnsi"/>
        </w:rPr>
        <w:t>participants through</w:t>
      </w:r>
      <w:r w:rsidRPr="00726232" w:rsidR="00ED01F1">
        <w:rPr>
          <w:rFonts w:asciiTheme="minorHAnsi" w:hAnsiTheme="minorHAnsi"/>
        </w:rPr>
        <w:t xml:space="preserve"> a “customer discovery” process aimed at helping teams with a new solution </w:t>
      </w:r>
      <w:r w:rsidR="00DF2AA3">
        <w:rPr>
          <w:rFonts w:asciiTheme="minorHAnsi" w:hAnsiTheme="minorHAnsi"/>
        </w:rPr>
        <w:t xml:space="preserve">to </w:t>
      </w:r>
      <w:r w:rsidRPr="00726232" w:rsidR="00ED01F1">
        <w:rPr>
          <w:rFonts w:asciiTheme="minorHAnsi" w:hAnsiTheme="minorHAnsi"/>
        </w:rPr>
        <w:t xml:space="preserve">identify their customers. </w:t>
      </w:r>
      <w:r w:rsidR="00B53AF6">
        <w:rPr>
          <w:rFonts w:asciiTheme="minorHAnsi" w:hAnsiTheme="minorHAnsi"/>
        </w:rPr>
        <w:t xml:space="preserve">Staff in the OTI will also provide guidance </w:t>
      </w:r>
      <w:r w:rsidR="00795918">
        <w:rPr>
          <w:rFonts w:asciiTheme="minorHAnsi" w:hAnsiTheme="minorHAnsi"/>
        </w:rPr>
        <w:t xml:space="preserve">and consultation services </w:t>
      </w:r>
      <w:r w:rsidR="00B53AF6">
        <w:rPr>
          <w:rFonts w:asciiTheme="minorHAnsi" w:hAnsiTheme="minorHAnsi"/>
        </w:rPr>
        <w:t xml:space="preserve">to CDC programs through this process to incorporate customer discovery methodologies into their projects. </w:t>
      </w:r>
      <w:r w:rsidRPr="00726232" w:rsidR="00ED01F1">
        <w:rPr>
          <w:rFonts w:asciiTheme="minorHAnsi" w:hAnsiTheme="minorHAnsi"/>
        </w:rPr>
        <w:t xml:space="preserve">This </w:t>
      </w:r>
      <w:r w:rsidR="00DF2AA3">
        <w:rPr>
          <w:rFonts w:asciiTheme="minorHAnsi" w:hAnsiTheme="minorHAnsi"/>
        </w:rPr>
        <w:t xml:space="preserve">is </w:t>
      </w:r>
      <w:r w:rsidRPr="00726232" w:rsidR="00ED01F1">
        <w:rPr>
          <w:rFonts w:asciiTheme="minorHAnsi" w:hAnsiTheme="minorHAnsi"/>
        </w:rPr>
        <w:t>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w:t>
      </w:r>
      <w:r w:rsidRPr="00ED01F1" w:rsidR="00ED01F1">
        <w:rPr>
          <w:rFonts w:asciiTheme="minorHAnsi" w:hAnsiTheme="minorHAnsi"/>
        </w:rPr>
        <w:t xml:space="preserve"> </w:t>
      </w:r>
      <w:r w:rsidRPr="00B66115" w:rsidR="00ED01F1">
        <w:rPr>
          <w:rFonts w:asciiTheme="minorHAnsi" w:hAnsiTheme="minorHAnsi"/>
        </w:rPr>
        <w:t xml:space="preserve">Only conversations with potential </w:t>
      </w:r>
      <w:r w:rsidR="00811811">
        <w:rPr>
          <w:rFonts w:asciiTheme="minorHAnsi" w:hAnsiTheme="minorHAnsi"/>
        </w:rPr>
        <w:t>customers (stakeholders)</w:t>
      </w:r>
      <w:r w:rsidRPr="00B66115" w:rsidR="00ED01F1">
        <w:rPr>
          <w:rFonts w:asciiTheme="minorHAnsi" w:hAnsiTheme="minorHAnsi"/>
        </w:rPr>
        <w:t xml:space="preserve"> can provide the facts from which hypotheses are proven or disproven about whether a solution (product, process, etc.) creates value for the intended beneficiaries.</w:t>
      </w:r>
      <w:r w:rsidRPr="00342807" w:rsidR="00ED01F1">
        <w:t xml:space="preserve"> </w:t>
      </w:r>
      <w:r w:rsidRPr="006F3E99" w:rsidR="00ED01F1">
        <w:rPr>
          <w:rFonts w:asciiTheme="minorHAnsi" w:hAnsiTheme="minorHAnsi"/>
        </w:rPr>
        <w:t>It is expected that participants will leave the program with the ability to evaluate and translate their insights into solutions</w:t>
      </w:r>
      <w:r w:rsidR="00ED01F1">
        <w:rPr>
          <w:rFonts w:asciiTheme="minorHAnsi" w:hAnsiTheme="minorHAnsi"/>
        </w:rPr>
        <w:t xml:space="preserve"> that </w:t>
      </w:r>
      <w:r w:rsidRPr="00B66115" w:rsidR="00ED01F1">
        <w:rPr>
          <w:rFonts w:asciiTheme="minorHAnsi" w:hAnsiTheme="minorHAnsi"/>
        </w:rPr>
        <w:t>have high levels of efficacy and user acceptability</w:t>
      </w:r>
      <w:r w:rsidRPr="006F3E99" w:rsidR="00ED01F1">
        <w:rPr>
          <w:rFonts w:asciiTheme="minorHAnsi" w:hAnsiTheme="minorHAnsi"/>
        </w:rPr>
        <w:t>.</w:t>
      </w:r>
      <w:r w:rsidR="00B84964">
        <w:rPr>
          <w:rFonts w:asciiTheme="minorHAnsi" w:hAnsiTheme="minorHAnsi"/>
        </w:rPr>
        <w:t xml:space="preserve"> </w:t>
      </w:r>
      <w:r w:rsidR="00136E0E">
        <w:rPr>
          <w:rFonts w:asciiTheme="minorHAnsi" w:hAnsiTheme="minorHAnsi"/>
        </w:rPr>
        <w:t>CDC</w:t>
      </w:r>
      <w:r w:rsidR="001624F4">
        <w:rPr>
          <w:rFonts w:asciiTheme="minorHAnsi" w:hAnsiTheme="minorHAnsi"/>
        </w:rPr>
        <w:t xml:space="preserve"> developed the I-Catalyst generic clearance to facilitate</w:t>
      </w:r>
      <w:r w:rsidR="00AC6DAE">
        <w:rPr>
          <w:rFonts w:asciiTheme="minorHAnsi" w:hAnsiTheme="minorHAnsi"/>
        </w:rPr>
        <w:t xml:space="preserve"> t</w:t>
      </w:r>
      <w:r w:rsidR="00B84964">
        <w:rPr>
          <w:rFonts w:asciiTheme="minorHAnsi" w:hAnsiTheme="minorHAnsi"/>
        </w:rPr>
        <w:t xml:space="preserve">he </w:t>
      </w:r>
      <w:r w:rsidR="00AC6DAE">
        <w:rPr>
          <w:rFonts w:asciiTheme="minorHAnsi" w:hAnsiTheme="minorHAnsi"/>
        </w:rPr>
        <w:t xml:space="preserve">collection of </w:t>
      </w:r>
      <w:r w:rsidR="00B84964">
        <w:rPr>
          <w:rFonts w:asciiTheme="minorHAnsi" w:hAnsiTheme="minorHAnsi"/>
        </w:rPr>
        <w:t xml:space="preserve">information </w:t>
      </w:r>
      <w:r w:rsidR="00136E0E">
        <w:rPr>
          <w:rFonts w:asciiTheme="minorHAnsi" w:hAnsiTheme="minorHAnsi"/>
        </w:rPr>
        <w:t xml:space="preserve">from customers </w:t>
      </w:r>
      <w:r w:rsidR="00AC6DAE">
        <w:rPr>
          <w:rFonts w:asciiTheme="minorHAnsi" w:hAnsiTheme="minorHAnsi"/>
        </w:rPr>
        <w:t>needed</w:t>
      </w:r>
      <w:r w:rsidR="00B84964">
        <w:rPr>
          <w:rFonts w:asciiTheme="minorHAnsi" w:hAnsiTheme="minorHAnsi"/>
        </w:rPr>
        <w:t xml:space="preserve"> to guide CDC project teams </w:t>
      </w:r>
      <w:r w:rsidR="00AC6DAE">
        <w:rPr>
          <w:rFonts w:asciiTheme="minorHAnsi" w:hAnsiTheme="minorHAnsi"/>
        </w:rPr>
        <w:t>in</w:t>
      </w:r>
      <w:r w:rsidR="00B84964">
        <w:rPr>
          <w:rFonts w:asciiTheme="minorHAnsi" w:hAnsiTheme="minorHAnsi"/>
        </w:rPr>
        <w:t xml:space="preserve"> creat</w:t>
      </w:r>
      <w:r w:rsidR="00AC6DAE">
        <w:rPr>
          <w:rFonts w:asciiTheme="minorHAnsi" w:hAnsiTheme="minorHAnsi"/>
        </w:rPr>
        <w:t>ing</w:t>
      </w:r>
      <w:r w:rsidR="00B84964">
        <w:rPr>
          <w:rFonts w:asciiTheme="minorHAnsi" w:hAnsiTheme="minorHAnsi"/>
        </w:rPr>
        <w:t xml:space="preserve"> usable solutions that are customer</w:t>
      </w:r>
      <w:r w:rsidR="005540F8">
        <w:rPr>
          <w:rFonts w:asciiTheme="minorHAnsi" w:hAnsiTheme="minorHAnsi"/>
        </w:rPr>
        <w:t>-</w:t>
      </w:r>
      <w:r w:rsidR="00B84964">
        <w:rPr>
          <w:rFonts w:asciiTheme="minorHAnsi" w:hAnsiTheme="minorHAnsi"/>
        </w:rPr>
        <w:t>centric and meaningful to users</w:t>
      </w:r>
      <w:r w:rsidR="00AC6DAE">
        <w:rPr>
          <w:rFonts w:asciiTheme="minorHAnsi" w:hAnsiTheme="minorHAnsi"/>
        </w:rPr>
        <w:t>.</w:t>
      </w:r>
      <w:r w:rsidR="005540F8">
        <w:rPr>
          <w:rFonts w:asciiTheme="minorHAnsi" w:hAnsiTheme="minorHAnsi"/>
        </w:rPr>
        <w:t xml:space="preserve"> An overview of the I-Catalyst process is provided in Attachment 4, </w:t>
      </w:r>
      <w:r w:rsidR="005540F8">
        <w:t>I-Cat Sample Customer Discovery Slides + Processes.</w:t>
      </w:r>
      <w:r w:rsidR="00AC6DAE">
        <w:rPr>
          <w:rFonts w:asciiTheme="minorHAnsi" w:hAnsiTheme="minorHAnsi"/>
        </w:rPr>
        <w:t xml:space="preserve">  </w:t>
      </w:r>
      <w:r w:rsidR="00422128">
        <w:rPr>
          <w:rFonts w:asciiTheme="minorHAnsi" w:hAnsiTheme="minorHAnsi"/>
        </w:rPr>
        <w:t xml:space="preserve"> </w:t>
      </w:r>
    </w:p>
    <w:p w:rsidR="00ED01F1" w:rsidP="00ED01F1" w:rsidRDefault="00ED01F1" w14:paraId="554557B5" w14:textId="77777777">
      <w:pPr>
        <w:jc w:val="both"/>
      </w:pPr>
    </w:p>
    <w:p w:rsidR="000E06DD" w:rsidP="00304C7F" w:rsidRDefault="00136E0E" w14:paraId="7C2CF3F8" w14:textId="521E736E">
      <w:pPr>
        <w:jc w:val="both"/>
        <w:rPr>
          <w:rFonts w:asciiTheme="minorHAnsi" w:hAnsiTheme="minorHAnsi"/>
          <w:color w:val="000000"/>
        </w:rPr>
      </w:pPr>
      <w:bookmarkStart w:name="_Hlk20740879" w:id="4"/>
      <w:r>
        <w:t>In t</w:t>
      </w:r>
      <w:r w:rsidRPr="00F168DA" w:rsidR="00ED01F1">
        <w:t xml:space="preserve">his </w:t>
      </w:r>
      <w:r>
        <w:t xml:space="preserve">Revision </w:t>
      </w:r>
      <w:r w:rsidRPr="00F168DA" w:rsidR="00ED01F1">
        <w:t>request</w:t>
      </w:r>
      <w:r w:rsidR="00C1221A">
        <w:t>, CDC</w:t>
      </w:r>
      <w:r w:rsidRPr="00F168DA" w:rsidR="00ED01F1">
        <w:t xml:space="preserve"> seeks approval for </w:t>
      </w:r>
      <w:r w:rsidR="00E971D8">
        <w:t>minor changes to the I-Catalyst generic clearance</w:t>
      </w:r>
      <w:r w:rsidR="00EE0D44">
        <w:t xml:space="preserve">.  The number of burden hours will decrease based on participation in the I-Catalyst program during the period 2017-2019.  However, through </w:t>
      </w:r>
      <w:r w:rsidR="00747404">
        <w:t>related</w:t>
      </w:r>
      <w:r w:rsidR="00E971D8">
        <w:t xml:space="preserve"> </w:t>
      </w:r>
      <w:r w:rsidR="00EE0D44">
        <w:t>technical assistance</w:t>
      </w:r>
      <w:r w:rsidR="00795918">
        <w:t xml:space="preserve"> and consultation services</w:t>
      </w:r>
      <w:r w:rsidR="00EE0D44">
        <w:t xml:space="preserve"> </w:t>
      </w:r>
      <w:r w:rsidR="000C6AFE">
        <w:t xml:space="preserve">provided </w:t>
      </w:r>
      <w:r w:rsidR="00E971D8">
        <w:t>by OTI</w:t>
      </w:r>
      <w:r w:rsidR="005E689D">
        <w:t xml:space="preserve">’s I-Lab </w:t>
      </w:r>
      <w:r w:rsidR="00EE0D44">
        <w:t xml:space="preserve">to CDC/ATSDR programs, </w:t>
      </w:r>
      <w:r w:rsidR="00E971D8">
        <w:t>CDC</w:t>
      </w:r>
      <w:r w:rsidR="00EE0D44">
        <w:t xml:space="preserve"> has identified </w:t>
      </w:r>
      <w:r w:rsidR="00EA489F">
        <w:t xml:space="preserve">additional opportunities for information collection </w:t>
      </w:r>
      <w:r w:rsidR="00747404">
        <w:t>compatible with I-Catalyst</w:t>
      </w:r>
      <w:r w:rsidR="00E971D8">
        <w:t xml:space="preserve"> goals </w:t>
      </w:r>
      <w:r w:rsidR="00747404">
        <w:t>and methods</w:t>
      </w:r>
      <w:r w:rsidR="00EA489F">
        <w:t>. During the next 3-year period CDC anticipates utilization of the I-Catalyst generic clearance</w:t>
      </w:r>
      <w:r w:rsidR="00E971D8">
        <w:t xml:space="preserve"> by</w:t>
      </w:r>
      <w:r w:rsidR="00A304A4">
        <w:t xml:space="preserve"> previous participants in the I-Catalyst program a</w:t>
      </w:r>
      <w:r w:rsidR="00610352">
        <w:t xml:space="preserve">s well as </w:t>
      </w:r>
      <w:r w:rsidR="00A304A4">
        <w:t>other</w:t>
      </w:r>
      <w:r w:rsidR="00EA489F">
        <w:t xml:space="preserve"> </w:t>
      </w:r>
      <w:r w:rsidR="00B53AF6">
        <w:t>CDC programs implementing customer discovery projects</w:t>
      </w:r>
      <w:r w:rsidR="005562B2">
        <w:t xml:space="preserve">.  </w:t>
      </w:r>
      <w:r w:rsidR="00A07FF9">
        <w:t xml:space="preserve">The title of the clearance is being updated to reflect its use by </w:t>
      </w:r>
      <w:r w:rsidR="00E51C4F">
        <w:t xml:space="preserve">additional CDC/ATSDR project teams approved by OTI. </w:t>
      </w:r>
      <w:r w:rsidR="00A304A4">
        <w:t>The</w:t>
      </w:r>
      <w:r w:rsidR="00E971D8">
        <w:t xml:space="preserve"> I-Catalyst</w:t>
      </w:r>
      <w:r w:rsidR="00A304A4">
        <w:t xml:space="preserve"> clearance will continue to be used for</w:t>
      </w:r>
      <w:r w:rsidR="005562B2">
        <w:t xml:space="preserve"> </w:t>
      </w:r>
      <w:r w:rsidR="00A304A4">
        <w:t xml:space="preserve">information </w:t>
      </w:r>
      <w:r w:rsidR="005562B2">
        <w:t xml:space="preserve">collections </w:t>
      </w:r>
      <w:r w:rsidR="00621F96">
        <w:t>necessary</w:t>
      </w:r>
      <w:r w:rsidR="00A304A4">
        <w:t xml:space="preserve"> to </w:t>
      </w:r>
      <w:r w:rsidR="00610352">
        <w:t>explore</w:t>
      </w:r>
      <w:r w:rsidR="00A304A4">
        <w:t xml:space="preserve"> the</w:t>
      </w:r>
      <w:r w:rsidR="00610352">
        <w:t xml:space="preserve"> </w:t>
      </w:r>
      <w:r w:rsidR="00A304A4">
        <w:t xml:space="preserve">needs and preferences of </w:t>
      </w:r>
      <w:r w:rsidR="005562B2">
        <w:t>specific stakeholder groups</w:t>
      </w:r>
      <w:r w:rsidR="00610352">
        <w:t xml:space="preserve">, and </w:t>
      </w:r>
      <w:r w:rsidR="005562B2">
        <w:t xml:space="preserve">to facilitate and improve </w:t>
      </w:r>
      <w:r w:rsidR="00621F96">
        <w:t xml:space="preserve">the acceptance and usability of </w:t>
      </w:r>
      <w:r w:rsidR="005562B2">
        <w:t xml:space="preserve">CDC </w:t>
      </w:r>
      <w:r w:rsidR="00621F96">
        <w:t>products</w:t>
      </w:r>
      <w:r w:rsidR="00506E72">
        <w:t xml:space="preserve">, programs, </w:t>
      </w:r>
      <w:r w:rsidR="005562B2">
        <w:t>and technologies</w:t>
      </w:r>
      <w:r w:rsidR="00ED01F1">
        <w:t xml:space="preserve">. </w:t>
      </w:r>
      <w:r w:rsidR="00747404">
        <w:t xml:space="preserve">All projects submitted to OMB for approval under the I-Catalyst generic clearance will be consistent with CDC/OTI goals for promoting scientific innovation, </w:t>
      </w:r>
      <w:r w:rsidR="001136BF">
        <w:t>customer engagement, and</w:t>
      </w:r>
      <w:r w:rsidR="00747404">
        <w:t xml:space="preserve"> entrepreneurship in public health.</w:t>
      </w:r>
      <w:bookmarkEnd w:id="4"/>
    </w:p>
    <w:p w:rsidR="000E06DD" w:rsidP="00304C7F" w:rsidRDefault="000E06DD" w14:paraId="6936CE40" w14:textId="77777777">
      <w:pPr>
        <w:jc w:val="both"/>
        <w:rPr>
          <w:rFonts w:asciiTheme="minorHAnsi" w:hAnsiTheme="minorHAnsi"/>
          <w:color w:val="000000"/>
        </w:rPr>
      </w:pPr>
    </w:p>
    <w:p w:rsidRPr="00ED01F1" w:rsidR="00304C7F" w:rsidP="00304C7F" w:rsidRDefault="000C6919" w14:paraId="14255353" w14:textId="27AFB3B2">
      <w:pPr>
        <w:jc w:val="both"/>
        <w:rPr>
          <w:rFonts w:asciiTheme="minorHAnsi" w:hAnsiTheme="minorHAnsi"/>
          <w:color w:val="000000"/>
        </w:rPr>
      </w:pPr>
      <w:r>
        <w:t>Th</w:t>
      </w:r>
      <w:r w:rsidR="000E06DD">
        <w:t>is information collection</w:t>
      </w:r>
      <w:r w:rsidR="00FD5E1F">
        <w:t xml:space="preserve"> is authorized under Section 301 of the Public Health Service Act 42 U.S.C.241 (</w:t>
      </w:r>
      <w:r w:rsidR="00D022A6">
        <w:t>Att.</w:t>
      </w:r>
      <w:r w:rsidR="00FD5E1F">
        <w:t xml:space="preserve"> 1)</w:t>
      </w:r>
      <w:r w:rsidR="00304C7F">
        <w:t>.</w:t>
      </w:r>
    </w:p>
    <w:p w:rsidRPr="00B66115" w:rsidR="00304C7F" w:rsidP="00B66115" w:rsidRDefault="00304C7F" w14:paraId="748B97CB" w14:textId="77777777">
      <w:pPr>
        <w:jc w:val="both"/>
        <w:rPr>
          <w:rFonts w:eastAsia="Times New Roman" w:asciiTheme="minorHAnsi" w:hAnsiTheme="minorHAnsi"/>
        </w:rPr>
      </w:pPr>
    </w:p>
    <w:p w:rsidRPr="009A5895" w:rsidR="002B470C" w:rsidP="005B2A35" w:rsidRDefault="002B470C" w14:paraId="3A0F110F" w14:textId="77777777">
      <w:pPr>
        <w:pStyle w:val="Heading3"/>
        <w:rPr>
          <w:rFonts w:asciiTheme="minorHAnsi" w:hAnsiTheme="minorHAnsi"/>
          <w:sz w:val="22"/>
          <w:szCs w:val="22"/>
        </w:rPr>
      </w:pPr>
      <w:bookmarkStart w:name="_Toc466364031" w:id="5"/>
      <w:r w:rsidRPr="009A5895">
        <w:rPr>
          <w:rFonts w:asciiTheme="minorHAnsi" w:hAnsiTheme="minorHAnsi"/>
          <w:sz w:val="22"/>
          <w:szCs w:val="22"/>
        </w:rPr>
        <w:t>2. Purpose and Use of Information Collection</w:t>
      </w:r>
      <w:bookmarkEnd w:id="5"/>
      <w:r w:rsidRPr="009A5895">
        <w:rPr>
          <w:rFonts w:asciiTheme="minorHAnsi" w:hAnsiTheme="minorHAnsi"/>
          <w:sz w:val="22"/>
          <w:szCs w:val="22"/>
        </w:rPr>
        <w:t xml:space="preserve"> </w:t>
      </w:r>
    </w:p>
    <w:p w:rsidR="00EE0D44" w:rsidP="00304C7F" w:rsidRDefault="00EE0D44" w14:paraId="26B5891D" w14:textId="19C7C3EE">
      <w:pPr>
        <w:autoSpaceDE w:val="0"/>
        <w:autoSpaceDN w:val="0"/>
        <w:adjustRightInd w:val="0"/>
        <w:jc w:val="both"/>
        <w:rPr>
          <w:rFonts w:eastAsia="Times New Roman" w:asciiTheme="minorHAnsi" w:hAnsiTheme="minorHAnsi"/>
        </w:rPr>
      </w:pPr>
      <w:r w:rsidRPr="00B66115">
        <w:rPr>
          <w:rFonts w:eastAsia="Times New Roman" w:asciiTheme="minorHAnsi" w:hAnsiTheme="minorHAnsi"/>
        </w:rPr>
        <w:t xml:space="preserve">The ultimate goal of the </w:t>
      </w:r>
      <w:r w:rsidRPr="00B66115">
        <w:rPr>
          <w:rFonts w:asciiTheme="minorHAnsi" w:hAnsiTheme="minorHAnsi"/>
        </w:rPr>
        <w:t>I-Catalyst program is to give CDC staff skills to</w:t>
      </w:r>
      <w:r w:rsidRPr="00B66115">
        <w:rPr>
          <w:rFonts w:eastAsia="Times New Roman" w:asciiTheme="minorHAnsi" w:hAnsiTheme="minorHAnsi"/>
        </w:rPr>
        <w:t xml:space="preserve"> successfully transfer knowledge into solutions that benefit society and broaden the agency’s impact. </w:t>
      </w:r>
      <w:r w:rsidRPr="00681832">
        <w:rPr>
          <w:rFonts w:asciiTheme="minorHAnsi" w:hAnsiTheme="minorHAnsi"/>
          <w:color w:val="000000"/>
        </w:rPr>
        <w:t xml:space="preserve">The results of </w:t>
      </w:r>
      <w:r>
        <w:rPr>
          <w:rFonts w:asciiTheme="minorHAnsi" w:hAnsiTheme="minorHAnsi"/>
          <w:color w:val="000000"/>
        </w:rPr>
        <w:t>the</w:t>
      </w:r>
      <w:r w:rsidRPr="00681832">
        <w:rPr>
          <w:rFonts w:asciiTheme="minorHAnsi" w:hAnsiTheme="minorHAnsi"/>
          <w:color w:val="000000"/>
        </w:rPr>
        <w:t xml:space="preserve"> program will help CDC teams make the case for </w:t>
      </w:r>
      <w:r>
        <w:rPr>
          <w:rFonts w:asciiTheme="minorHAnsi" w:hAnsiTheme="minorHAnsi"/>
          <w:color w:val="000000"/>
        </w:rPr>
        <w:t>support</w:t>
      </w:r>
      <w:r w:rsidRPr="00681832">
        <w:rPr>
          <w:rFonts w:asciiTheme="minorHAnsi" w:hAnsiTheme="minorHAnsi"/>
          <w:color w:val="000000"/>
        </w:rPr>
        <w:t xml:space="preserve"> to advance important improvements and </w:t>
      </w:r>
      <w:r>
        <w:rPr>
          <w:rFonts w:asciiTheme="minorHAnsi" w:hAnsiTheme="minorHAnsi"/>
          <w:color w:val="000000"/>
        </w:rPr>
        <w:t>solutions that customers value</w:t>
      </w:r>
      <w:r w:rsidRPr="00681832">
        <w:rPr>
          <w:rFonts w:asciiTheme="minorHAnsi" w:hAnsiTheme="minorHAnsi"/>
          <w:color w:val="000000"/>
        </w:rPr>
        <w:t xml:space="preserve">, which </w:t>
      </w:r>
      <w:r>
        <w:rPr>
          <w:rFonts w:asciiTheme="minorHAnsi" w:hAnsiTheme="minorHAnsi"/>
          <w:color w:val="000000"/>
        </w:rPr>
        <w:t>is</w:t>
      </w:r>
      <w:r w:rsidRPr="00681832">
        <w:rPr>
          <w:rFonts w:asciiTheme="minorHAnsi" w:hAnsiTheme="minorHAnsi"/>
          <w:color w:val="000000"/>
        </w:rPr>
        <w:t xml:space="preserve"> critical for ensuring that the CDC continues to deliver on its public health mission</w:t>
      </w:r>
      <w:r>
        <w:rPr>
          <w:rFonts w:asciiTheme="minorHAnsi" w:hAnsiTheme="minorHAnsi"/>
          <w:color w:val="000000"/>
        </w:rPr>
        <w:t>.</w:t>
      </w:r>
    </w:p>
    <w:p w:rsidR="00BA3A6A" w:rsidP="00304C7F" w:rsidRDefault="00BA3A6A" w14:paraId="3423F792" w14:textId="77777777">
      <w:pPr>
        <w:autoSpaceDE w:val="0"/>
        <w:autoSpaceDN w:val="0"/>
        <w:adjustRightInd w:val="0"/>
        <w:jc w:val="both"/>
        <w:rPr>
          <w:rFonts w:eastAsia="Times New Roman" w:asciiTheme="minorHAnsi" w:hAnsiTheme="minorHAnsi"/>
        </w:rPr>
      </w:pPr>
    </w:p>
    <w:p w:rsidR="00304C7F" w:rsidP="00304C7F" w:rsidRDefault="001F1862" w14:paraId="75153294" w14:textId="2F8C36FE">
      <w:pPr>
        <w:autoSpaceDE w:val="0"/>
        <w:autoSpaceDN w:val="0"/>
        <w:adjustRightInd w:val="0"/>
        <w:jc w:val="both"/>
        <w:rPr>
          <w:rFonts w:eastAsia="Times New Roman" w:asciiTheme="minorHAnsi" w:hAnsiTheme="minorHAnsi"/>
        </w:rPr>
      </w:pPr>
      <w:r w:rsidRPr="00304C7F">
        <w:rPr>
          <w:rFonts w:eastAsia="Times New Roman" w:asciiTheme="minorHAnsi" w:hAnsiTheme="minorHAnsi"/>
        </w:rPr>
        <w:t xml:space="preserve">The </w:t>
      </w:r>
      <w:r w:rsidR="009171C1">
        <w:rPr>
          <w:rFonts w:eastAsia="Times New Roman" w:asciiTheme="minorHAnsi" w:hAnsiTheme="minorHAnsi"/>
        </w:rPr>
        <w:t xml:space="preserve">purpose </w:t>
      </w:r>
      <w:r w:rsidRPr="00304C7F">
        <w:rPr>
          <w:rFonts w:eastAsia="Times New Roman" w:asciiTheme="minorHAnsi" w:hAnsiTheme="minorHAnsi"/>
        </w:rPr>
        <w:t>of the</w:t>
      </w:r>
      <w:r w:rsidR="009171C1">
        <w:rPr>
          <w:rFonts w:eastAsia="Times New Roman" w:asciiTheme="minorHAnsi" w:hAnsiTheme="minorHAnsi"/>
        </w:rPr>
        <w:t xml:space="preserve"> I-</w:t>
      </w:r>
      <w:r w:rsidR="00B84964">
        <w:rPr>
          <w:rFonts w:eastAsia="Times New Roman" w:asciiTheme="minorHAnsi" w:hAnsiTheme="minorHAnsi"/>
        </w:rPr>
        <w:t>Catalyst</w:t>
      </w:r>
      <w:r w:rsidRPr="00304C7F">
        <w:rPr>
          <w:rFonts w:eastAsia="Times New Roman" w:asciiTheme="minorHAnsi" w:hAnsiTheme="minorHAnsi"/>
        </w:rPr>
        <w:t xml:space="preserve"> program is to teach CDC teams a process of discovering the issues and problems faced by their customers</w:t>
      </w:r>
      <w:r w:rsidR="00B66550">
        <w:rPr>
          <w:rFonts w:eastAsia="Times New Roman" w:asciiTheme="minorHAnsi" w:hAnsiTheme="minorHAnsi"/>
        </w:rPr>
        <w:t>/stakeholders</w:t>
      </w:r>
      <w:r w:rsidR="00556E61">
        <w:rPr>
          <w:rFonts w:eastAsia="Times New Roman" w:asciiTheme="minorHAnsi" w:hAnsiTheme="minorHAnsi"/>
        </w:rPr>
        <w:t xml:space="preserve"> before considerable time and money is spent on a solution that won’t be used. </w:t>
      </w:r>
      <w:r w:rsidR="009171C1">
        <w:rPr>
          <w:rFonts w:eastAsia="Times New Roman" w:asciiTheme="minorHAnsi" w:hAnsiTheme="minorHAnsi"/>
        </w:rPr>
        <w:t xml:space="preserve">For example, a CDC team wants to build a smartphone application that allows patients and doctors to get immediate access to CDC’s asthma prevention guidance.  They feel strongly that this solution will lead to </w:t>
      </w:r>
      <w:r w:rsidR="00095972">
        <w:rPr>
          <w:rFonts w:eastAsia="Times New Roman" w:asciiTheme="minorHAnsi" w:hAnsiTheme="minorHAnsi"/>
        </w:rPr>
        <w:t>increased</w:t>
      </w:r>
      <w:r w:rsidR="009171C1">
        <w:rPr>
          <w:rFonts w:eastAsia="Times New Roman" w:asciiTheme="minorHAnsi" w:hAnsiTheme="minorHAnsi"/>
        </w:rPr>
        <w:t xml:space="preserve"> use of their asthma guidance. But the team doesn’t really know why doctors and patients aren’t using their guidance and are assuming that if they build the appl</w:t>
      </w:r>
      <w:r w:rsidR="00095972">
        <w:rPr>
          <w:rFonts w:eastAsia="Times New Roman" w:asciiTheme="minorHAnsi" w:hAnsiTheme="minorHAnsi"/>
        </w:rPr>
        <w:t>ication they will get better uptake. CDC I-Catalyst teaches teams a process for understanding what their customers need and want and using that information to inform the development of solutions</w:t>
      </w:r>
      <w:r w:rsidR="005540F8">
        <w:rPr>
          <w:rFonts w:eastAsia="Times New Roman" w:asciiTheme="minorHAnsi" w:hAnsiTheme="minorHAnsi"/>
        </w:rPr>
        <w:t xml:space="preserve"> (e.g., the Smartphone application above)</w:t>
      </w:r>
      <w:r w:rsidR="00095972">
        <w:rPr>
          <w:rFonts w:eastAsia="Times New Roman" w:asciiTheme="minorHAnsi" w:hAnsiTheme="minorHAnsi"/>
        </w:rPr>
        <w:t xml:space="preserve">. </w:t>
      </w:r>
      <w:r w:rsidR="00556E61">
        <w:rPr>
          <w:rFonts w:eastAsia="Times New Roman" w:asciiTheme="minorHAnsi" w:hAnsiTheme="minorHAnsi"/>
        </w:rPr>
        <w:t>The information collected</w:t>
      </w:r>
      <w:r w:rsidRPr="001F1862">
        <w:rPr>
          <w:rFonts w:eastAsia="Times New Roman" w:asciiTheme="minorHAnsi" w:hAnsiTheme="minorHAnsi"/>
        </w:rPr>
        <w:t xml:space="preserve"> will be used for internal CDC decision making </w:t>
      </w:r>
      <w:r w:rsidR="00185415">
        <w:rPr>
          <w:rFonts w:eastAsia="Times New Roman" w:asciiTheme="minorHAnsi" w:hAnsiTheme="minorHAnsi"/>
        </w:rPr>
        <w:t xml:space="preserve">purposes </w:t>
      </w:r>
      <w:r w:rsidRPr="001F1862">
        <w:rPr>
          <w:rFonts w:eastAsia="Times New Roman" w:asciiTheme="minorHAnsi" w:hAnsiTheme="minorHAnsi"/>
        </w:rPr>
        <w:t xml:space="preserve">and to provide suggestions for improving development of public health solutions.  </w:t>
      </w:r>
      <w:r w:rsidR="00185415">
        <w:rPr>
          <w:rFonts w:eastAsia="Times New Roman" w:asciiTheme="minorHAnsi" w:hAnsiTheme="minorHAnsi"/>
        </w:rPr>
        <w:t xml:space="preserve"> Information gathered </w:t>
      </w:r>
      <w:r w:rsidR="00011201">
        <w:rPr>
          <w:rFonts w:eastAsia="Times New Roman" w:asciiTheme="minorHAnsi" w:hAnsiTheme="minorHAnsi"/>
        </w:rPr>
        <w:t xml:space="preserve">will be used by teams to make </w:t>
      </w:r>
      <w:r w:rsidR="00185415">
        <w:rPr>
          <w:rFonts w:eastAsia="Times New Roman" w:asciiTheme="minorHAnsi" w:hAnsiTheme="minorHAnsi"/>
        </w:rPr>
        <w:t>more informed decision</w:t>
      </w:r>
      <w:r w:rsidR="00011201">
        <w:rPr>
          <w:rFonts w:eastAsia="Times New Roman" w:asciiTheme="minorHAnsi" w:hAnsiTheme="minorHAnsi"/>
        </w:rPr>
        <w:t>s</w:t>
      </w:r>
      <w:r w:rsidR="00185415">
        <w:rPr>
          <w:rFonts w:eastAsia="Times New Roman" w:asciiTheme="minorHAnsi" w:hAnsiTheme="minorHAnsi"/>
        </w:rPr>
        <w:t xml:space="preserve"> about their </w:t>
      </w:r>
      <w:r w:rsidR="005540F8">
        <w:rPr>
          <w:rFonts w:eastAsia="Times New Roman" w:asciiTheme="minorHAnsi" w:hAnsiTheme="minorHAnsi"/>
        </w:rPr>
        <w:t xml:space="preserve">strategic investments in </w:t>
      </w:r>
      <w:r w:rsidR="00185415">
        <w:rPr>
          <w:rFonts w:eastAsia="Times New Roman" w:asciiTheme="minorHAnsi" w:hAnsiTheme="minorHAnsi"/>
        </w:rPr>
        <w:t>proposed solution</w:t>
      </w:r>
      <w:r w:rsidR="005540F8">
        <w:rPr>
          <w:rFonts w:eastAsia="Times New Roman" w:asciiTheme="minorHAnsi" w:hAnsiTheme="minorHAnsi"/>
        </w:rPr>
        <w:t>s</w:t>
      </w:r>
      <w:r w:rsidR="00185415">
        <w:rPr>
          <w:rFonts w:eastAsia="Times New Roman" w:asciiTheme="minorHAnsi" w:hAnsiTheme="minorHAnsi"/>
        </w:rPr>
        <w:t xml:space="preserve">. </w:t>
      </w:r>
      <w:r w:rsidR="00032176">
        <w:rPr>
          <w:rFonts w:eastAsia="Times New Roman" w:asciiTheme="minorHAnsi" w:hAnsiTheme="minorHAnsi"/>
        </w:rPr>
        <w:t>The customer interviews</w:t>
      </w:r>
      <w:r w:rsidR="0051095B">
        <w:rPr>
          <w:rFonts w:eastAsia="Times New Roman" w:asciiTheme="minorHAnsi" w:hAnsiTheme="minorHAnsi"/>
        </w:rPr>
        <w:t xml:space="preserve"> will help teams </w:t>
      </w:r>
      <w:r w:rsidR="00032176">
        <w:rPr>
          <w:rFonts w:eastAsia="Times New Roman" w:asciiTheme="minorHAnsi" w:hAnsiTheme="minorHAnsi"/>
        </w:rPr>
        <w:t>determine if their proposed solution will be beneficial to the customer or not</w:t>
      </w:r>
      <w:r w:rsidR="0051095B">
        <w:rPr>
          <w:rFonts w:eastAsia="Times New Roman" w:asciiTheme="minorHAnsi" w:hAnsiTheme="minorHAnsi"/>
        </w:rPr>
        <w:t xml:space="preserve">. </w:t>
      </w:r>
      <w:r w:rsidR="00032176">
        <w:rPr>
          <w:rFonts w:eastAsia="Times New Roman" w:asciiTheme="minorHAnsi" w:hAnsiTheme="minorHAnsi"/>
        </w:rPr>
        <w:t xml:space="preserve">If the information collected indicates that the customer’s problem would be relieved by the proposed solution, then the CDC teams would have some evidence with which to pursue leadership support and resources for further development. If the </w:t>
      </w:r>
      <w:r w:rsidR="00566116">
        <w:rPr>
          <w:rFonts w:eastAsia="Times New Roman" w:asciiTheme="minorHAnsi" w:hAnsiTheme="minorHAnsi"/>
        </w:rPr>
        <w:t>results of the information collection do not support the need for the proposed solution, then internal discussions and decisions will need to be made to either</w:t>
      </w:r>
      <w:r w:rsidR="00185415">
        <w:rPr>
          <w:rFonts w:eastAsia="Times New Roman" w:asciiTheme="minorHAnsi" w:hAnsiTheme="minorHAnsi"/>
        </w:rPr>
        <w:t xml:space="preserve"> change direction</w:t>
      </w:r>
      <w:r w:rsidR="00566116">
        <w:rPr>
          <w:rFonts w:eastAsia="Times New Roman" w:asciiTheme="minorHAnsi" w:hAnsiTheme="minorHAnsi"/>
        </w:rPr>
        <w:t>s or stop activity altogether</w:t>
      </w:r>
      <w:r w:rsidRPr="00304C7F" w:rsidR="00185415">
        <w:rPr>
          <w:rFonts w:eastAsia="Times New Roman" w:asciiTheme="minorHAnsi" w:hAnsiTheme="minorHAnsi"/>
        </w:rPr>
        <w:t xml:space="preserve">. </w:t>
      </w:r>
      <w:r w:rsidR="000A359E">
        <w:rPr>
          <w:rFonts w:eastAsia="Times New Roman" w:asciiTheme="minorHAnsi" w:hAnsiTheme="minorHAnsi"/>
        </w:rPr>
        <w:t xml:space="preserve">The information collected is not </w:t>
      </w:r>
      <w:r w:rsidRPr="000A359E" w:rsidR="000A359E">
        <w:rPr>
          <w:rFonts w:eastAsia="Times New Roman" w:asciiTheme="minorHAnsi" w:hAnsiTheme="minorHAnsi"/>
        </w:rPr>
        <w:t>designed to drive important budgetary and/or public policy decisions</w:t>
      </w:r>
      <w:r w:rsidR="000A359E">
        <w:rPr>
          <w:rFonts w:eastAsia="Times New Roman" w:asciiTheme="minorHAnsi" w:hAnsiTheme="minorHAnsi"/>
        </w:rPr>
        <w:t>.</w:t>
      </w:r>
    </w:p>
    <w:p w:rsidR="00304C7F" w:rsidP="00304C7F" w:rsidRDefault="00304C7F" w14:paraId="6D46DF4C" w14:textId="77777777">
      <w:pPr>
        <w:autoSpaceDE w:val="0"/>
        <w:autoSpaceDN w:val="0"/>
        <w:adjustRightInd w:val="0"/>
        <w:jc w:val="both"/>
        <w:rPr>
          <w:rFonts w:asciiTheme="minorHAnsi" w:hAnsiTheme="minorHAnsi"/>
        </w:rPr>
      </w:pPr>
    </w:p>
    <w:p w:rsidR="008964B9" w:rsidP="00304C7F" w:rsidRDefault="008964B9" w14:paraId="662788E8" w14:textId="5E8611F3">
      <w:pPr>
        <w:autoSpaceDE w:val="0"/>
        <w:autoSpaceDN w:val="0"/>
        <w:adjustRightInd w:val="0"/>
        <w:jc w:val="both"/>
        <w:rPr>
          <w:rFonts w:asciiTheme="minorHAnsi" w:hAnsiTheme="minorHAnsi"/>
        </w:rPr>
      </w:pPr>
      <w:r>
        <w:rPr>
          <w:rFonts w:asciiTheme="minorHAnsi" w:hAnsiTheme="minorHAnsi"/>
        </w:rPr>
        <w:t>All information collections submitted under this generic mechanism must include an abbreviated supporting statement part A that</w:t>
      </w:r>
      <w:r w:rsidR="00AC19E3">
        <w:rPr>
          <w:rFonts w:asciiTheme="minorHAnsi" w:hAnsiTheme="minorHAnsi"/>
        </w:rPr>
        <w:t xml:space="preserve"> also</w:t>
      </w:r>
      <w:r>
        <w:rPr>
          <w:rFonts w:asciiTheme="minorHAnsi" w:hAnsiTheme="minorHAnsi"/>
        </w:rPr>
        <w:t xml:space="preserve"> contains the following information/materials:</w:t>
      </w:r>
    </w:p>
    <w:p w:rsidR="008964B9" w:rsidP="00304C7F" w:rsidRDefault="008964B9" w14:paraId="40DFE252" w14:textId="77777777">
      <w:pPr>
        <w:autoSpaceDE w:val="0"/>
        <w:autoSpaceDN w:val="0"/>
        <w:adjustRightInd w:val="0"/>
        <w:jc w:val="both"/>
        <w:rPr>
          <w:rFonts w:asciiTheme="minorHAnsi" w:hAnsiTheme="minorHAnsi"/>
        </w:rPr>
      </w:pPr>
    </w:p>
    <w:p w:rsidR="008964B9" w:rsidP="008964B9" w:rsidRDefault="008964B9" w14:paraId="0B09F6DB" w14:textId="114181E1">
      <w:pPr>
        <w:pStyle w:val="ListParagraph"/>
        <w:numPr>
          <w:ilvl w:val="0"/>
          <w:numId w:val="22"/>
        </w:numPr>
        <w:autoSpaceDE w:val="0"/>
        <w:autoSpaceDN w:val="0"/>
        <w:adjustRightInd w:val="0"/>
        <w:jc w:val="both"/>
        <w:rPr>
          <w:rFonts w:asciiTheme="minorHAnsi" w:hAnsiTheme="minorHAnsi"/>
        </w:rPr>
      </w:pPr>
      <w:r>
        <w:rPr>
          <w:rFonts w:asciiTheme="minorHAnsi" w:hAnsiTheme="minorHAnsi"/>
        </w:rPr>
        <w:t>Confirmation that the proposed collection is being conducted by a CDC project team</w:t>
      </w:r>
      <w:r w:rsidR="0075467F">
        <w:rPr>
          <w:rFonts w:asciiTheme="minorHAnsi" w:hAnsiTheme="minorHAnsi"/>
        </w:rPr>
        <w:t xml:space="preserve"> with technical assistance by OTI and I-Catalyst program staff</w:t>
      </w:r>
    </w:p>
    <w:p w:rsidR="00B53AF6" w:rsidP="00B53AF6" w:rsidRDefault="00B53AF6" w14:paraId="45C6498F" w14:textId="77777777">
      <w:pPr>
        <w:pStyle w:val="ListParagraph"/>
        <w:autoSpaceDE w:val="0"/>
        <w:autoSpaceDN w:val="0"/>
        <w:adjustRightInd w:val="0"/>
        <w:jc w:val="both"/>
        <w:rPr>
          <w:rFonts w:asciiTheme="minorHAnsi" w:hAnsiTheme="minorHAnsi"/>
        </w:rPr>
      </w:pPr>
    </w:p>
    <w:p w:rsidR="00B53AF6" w:rsidP="008964B9" w:rsidRDefault="00B53AF6" w14:paraId="79E17D0F" w14:textId="07093173">
      <w:pPr>
        <w:pStyle w:val="ListParagraph"/>
        <w:numPr>
          <w:ilvl w:val="0"/>
          <w:numId w:val="22"/>
        </w:numPr>
        <w:autoSpaceDE w:val="0"/>
        <w:autoSpaceDN w:val="0"/>
        <w:adjustRightInd w:val="0"/>
        <w:jc w:val="both"/>
        <w:rPr>
          <w:rFonts w:asciiTheme="minorHAnsi" w:hAnsiTheme="minorHAnsi"/>
        </w:rPr>
      </w:pPr>
      <w:r>
        <w:rPr>
          <w:rFonts w:asciiTheme="minorHAnsi" w:hAnsiTheme="minorHAnsi"/>
        </w:rPr>
        <w:t>Confirmation that the proposed collection is being conducted by a CDC program for the purpose of customer discovery</w:t>
      </w:r>
    </w:p>
    <w:p w:rsidRPr="008964B9" w:rsidR="008964B9" w:rsidP="008964B9" w:rsidRDefault="008964B9" w14:paraId="67FA4006" w14:textId="77777777">
      <w:pPr>
        <w:autoSpaceDE w:val="0"/>
        <w:autoSpaceDN w:val="0"/>
        <w:adjustRightInd w:val="0"/>
        <w:jc w:val="both"/>
        <w:rPr>
          <w:rFonts w:asciiTheme="minorHAnsi" w:hAnsiTheme="minorHAnsi"/>
        </w:rPr>
      </w:pPr>
    </w:p>
    <w:p w:rsidRPr="008964B9" w:rsidR="008964B9" w:rsidP="008964B9" w:rsidRDefault="008964B9" w14:paraId="15F18828" w14:textId="74D5BF6E">
      <w:pPr>
        <w:pStyle w:val="ListParagraph"/>
        <w:numPr>
          <w:ilvl w:val="0"/>
          <w:numId w:val="22"/>
        </w:numPr>
        <w:autoSpaceDE w:val="0"/>
        <w:autoSpaceDN w:val="0"/>
        <w:adjustRightInd w:val="0"/>
        <w:jc w:val="both"/>
        <w:rPr>
          <w:rFonts w:asciiTheme="minorHAnsi" w:hAnsiTheme="minorHAnsi"/>
        </w:rPr>
      </w:pPr>
      <w:r>
        <w:rPr>
          <w:rFonts w:asciiTheme="minorHAnsi" w:hAnsiTheme="minorHAnsi"/>
        </w:rPr>
        <w:t xml:space="preserve">Problem statement being investigated by the </w:t>
      </w:r>
      <w:r w:rsidR="00B53AF6">
        <w:rPr>
          <w:rFonts w:asciiTheme="minorHAnsi" w:hAnsiTheme="minorHAnsi"/>
        </w:rPr>
        <w:t xml:space="preserve">CDC </w:t>
      </w:r>
      <w:r w:rsidR="0075467F">
        <w:rPr>
          <w:rFonts w:asciiTheme="minorHAnsi" w:hAnsiTheme="minorHAnsi"/>
        </w:rPr>
        <w:t>project team</w:t>
      </w:r>
    </w:p>
    <w:p w:rsidRPr="008964B9" w:rsidR="008964B9" w:rsidP="008964B9" w:rsidRDefault="008964B9" w14:paraId="5892E1E9" w14:textId="77777777">
      <w:pPr>
        <w:autoSpaceDE w:val="0"/>
        <w:autoSpaceDN w:val="0"/>
        <w:adjustRightInd w:val="0"/>
        <w:jc w:val="both"/>
        <w:rPr>
          <w:rFonts w:asciiTheme="minorHAnsi" w:hAnsiTheme="minorHAnsi"/>
        </w:rPr>
      </w:pPr>
    </w:p>
    <w:p w:rsidR="008964B9" w:rsidP="008964B9" w:rsidRDefault="008964B9" w14:paraId="2E675230" w14:textId="6BDF51DA">
      <w:pPr>
        <w:pStyle w:val="ListParagraph"/>
        <w:numPr>
          <w:ilvl w:val="0"/>
          <w:numId w:val="22"/>
        </w:numPr>
        <w:autoSpaceDE w:val="0"/>
        <w:autoSpaceDN w:val="0"/>
        <w:adjustRightInd w:val="0"/>
        <w:jc w:val="both"/>
        <w:rPr>
          <w:rFonts w:asciiTheme="minorHAnsi" w:hAnsiTheme="minorHAnsi"/>
        </w:rPr>
      </w:pPr>
      <w:r>
        <w:rPr>
          <w:rFonts w:asciiTheme="minorHAnsi" w:hAnsiTheme="minorHAnsi"/>
        </w:rPr>
        <w:t>Identification of the target respondent groups (e.g., stakeholders or types of customers being surveyed)</w:t>
      </w:r>
    </w:p>
    <w:p w:rsidRPr="008964B9" w:rsidR="008964B9" w:rsidP="008964B9" w:rsidRDefault="008964B9" w14:paraId="5B730933" w14:textId="77777777">
      <w:pPr>
        <w:autoSpaceDE w:val="0"/>
        <w:autoSpaceDN w:val="0"/>
        <w:adjustRightInd w:val="0"/>
        <w:jc w:val="both"/>
        <w:rPr>
          <w:rFonts w:asciiTheme="minorHAnsi" w:hAnsiTheme="minorHAnsi"/>
        </w:rPr>
      </w:pPr>
    </w:p>
    <w:p w:rsidR="008964B9" w:rsidP="008964B9" w:rsidRDefault="008964B9" w14:paraId="4FBEF58F" w14:textId="71540F67">
      <w:pPr>
        <w:pStyle w:val="ListParagraph"/>
        <w:numPr>
          <w:ilvl w:val="0"/>
          <w:numId w:val="22"/>
        </w:numPr>
        <w:autoSpaceDE w:val="0"/>
        <w:autoSpaceDN w:val="0"/>
        <w:adjustRightInd w:val="0"/>
        <w:jc w:val="both"/>
        <w:rPr>
          <w:rFonts w:asciiTheme="minorHAnsi" w:hAnsiTheme="minorHAnsi"/>
        </w:rPr>
      </w:pPr>
      <w:r>
        <w:rPr>
          <w:rFonts w:asciiTheme="minorHAnsi" w:hAnsiTheme="minorHAnsi"/>
        </w:rPr>
        <w:t>Specific instruments being employed to conduct the collection (e.g., focus group guide, interview language, survey questions)</w:t>
      </w:r>
    </w:p>
    <w:p w:rsidRPr="00C878D6" w:rsidR="008964B9" w:rsidP="00C878D6" w:rsidRDefault="008964B9" w14:paraId="4EE16B85" w14:textId="77777777">
      <w:pPr>
        <w:pStyle w:val="ListParagraph"/>
        <w:rPr>
          <w:rFonts w:asciiTheme="minorHAnsi" w:hAnsiTheme="minorHAnsi"/>
        </w:rPr>
      </w:pPr>
    </w:p>
    <w:p w:rsidR="008964B9" w:rsidP="008964B9" w:rsidRDefault="008964B9" w14:paraId="57E6DE0D" w14:textId="472861E3">
      <w:pPr>
        <w:pStyle w:val="ListParagraph"/>
        <w:numPr>
          <w:ilvl w:val="0"/>
          <w:numId w:val="22"/>
        </w:numPr>
        <w:autoSpaceDE w:val="0"/>
        <w:autoSpaceDN w:val="0"/>
        <w:adjustRightInd w:val="0"/>
        <w:jc w:val="both"/>
        <w:rPr>
          <w:rFonts w:asciiTheme="minorHAnsi" w:hAnsiTheme="minorHAnsi"/>
        </w:rPr>
      </w:pPr>
      <w:r>
        <w:rPr>
          <w:rFonts w:asciiTheme="minorHAnsi" w:hAnsiTheme="minorHAnsi"/>
        </w:rPr>
        <w:t>Brief statement describing the analytical methods employed to evaluate the outcomes and potential applications of the outcomes.  If any statistical methods are employed to sample or analyze outcomes, please include an abbreviated Supporting Statement part B in the submission.</w:t>
      </w:r>
    </w:p>
    <w:p w:rsidRPr="002E48CD" w:rsidR="002E48CD" w:rsidP="002E48CD" w:rsidRDefault="002E48CD" w14:paraId="674B5DB6" w14:textId="77777777">
      <w:pPr>
        <w:pStyle w:val="ListParagraph"/>
        <w:rPr>
          <w:rFonts w:asciiTheme="minorHAnsi" w:hAnsiTheme="minorHAnsi"/>
        </w:rPr>
      </w:pPr>
    </w:p>
    <w:p w:rsidRPr="008964B9" w:rsidR="002E48CD" w:rsidP="008964B9" w:rsidRDefault="002E48CD" w14:paraId="2E82B44B" w14:textId="18DBB0D9">
      <w:pPr>
        <w:pStyle w:val="ListParagraph"/>
        <w:numPr>
          <w:ilvl w:val="0"/>
          <w:numId w:val="22"/>
        </w:numPr>
        <w:autoSpaceDE w:val="0"/>
        <w:autoSpaceDN w:val="0"/>
        <w:adjustRightInd w:val="0"/>
        <w:jc w:val="both"/>
        <w:rPr>
          <w:rFonts w:asciiTheme="minorHAnsi" w:hAnsiTheme="minorHAnsi"/>
        </w:rPr>
      </w:pPr>
      <w:r>
        <w:rPr>
          <w:rFonts w:asciiTheme="minorHAnsi" w:hAnsiTheme="minorHAnsi"/>
        </w:rPr>
        <w:t>Confirmation that no incentives will be provided to respondents.</w:t>
      </w:r>
    </w:p>
    <w:p w:rsidRPr="009A5895" w:rsidR="008964B9" w:rsidP="00304C7F" w:rsidRDefault="008964B9" w14:paraId="15BC2B4A" w14:textId="77777777">
      <w:pPr>
        <w:autoSpaceDE w:val="0"/>
        <w:autoSpaceDN w:val="0"/>
        <w:adjustRightInd w:val="0"/>
        <w:jc w:val="both"/>
        <w:rPr>
          <w:rFonts w:asciiTheme="minorHAnsi" w:hAnsiTheme="minorHAnsi"/>
        </w:rPr>
      </w:pPr>
    </w:p>
    <w:p w:rsidRPr="009A5895" w:rsidR="002B470C" w:rsidP="005B2A35" w:rsidRDefault="002B470C" w14:paraId="56F2D33E" w14:textId="77777777">
      <w:pPr>
        <w:pStyle w:val="Heading3"/>
        <w:rPr>
          <w:rFonts w:asciiTheme="minorHAnsi" w:hAnsiTheme="minorHAnsi"/>
          <w:sz w:val="22"/>
          <w:szCs w:val="22"/>
        </w:rPr>
      </w:pPr>
      <w:bookmarkStart w:name="_Toc466364032" w:id="6"/>
      <w:r w:rsidRPr="009A5895">
        <w:rPr>
          <w:rFonts w:asciiTheme="minorHAnsi" w:hAnsiTheme="minorHAnsi"/>
          <w:sz w:val="22"/>
          <w:szCs w:val="22"/>
        </w:rPr>
        <w:lastRenderedPageBreak/>
        <w:t>3. Use of Improved Information Technology and Burden Reduction</w:t>
      </w:r>
      <w:bookmarkEnd w:id="6"/>
      <w:r w:rsidRPr="009A5895">
        <w:rPr>
          <w:rFonts w:asciiTheme="minorHAnsi" w:hAnsiTheme="minorHAnsi"/>
          <w:sz w:val="22"/>
          <w:szCs w:val="22"/>
        </w:rPr>
        <w:t xml:space="preserve"> </w:t>
      </w:r>
    </w:p>
    <w:p w:rsidRPr="00681832" w:rsidR="00494E3D" w:rsidP="00681832" w:rsidRDefault="005540F8" w14:paraId="3C9EE3DD" w14:textId="09F48C7C">
      <w:pPr>
        <w:jc w:val="both"/>
        <w:rPr>
          <w:rFonts w:asciiTheme="minorHAnsi" w:hAnsiTheme="minorHAnsi"/>
        </w:rPr>
      </w:pPr>
      <w:r>
        <w:rPr>
          <w:rFonts w:asciiTheme="minorHAnsi" w:hAnsiTheme="minorHAnsi"/>
        </w:rPr>
        <w:t>In general, t</w:t>
      </w:r>
      <w:r w:rsidRPr="00681832" w:rsidR="00B75614">
        <w:rPr>
          <w:rFonts w:asciiTheme="minorHAnsi" w:hAnsiTheme="minorHAnsi"/>
        </w:rPr>
        <w:t>he unstructured interviews will be conducted in</w:t>
      </w:r>
      <w:r>
        <w:rPr>
          <w:rFonts w:asciiTheme="minorHAnsi" w:hAnsiTheme="minorHAnsi"/>
        </w:rPr>
        <w:t>-</w:t>
      </w:r>
      <w:r w:rsidRPr="00681832" w:rsidR="00B75614">
        <w:rPr>
          <w:rFonts w:asciiTheme="minorHAnsi" w:hAnsiTheme="minorHAnsi"/>
        </w:rPr>
        <w:t xml:space="preserve">person, on-site.  Using unstructured </w:t>
      </w:r>
      <w:r w:rsidR="00095972">
        <w:rPr>
          <w:rFonts w:asciiTheme="minorHAnsi" w:hAnsiTheme="minorHAnsi"/>
        </w:rPr>
        <w:t xml:space="preserve">and formative </w:t>
      </w:r>
      <w:r w:rsidR="00FD5E1F">
        <w:rPr>
          <w:rFonts w:asciiTheme="minorHAnsi" w:hAnsiTheme="minorHAnsi"/>
        </w:rPr>
        <w:t xml:space="preserve">interview </w:t>
      </w:r>
      <w:r w:rsidRPr="00681832" w:rsidR="00B75614">
        <w:rPr>
          <w:rFonts w:asciiTheme="minorHAnsi" w:hAnsiTheme="minorHAnsi"/>
        </w:rPr>
        <w:t xml:space="preserve">protocols allows </w:t>
      </w:r>
      <w:r w:rsidR="00095972">
        <w:rPr>
          <w:rFonts w:asciiTheme="minorHAnsi" w:hAnsiTheme="minorHAnsi"/>
        </w:rPr>
        <w:t xml:space="preserve">the </w:t>
      </w:r>
      <w:r w:rsidR="00FD5E1F">
        <w:rPr>
          <w:rFonts w:asciiTheme="minorHAnsi" w:hAnsiTheme="minorHAnsi"/>
        </w:rPr>
        <w:t>interviewer</w:t>
      </w:r>
      <w:r w:rsidRPr="00681832" w:rsidR="00B75614">
        <w:rPr>
          <w:rFonts w:asciiTheme="minorHAnsi" w:hAnsiTheme="minorHAnsi"/>
        </w:rPr>
        <w:t xml:space="preserve"> to follow the </w:t>
      </w:r>
      <w:r w:rsidR="00FD5E1F">
        <w:rPr>
          <w:rFonts w:asciiTheme="minorHAnsi" w:hAnsiTheme="minorHAnsi"/>
        </w:rPr>
        <w:t>respondent’</w:t>
      </w:r>
      <w:r w:rsidRPr="00681832" w:rsidR="00FD5E1F">
        <w:rPr>
          <w:rFonts w:asciiTheme="minorHAnsi" w:hAnsiTheme="minorHAnsi"/>
        </w:rPr>
        <w:t>s</w:t>
      </w:r>
      <w:r w:rsidRPr="00681832" w:rsidR="00B75614">
        <w:rPr>
          <w:rFonts w:asciiTheme="minorHAnsi" w:hAnsiTheme="minorHAnsi"/>
        </w:rPr>
        <w:t xml:space="preserve"> lead during in-person </w:t>
      </w:r>
      <w:r w:rsidR="00095972">
        <w:rPr>
          <w:rFonts w:asciiTheme="minorHAnsi" w:hAnsiTheme="minorHAnsi"/>
        </w:rPr>
        <w:t>conversations</w:t>
      </w:r>
      <w:r w:rsidRPr="00681832" w:rsidR="00B75614">
        <w:rPr>
          <w:rFonts w:asciiTheme="minorHAnsi" w:hAnsiTheme="minorHAnsi"/>
        </w:rPr>
        <w:t xml:space="preserve">.    Such interviews also allow the interviewers to directly observe the context and environment of the </w:t>
      </w:r>
      <w:r w:rsidRPr="00681832" w:rsidR="00494E3D">
        <w:rPr>
          <w:rFonts w:asciiTheme="minorHAnsi" w:hAnsiTheme="minorHAnsi"/>
        </w:rPr>
        <w:t>customer</w:t>
      </w:r>
      <w:r w:rsidRPr="00681832" w:rsidR="00B75614">
        <w:rPr>
          <w:rFonts w:asciiTheme="minorHAnsi" w:hAnsiTheme="minorHAnsi"/>
        </w:rPr>
        <w:t xml:space="preserve">.  For example, the effects of </w:t>
      </w:r>
      <w:r w:rsidRPr="00681832" w:rsidR="00F52FC0">
        <w:rPr>
          <w:rFonts w:asciiTheme="minorHAnsi" w:hAnsiTheme="minorHAnsi"/>
        </w:rPr>
        <w:t xml:space="preserve">a </w:t>
      </w:r>
      <w:r w:rsidRPr="00681832" w:rsidR="00494E3D">
        <w:rPr>
          <w:rFonts w:asciiTheme="minorHAnsi" w:hAnsiTheme="minorHAnsi"/>
        </w:rPr>
        <w:t>new technology</w:t>
      </w:r>
      <w:r w:rsidRPr="00681832" w:rsidR="00F52FC0">
        <w:rPr>
          <w:rFonts w:asciiTheme="minorHAnsi" w:hAnsiTheme="minorHAnsi"/>
        </w:rPr>
        <w:t>/product on an existing process or system</w:t>
      </w:r>
      <w:r w:rsidRPr="00681832" w:rsidR="00B75614">
        <w:rPr>
          <w:rFonts w:asciiTheme="minorHAnsi" w:hAnsiTheme="minorHAnsi"/>
        </w:rPr>
        <w:t xml:space="preserve">, the interactions between </w:t>
      </w:r>
      <w:r w:rsidRPr="00681832" w:rsidR="00494E3D">
        <w:rPr>
          <w:rFonts w:asciiTheme="minorHAnsi" w:hAnsiTheme="minorHAnsi"/>
        </w:rPr>
        <w:t>customer segments</w:t>
      </w:r>
      <w:r w:rsidRPr="00681832" w:rsidR="00B75614">
        <w:rPr>
          <w:rFonts w:asciiTheme="minorHAnsi" w:hAnsiTheme="minorHAnsi"/>
        </w:rPr>
        <w:t xml:space="preserve">, and the interface between instructors and students during training activities cannot be captured over </w:t>
      </w:r>
      <w:r w:rsidR="00A73F24">
        <w:rPr>
          <w:rFonts w:asciiTheme="minorHAnsi" w:hAnsiTheme="minorHAnsi"/>
        </w:rPr>
        <w:t xml:space="preserve">automated collection techniques. However, there are instances where teams can use improved information technology such as Skype or video conferencing for interviews to reduce the burden and provide flexibility in </w:t>
      </w:r>
      <w:r w:rsidR="00D02565">
        <w:rPr>
          <w:rFonts w:asciiTheme="minorHAnsi" w:hAnsiTheme="minorHAnsi"/>
        </w:rPr>
        <w:t xml:space="preserve">scheduling </w:t>
      </w:r>
      <w:r w:rsidR="00A73F24">
        <w:rPr>
          <w:rFonts w:asciiTheme="minorHAnsi" w:hAnsiTheme="minorHAnsi"/>
        </w:rPr>
        <w:t>responde</w:t>
      </w:r>
      <w:r w:rsidR="006C1460">
        <w:rPr>
          <w:rFonts w:asciiTheme="minorHAnsi" w:hAnsiTheme="minorHAnsi"/>
        </w:rPr>
        <w:t>nt</w:t>
      </w:r>
      <w:r w:rsidR="00A73F24">
        <w:rPr>
          <w:rFonts w:asciiTheme="minorHAnsi" w:hAnsiTheme="minorHAnsi"/>
        </w:rPr>
        <w:t xml:space="preserve"> </w:t>
      </w:r>
      <w:r w:rsidR="00D02565">
        <w:rPr>
          <w:rFonts w:asciiTheme="minorHAnsi" w:hAnsiTheme="minorHAnsi"/>
        </w:rPr>
        <w:t>participation</w:t>
      </w:r>
      <w:r w:rsidR="00A73F24">
        <w:rPr>
          <w:rFonts w:asciiTheme="minorHAnsi" w:hAnsiTheme="minorHAnsi"/>
        </w:rPr>
        <w:t xml:space="preserve">.  </w:t>
      </w:r>
      <w:r w:rsidRPr="00681832" w:rsidR="00494E3D">
        <w:rPr>
          <w:rFonts w:asciiTheme="minorHAnsi" w:hAnsiTheme="minorHAnsi"/>
        </w:rPr>
        <w:t xml:space="preserve"> </w:t>
      </w:r>
    </w:p>
    <w:p w:rsidRPr="009A5895" w:rsidR="00F52FC0" w:rsidP="00DC2CD8" w:rsidRDefault="00F52FC0" w14:paraId="3698762B" w14:textId="77777777">
      <w:pPr>
        <w:jc w:val="both"/>
        <w:rPr>
          <w:rFonts w:asciiTheme="minorHAnsi" w:hAnsiTheme="minorHAnsi"/>
        </w:rPr>
      </w:pPr>
    </w:p>
    <w:p w:rsidRPr="009A5895" w:rsidR="002B470C" w:rsidP="005B2A35" w:rsidRDefault="002B470C" w14:paraId="11FA2425" w14:textId="77777777">
      <w:pPr>
        <w:pStyle w:val="Heading3"/>
        <w:rPr>
          <w:rFonts w:asciiTheme="minorHAnsi" w:hAnsiTheme="minorHAnsi"/>
          <w:sz w:val="22"/>
          <w:szCs w:val="22"/>
        </w:rPr>
      </w:pPr>
      <w:bookmarkStart w:name="_Toc466364033" w:id="7"/>
      <w:r w:rsidRPr="009A5895">
        <w:rPr>
          <w:rFonts w:asciiTheme="minorHAnsi" w:hAnsiTheme="minorHAnsi"/>
          <w:sz w:val="22"/>
          <w:szCs w:val="22"/>
        </w:rPr>
        <w:t>4. Efforts to Identify Duplication and Use of Similar Information</w:t>
      </w:r>
      <w:bookmarkEnd w:id="7"/>
      <w:r w:rsidRPr="009A5895">
        <w:rPr>
          <w:rFonts w:asciiTheme="minorHAnsi" w:hAnsiTheme="minorHAnsi"/>
          <w:sz w:val="22"/>
          <w:szCs w:val="22"/>
        </w:rPr>
        <w:t xml:space="preserve"> </w:t>
      </w:r>
    </w:p>
    <w:p w:rsidRPr="00681832" w:rsidR="00604F78" w:rsidP="00C51751" w:rsidRDefault="00F52FC0" w14:paraId="483E70E4" w14:textId="796D7B8B">
      <w:pPr>
        <w:jc w:val="both"/>
        <w:rPr>
          <w:rFonts w:asciiTheme="minorHAnsi" w:hAnsiTheme="minorHAnsi"/>
          <w:color w:val="000000"/>
        </w:rPr>
      </w:pPr>
      <w:r>
        <w:rPr>
          <w:rFonts w:asciiTheme="minorHAnsi" w:hAnsiTheme="minorHAnsi"/>
        </w:rPr>
        <w:t xml:space="preserve">Each participating </w:t>
      </w:r>
      <w:r w:rsidR="00904929">
        <w:rPr>
          <w:rFonts w:asciiTheme="minorHAnsi" w:hAnsiTheme="minorHAnsi"/>
        </w:rPr>
        <w:t xml:space="preserve">customer discovery </w:t>
      </w:r>
      <w:r w:rsidR="0075467F">
        <w:rPr>
          <w:rFonts w:asciiTheme="minorHAnsi" w:hAnsiTheme="minorHAnsi"/>
        </w:rPr>
        <w:t>CDC project team</w:t>
      </w:r>
      <w:r w:rsidR="00904929">
        <w:rPr>
          <w:rFonts w:asciiTheme="minorHAnsi" w:hAnsiTheme="minorHAnsi"/>
        </w:rPr>
        <w:t xml:space="preserve"> </w:t>
      </w:r>
      <w:r w:rsidR="00095972">
        <w:rPr>
          <w:rFonts w:asciiTheme="minorHAnsi" w:hAnsiTheme="minorHAnsi"/>
        </w:rPr>
        <w:t>presents</w:t>
      </w:r>
      <w:r>
        <w:rPr>
          <w:rFonts w:asciiTheme="minorHAnsi" w:hAnsiTheme="minorHAnsi"/>
        </w:rPr>
        <w:t xml:space="preserve"> with a unique</w:t>
      </w:r>
      <w:r w:rsidR="0074690D">
        <w:rPr>
          <w:rFonts w:asciiTheme="minorHAnsi" w:hAnsiTheme="minorHAnsi"/>
        </w:rPr>
        <w:t xml:space="preserve"> </w:t>
      </w:r>
      <w:r>
        <w:rPr>
          <w:rFonts w:asciiTheme="minorHAnsi" w:hAnsiTheme="minorHAnsi"/>
        </w:rPr>
        <w:t xml:space="preserve">problem </w:t>
      </w:r>
      <w:r w:rsidR="0074690D">
        <w:rPr>
          <w:rFonts w:asciiTheme="minorHAnsi" w:hAnsiTheme="minorHAnsi"/>
        </w:rPr>
        <w:t>for which they have a proposed solution</w:t>
      </w:r>
      <w:r>
        <w:rPr>
          <w:rFonts w:asciiTheme="minorHAnsi" w:hAnsiTheme="minorHAnsi"/>
        </w:rPr>
        <w:t xml:space="preserve">. </w:t>
      </w:r>
      <w:r w:rsidR="00095972">
        <w:rPr>
          <w:rFonts w:asciiTheme="minorHAnsi" w:hAnsiTheme="minorHAnsi"/>
        </w:rPr>
        <w:t xml:space="preserve">For example, a CDC team has decided that </w:t>
      </w:r>
      <w:r w:rsidR="00D77718">
        <w:rPr>
          <w:rFonts w:asciiTheme="minorHAnsi" w:hAnsiTheme="minorHAnsi"/>
        </w:rPr>
        <w:t xml:space="preserve">they are going to build individual air sensors for integration with biometric devices so that people can track community-level air quality. They feel confident that the popularity of personal biometric devices means that people will find value in this additional functionality. However, they have no data or information from device users that they </w:t>
      </w:r>
      <w:r w:rsidR="007554A9">
        <w:rPr>
          <w:rFonts w:asciiTheme="minorHAnsi" w:hAnsiTheme="minorHAnsi"/>
        </w:rPr>
        <w:t xml:space="preserve">would find value in an enhanced device. </w:t>
      </w:r>
      <w:r w:rsidR="006C1460">
        <w:rPr>
          <w:rFonts w:asciiTheme="minorHAnsi" w:hAnsiTheme="minorHAnsi"/>
        </w:rPr>
        <w:t>T</w:t>
      </w:r>
      <w:r w:rsidRPr="00F52FC0">
        <w:rPr>
          <w:rFonts w:asciiTheme="minorHAnsi" w:hAnsiTheme="minorHAnsi"/>
        </w:rPr>
        <w:t xml:space="preserve">here </w:t>
      </w:r>
      <w:r w:rsidR="006C1460">
        <w:rPr>
          <w:rFonts w:asciiTheme="minorHAnsi" w:hAnsiTheme="minorHAnsi"/>
        </w:rPr>
        <w:t>are</w:t>
      </w:r>
      <w:r w:rsidRPr="00F52FC0">
        <w:rPr>
          <w:rFonts w:asciiTheme="minorHAnsi" w:hAnsiTheme="minorHAnsi"/>
        </w:rPr>
        <w:t xml:space="preserve"> no existing </w:t>
      </w:r>
      <w:r w:rsidR="006C1460">
        <w:rPr>
          <w:rFonts w:asciiTheme="minorHAnsi" w:hAnsiTheme="minorHAnsi"/>
        </w:rPr>
        <w:t xml:space="preserve">federal or public </w:t>
      </w:r>
      <w:r w:rsidRPr="00F52FC0">
        <w:rPr>
          <w:rFonts w:asciiTheme="minorHAnsi" w:hAnsiTheme="minorHAnsi"/>
        </w:rPr>
        <w:t xml:space="preserve">database that can provide the level of detail about the </w:t>
      </w:r>
      <w:r>
        <w:rPr>
          <w:rFonts w:asciiTheme="minorHAnsi" w:hAnsiTheme="minorHAnsi"/>
        </w:rPr>
        <w:t xml:space="preserve">customer </w:t>
      </w:r>
      <w:r w:rsidRPr="00F52FC0">
        <w:rPr>
          <w:rFonts w:asciiTheme="minorHAnsi" w:hAnsiTheme="minorHAnsi"/>
        </w:rPr>
        <w:t>experiences</w:t>
      </w:r>
      <w:r w:rsidR="007554A9">
        <w:rPr>
          <w:rFonts w:asciiTheme="minorHAnsi" w:hAnsiTheme="minorHAnsi"/>
        </w:rPr>
        <w:t>, wants, and needs</w:t>
      </w:r>
      <w:r w:rsidRPr="00F52FC0">
        <w:rPr>
          <w:rFonts w:asciiTheme="minorHAnsi" w:hAnsiTheme="minorHAnsi"/>
        </w:rPr>
        <w:t xml:space="preserve"> necessary to support </w:t>
      </w:r>
      <w:r w:rsidR="00AA1252">
        <w:rPr>
          <w:rFonts w:asciiTheme="minorHAnsi" w:hAnsiTheme="minorHAnsi"/>
        </w:rPr>
        <w:t>the</w:t>
      </w:r>
      <w:r w:rsidR="00496336">
        <w:rPr>
          <w:rFonts w:asciiTheme="minorHAnsi" w:hAnsiTheme="minorHAnsi"/>
        </w:rPr>
        <w:t xml:space="preserve"> proposed solution</w:t>
      </w:r>
      <w:r w:rsidRPr="00F52FC0">
        <w:rPr>
          <w:rFonts w:asciiTheme="minorHAnsi" w:hAnsiTheme="minorHAnsi"/>
        </w:rPr>
        <w:t>.</w:t>
      </w:r>
      <w:r w:rsidR="00681832">
        <w:rPr>
          <w:rFonts w:asciiTheme="minorHAnsi" w:hAnsiTheme="minorHAnsi"/>
          <w:color w:val="000000"/>
        </w:rPr>
        <w:t xml:space="preserve"> </w:t>
      </w:r>
      <w:r w:rsidR="007035A9">
        <w:rPr>
          <w:rFonts w:asciiTheme="minorHAnsi" w:hAnsiTheme="minorHAnsi"/>
          <w:color w:val="000000"/>
        </w:rPr>
        <w:t xml:space="preserve"> </w:t>
      </w:r>
      <w:r w:rsidR="006C1460">
        <w:rPr>
          <w:rFonts w:asciiTheme="minorHAnsi" w:hAnsiTheme="minorHAnsi"/>
          <w:color w:val="000000"/>
        </w:rPr>
        <w:t>The information to be collected is unique to each public health problem and stakeholder group</w:t>
      </w:r>
      <w:r w:rsidR="00AA1252">
        <w:rPr>
          <w:rFonts w:asciiTheme="minorHAnsi" w:hAnsiTheme="minorHAnsi"/>
          <w:color w:val="000000"/>
        </w:rPr>
        <w:t xml:space="preserve">. </w:t>
      </w:r>
    </w:p>
    <w:p w:rsidRPr="009A5895" w:rsidR="00F52FC0" w:rsidP="00F52FC0" w:rsidRDefault="00F52FC0" w14:paraId="1E7DA9CE" w14:textId="77777777">
      <w:pPr>
        <w:jc w:val="both"/>
        <w:rPr>
          <w:rFonts w:asciiTheme="minorHAnsi" w:hAnsiTheme="minorHAnsi"/>
        </w:rPr>
      </w:pPr>
    </w:p>
    <w:p w:rsidRPr="009A5895" w:rsidR="002B470C" w:rsidP="005B2A35" w:rsidRDefault="002B470C" w14:paraId="55E8088B" w14:textId="77777777">
      <w:pPr>
        <w:pStyle w:val="Heading3"/>
        <w:rPr>
          <w:rFonts w:asciiTheme="minorHAnsi" w:hAnsiTheme="minorHAnsi"/>
          <w:sz w:val="22"/>
          <w:szCs w:val="22"/>
        </w:rPr>
      </w:pPr>
      <w:bookmarkStart w:name="_Toc466364034" w:id="8"/>
      <w:r w:rsidRPr="009A5895">
        <w:rPr>
          <w:rFonts w:asciiTheme="minorHAnsi" w:hAnsiTheme="minorHAnsi"/>
          <w:sz w:val="22"/>
          <w:szCs w:val="22"/>
        </w:rPr>
        <w:t>5. Impact on Small Businesses or Other Small Entities</w:t>
      </w:r>
      <w:bookmarkEnd w:id="8"/>
      <w:r w:rsidRPr="009A5895">
        <w:rPr>
          <w:rFonts w:asciiTheme="minorHAnsi" w:hAnsiTheme="minorHAnsi"/>
          <w:sz w:val="22"/>
          <w:szCs w:val="22"/>
        </w:rPr>
        <w:t xml:space="preserve"> </w:t>
      </w:r>
    </w:p>
    <w:p w:rsidR="00777E62" w:rsidP="006E7523" w:rsidRDefault="006C1460" w14:paraId="419CABFD" w14:textId="7855B37E">
      <w:pPr>
        <w:pStyle w:val="Default"/>
        <w:rPr>
          <w:rFonts w:asciiTheme="minorHAnsi" w:hAnsiTheme="minorHAnsi"/>
          <w:sz w:val="22"/>
          <w:szCs w:val="22"/>
        </w:rPr>
      </w:pPr>
      <w:r w:rsidRPr="00B66550">
        <w:rPr>
          <w:rFonts w:asciiTheme="minorHAnsi" w:hAnsiTheme="minorHAnsi"/>
          <w:sz w:val="22"/>
          <w:szCs w:val="22"/>
        </w:rPr>
        <w:t>The proposed information collection does not impose systematic or ongoing burden on small businesses.</w:t>
      </w:r>
      <w:r>
        <w:rPr>
          <w:rFonts w:asciiTheme="minorHAnsi" w:hAnsiTheme="minorHAnsi"/>
        </w:rPr>
        <w:t xml:space="preserve"> </w:t>
      </w:r>
      <w:r w:rsidRPr="009A5895" w:rsidR="00874423">
        <w:rPr>
          <w:rFonts w:asciiTheme="minorHAnsi" w:hAnsiTheme="minorHAnsi"/>
          <w:sz w:val="22"/>
          <w:szCs w:val="22"/>
        </w:rPr>
        <w:t>T</w:t>
      </w:r>
      <w:r w:rsidRPr="009A5895" w:rsidR="002B470C">
        <w:rPr>
          <w:rFonts w:asciiTheme="minorHAnsi" w:hAnsiTheme="minorHAnsi"/>
          <w:sz w:val="22"/>
          <w:szCs w:val="22"/>
        </w:rPr>
        <w:t xml:space="preserve">he information gathered from participants through the customer discovery process can be used to support </w:t>
      </w:r>
      <w:r w:rsidR="00604F78">
        <w:rPr>
          <w:rFonts w:asciiTheme="minorHAnsi" w:hAnsiTheme="minorHAnsi"/>
          <w:sz w:val="22"/>
          <w:szCs w:val="22"/>
        </w:rPr>
        <w:t xml:space="preserve">opportunities, </w:t>
      </w:r>
      <w:r w:rsidRPr="009A5895" w:rsidR="002B470C">
        <w:rPr>
          <w:rFonts w:asciiTheme="minorHAnsi" w:hAnsiTheme="minorHAnsi"/>
          <w:sz w:val="22"/>
          <w:szCs w:val="22"/>
        </w:rPr>
        <w:t>programs</w:t>
      </w:r>
      <w:r w:rsidR="00604F78">
        <w:rPr>
          <w:rFonts w:asciiTheme="minorHAnsi" w:hAnsiTheme="minorHAnsi"/>
          <w:sz w:val="22"/>
          <w:szCs w:val="22"/>
        </w:rPr>
        <w:t>,</w:t>
      </w:r>
      <w:r w:rsidRPr="009A5895" w:rsidR="002B470C">
        <w:rPr>
          <w:rFonts w:asciiTheme="minorHAnsi" w:hAnsiTheme="minorHAnsi"/>
          <w:sz w:val="22"/>
          <w:szCs w:val="22"/>
        </w:rPr>
        <w:t xml:space="preserve"> and services </w:t>
      </w:r>
      <w:r>
        <w:rPr>
          <w:rFonts w:asciiTheme="minorHAnsi" w:hAnsiTheme="minorHAnsi"/>
          <w:sz w:val="22"/>
          <w:szCs w:val="22"/>
        </w:rPr>
        <w:t xml:space="preserve">for a target audience. </w:t>
      </w:r>
      <w:r w:rsidRPr="009A5895" w:rsidR="002B470C">
        <w:rPr>
          <w:rFonts w:asciiTheme="minorHAnsi" w:hAnsiTheme="minorHAnsi"/>
          <w:sz w:val="22"/>
          <w:szCs w:val="22"/>
        </w:rPr>
        <w:t xml:space="preserve"> </w:t>
      </w:r>
      <w:r>
        <w:rPr>
          <w:rFonts w:asciiTheme="minorHAnsi" w:hAnsiTheme="minorHAnsi"/>
          <w:sz w:val="22"/>
          <w:szCs w:val="22"/>
        </w:rPr>
        <w:t xml:space="preserve">In some </w:t>
      </w:r>
      <w:proofErr w:type="gramStart"/>
      <w:r>
        <w:rPr>
          <w:rFonts w:asciiTheme="minorHAnsi" w:hAnsiTheme="minorHAnsi"/>
          <w:sz w:val="22"/>
          <w:szCs w:val="22"/>
        </w:rPr>
        <w:t>cases</w:t>
      </w:r>
      <w:proofErr w:type="gramEnd"/>
      <w:r>
        <w:rPr>
          <w:rFonts w:asciiTheme="minorHAnsi" w:hAnsiTheme="minorHAnsi"/>
          <w:sz w:val="22"/>
          <w:szCs w:val="22"/>
        </w:rPr>
        <w:t xml:space="preserve"> s</w:t>
      </w:r>
      <w:r w:rsidRPr="009A5895" w:rsidR="002B470C">
        <w:rPr>
          <w:rFonts w:asciiTheme="minorHAnsi" w:hAnsiTheme="minorHAnsi"/>
          <w:sz w:val="22"/>
          <w:szCs w:val="22"/>
        </w:rPr>
        <w:t>mall businesses</w:t>
      </w:r>
      <w:r>
        <w:rPr>
          <w:rFonts w:asciiTheme="minorHAnsi" w:hAnsiTheme="minorHAnsi"/>
          <w:sz w:val="22"/>
          <w:szCs w:val="22"/>
        </w:rPr>
        <w:t xml:space="preserve"> may be a target audience or stakeholder </w:t>
      </w:r>
      <w:proofErr w:type="spellStart"/>
      <w:r>
        <w:rPr>
          <w:rFonts w:asciiTheme="minorHAnsi" w:hAnsiTheme="minorHAnsi"/>
          <w:sz w:val="22"/>
          <w:szCs w:val="22"/>
        </w:rPr>
        <w:t>gorup</w:t>
      </w:r>
      <w:proofErr w:type="spellEnd"/>
      <w:r w:rsidRPr="009A5895" w:rsidR="002B470C">
        <w:rPr>
          <w:rFonts w:asciiTheme="minorHAnsi" w:hAnsiTheme="minorHAnsi"/>
          <w:sz w:val="22"/>
          <w:szCs w:val="22"/>
        </w:rPr>
        <w:t>.</w:t>
      </w:r>
      <w:r w:rsidRPr="009A5895" w:rsidR="006E7523">
        <w:rPr>
          <w:rFonts w:asciiTheme="minorHAnsi" w:hAnsiTheme="minorHAnsi"/>
          <w:sz w:val="22"/>
          <w:szCs w:val="22"/>
        </w:rPr>
        <w:t xml:space="preserve"> </w:t>
      </w:r>
      <w:r w:rsidR="00777E62">
        <w:rPr>
          <w:rFonts w:asciiTheme="minorHAnsi" w:hAnsiTheme="minorHAnsi"/>
          <w:sz w:val="22"/>
          <w:szCs w:val="22"/>
        </w:rPr>
        <w:t>Every effort will be made to minimize the burden imposed by this collection.</w:t>
      </w:r>
    </w:p>
    <w:p w:rsidR="0081264D" w:rsidP="006E7523" w:rsidRDefault="0081264D" w14:paraId="327EED8A" w14:textId="77777777">
      <w:pPr>
        <w:pStyle w:val="Default"/>
        <w:rPr>
          <w:rFonts w:asciiTheme="minorHAnsi" w:hAnsiTheme="minorHAnsi"/>
          <w:sz w:val="22"/>
          <w:szCs w:val="22"/>
        </w:rPr>
      </w:pPr>
    </w:p>
    <w:p w:rsidRPr="009A5895" w:rsidR="002B470C" w:rsidP="006E7523" w:rsidRDefault="002B470C" w14:paraId="4A6B9ECC" w14:textId="77777777">
      <w:pPr>
        <w:pStyle w:val="Heading3"/>
        <w:rPr>
          <w:rFonts w:asciiTheme="minorHAnsi" w:hAnsiTheme="minorHAnsi"/>
          <w:sz w:val="22"/>
          <w:szCs w:val="22"/>
        </w:rPr>
      </w:pPr>
      <w:bookmarkStart w:name="_Toc466364035" w:id="9"/>
      <w:r w:rsidRPr="009A5895">
        <w:rPr>
          <w:rFonts w:asciiTheme="minorHAnsi" w:hAnsiTheme="minorHAnsi"/>
          <w:sz w:val="22"/>
          <w:szCs w:val="22"/>
        </w:rPr>
        <w:t>6. Consequences of Collecting the Information Less Frequently</w:t>
      </w:r>
      <w:bookmarkEnd w:id="9"/>
      <w:r w:rsidRPr="009A5895">
        <w:rPr>
          <w:rFonts w:asciiTheme="minorHAnsi" w:hAnsiTheme="minorHAnsi"/>
          <w:sz w:val="22"/>
          <w:szCs w:val="22"/>
        </w:rPr>
        <w:t xml:space="preserve"> </w:t>
      </w:r>
    </w:p>
    <w:p w:rsidRPr="009A5895" w:rsidR="006E7523" w:rsidP="006E7523" w:rsidRDefault="00537AEF" w14:paraId="1DB7E5E2" w14:textId="369B85E3">
      <w:pPr>
        <w:rPr>
          <w:rFonts w:asciiTheme="minorHAnsi" w:hAnsiTheme="minorHAnsi"/>
        </w:rPr>
      </w:pPr>
      <w:r>
        <w:rPr>
          <w:rFonts w:asciiTheme="minorHAnsi" w:hAnsiTheme="minorHAnsi"/>
        </w:rPr>
        <w:t>At this stage in the discovery process, r</w:t>
      </w:r>
      <w:r w:rsidRPr="009A5895" w:rsidR="006E7523">
        <w:rPr>
          <w:rFonts w:asciiTheme="minorHAnsi" w:hAnsiTheme="minorHAnsi"/>
        </w:rPr>
        <w:t xml:space="preserve">espondents will </w:t>
      </w:r>
      <w:r w:rsidR="007B6085">
        <w:rPr>
          <w:rFonts w:asciiTheme="minorHAnsi" w:hAnsiTheme="minorHAnsi"/>
        </w:rPr>
        <w:t xml:space="preserve">participate </w:t>
      </w:r>
      <w:r w:rsidRPr="009A5895" w:rsidR="006E7523">
        <w:rPr>
          <w:rFonts w:asciiTheme="minorHAnsi" w:hAnsiTheme="minorHAnsi"/>
        </w:rPr>
        <w:t>in a</w:t>
      </w:r>
      <w:r w:rsidR="0075467F">
        <w:rPr>
          <w:rFonts w:asciiTheme="minorHAnsi" w:hAnsiTheme="minorHAnsi"/>
        </w:rPr>
        <w:t xml:space="preserve"> survey or </w:t>
      </w:r>
      <w:r w:rsidRPr="009A5895" w:rsidR="006E7523">
        <w:rPr>
          <w:rFonts w:asciiTheme="minorHAnsi" w:hAnsiTheme="minorHAnsi"/>
        </w:rPr>
        <w:t>unstructured interview</w:t>
      </w:r>
      <w:r w:rsidRPr="009A5895" w:rsidR="00233338">
        <w:rPr>
          <w:rFonts w:asciiTheme="minorHAnsi" w:hAnsiTheme="minorHAnsi"/>
        </w:rPr>
        <w:t>,</w:t>
      </w:r>
      <w:r w:rsidRPr="009A5895" w:rsidR="006E7523">
        <w:rPr>
          <w:rFonts w:asciiTheme="minorHAnsi" w:hAnsiTheme="minorHAnsi"/>
        </w:rPr>
        <w:t xml:space="preserve"> which should last </w:t>
      </w:r>
      <w:r w:rsidR="006C1460">
        <w:rPr>
          <w:rFonts w:asciiTheme="minorHAnsi" w:hAnsiTheme="minorHAnsi"/>
        </w:rPr>
        <w:t>from 20 to 60</w:t>
      </w:r>
      <w:r w:rsidRPr="009A5895" w:rsidR="006E7523">
        <w:rPr>
          <w:rFonts w:asciiTheme="minorHAnsi" w:hAnsiTheme="minorHAnsi"/>
        </w:rPr>
        <w:t xml:space="preserve"> minutes</w:t>
      </w:r>
      <w:r w:rsidR="007C0ACA">
        <w:rPr>
          <w:rFonts w:asciiTheme="minorHAnsi" w:hAnsiTheme="minorHAnsi"/>
        </w:rPr>
        <w:t xml:space="preserve"> </w:t>
      </w:r>
      <w:r w:rsidR="006C1460">
        <w:rPr>
          <w:rFonts w:asciiTheme="minorHAnsi" w:hAnsiTheme="minorHAnsi"/>
        </w:rPr>
        <w:t xml:space="preserve">(averaging </w:t>
      </w:r>
      <w:r w:rsidR="00681832">
        <w:rPr>
          <w:rFonts w:asciiTheme="minorHAnsi" w:hAnsiTheme="minorHAnsi"/>
        </w:rPr>
        <w:t>30</w:t>
      </w:r>
      <w:r w:rsidR="006174E8">
        <w:rPr>
          <w:rFonts w:asciiTheme="minorHAnsi" w:hAnsiTheme="minorHAnsi"/>
        </w:rPr>
        <w:t xml:space="preserve"> minutes</w:t>
      </w:r>
      <w:r w:rsidR="006C1460">
        <w:rPr>
          <w:rFonts w:asciiTheme="minorHAnsi" w:hAnsiTheme="minorHAnsi"/>
        </w:rPr>
        <w:t xml:space="preserve"> per response)</w:t>
      </w:r>
      <w:r w:rsidRPr="009A5895" w:rsidR="006E7523">
        <w:rPr>
          <w:rFonts w:asciiTheme="minorHAnsi" w:hAnsiTheme="minorHAnsi"/>
        </w:rPr>
        <w:t>.</w:t>
      </w:r>
      <w:r w:rsidRPr="009A5895" w:rsidR="00874423">
        <w:rPr>
          <w:rFonts w:asciiTheme="minorHAnsi" w:hAnsiTheme="minorHAnsi"/>
        </w:rPr>
        <w:t xml:space="preserve"> If these data are not collected through this process of customer discovery, then it will be difficult to </w:t>
      </w:r>
      <w:r w:rsidRPr="00604F78" w:rsidR="00604F78">
        <w:rPr>
          <w:rFonts w:asciiTheme="minorHAnsi" w:hAnsiTheme="minorHAnsi"/>
        </w:rPr>
        <w:t xml:space="preserve">identify what </w:t>
      </w:r>
      <w:r w:rsidR="00681832">
        <w:rPr>
          <w:rFonts w:asciiTheme="minorHAnsi" w:hAnsiTheme="minorHAnsi"/>
        </w:rPr>
        <w:t>customers/stakeholders</w:t>
      </w:r>
      <w:r w:rsidRPr="00604F78" w:rsidR="00604F78">
        <w:rPr>
          <w:rFonts w:asciiTheme="minorHAnsi" w:hAnsiTheme="minorHAnsi"/>
        </w:rPr>
        <w:t xml:space="preserve"> most value and need and what their top barriers and </w:t>
      </w:r>
      <w:r w:rsidR="00681832">
        <w:rPr>
          <w:rFonts w:asciiTheme="minorHAnsi" w:hAnsiTheme="minorHAnsi"/>
        </w:rPr>
        <w:t xml:space="preserve">issues </w:t>
      </w:r>
      <w:r w:rsidRPr="00604F78" w:rsidR="00604F78">
        <w:rPr>
          <w:rFonts w:asciiTheme="minorHAnsi" w:hAnsiTheme="minorHAnsi"/>
        </w:rPr>
        <w:t xml:space="preserve">are, and </w:t>
      </w:r>
      <w:r w:rsidR="00604F78">
        <w:rPr>
          <w:rFonts w:asciiTheme="minorHAnsi" w:hAnsiTheme="minorHAnsi"/>
        </w:rPr>
        <w:t xml:space="preserve">to </w:t>
      </w:r>
      <w:r w:rsidRPr="00604F78" w:rsidR="00604F78">
        <w:rPr>
          <w:rFonts w:asciiTheme="minorHAnsi" w:hAnsiTheme="minorHAnsi"/>
        </w:rPr>
        <w:t>source solutions that will have high levels of efficacy and user acceptability.</w:t>
      </w:r>
      <w:r>
        <w:rPr>
          <w:rFonts w:asciiTheme="minorHAnsi" w:hAnsiTheme="minorHAnsi"/>
        </w:rPr>
        <w:t xml:space="preserve"> </w:t>
      </w:r>
    </w:p>
    <w:p w:rsidRPr="009A5895" w:rsidR="006E7523" w:rsidP="006E7523" w:rsidRDefault="006E7523" w14:paraId="32FAC68D" w14:textId="77777777">
      <w:pPr>
        <w:rPr>
          <w:rFonts w:asciiTheme="minorHAnsi" w:hAnsiTheme="minorHAnsi"/>
        </w:rPr>
      </w:pPr>
    </w:p>
    <w:p w:rsidRPr="009A5895" w:rsidR="002B470C" w:rsidP="006E7523" w:rsidRDefault="002B470C" w14:paraId="599FD295" w14:textId="77777777">
      <w:pPr>
        <w:pStyle w:val="Heading3"/>
        <w:rPr>
          <w:rFonts w:asciiTheme="minorHAnsi" w:hAnsiTheme="minorHAnsi"/>
          <w:color w:val="auto"/>
          <w:sz w:val="22"/>
          <w:szCs w:val="22"/>
        </w:rPr>
      </w:pPr>
      <w:bookmarkStart w:name="_Toc466364036" w:id="10"/>
      <w:r w:rsidRPr="009A5895">
        <w:rPr>
          <w:rStyle w:val="Heading3Char"/>
          <w:rFonts w:asciiTheme="minorHAnsi" w:hAnsiTheme="minorHAnsi"/>
          <w:sz w:val="22"/>
          <w:szCs w:val="22"/>
        </w:rPr>
        <w:t>7. Special Circumstances Relating to the Guidelines of 5 CFR 1320.</w:t>
      </w:r>
      <w:r w:rsidRPr="009A5895">
        <w:rPr>
          <w:rFonts w:asciiTheme="minorHAnsi" w:hAnsiTheme="minorHAnsi"/>
          <w:sz w:val="22"/>
          <w:szCs w:val="22"/>
        </w:rPr>
        <w:t>5</w:t>
      </w:r>
      <w:bookmarkEnd w:id="10"/>
      <w:r w:rsidRPr="009A5895">
        <w:rPr>
          <w:rFonts w:asciiTheme="minorHAnsi" w:hAnsiTheme="minorHAnsi"/>
          <w:color w:val="auto"/>
          <w:sz w:val="22"/>
          <w:szCs w:val="22"/>
        </w:rPr>
        <w:t xml:space="preserve"> </w:t>
      </w:r>
    </w:p>
    <w:p w:rsidRPr="009A5895" w:rsidR="006E7523" w:rsidP="006E7523" w:rsidRDefault="00D022A6" w14:paraId="635E8348" w14:textId="7C203351">
      <w:pPr>
        <w:rPr>
          <w:rFonts w:asciiTheme="minorHAnsi" w:hAnsiTheme="minorHAnsi"/>
        </w:rPr>
      </w:pPr>
      <w:r>
        <w:rPr>
          <w:rFonts w:asciiTheme="minorHAnsi" w:hAnsiTheme="minorHAnsi"/>
        </w:rPr>
        <w:t xml:space="preserve">This request fully complies with the regulation 5 CFR 1320.5. </w:t>
      </w:r>
      <w:r w:rsidRPr="009A5895" w:rsidR="00874423">
        <w:rPr>
          <w:rFonts w:asciiTheme="minorHAnsi" w:hAnsiTheme="minorHAnsi"/>
        </w:rPr>
        <w:t xml:space="preserve">There are no special circumstances. </w:t>
      </w:r>
    </w:p>
    <w:p w:rsidRPr="009A5895" w:rsidR="006E7523" w:rsidP="006E7523" w:rsidRDefault="006E7523" w14:paraId="3BDF433D" w14:textId="77777777">
      <w:pPr>
        <w:rPr>
          <w:rFonts w:asciiTheme="minorHAnsi" w:hAnsiTheme="minorHAnsi"/>
        </w:rPr>
      </w:pPr>
    </w:p>
    <w:p w:rsidRPr="009A5895" w:rsidR="002B470C" w:rsidP="005B2A35" w:rsidRDefault="002B470C" w14:paraId="7F234C14" w14:textId="77777777">
      <w:pPr>
        <w:pStyle w:val="Heading3"/>
        <w:rPr>
          <w:rFonts w:asciiTheme="minorHAnsi" w:hAnsiTheme="minorHAnsi"/>
          <w:sz w:val="22"/>
          <w:szCs w:val="22"/>
        </w:rPr>
      </w:pPr>
      <w:bookmarkStart w:name="_Toc466364037" w:id="11"/>
      <w:r w:rsidRPr="009A5895">
        <w:rPr>
          <w:rFonts w:asciiTheme="minorHAnsi" w:hAnsiTheme="minorHAnsi"/>
          <w:sz w:val="22"/>
          <w:szCs w:val="22"/>
        </w:rPr>
        <w:t>8. Comments in Response to the Federal Register Notice and Efforts to Consult Outside the Agency</w:t>
      </w:r>
      <w:bookmarkEnd w:id="11"/>
      <w:r w:rsidRPr="009A5895">
        <w:rPr>
          <w:rFonts w:asciiTheme="minorHAnsi" w:hAnsiTheme="minorHAnsi"/>
          <w:sz w:val="22"/>
          <w:szCs w:val="22"/>
        </w:rPr>
        <w:t xml:space="preserve"> </w:t>
      </w:r>
    </w:p>
    <w:p w:rsidRPr="00D41B8A" w:rsidR="00D8492A" w:rsidP="00BC1559" w:rsidRDefault="00D8492A" w14:paraId="0064EA82" w14:textId="58AE7C4A">
      <w:pPr>
        <w:pStyle w:val="ListParagraph"/>
        <w:numPr>
          <w:ilvl w:val="0"/>
          <w:numId w:val="15"/>
        </w:numPr>
        <w:jc w:val="both"/>
        <w:rPr>
          <w:rFonts w:asciiTheme="minorHAnsi" w:hAnsiTheme="minorHAnsi"/>
        </w:rPr>
      </w:pPr>
      <w:r w:rsidRPr="007B6085">
        <w:rPr>
          <w:rFonts w:asciiTheme="minorHAnsi" w:hAnsiTheme="minorHAnsi"/>
        </w:rPr>
        <w:t>CDC</w:t>
      </w:r>
      <w:r w:rsidRPr="007B6085" w:rsidR="00FE0F9C">
        <w:rPr>
          <w:rFonts w:asciiTheme="minorHAnsi" w:hAnsiTheme="minorHAnsi"/>
        </w:rPr>
        <w:t xml:space="preserve"> </w:t>
      </w:r>
      <w:r w:rsidR="007012A7">
        <w:rPr>
          <w:rFonts w:asciiTheme="minorHAnsi" w:hAnsiTheme="minorHAnsi"/>
        </w:rPr>
        <w:t>published</w:t>
      </w:r>
      <w:r w:rsidRPr="007B6085" w:rsidR="00FE0F9C">
        <w:rPr>
          <w:rFonts w:asciiTheme="minorHAnsi" w:hAnsiTheme="minorHAnsi"/>
        </w:rPr>
        <w:t xml:space="preserve"> a </w:t>
      </w:r>
      <w:r w:rsidRPr="007B6085" w:rsidR="007B6085">
        <w:rPr>
          <w:rFonts w:asciiTheme="minorHAnsi" w:hAnsiTheme="minorHAnsi"/>
        </w:rPr>
        <w:t>60</w:t>
      </w:r>
      <w:r w:rsidR="006C1460">
        <w:rPr>
          <w:rFonts w:asciiTheme="minorHAnsi" w:hAnsiTheme="minorHAnsi"/>
        </w:rPr>
        <w:t>-</w:t>
      </w:r>
      <w:r w:rsidRPr="007B6085" w:rsidR="007B6085">
        <w:rPr>
          <w:rFonts w:asciiTheme="minorHAnsi" w:hAnsiTheme="minorHAnsi"/>
        </w:rPr>
        <w:t>day</w:t>
      </w:r>
      <w:r w:rsidRPr="007B6085" w:rsidR="00FE0F9C">
        <w:rPr>
          <w:rFonts w:asciiTheme="minorHAnsi" w:hAnsiTheme="minorHAnsi"/>
        </w:rPr>
        <w:t xml:space="preserve"> Federal Register </w:t>
      </w:r>
      <w:r w:rsidRPr="007B6085" w:rsidR="000F671D">
        <w:rPr>
          <w:rFonts w:asciiTheme="minorHAnsi" w:hAnsiTheme="minorHAnsi"/>
        </w:rPr>
        <w:t>Notice</w:t>
      </w:r>
      <w:r w:rsidR="007012A7">
        <w:rPr>
          <w:rFonts w:asciiTheme="minorHAnsi" w:hAnsiTheme="minorHAnsi"/>
        </w:rPr>
        <w:t xml:space="preserve"> </w:t>
      </w:r>
      <w:r w:rsidR="006C1460">
        <w:rPr>
          <w:rFonts w:asciiTheme="minorHAnsi" w:hAnsiTheme="minorHAnsi"/>
        </w:rPr>
        <w:t xml:space="preserve">on October 25, 2019 </w:t>
      </w:r>
      <w:r w:rsidR="007012A7">
        <w:rPr>
          <w:rFonts w:asciiTheme="minorHAnsi" w:hAnsiTheme="minorHAnsi"/>
        </w:rPr>
        <w:t xml:space="preserve">[Vol. </w:t>
      </w:r>
      <w:r w:rsidR="004D2AB6">
        <w:rPr>
          <w:rFonts w:asciiTheme="minorHAnsi" w:hAnsiTheme="minorHAnsi"/>
        </w:rPr>
        <w:t>84</w:t>
      </w:r>
      <w:r w:rsidR="007012A7">
        <w:rPr>
          <w:rFonts w:asciiTheme="minorHAnsi" w:hAnsiTheme="minorHAnsi"/>
        </w:rPr>
        <w:t xml:space="preserve">, No. </w:t>
      </w:r>
      <w:r w:rsidR="004D2AB6">
        <w:rPr>
          <w:rFonts w:asciiTheme="minorHAnsi" w:hAnsiTheme="minorHAnsi"/>
        </w:rPr>
        <w:t>207</w:t>
      </w:r>
      <w:r w:rsidR="007012A7">
        <w:rPr>
          <w:rFonts w:asciiTheme="minorHAnsi" w:hAnsiTheme="minorHAnsi"/>
        </w:rPr>
        <w:t xml:space="preserve">, pages </w:t>
      </w:r>
      <w:r w:rsidR="004D2AB6">
        <w:rPr>
          <w:rFonts w:asciiTheme="minorHAnsi" w:hAnsiTheme="minorHAnsi"/>
        </w:rPr>
        <w:t>57435</w:t>
      </w:r>
      <w:r w:rsidR="007012A7">
        <w:rPr>
          <w:rFonts w:asciiTheme="minorHAnsi" w:hAnsiTheme="minorHAnsi"/>
        </w:rPr>
        <w:t>-</w:t>
      </w:r>
      <w:r w:rsidR="004D2AB6">
        <w:rPr>
          <w:rFonts w:asciiTheme="minorHAnsi" w:hAnsiTheme="minorHAnsi"/>
        </w:rPr>
        <w:t>57437</w:t>
      </w:r>
      <w:r w:rsidR="007012A7">
        <w:rPr>
          <w:rFonts w:asciiTheme="minorHAnsi" w:hAnsiTheme="minorHAnsi"/>
        </w:rPr>
        <w:t xml:space="preserve">] </w:t>
      </w:r>
      <w:r w:rsidRPr="00635A52" w:rsidR="006174E8">
        <w:rPr>
          <w:rFonts w:asciiTheme="minorHAnsi" w:hAnsiTheme="minorHAnsi"/>
        </w:rPr>
        <w:t>(Att. 2)</w:t>
      </w:r>
      <w:r w:rsidRPr="00635A52" w:rsidR="00FE0F9C">
        <w:rPr>
          <w:rFonts w:asciiTheme="minorHAnsi" w:hAnsiTheme="minorHAnsi"/>
        </w:rPr>
        <w:t xml:space="preserve">.  </w:t>
      </w:r>
      <w:r w:rsidR="008479D1">
        <w:rPr>
          <w:rFonts w:asciiTheme="minorHAnsi" w:hAnsiTheme="minorHAnsi"/>
        </w:rPr>
        <w:t xml:space="preserve">CDC received one comment which was not specific to I-Catalyst goals or methods </w:t>
      </w:r>
      <w:r w:rsidR="006C1460">
        <w:rPr>
          <w:rFonts w:asciiTheme="minorHAnsi" w:hAnsiTheme="minorHAnsi"/>
        </w:rPr>
        <w:t>(</w:t>
      </w:r>
      <w:r w:rsidR="00C67C20">
        <w:rPr>
          <w:rFonts w:asciiTheme="minorHAnsi" w:hAnsiTheme="minorHAnsi"/>
        </w:rPr>
        <w:t>Att. 2a)</w:t>
      </w:r>
      <w:r w:rsidR="00D41B8A">
        <w:rPr>
          <w:rFonts w:asciiTheme="minorHAnsi" w:hAnsiTheme="minorHAnsi"/>
        </w:rPr>
        <w:t xml:space="preserve">. </w:t>
      </w:r>
      <w:r w:rsidRPr="00D41B8A" w:rsidR="00D41B8A">
        <w:rPr>
          <w:rFonts w:asciiTheme="minorHAnsi" w:hAnsiTheme="minorHAnsi"/>
        </w:rPr>
        <w:t>N</w:t>
      </w:r>
      <w:r w:rsidRPr="00D41B8A" w:rsidR="00D41B8A">
        <w:t>o changes were made to the proposed collection</w:t>
      </w:r>
      <w:r w:rsidR="00D41B8A">
        <w:t xml:space="preserve">. </w:t>
      </w:r>
    </w:p>
    <w:p w:rsidRPr="00765A29" w:rsidR="00502F72" w:rsidP="00BC1559" w:rsidRDefault="00496336" w14:paraId="2FD52916" w14:textId="4E7A9929">
      <w:pPr>
        <w:pStyle w:val="ListParagraph"/>
        <w:numPr>
          <w:ilvl w:val="0"/>
          <w:numId w:val="15"/>
        </w:numPr>
        <w:jc w:val="both"/>
        <w:rPr>
          <w:rFonts w:asciiTheme="minorHAnsi" w:hAnsiTheme="minorHAnsi"/>
        </w:rPr>
      </w:pPr>
      <w:r>
        <w:t xml:space="preserve">There </w:t>
      </w:r>
      <w:r w:rsidR="00AA1252">
        <w:t>were no</w:t>
      </w:r>
      <w:r>
        <w:t xml:space="preserve"> </w:t>
      </w:r>
      <w:r w:rsidR="00D97262">
        <w:t xml:space="preserve">consultations </w:t>
      </w:r>
      <w:r w:rsidR="00AA1252">
        <w:t xml:space="preserve">with parties </w:t>
      </w:r>
      <w:r w:rsidR="00D97262">
        <w:t>external to CDC</w:t>
      </w:r>
      <w:r w:rsidR="00765A29">
        <w:t>.</w:t>
      </w:r>
    </w:p>
    <w:p w:rsidRPr="00D97262" w:rsidR="00765A29" w:rsidP="00765A29" w:rsidRDefault="00765A29" w14:paraId="2273C5DE" w14:textId="77777777">
      <w:pPr>
        <w:pStyle w:val="ListParagraph"/>
        <w:jc w:val="both"/>
        <w:rPr>
          <w:rFonts w:asciiTheme="minorHAnsi" w:hAnsiTheme="minorHAnsi"/>
        </w:rPr>
      </w:pPr>
    </w:p>
    <w:p w:rsidRPr="009A5895" w:rsidR="002B470C" w:rsidP="005B2A35" w:rsidRDefault="002B470C" w14:paraId="72CF7C57" w14:textId="77777777">
      <w:pPr>
        <w:pStyle w:val="Heading3"/>
        <w:rPr>
          <w:rFonts w:asciiTheme="minorHAnsi" w:hAnsiTheme="minorHAnsi"/>
          <w:sz w:val="22"/>
          <w:szCs w:val="22"/>
        </w:rPr>
      </w:pPr>
      <w:bookmarkStart w:name="_Toc466364038" w:id="12"/>
      <w:r w:rsidRPr="009A5895">
        <w:rPr>
          <w:rFonts w:asciiTheme="minorHAnsi" w:hAnsiTheme="minorHAnsi"/>
          <w:sz w:val="22"/>
          <w:szCs w:val="22"/>
        </w:rPr>
        <w:t>9. Explanation of Any Payment or Gift to Respondents</w:t>
      </w:r>
      <w:bookmarkEnd w:id="12"/>
      <w:r w:rsidRPr="009A5895">
        <w:rPr>
          <w:rFonts w:asciiTheme="minorHAnsi" w:hAnsiTheme="minorHAnsi"/>
          <w:sz w:val="22"/>
          <w:szCs w:val="22"/>
        </w:rPr>
        <w:t xml:space="preserve"> </w:t>
      </w:r>
    </w:p>
    <w:p w:rsidRPr="009A5895" w:rsidR="002B470C" w:rsidP="00DC2CD8" w:rsidRDefault="00C67C20" w14:paraId="1CE200AE" w14:textId="1E20E8C9">
      <w:pPr>
        <w:jc w:val="both"/>
        <w:rPr>
          <w:rFonts w:asciiTheme="minorHAnsi" w:hAnsiTheme="minorHAnsi"/>
        </w:rPr>
      </w:pPr>
      <w:r>
        <w:rPr>
          <w:rFonts w:asciiTheme="minorHAnsi" w:hAnsiTheme="minorHAnsi"/>
        </w:rPr>
        <w:t>No</w:t>
      </w:r>
      <w:r w:rsidRPr="009A5895" w:rsidR="002B470C">
        <w:rPr>
          <w:rFonts w:asciiTheme="minorHAnsi" w:hAnsiTheme="minorHAnsi"/>
        </w:rPr>
        <w:t xml:space="preserve"> payment</w:t>
      </w:r>
      <w:r>
        <w:rPr>
          <w:rFonts w:asciiTheme="minorHAnsi" w:hAnsiTheme="minorHAnsi"/>
        </w:rPr>
        <w:t>s</w:t>
      </w:r>
      <w:r w:rsidRPr="009A5895" w:rsidR="002B470C">
        <w:rPr>
          <w:rFonts w:asciiTheme="minorHAnsi" w:hAnsiTheme="minorHAnsi"/>
        </w:rPr>
        <w:t xml:space="preserve"> or gifts </w:t>
      </w:r>
      <w:r>
        <w:rPr>
          <w:rFonts w:asciiTheme="minorHAnsi" w:hAnsiTheme="minorHAnsi"/>
        </w:rPr>
        <w:t xml:space="preserve">will be provided </w:t>
      </w:r>
      <w:r w:rsidRPr="009A5895" w:rsidR="002B470C">
        <w:rPr>
          <w:rFonts w:asciiTheme="minorHAnsi" w:hAnsiTheme="minorHAnsi"/>
        </w:rPr>
        <w:t>to respondents</w:t>
      </w:r>
      <w:r w:rsidRPr="009A5895" w:rsidR="001501D5">
        <w:rPr>
          <w:rFonts w:asciiTheme="minorHAnsi" w:hAnsiTheme="minorHAnsi"/>
        </w:rPr>
        <w:t>.</w:t>
      </w:r>
    </w:p>
    <w:p w:rsidRPr="009A5895" w:rsidR="002B470C" w:rsidP="00DC2CD8" w:rsidRDefault="002B470C" w14:paraId="2540DC6B" w14:textId="77777777">
      <w:pPr>
        <w:jc w:val="both"/>
        <w:rPr>
          <w:rFonts w:asciiTheme="minorHAnsi" w:hAnsiTheme="minorHAnsi"/>
        </w:rPr>
      </w:pPr>
    </w:p>
    <w:p w:rsidRPr="009A5895" w:rsidR="002B470C" w:rsidP="005B2A35" w:rsidRDefault="002B470C" w14:paraId="4454BA1B" w14:textId="77777777">
      <w:pPr>
        <w:pStyle w:val="Heading3"/>
        <w:rPr>
          <w:rFonts w:asciiTheme="minorHAnsi" w:hAnsiTheme="minorHAnsi"/>
          <w:sz w:val="22"/>
          <w:szCs w:val="22"/>
        </w:rPr>
      </w:pPr>
      <w:bookmarkStart w:name="_Toc466364039" w:id="13"/>
      <w:r w:rsidRPr="009A5895">
        <w:rPr>
          <w:rFonts w:asciiTheme="minorHAnsi" w:hAnsiTheme="minorHAnsi"/>
          <w:sz w:val="22"/>
          <w:szCs w:val="22"/>
        </w:rPr>
        <w:t>10. Assurance of Confidentiality Provided to Respondents</w:t>
      </w:r>
      <w:bookmarkEnd w:id="13"/>
      <w:r w:rsidRPr="009A5895">
        <w:rPr>
          <w:rFonts w:asciiTheme="minorHAnsi" w:hAnsiTheme="minorHAnsi"/>
          <w:sz w:val="22"/>
          <w:szCs w:val="22"/>
        </w:rPr>
        <w:t xml:space="preserve"> </w:t>
      </w:r>
    </w:p>
    <w:p w:rsidRPr="009009E4" w:rsidR="00C845E2" w:rsidP="009009E4" w:rsidRDefault="007C3E1C" w14:paraId="1F568015" w14:textId="31B3A354">
      <w:pPr>
        <w:jc w:val="both"/>
        <w:rPr>
          <w:rFonts w:asciiTheme="minorHAnsi" w:hAnsiTheme="minorHAnsi"/>
        </w:rPr>
      </w:pPr>
      <w:r>
        <w:rPr>
          <w:rFonts w:asciiTheme="minorHAnsi" w:hAnsiTheme="minorHAnsi"/>
        </w:rPr>
        <w:t xml:space="preserve">Activities for this request do not involve the collection of Individually Identifiable Information. </w:t>
      </w:r>
      <w:r w:rsidR="006F1CE8">
        <w:rPr>
          <w:rFonts w:asciiTheme="minorHAnsi" w:hAnsiTheme="minorHAnsi"/>
        </w:rPr>
        <w:t>The Privacy Act does not apply</w:t>
      </w:r>
      <w:r w:rsidR="008B4AE2">
        <w:rPr>
          <w:rFonts w:asciiTheme="minorHAnsi" w:hAnsiTheme="minorHAnsi"/>
        </w:rPr>
        <w:t xml:space="preserve"> (see Attachment 6)</w:t>
      </w:r>
      <w:r w:rsidR="006F1CE8">
        <w:rPr>
          <w:rFonts w:asciiTheme="minorHAnsi" w:hAnsiTheme="minorHAnsi"/>
        </w:rPr>
        <w:t xml:space="preserve">. </w:t>
      </w:r>
      <w:r w:rsidRPr="009009E4" w:rsidR="002B470C">
        <w:rPr>
          <w:rFonts w:asciiTheme="minorHAnsi" w:hAnsiTheme="minorHAnsi"/>
        </w:rPr>
        <w:t xml:space="preserve">While </w:t>
      </w:r>
      <w:r w:rsidR="009009E4">
        <w:rPr>
          <w:rFonts w:asciiTheme="minorHAnsi" w:hAnsiTheme="minorHAnsi"/>
        </w:rPr>
        <w:t>teams</w:t>
      </w:r>
      <w:r w:rsidRPr="009009E4" w:rsidR="002B470C">
        <w:rPr>
          <w:rFonts w:asciiTheme="minorHAnsi" w:hAnsiTheme="minorHAnsi"/>
        </w:rPr>
        <w:t xml:space="preserve"> </w:t>
      </w:r>
      <w:r w:rsidRPr="009009E4" w:rsidR="00233338">
        <w:rPr>
          <w:rFonts w:asciiTheme="minorHAnsi" w:hAnsiTheme="minorHAnsi"/>
        </w:rPr>
        <w:t>may ask about</w:t>
      </w:r>
      <w:r w:rsidRPr="009009E4" w:rsidR="00920F4C">
        <w:rPr>
          <w:rFonts w:asciiTheme="minorHAnsi" w:hAnsiTheme="minorHAnsi"/>
        </w:rPr>
        <w:t xml:space="preserve"> </w:t>
      </w:r>
      <w:r w:rsidRPr="009009E4" w:rsidR="00C845E2">
        <w:rPr>
          <w:rFonts w:asciiTheme="minorHAnsi" w:hAnsiTheme="minorHAnsi"/>
        </w:rPr>
        <w:t xml:space="preserve">certain </w:t>
      </w:r>
      <w:r w:rsidRPr="009009E4" w:rsidR="00920F4C">
        <w:rPr>
          <w:rFonts w:asciiTheme="minorHAnsi" w:hAnsiTheme="minorHAnsi"/>
        </w:rPr>
        <w:t xml:space="preserve">demographic information of their </w:t>
      </w:r>
      <w:r w:rsidRPr="009009E4" w:rsidR="00920F4C">
        <w:rPr>
          <w:rFonts w:asciiTheme="minorHAnsi" w:hAnsiTheme="minorHAnsi"/>
        </w:rPr>
        <w:lastRenderedPageBreak/>
        <w:t>stakeholder</w:t>
      </w:r>
      <w:r w:rsidRPr="009009E4" w:rsidR="00233338">
        <w:rPr>
          <w:rFonts w:asciiTheme="minorHAnsi" w:hAnsiTheme="minorHAnsi"/>
        </w:rPr>
        <w:t>/respondents</w:t>
      </w:r>
      <w:r w:rsidRPr="009009E4" w:rsidR="00920F4C">
        <w:rPr>
          <w:rFonts w:asciiTheme="minorHAnsi" w:hAnsiTheme="minorHAnsi"/>
        </w:rPr>
        <w:t xml:space="preserve"> to assess various factors (i.e. the length of employment at job to assess extent of </w:t>
      </w:r>
      <w:r w:rsidRPr="009009E4" w:rsidR="00EB54C7">
        <w:rPr>
          <w:rFonts w:asciiTheme="minorHAnsi" w:hAnsiTheme="minorHAnsi"/>
        </w:rPr>
        <w:t xml:space="preserve">experience, </w:t>
      </w:r>
      <w:r w:rsidRPr="009009E4" w:rsidR="00920F4C">
        <w:rPr>
          <w:rFonts w:asciiTheme="minorHAnsi" w:hAnsiTheme="minorHAnsi"/>
        </w:rPr>
        <w:t xml:space="preserve">network of contacts or resources), no information received during the </w:t>
      </w:r>
      <w:r w:rsidRPr="009009E4" w:rsidR="00233338">
        <w:rPr>
          <w:rFonts w:asciiTheme="minorHAnsi" w:hAnsiTheme="minorHAnsi"/>
        </w:rPr>
        <w:t xml:space="preserve">unstructured </w:t>
      </w:r>
      <w:r w:rsidRPr="009009E4" w:rsidR="00920F4C">
        <w:rPr>
          <w:rFonts w:asciiTheme="minorHAnsi" w:hAnsiTheme="minorHAnsi"/>
        </w:rPr>
        <w:t xml:space="preserve">interviews are tied directly to the respondents. </w:t>
      </w:r>
      <w:r w:rsidRPr="009009E4" w:rsidR="00874423">
        <w:rPr>
          <w:rFonts w:asciiTheme="minorHAnsi" w:hAnsiTheme="minorHAnsi"/>
        </w:rPr>
        <w:t>Respondents will not be promised confidentiality but interviewers will advise them that opinions and impressions they provide during the interviews will be used only to describe the general trends and directions of</w:t>
      </w:r>
      <w:r w:rsidRPr="009009E4" w:rsidR="00EB54C7">
        <w:rPr>
          <w:rFonts w:asciiTheme="minorHAnsi" w:hAnsiTheme="minorHAnsi"/>
        </w:rPr>
        <w:t xml:space="preserve"> what </w:t>
      </w:r>
      <w:r w:rsidRPr="009009E4" w:rsidR="002C0065">
        <w:rPr>
          <w:rFonts w:asciiTheme="minorHAnsi" w:hAnsiTheme="minorHAnsi"/>
        </w:rPr>
        <w:t>respondents’</w:t>
      </w:r>
      <w:r w:rsidRPr="009009E4" w:rsidR="00EB54C7">
        <w:rPr>
          <w:rFonts w:asciiTheme="minorHAnsi" w:hAnsiTheme="minorHAnsi"/>
        </w:rPr>
        <w:t xml:space="preserve"> value and need, and what their top barriers and </w:t>
      </w:r>
      <w:r w:rsidR="009009E4">
        <w:rPr>
          <w:rFonts w:asciiTheme="minorHAnsi" w:hAnsiTheme="minorHAnsi"/>
        </w:rPr>
        <w:t>concerns</w:t>
      </w:r>
      <w:r w:rsidRPr="009009E4" w:rsidR="00EB54C7">
        <w:rPr>
          <w:rFonts w:asciiTheme="minorHAnsi" w:hAnsiTheme="minorHAnsi"/>
        </w:rPr>
        <w:t xml:space="preserve"> are</w:t>
      </w:r>
      <w:r w:rsidR="00765A29">
        <w:rPr>
          <w:rFonts w:asciiTheme="minorHAnsi" w:hAnsiTheme="minorHAnsi"/>
        </w:rPr>
        <w:t xml:space="preserve">. </w:t>
      </w:r>
      <w:r w:rsidRPr="009009E4" w:rsidR="002C0065">
        <w:rPr>
          <w:rFonts w:asciiTheme="minorHAnsi" w:hAnsiTheme="minorHAnsi"/>
        </w:rPr>
        <w:t>CDC staff</w:t>
      </w:r>
      <w:r w:rsidRPr="009009E4" w:rsidR="00C274A3">
        <w:rPr>
          <w:rFonts w:asciiTheme="minorHAnsi" w:hAnsiTheme="minorHAnsi"/>
        </w:rPr>
        <w:t xml:space="preserve"> will protect the identity of the respondents by not attributing observations or comments to specific individuals nor reference their names, titles, or organizational affiliations in </w:t>
      </w:r>
      <w:r w:rsidRPr="009009E4" w:rsidR="002C0065">
        <w:rPr>
          <w:rFonts w:asciiTheme="minorHAnsi" w:hAnsiTheme="minorHAnsi"/>
        </w:rPr>
        <w:t>any written documents or reports.</w:t>
      </w:r>
      <w:r w:rsidRPr="009009E4" w:rsidR="0002094C">
        <w:rPr>
          <w:rFonts w:asciiTheme="minorHAnsi" w:hAnsiTheme="minorHAnsi"/>
        </w:rPr>
        <w:t xml:space="preserve"> CDC will treat data/information in a secure manner and will not disclose, unless otherwise compelled by law.  CDC will keep the information that respondents provide private and secure to the extent permitted by law.</w:t>
      </w:r>
    </w:p>
    <w:p w:rsidR="00C845E2" w:rsidP="00C845E2" w:rsidRDefault="00C845E2" w14:paraId="42256A76" w14:textId="77777777">
      <w:pPr>
        <w:pStyle w:val="ListParagraph"/>
        <w:jc w:val="both"/>
        <w:rPr>
          <w:rFonts w:asciiTheme="minorHAnsi" w:hAnsiTheme="minorHAnsi"/>
        </w:rPr>
      </w:pPr>
    </w:p>
    <w:p w:rsidRPr="009009E4" w:rsidR="00C845E2" w:rsidP="009009E4" w:rsidRDefault="00C845E2" w14:paraId="5EEE36EC" w14:textId="6AED3BFC">
      <w:pPr>
        <w:jc w:val="both"/>
        <w:rPr>
          <w:rFonts w:asciiTheme="minorHAnsi" w:hAnsiTheme="minorHAnsi"/>
        </w:rPr>
      </w:pPr>
      <w:r w:rsidRPr="009009E4">
        <w:rPr>
          <w:rFonts w:asciiTheme="minorHAnsi" w:hAnsiTheme="minorHAnsi"/>
        </w:rPr>
        <w:t>The CDC teams will protect the identity of the respondents in the following ways:</w:t>
      </w:r>
    </w:p>
    <w:p w:rsidR="00C845E2" w:rsidP="009009E4" w:rsidRDefault="00C845E2" w14:paraId="3666FCE3" w14:textId="4303F3F4">
      <w:pPr>
        <w:pStyle w:val="ListParagraph"/>
        <w:numPr>
          <w:ilvl w:val="0"/>
          <w:numId w:val="19"/>
        </w:numPr>
        <w:jc w:val="both"/>
        <w:rPr>
          <w:rFonts w:asciiTheme="minorHAnsi" w:hAnsiTheme="minorHAnsi"/>
        </w:rPr>
      </w:pPr>
      <w:r w:rsidRPr="00C845E2">
        <w:rPr>
          <w:rFonts w:asciiTheme="minorHAnsi" w:hAnsiTheme="minorHAnsi"/>
        </w:rPr>
        <w:t xml:space="preserve">Except for </w:t>
      </w:r>
      <w:r>
        <w:rPr>
          <w:rFonts w:asciiTheme="minorHAnsi" w:hAnsiTheme="minorHAnsi"/>
        </w:rPr>
        <w:t>interview</w:t>
      </w:r>
      <w:r w:rsidRPr="00C845E2">
        <w:rPr>
          <w:rFonts w:asciiTheme="minorHAnsi" w:hAnsiTheme="minorHAnsi"/>
        </w:rPr>
        <w:t xml:space="preserve"> sessions</w:t>
      </w:r>
      <w:r w:rsidR="009009E4">
        <w:rPr>
          <w:rFonts w:asciiTheme="minorHAnsi" w:hAnsiTheme="minorHAnsi"/>
        </w:rPr>
        <w:t>:</w:t>
      </w:r>
      <w:r w:rsidRPr="00C845E2">
        <w:rPr>
          <w:rFonts w:asciiTheme="minorHAnsi" w:hAnsiTheme="minorHAnsi"/>
        </w:rPr>
        <w:t xml:space="preserve"> respondents do not participate in interviews with other respondents.  </w:t>
      </w:r>
      <w:r>
        <w:rPr>
          <w:rFonts w:asciiTheme="minorHAnsi" w:hAnsiTheme="minorHAnsi"/>
        </w:rPr>
        <w:t>Teams</w:t>
      </w:r>
      <w:r w:rsidRPr="00C845E2">
        <w:rPr>
          <w:rFonts w:asciiTheme="minorHAnsi" w:hAnsiTheme="minorHAnsi"/>
        </w:rPr>
        <w:t xml:space="preserve"> do not repeat something said in one interview to another respondent in another interview.</w:t>
      </w:r>
    </w:p>
    <w:p w:rsidR="00C845E2" w:rsidP="009009E4" w:rsidRDefault="00A2070F" w14:paraId="698ED994" w14:textId="2582976F">
      <w:pPr>
        <w:pStyle w:val="ListParagraph"/>
        <w:numPr>
          <w:ilvl w:val="0"/>
          <w:numId w:val="19"/>
        </w:numPr>
        <w:jc w:val="both"/>
        <w:rPr>
          <w:rFonts w:asciiTheme="minorHAnsi" w:hAnsiTheme="minorHAnsi"/>
        </w:rPr>
      </w:pPr>
      <w:r>
        <w:rPr>
          <w:rFonts w:asciiTheme="minorHAnsi" w:hAnsiTheme="minorHAnsi"/>
        </w:rPr>
        <w:t>Teams</w:t>
      </w:r>
      <w:r w:rsidRPr="00C845E2" w:rsidR="00C845E2">
        <w:rPr>
          <w:rFonts w:asciiTheme="minorHAnsi" w:hAnsiTheme="minorHAnsi"/>
        </w:rPr>
        <w:t xml:space="preserve"> do not discuss either the information obtained or their opinions of it with people outside of the </w:t>
      </w:r>
      <w:r w:rsidR="0075467F">
        <w:rPr>
          <w:rFonts w:asciiTheme="minorHAnsi" w:hAnsiTheme="minorHAnsi"/>
        </w:rPr>
        <w:t>project team or OTI consultants</w:t>
      </w:r>
      <w:r w:rsidRPr="00C845E2" w:rsidR="00C845E2">
        <w:rPr>
          <w:rFonts w:asciiTheme="minorHAnsi" w:hAnsiTheme="minorHAnsi"/>
        </w:rPr>
        <w:t>.</w:t>
      </w:r>
    </w:p>
    <w:p w:rsidR="00C845E2" w:rsidP="009009E4" w:rsidRDefault="00C845E2" w14:paraId="25F9938F" w14:textId="786A2169">
      <w:pPr>
        <w:pStyle w:val="ListParagraph"/>
        <w:numPr>
          <w:ilvl w:val="0"/>
          <w:numId w:val="19"/>
        </w:numPr>
        <w:jc w:val="both"/>
        <w:rPr>
          <w:rFonts w:asciiTheme="minorHAnsi" w:hAnsiTheme="minorHAnsi"/>
        </w:rPr>
      </w:pPr>
      <w:r w:rsidRPr="00C845E2">
        <w:rPr>
          <w:rFonts w:asciiTheme="minorHAnsi" w:hAnsiTheme="minorHAnsi"/>
        </w:rPr>
        <w:t xml:space="preserve">In order to honor their assurances to each respondent, the </w:t>
      </w:r>
      <w:r w:rsidR="00A2070F">
        <w:rPr>
          <w:rFonts w:asciiTheme="minorHAnsi" w:hAnsiTheme="minorHAnsi"/>
        </w:rPr>
        <w:t>CDC teams</w:t>
      </w:r>
      <w:r w:rsidRPr="00C845E2">
        <w:rPr>
          <w:rFonts w:asciiTheme="minorHAnsi" w:hAnsiTheme="minorHAnsi"/>
        </w:rPr>
        <w:t xml:space="preserve"> do not attribute observations or comments to specific individuals nor reference their names, titles, or organizational affiliations in the written report.  </w:t>
      </w:r>
    </w:p>
    <w:p w:rsidR="00C845E2" w:rsidP="009009E4" w:rsidRDefault="00C845E2" w14:paraId="19DA429E" w14:textId="3DC455D6">
      <w:pPr>
        <w:pStyle w:val="ListParagraph"/>
        <w:numPr>
          <w:ilvl w:val="0"/>
          <w:numId w:val="19"/>
        </w:numPr>
        <w:jc w:val="both"/>
        <w:rPr>
          <w:rFonts w:asciiTheme="minorHAnsi" w:hAnsiTheme="minorHAnsi"/>
        </w:rPr>
      </w:pPr>
      <w:r w:rsidRPr="00C845E2">
        <w:rPr>
          <w:rFonts w:asciiTheme="minorHAnsi" w:hAnsiTheme="minorHAnsi"/>
        </w:rPr>
        <w:t xml:space="preserve">All workstations used for the implementation analysis will be part of the local area network (LAN) at the </w:t>
      </w:r>
      <w:r w:rsidR="00A2070F">
        <w:rPr>
          <w:rFonts w:asciiTheme="minorHAnsi" w:hAnsiTheme="minorHAnsi"/>
        </w:rPr>
        <w:t>CDC</w:t>
      </w:r>
      <w:r w:rsidRPr="00C845E2">
        <w:rPr>
          <w:rFonts w:asciiTheme="minorHAnsi" w:hAnsiTheme="minorHAnsi"/>
        </w:rPr>
        <w:t xml:space="preserve">.  Data stored on network drives is protected using the security mechanisms available through the network operating system used on their primary network servers.  These networks are protected from unauthorized external access through the networks’ firewalls.  These firewalls reside between the networks and the communications lines over which their Internet traffic flows.  </w:t>
      </w:r>
    </w:p>
    <w:p w:rsidR="002B470C" w:rsidP="009009E4" w:rsidRDefault="00C845E2" w14:paraId="6B2D77D6" w14:textId="653A60CB">
      <w:pPr>
        <w:pStyle w:val="ListParagraph"/>
        <w:numPr>
          <w:ilvl w:val="0"/>
          <w:numId w:val="19"/>
        </w:numPr>
        <w:jc w:val="both"/>
        <w:rPr>
          <w:rFonts w:asciiTheme="minorHAnsi" w:hAnsiTheme="minorHAnsi"/>
        </w:rPr>
      </w:pPr>
      <w:r w:rsidRPr="00C845E2">
        <w:rPr>
          <w:rFonts w:asciiTheme="minorHAnsi" w:hAnsiTheme="minorHAnsi"/>
        </w:rPr>
        <w:t xml:space="preserve">Access to all network features such as software, files, printers, Internet, E-mail and other peripherals is controlled by user ID and password.  </w:t>
      </w:r>
    </w:p>
    <w:p w:rsidRPr="00C845E2" w:rsidR="00C845E2" w:rsidP="00C845E2" w:rsidRDefault="00C845E2" w14:paraId="0BA02AD5" w14:textId="77777777">
      <w:pPr>
        <w:pStyle w:val="ListParagraph"/>
        <w:ind w:left="1440"/>
        <w:jc w:val="both"/>
        <w:rPr>
          <w:rFonts w:asciiTheme="minorHAnsi" w:hAnsiTheme="minorHAnsi"/>
        </w:rPr>
      </w:pPr>
    </w:p>
    <w:p w:rsidRPr="009A5895" w:rsidR="002B470C" w:rsidP="005B2A35" w:rsidRDefault="002B470C" w14:paraId="4A5B4D65" w14:textId="77777777">
      <w:pPr>
        <w:pStyle w:val="Heading3"/>
        <w:rPr>
          <w:rFonts w:asciiTheme="minorHAnsi" w:hAnsiTheme="minorHAnsi"/>
          <w:sz w:val="22"/>
          <w:szCs w:val="22"/>
        </w:rPr>
      </w:pPr>
      <w:bookmarkStart w:name="_Toc466364040" w:id="14"/>
      <w:r w:rsidRPr="009A5895">
        <w:rPr>
          <w:rFonts w:asciiTheme="minorHAnsi" w:hAnsiTheme="minorHAnsi"/>
          <w:sz w:val="22"/>
          <w:szCs w:val="22"/>
        </w:rPr>
        <w:t>11. Justification for Sensitive Questions</w:t>
      </w:r>
      <w:bookmarkEnd w:id="14"/>
      <w:r w:rsidRPr="009A5895">
        <w:rPr>
          <w:rFonts w:asciiTheme="minorHAnsi" w:hAnsiTheme="minorHAnsi"/>
          <w:sz w:val="22"/>
          <w:szCs w:val="22"/>
        </w:rPr>
        <w:t xml:space="preserve"> </w:t>
      </w:r>
    </w:p>
    <w:p w:rsidR="00FE0F9C" w:rsidP="0003143E" w:rsidRDefault="0002094C" w14:paraId="25BA776E" w14:textId="35989FBD">
      <w:pPr>
        <w:jc w:val="both"/>
        <w:rPr>
          <w:rFonts w:asciiTheme="minorHAnsi" w:hAnsiTheme="minorHAnsi"/>
        </w:rPr>
      </w:pPr>
      <w:r w:rsidRPr="0002094C">
        <w:rPr>
          <w:rFonts w:asciiTheme="minorHAnsi" w:hAnsiTheme="minorHAnsi"/>
        </w:rPr>
        <w:t xml:space="preserve">There are no sensitive data items to be asked of </w:t>
      </w:r>
      <w:r w:rsidR="00FE0F9C">
        <w:rPr>
          <w:rFonts w:asciiTheme="minorHAnsi" w:hAnsiTheme="minorHAnsi"/>
        </w:rPr>
        <w:t xml:space="preserve">individual </w:t>
      </w:r>
      <w:r w:rsidRPr="0002094C">
        <w:rPr>
          <w:rFonts w:asciiTheme="minorHAnsi" w:hAnsiTheme="minorHAnsi"/>
        </w:rPr>
        <w:t>respondents.</w:t>
      </w:r>
      <w:r w:rsidR="009009E4">
        <w:rPr>
          <w:rFonts w:asciiTheme="minorHAnsi" w:hAnsiTheme="minorHAnsi"/>
        </w:rPr>
        <w:t xml:space="preserve"> </w:t>
      </w:r>
      <w:r w:rsidR="00F83FB1">
        <w:rPr>
          <w:rFonts w:asciiTheme="minorHAnsi" w:hAnsiTheme="minorHAnsi"/>
        </w:rPr>
        <w:t>CDC</w:t>
      </w:r>
      <w:r w:rsidR="00994561">
        <w:rPr>
          <w:rFonts w:asciiTheme="minorHAnsi" w:hAnsiTheme="minorHAnsi"/>
        </w:rPr>
        <w:t>’s</w:t>
      </w:r>
      <w:r w:rsidR="00F83FB1">
        <w:rPr>
          <w:rFonts w:asciiTheme="minorHAnsi" w:hAnsiTheme="minorHAnsi"/>
        </w:rPr>
        <w:t xml:space="preserve"> </w:t>
      </w:r>
      <w:r w:rsidR="009009E4">
        <w:rPr>
          <w:rFonts w:asciiTheme="minorHAnsi" w:hAnsiTheme="minorHAnsi"/>
        </w:rPr>
        <w:t>H</w:t>
      </w:r>
      <w:r w:rsidR="00F83FB1">
        <w:rPr>
          <w:rFonts w:asciiTheme="minorHAnsi" w:hAnsiTheme="minorHAnsi"/>
        </w:rPr>
        <w:t xml:space="preserve">uman Research Protection </w:t>
      </w:r>
      <w:r w:rsidR="009009E4">
        <w:rPr>
          <w:rFonts w:asciiTheme="minorHAnsi" w:hAnsiTheme="minorHAnsi"/>
        </w:rPr>
        <w:t>O</w:t>
      </w:r>
      <w:r w:rsidR="00F83FB1">
        <w:rPr>
          <w:rFonts w:asciiTheme="minorHAnsi" w:hAnsiTheme="minorHAnsi"/>
        </w:rPr>
        <w:t>ffice</w:t>
      </w:r>
      <w:r w:rsidR="009009E4">
        <w:rPr>
          <w:rFonts w:asciiTheme="minorHAnsi" w:hAnsiTheme="minorHAnsi"/>
        </w:rPr>
        <w:t xml:space="preserve"> </w:t>
      </w:r>
      <w:r w:rsidR="00F83FB1">
        <w:rPr>
          <w:rFonts w:asciiTheme="minorHAnsi" w:hAnsiTheme="minorHAnsi"/>
        </w:rPr>
        <w:t>determined that data/</w:t>
      </w:r>
      <w:r w:rsidR="0052666A">
        <w:rPr>
          <w:rFonts w:asciiTheme="minorHAnsi" w:hAnsiTheme="minorHAnsi"/>
        </w:rPr>
        <w:t>information collected</w:t>
      </w:r>
      <w:r w:rsidR="00F83FB1">
        <w:rPr>
          <w:rFonts w:asciiTheme="minorHAnsi" w:hAnsiTheme="minorHAnsi"/>
        </w:rPr>
        <w:t xml:space="preserve"> </w:t>
      </w:r>
      <w:r w:rsidR="0052666A">
        <w:rPr>
          <w:rFonts w:asciiTheme="minorHAnsi" w:hAnsiTheme="minorHAnsi"/>
        </w:rPr>
        <w:t>are</w:t>
      </w:r>
      <w:r w:rsidR="00F83FB1">
        <w:rPr>
          <w:rFonts w:asciiTheme="minorHAnsi" w:hAnsiTheme="minorHAnsi"/>
        </w:rPr>
        <w:t xml:space="preserve"> not research involving human subjects and IRB </w:t>
      </w:r>
      <w:r w:rsidR="003238FA">
        <w:rPr>
          <w:rFonts w:asciiTheme="minorHAnsi" w:hAnsiTheme="minorHAnsi"/>
        </w:rPr>
        <w:t xml:space="preserve">approval </w:t>
      </w:r>
      <w:r w:rsidR="00F83FB1">
        <w:rPr>
          <w:rFonts w:asciiTheme="minorHAnsi" w:hAnsiTheme="minorHAnsi"/>
        </w:rPr>
        <w:t xml:space="preserve">is not required </w:t>
      </w:r>
      <w:r w:rsidR="00002081">
        <w:rPr>
          <w:rFonts w:asciiTheme="minorHAnsi" w:hAnsiTheme="minorHAnsi"/>
        </w:rPr>
        <w:t>–</w:t>
      </w:r>
      <w:r w:rsidR="00F83FB1">
        <w:rPr>
          <w:rFonts w:asciiTheme="minorHAnsi" w:hAnsiTheme="minorHAnsi"/>
        </w:rPr>
        <w:t xml:space="preserve"> </w:t>
      </w:r>
      <w:r w:rsidR="00002081">
        <w:rPr>
          <w:rFonts w:asciiTheme="minorHAnsi" w:hAnsiTheme="minorHAnsi"/>
        </w:rPr>
        <w:t xml:space="preserve">see the </w:t>
      </w:r>
      <w:r w:rsidR="0003143E">
        <w:rPr>
          <w:rFonts w:asciiTheme="minorHAnsi" w:hAnsiTheme="minorHAnsi"/>
        </w:rPr>
        <w:t xml:space="preserve">OS Project </w:t>
      </w:r>
      <w:r w:rsidR="009009E4">
        <w:rPr>
          <w:rFonts w:asciiTheme="minorHAnsi" w:hAnsiTheme="minorHAnsi"/>
        </w:rPr>
        <w:t>Determination</w:t>
      </w:r>
      <w:r w:rsidR="00F83FB1">
        <w:rPr>
          <w:rFonts w:asciiTheme="minorHAnsi" w:hAnsiTheme="minorHAnsi"/>
        </w:rPr>
        <w:t xml:space="preserve"> (Att. 5)</w:t>
      </w:r>
      <w:r w:rsidR="0003143E">
        <w:rPr>
          <w:rFonts w:asciiTheme="minorHAnsi" w:hAnsiTheme="minorHAnsi"/>
        </w:rPr>
        <w:t xml:space="preserve">.  </w:t>
      </w:r>
    </w:p>
    <w:p w:rsidRPr="009A5895" w:rsidR="0002094C" w:rsidP="0002094C" w:rsidRDefault="0002094C" w14:paraId="28720194" w14:textId="77777777">
      <w:pPr>
        <w:jc w:val="both"/>
        <w:rPr>
          <w:rFonts w:asciiTheme="minorHAnsi" w:hAnsiTheme="minorHAnsi"/>
        </w:rPr>
      </w:pPr>
    </w:p>
    <w:p w:rsidRPr="009A5895" w:rsidR="00920F4C" w:rsidP="005B2A35" w:rsidRDefault="002B470C" w14:paraId="39F4CA99" w14:textId="77777777">
      <w:pPr>
        <w:pStyle w:val="Heading3"/>
        <w:rPr>
          <w:rFonts w:asciiTheme="minorHAnsi" w:hAnsiTheme="minorHAnsi"/>
          <w:sz w:val="22"/>
          <w:szCs w:val="22"/>
        </w:rPr>
      </w:pPr>
      <w:bookmarkStart w:name="_Toc466364041" w:id="15"/>
      <w:r w:rsidRPr="009A5895">
        <w:rPr>
          <w:rFonts w:asciiTheme="minorHAnsi" w:hAnsiTheme="minorHAnsi"/>
          <w:sz w:val="22"/>
          <w:szCs w:val="22"/>
        </w:rPr>
        <w:t>12. Estimates of Annualized Burden Hours and Costs</w:t>
      </w:r>
      <w:bookmarkEnd w:id="15"/>
      <w:r w:rsidRPr="009A5895">
        <w:rPr>
          <w:rFonts w:asciiTheme="minorHAnsi" w:hAnsiTheme="minorHAnsi"/>
          <w:sz w:val="22"/>
          <w:szCs w:val="22"/>
        </w:rPr>
        <w:t xml:space="preserve"> </w:t>
      </w:r>
    </w:p>
    <w:p w:rsidR="00930227" w:rsidP="00DC2CD8" w:rsidRDefault="005E1A4C" w14:paraId="64155495" w14:textId="2BB3E9DF">
      <w:pPr>
        <w:jc w:val="both"/>
        <w:rPr>
          <w:rFonts w:asciiTheme="minorHAnsi" w:hAnsiTheme="minorHAnsi"/>
        </w:rPr>
      </w:pPr>
      <w:r>
        <w:rPr>
          <w:rFonts w:asciiTheme="minorHAnsi" w:hAnsiTheme="minorHAnsi"/>
        </w:rPr>
        <w:t xml:space="preserve">Each </w:t>
      </w:r>
      <w:r w:rsidR="0052666A">
        <w:rPr>
          <w:rFonts w:asciiTheme="minorHAnsi" w:hAnsiTheme="minorHAnsi"/>
        </w:rPr>
        <w:t>generic Information Collection Request (</w:t>
      </w:r>
      <w:proofErr w:type="spellStart"/>
      <w:r>
        <w:rPr>
          <w:rFonts w:asciiTheme="minorHAnsi" w:hAnsiTheme="minorHAnsi"/>
        </w:rPr>
        <w:t>genIC</w:t>
      </w:r>
      <w:proofErr w:type="spellEnd"/>
      <w:r w:rsidR="0052666A">
        <w:rPr>
          <w:rFonts w:asciiTheme="minorHAnsi" w:hAnsiTheme="minorHAnsi"/>
        </w:rPr>
        <w:t>)</w:t>
      </w:r>
      <w:r>
        <w:rPr>
          <w:rFonts w:asciiTheme="minorHAnsi" w:hAnsiTheme="minorHAnsi"/>
        </w:rPr>
        <w:t xml:space="preserve"> will be a different problem for which a CDC team is designing a solution.</w:t>
      </w:r>
      <w:r w:rsidR="00002081">
        <w:rPr>
          <w:rFonts w:asciiTheme="minorHAnsi" w:hAnsiTheme="minorHAnsi"/>
        </w:rPr>
        <w:t xml:space="preserve"> The annualized burden request for this generic clearance is based on the following estimates: an average of 10-20 projects per year and an average of 25-50 respondents per project (total of 500 respondents per year). The burden per response will vary from 20-60 minutes with an average of 30 minutes per response</w:t>
      </w:r>
      <w:r w:rsidRPr="00D97262" w:rsidR="00D97262">
        <w:rPr>
          <w:rFonts w:asciiTheme="minorHAnsi" w:hAnsiTheme="minorHAnsi"/>
        </w:rPr>
        <w:t xml:space="preserve">. </w:t>
      </w:r>
      <w:r w:rsidR="00791C1B">
        <w:rPr>
          <w:rFonts w:asciiTheme="minorHAnsi" w:hAnsiTheme="minorHAnsi"/>
        </w:rPr>
        <w:t>The</w:t>
      </w:r>
      <w:r w:rsidRPr="00791C1B" w:rsidR="00791C1B">
        <w:rPr>
          <w:rFonts w:asciiTheme="minorHAnsi" w:hAnsiTheme="minorHAnsi"/>
        </w:rPr>
        <w:t xml:space="preserve"> details of each </w:t>
      </w:r>
      <w:r w:rsidR="00791C1B">
        <w:rPr>
          <w:rFonts w:asciiTheme="minorHAnsi" w:hAnsiTheme="minorHAnsi"/>
        </w:rPr>
        <w:t>team’s project and problem</w:t>
      </w:r>
      <w:r w:rsidRPr="00791C1B" w:rsidR="00791C1B">
        <w:rPr>
          <w:rFonts w:asciiTheme="minorHAnsi" w:hAnsiTheme="minorHAnsi"/>
        </w:rPr>
        <w:t xml:space="preserve"> will be included with the request for approval for each </w:t>
      </w:r>
      <w:proofErr w:type="spellStart"/>
      <w:r w:rsidRPr="00791C1B" w:rsidR="00791C1B">
        <w:rPr>
          <w:rFonts w:asciiTheme="minorHAnsi" w:hAnsiTheme="minorHAnsi"/>
        </w:rPr>
        <w:t>genIC</w:t>
      </w:r>
      <w:proofErr w:type="spellEnd"/>
      <w:r w:rsidR="00002081">
        <w:rPr>
          <w:rFonts w:asciiTheme="minorHAnsi" w:hAnsiTheme="minorHAnsi"/>
        </w:rPr>
        <w:t>. Sample request materials are included as Attachment 3.</w:t>
      </w:r>
      <w:r w:rsidR="00791C1B">
        <w:rPr>
          <w:rFonts w:asciiTheme="minorHAnsi" w:hAnsiTheme="minorHAnsi"/>
        </w:rPr>
        <w:t xml:space="preserve"> </w:t>
      </w:r>
      <w:r w:rsidR="00002081">
        <w:rPr>
          <w:rFonts w:asciiTheme="minorHAnsi" w:hAnsiTheme="minorHAnsi"/>
        </w:rPr>
        <w:t>The total estimated a</w:t>
      </w:r>
      <w:r w:rsidR="00664B37">
        <w:rPr>
          <w:rFonts w:asciiTheme="minorHAnsi" w:hAnsiTheme="minorHAnsi"/>
        </w:rPr>
        <w:t xml:space="preserve">nnualized burden will be </w:t>
      </w:r>
      <w:r w:rsidR="00904929">
        <w:rPr>
          <w:rFonts w:asciiTheme="minorHAnsi" w:hAnsiTheme="minorHAnsi"/>
        </w:rPr>
        <w:t>250</w:t>
      </w:r>
      <w:r w:rsidR="009E1E51">
        <w:rPr>
          <w:rFonts w:asciiTheme="minorHAnsi" w:hAnsiTheme="minorHAnsi"/>
        </w:rPr>
        <w:t xml:space="preserve"> hours</w:t>
      </w:r>
      <w:r w:rsidR="00002081">
        <w:rPr>
          <w:rFonts w:asciiTheme="minorHAnsi" w:hAnsiTheme="minorHAnsi"/>
        </w:rPr>
        <w:t>.</w:t>
      </w:r>
    </w:p>
    <w:p w:rsidRPr="009A5895" w:rsidR="00930227" w:rsidP="00DC2CD8" w:rsidRDefault="00930227" w14:paraId="215ACD2B" w14:textId="77777777">
      <w:pPr>
        <w:jc w:val="both"/>
        <w:rPr>
          <w:rFonts w:asciiTheme="minorHAnsi" w:hAnsiTheme="minorHAnsi"/>
        </w:rPr>
      </w:pPr>
    </w:p>
    <w:p w:rsidR="00994561" w:rsidRDefault="00994561" w14:paraId="4E649B07" w14:textId="77777777">
      <w:pPr>
        <w:spacing w:after="200" w:line="276" w:lineRule="auto"/>
        <w:rPr>
          <w:rFonts w:eastAsia="Calibri" w:cs="EEAGN D+ Melior" w:asciiTheme="minorHAnsi" w:hAnsiTheme="minorHAnsi"/>
          <w:b/>
          <w:color w:val="000000"/>
          <w:u w:val="single"/>
        </w:rPr>
      </w:pPr>
      <w:r>
        <w:rPr>
          <w:rFonts w:eastAsia="Calibri" w:cs="EEAGN D+ Melior" w:asciiTheme="minorHAnsi" w:hAnsiTheme="minorHAnsi"/>
          <w:b/>
          <w:color w:val="000000"/>
          <w:u w:val="single"/>
        </w:rPr>
        <w:br w:type="page"/>
      </w:r>
    </w:p>
    <w:p w:rsidR="00BB3935" w:rsidP="00BB3935" w:rsidRDefault="00BB3935" w14:paraId="231D709C" w14:textId="301FC8BC">
      <w:pPr>
        <w:widowControl w:val="0"/>
        <w:tabs>
          <w:tab w:val="left" w:pos="0"/>
        </w:tabs>
        <w:autoSpaceDE w:val="0"/>
        <w:autoSpaceDN w:val="0"/>
        <w:adjustRightInd w:val="0"/>
        <w:spacing w:line="480" w:lineRule="auto"/>
        <w:rPr>
          <w:rFonts w:eastAsia="Calibri" w:cs="EEAGN D+ Melior" w:asciiTheme="minorHAnsi" w:hAnsiTheme="minorHAnsi"/>
          <w:b/>
          <w:color w:val="000000"/>
          <w:u w:val="single"/>
        </w:rPr>
      </w:pPr>
      <w:r w:rsidRPr="0076702A">
        <w:rPr>
          <w:rFonts w:eastAsia="Calibri" w:cs="EEAGN D+ Melior" w:asciiTheme="minorHAnsi" w:hAnsiTheme="minorHAnsi"/>
          <w:b/>
          <w:color w:val="000000"/>
          <w:u w:val="single"/>
        </w:rPr>
        <w:lastRenderedPageBreak/>
        <w:t>Estimated Annualized Burden Hours</w:t>
      </w:r>
    </w:p>
    <w:p w:rsidRPr="0076702A" w:rsidR="0076702A" w:rsidP="0076702A" w:rsidRDefault="0076702A" w14:paraId="406F80DA" w14:textId="07EDA280">
      <w:pPr>
        <w:widowControl w:val="0"/>
        <w:tabs>
          <w:tab w:val="left" w:pos="0"/>
        </w:tabs>
        <w:autoSpaceDE w:val="0"/>
        <w:autoSpaceDN w:val="0"/>
        <w:adjustRightInd w:val="0"/>
        <w:rPr>
          <w:rFonts w:eastAsia="Calibri" w:cs="EEAGN D+ Melior" w:asciiTheme="minorHAnsi" w:hAnsiTheme="minorHAnsi"/>
          <w:b/>
          <w:color w:val="000000"/>
        </w:rPr>
      </w:pPr>
      <w:r w:rsidRPr="0076702A">
        <w:rPr>
          <w:rFonts w:eastAsia="Calibri" w:cs="EEAGN D+ Melior" w:asciiTheme="minorHAnsi" w:hAnsiTheme="minorHAnsi"/>
          <w:b/>
          <w:color w:val="000000"/>
        </w:rPr>
        <w:t>Table A</w:t>
      </w:r>
      <w:r>
        <w:rPr>
          <w:rFonts w:eastAsia="Calibri" w:cs="EEAGN D+ Melior" w:asciiTheme="minorHAnsi" w:hAnsiTheme="minorHAnsi"/>
          <w:b/>
          <w:color w:val="000000"/>
        </w:rPr>
        <w:t>: Estimated Annualized Burden Hours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92"/>
        <w:gridCol w:w="1423"/>
        <w:gridCol w:w="1440"/>
        <w:gridCol w:w="1530"/>
        <w:gridCol w:w="1422"/>
        <w:gridCol w:w="1260"/>
      </w:tblGrid>
      <w:tr w:rsidRPr="00BB3935" w:rsidR="00BB3935" w:rsidTr="00B66550" w14:paraId="29559988" w14:textId="77777777">
        <w:tc>
          <w:tcPr>
            <w:tcW w:w="2292" w:type="dxa"/>
            <w:shd w:val="clear" w:color="auto" w:fill="auto"/>
          </w:tcPr>
          <w:p w:rsidRPr="00B90BE8" w:rsidR="00BB3935" w:rsidP="00BB3935" w:rsidRDefault="00BB3935" w14:paraId="3B75D861"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Type of Respondents</w:t>
            </w:r>
          </w:p>
        </w:tc>
        <w:tc>
          <w:tcPr>
            <w:tcW w:w="1393" w:type="dxa"/>
            <w:shd w:val="clear" w:color="auto" w:fill="auto"/>
          </w:tcPr>
          <w:p w:rsidRPr="00B90BE8" w:rsidR="00BB3935" w:rsidP="00BB3935" w:rsidRDefault="00BB3935" w14:paraId="32FAD48F"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Form Name</w:t>
            </w:r>
          </w:p>
        </w:tc>
        <w:tc>
          <w:tcPr>
            <w:tcW w:w="1440" w:type="dxa"/>
            <w:shd w:val="clear" w:color="auto" w:fill="auto"/>
          </w:tcPr>
          <w:p w:rsidRPr="00B90BE8" w:rsidR="00BB3935" w:rsidP="00BB3935" w:rsidRDefault="00BB3935" w14:paraId="5BB94B30"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No. of Respondents</w:t>
            </w:r>
          </w:p>
        </w:tc>
        <w:tc>
          <w:tcPr>
            <w:tcW w:w="1530" w:type="dxa"/>
            <w:shd w:val="clear" w:color="auto" w:fill="auto"/>
          </w:tcPr>
          <w:p w:rsidRPr="00B90BE8" w:rsidR="00BB3935" w:rsidP="00BB3935" w:rsidRDefault="00BB3935" w14:paraId="6E865716"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No. of Responses per Respondent</w:t>
            </w:r>
          </w:p>
        </w:tc>
        <w:tc>
          <w:tcPr>
            <w:tcW w:w="1422" w:type="dxa"/>
            <w:shd w:val="clear" w:color="auto" w:fill="auto"/>
          </w:tcPr>
          <w:p w:rsidRPr="00B90BE8" w:rsidR="00BB3935" w:rsidP="00BB3935" w:rsidRDefault="00BB3935" w14:paraId="32C7E15A"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Avg. Burden per Response (in hrs.)</w:t>
            </w:r>
          </w:p>
        </w:tc>
        <w:tc>
          <w:tcPr>
            <w:tcW w:w="1260" w:type="dxa"/>
            <w:shd w:val="clear" w:color="auto" w:fill="auto"/>
          </w:tcPr>
          <w:p w:rsidRPr="00B90BE8" w:rsidR="00BB3935" w:rsidP="00BB3935" w:rsidRDefault="00BB3935" w14:paraId="391D0500"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Total Burden (in hrs.)</w:t>
            </w:r>
          </w:p>
        </w:tc>
      </w:tr>
      <w:tr w:rsidRPr="00BB3935" w:rsidR="006A01F6" w:rsidTr="00B66550" w14:paraId="44FA1AD0" w14:textId="77777777">
        <w:tc>
          <w:tcPr>
            <w:tcW w:w="9337" w:type="dxa"/>
            <w:gridSpan w:val="6"/>
            <w:shd w:val="clear" w:color="auto" w:fill="D9D9D9" w:themeFill="background1" w:themeFillShade="D9"/>
          </w:tcPr>
          <w:p w:rsidRPr="0076702A" w:rsidR="006A01F6" w:rsidP="00BB3935" w:rsidRDefault="006A01F6" w14:paraId="5958F69F" w14:textId="28780C4F">
            <w:pPr>
              <w:widowControl w:val="0"/>
              <w:tabs>
                <w:tab w:val="left" w:pos="0"/>
              </w:tabs>
              <w:autoSpaceDE w:val="0"/>
              <w:autoSpaceDN w:val="0"/>
              <w:adjustRightInd w:val="0"/>
              <w:rPr>
                <w:rFonts w:eastAsia="Calibri" w:cs="EEAGN D+ Melior" w:asciiTheme="minorHAnsi" w:hAnsiTheme="minorHAnsi"/>
                <w:b/>
                <w:color w:val="000000"/>
              </w:rPr>
            </w:pPr>
          </w:p>
        </w:tc>
      </w:tr>
      <w:tr w:rsidRPr="00BB3935" w:rsidR="00BB3935" w:rsidTr="00B66550" w14:paraId="4D0A80F4" w14:textId="77777777">
        <w:trPr>
          <w:trHeight w:val="359"/>
        </w:trPr>
        <w:tc>
          <w:tcPr>
            <w:tcW w:w="2292" w:type="dxa"/>
            <w:shd w:val="clear" w:color="auto" w:fill="auto"/>
          </w:tcPr>
          <w:p w:rsidRPr="00BB3935" w:rsidR="0003143E" w:rsidP="00BB3935" w:rsidRDefault="00DC6775" w14:paraId="53EFC9A7" w14:textId="36C240C5">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 xml:space="preserve">External </w:t>
            </w:r>
            <w:r w:rsidR="00BE77D8">
              <w:rPr>
                <w:rFonts w:eastAsia="Calibri" w:cs="EEAGN D+ Melior" w:asciiTheme="minorHAnsi" w:hAnsiTheme="minorHAnsi"/>
                <w:color w:val="000000"/>
              </w:rPr>
              <w:t xml:space="preserve">partner, </w:t>
            </w:r>
            <w:r>
              <w:rPr>
                <w:rFonts w:eastAsia="Calibri" w:cs="EEAGN D+ Melior" w:asciiTheme="minorHAnsi" w:hAnsiTheme="minorHAnsi"/>
                <w:color w:val="000000"/>
              </w:rPr>
              <w:t>stakeholder</w:t>
            </w:r>
            <w:r w:rsidR="00BE77D8">
              <w:rPr>
                <w:rFonts w:eastAsia="Calibri" w:cs="EEAGN D+ Melior" w:asciiTheme="minorHAnsi" w:hAnsiTheme="minorHAnsi"/>
                <w:color w:val="000000"/>
              </w:rPr>
              <w:t>, or</w:t>
            </w:r>
            <w:r w:rsidR="00390D88">
              <w:rPr>
                <w:rFonts w:eastAsia="Calibri" w:cs="EEAGN D+ Melior" w:asciiTheme="minorHAnsi" w:hAnsiTheme="minorHAnsi"/>
                <w:color w:val="000000"/>
              </w:rPr>
              <w:t xml:space="preserve"> </w:t>
            </w:r>
            <w:r>
              <w:rPr>
                <w:rFonts w:eastAsia="Calibri" w:cs="EEAGN D+ Melior" w:asciiTheme="minorHAnsi" w:hAnsiTheme="minorHAnsi"/>
                <w:color w:val="000000"/>
              </w:rPr>
              <w:t>customer</w:t>
            </w:r>
          </w:p>
        </w:tc>
        <w:tc>
          <w:tcPr>
            <w:tcW w:w="1393" w:type="dxa"/>
            <w:shd w:val="clear" w:color="auto" w:fill="auto"/>
          </w:tcPr>
          <w:p w:rsidRPr="00B66550" w:rsidR="00BB3935" w:rsidP="00BB3935" w:rsidRDefault="00DC6775" w14:paraId="3117DDF1" w14:textId="4F23A99A">
            <w:pPr>
              <w:widowControl w:val="0"/>
              <w:tabs>
                <w:tab w:val="left" w:pos="0"/>
              </w:tabs>
              <w:autoSpaceDE w:val="0"/>
              <w:autoSpaceDN w:val="0"/>
              <w:adjustRightInd w:val="0"/>
              <w:rPr>
                <w:rFonts w:eastAsia="Calibri" w:cs="EEAGN D+ Melior" w:asciiTheme="minorHAnsi" w:hAnsiTheme="minorHAnsi"/>
                <w:color w:val="000000"/>
                <w:sz w:val="20"/>
                <w:szCs w:val="20"/>
              </w:rPr>
            </w:pPr>
            <w:r w:rsidRPr="00B66550">
              <w:rPr>
                <w:rFonts w:eastAsia="Calibri" w:cs="EEAGN D+ Melior" w:asciiTheme="minorHAnsi" w:hAnsiTheme="minorHAnsi"/>
                <w:color w:val="000000"/>
                <w:sz w:val="20"/>
                <w:szCs w:val="20"/>
              </w:rPr>
              <w:t>Interview</w:t>
            </w:r>
            <w:r w:rsidRPr="00B66550" w:rsidR="002873EC">
              <w:rPr>
                <w:rFonts w:eastAsia="Calibri" w:cs="EEAGN D+ Melior" w:asciiTheme="minorHAnsi" w:hAnsiTheme="minorHAnsi"/>
                <w:color w:val="000000"/>
                <w:sz w:val="20"/>
                <w:szCs w:val="20"/>
              </w:rPr>
              <w:t xml:space="preserve"> Guide</w:t>
            </w:r>
            <w:r w:rsidRPr="00B66550" w:rsidR="00390D88">
              <w:rPr>
                <w:rFonts w:eastAsia="Calibri" w:cs="EEAGN D+ Melior" w:asciiTheme="minorHAnsi" w:hAnsiTheme="minorHAnsi"/>
                <w:color w:val="000000"/>
                <w:sz w:val="20"/>
                <w:szCs w:val="20"/>
              </w:rPr>
              <w:t>, Questionnaire, or Survey</w:t>
            </w:r>
          </w:p>
        </w:tc>
        <w:tc>
          <w:tcPr>
            <w:tcW w:w="1440" w:type="dxa"/>
            <w:shd w:val="clear" w:color="auto" w:fill="auto"/>
          </w:tcPr>
          <w:p w:rsidRPr="00BB3935" w:rsidR="00BB3935" w:rsidP="00BB3935" w:rsidRDefault="00584766" w14:paraId="7BAA2AF5" w14:textId="5868F821">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500</w:t>
            </w:r>
          </w:p>
        </w:tc>
        <w:tc>
          <w:tcPr>
            <w:tcW w:w="1530" w:type="dxa"/>
            <w:shd w:val="clear" w:color="auto" w:fill="auto"/>
          </w:tcPr>
          <w:p w:rsidRPr="00BB3935" w:rsidR="00BB3935" w:rsidP="00BB3935" w:rsidRDefault="00584766" w14:paraId="4A3EF2FD" w14:textId="4E040013">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1</w:t>
            </w:r>
          </w:p>
        </w:tc>
        <w:tc>
          <w:tcPr>
            <w:tcW w:w="1422" w:type="dxa"/>
            <w:shd w:val="clear" w:color="auto" w:fill="auto"/>
          </w:tcPr>
          <w:p w:rsidRPr="00BB3935" w:rsidR="00BB3935" w:rsidP="00BB3935" w:rsidRDefault="00584766" w14:paraId="6BFCA2A8" w14:textId="0A83BCEF">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0.5</w:t>
            </w:r>
          </w:p>
        </w:tc>
        <w:tc>
          <w:tcPr>
            <w:tcW w:w="1260" w:type="dxa"/>
            <w:shd w:val="clear" w:color="auto" w:fill="auto"/>
          </w:tcPr>
          <w:p w:rsidRPr="00BB3935" w:rsidR="00BB3935" w:rsidP="00BB3935" w:rsidRDefault="004017CD" w14:paraId="55F90390" w14:textId="671CAE67">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250</w:t>
            </w:r>
          </w:p>
        </w:tc>
      </w:tr>
      <w:tr w:rsidRPr="00BB3935" w:rsidR="0076702A" w:rsidTr="00B66550" w14:paraId="10702EF1" w14:textId="77777777">
        <w:tc>
          <w:tcPr>
            <w:tcW w:w="2292" w:type="dxa"/>
            <w:shd w:val="clear" w:color="auto" w:fill="auto"/>
          </w:tcPr>
          <w:p w:rsidRPr="00BB3935" w:rsidR="0076702A" w:rsidP="0076702A" w:rsidRDefault="0076702A" w14:paraId="41D9E200" w14:textId="75249BC6">
            <w:pPr>
              <w:widowControl w:val="0"/>
              <w:tabs>
                <w:tab w:val="left" w:pos="0"/>
              </w:tabs>
              <w:autoSpaceDE w:val="0"/>
              <w:autoSpaceDN w:val="0"/>
              <w:adjustRightInd w:val="0"/>
              <w:rPr>
                <w:rFonts w:eastAsia="Calibri" w:cs="EEAGN D+ Melior" w:asciiTheme="minorHAnsi" w:hAnsiTheme="minorHAnsi"/>
                <w:color w:val="000000"/>
              </w:rPr>
            </w:pPr>
            <w:r w:rsidRPr="00BB3935">
              <w:rPr>
                <w:rFonts w:eastAsia="Calibri" w:cs="EEAGN D+ Melior" w:asciiTheme="minorHAnsi" w:hAnsiTheme="minorHAnsi"/>
                <w:color w:val="000000"/>
              </w:rPr>
              <w:t>Total</w:t>
            </w:r>
          </w:p>
        </w:tc>
        <w:tc>
          <w:tcPr>
            <w:tcW w:w="5785" w:type="dxa"/>
            <w:gridSpan w:val="4"/>
            <w:shd w:val="clear" w:color="auto" w:fill="auto"/>
          </w:tcPr>
          <w:p w:rsidRPr="00BB3935" w:rsidR="0076702A" w:rsidP="0076702A" w:rsidRDefault="0076702A" w14:paraId="5EBFE287" w14:textId="2DA6DACC">
            <w:pPr>
              <w:widowControl w:val="0"/>
              <w:tabs>
                <w:tab w:val="left" w:pos="0"/>
              </w:tabs>
              <w:autoSpaceDE w:val="0"/>
              <w:autoSpaceDN w:val="0"/>
              <w:adjustRightInd w:val="0"/>
              <w:rPr>
                <w:rFonts w:eastAsia="Calibri" w:cs="EEAGN D+ Melior" w:asciiTheme="minorHAnsi" w:hAnsiTheme="minorHAnsi"/>
                <w:color w:val="000000"/>
              </w:rPr>
            </w:pPr>
          </w:p>
        </w:tc>
        <w:tc>
          <w:tcPr>
            <w:tcW w:w="1260" w:type="dxa"/>
            <w:shd w:val="clear" w:color="auto" w:fill="auto"/>
          </w:tcPr>
          <w:p w:rsidRPr="00BB3935" w:rsidR="0076702A" w:rsidP="0076702A" w:rsidRDefault="004017CD" w14:paraId="02624EA8" w14:textId="7B9B7FDE">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250</w:t>
            </w:r>
          </w:p>
        </w:tc>
      </w:tr>
    </w:tbl>
    <w:p w:rsidR="00920F4C" w:rsidP="00DC2CD8" w:rsidRDefault="00920F4C" w14:paraId="3AC597F7" w14:textId="77777777">
      <w:pPr>
        <w:jc w:val="both"/>
        <w:rPr>
          <w:rFonts w:asciiTheme="minorHAnsi" w:hAnsiTheme="minorHAnsi"/>
        </w:rPr>
      </w:pPr>
    </w:p>
    <w:p w:rsidR="0076702A" w:rsidP="00DC2CD8" w:rsidRDefault="0076702A" w14:paraId="55BA3486" w14:textId="77777777">
      <w:pPr>
        <w:jc w:val="both"/>
        <w:rPr>
          <w:rFonts w:asciiTheme="minorHAnsi" w:hAnsiTheme="minorHAnsi"/>
        </w:rPr>
      </w:pPr>
    </w:p>
    <w:p w:rsidR="0076702A" w:rsidP="00DC2CD8" w:rsidRDefault="0043586D" w14:paraId="044C0979" w14:textId="38DC2E1A">
      <w:pPr>
        <w:jc w:val="both"/>
        <w:rPr>
          <w:rFonts w:asciiTheme="minorHAnsi" w:hAnsiTheme="minorHAnsi"/>
        </w:rPr>
      </w:pPr>
      <w:r>
        <w:rPr>
          <w:rFonts w:asciiTheme="minorHAnsi" w:hAnsiTheme="minorHAnsi"/>
        </w:rPr>
        <w:t xml:space="preserve">The estimated hourly wage of $58.32 is an average of the hourly wages for the BLS categories of administrators, scientists, and healthcare workers. </w:t>
      </w:r>
      <w:r w:rsidR="00002081">
        <w:rPr>
          <w:rFonts w:asciiTheme="minorHAnsi" w:hAnsiTheme="minorHAnsi"/>
        </w:rPr>
        <w:t xml:space="preserve">The total estimated annualized burden cost is $14,580. </w:t>
      </w:r>
    </w:p>
    <w:p w:rsidR="0076702A" w:rsidP="00DC2CD8" w:rsidRDefault="0076702A" w14:paraId="74142A51" w14:textId="77777777">
      <w:pPr>
        <w:jc w:val="both"/>
        <w:rPr>
          <w:rFonts w:asciiTheme="minorHAnsi" w:hAnsiTheme="minorHAnsi"/>
        </w:rPr>
      </w:pPr>
    </w:p>
    <w:p w:rsidRPr="0076702A" w:rsidR="0076702A" w:rsidP="00DC2CD8" w:rsidRDefault="0076702A" w14:paraId="172A797A" w14:textId="015F9C93">
      <w:pPr>
        <w:jc w:val="both"/>
        <w:rPr>
          <w:rFonts w:asciiTheme="minorHAnsi" w:hAnsiTheme="minorHAnsi"/>
          <w:b/>
        </w:rPr>
      </w:pPr>
      <w:r w:rsidRPr="0076702A">
        <w:rPr>
          <w:rFonts w:asciiTheme="minorHAnsi" w:hAnsiTheme="minorHAnsi"/>
          <w:b/>
        </w:rPr>
        <w:t>Table B</w:t>
      </w:r>
      <w:r>
        <w:rPr>
          <w:rFonts w:asciiTheme="minorHAnsi" w:hAnsiTheme="minorHAnsi"/>
          <w:b/>
        </w:rPr>
        <w:t>: Estimated Annualized Burden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15"/>
        <w:gridCol w:w="1440"/>
        <w:gridCol w:w="1440"/>
        <w:gridCol w:w="1350"/>
        <w:gridCol w:w="1260"/>
        <w:gridCol w:w="990"/>
        <w:gridCol w:w="1350"/>
      </w:tblGrid>
      <w:tr w:rsidRPr="00BB3935" w:rsidR="00390D88" w:rsidTr="00390D88" w14:paraId="359FD47A" w14:textId="7238D122">
        <w:tc>
          <w:tcPr>
            <w:tcW w:w="1615" w:type="dxa"/>
            <w:shd w:val="clear" w:color="auto" w:fill="auto"/>
          </w:tcPr>
          <w:p w:rsidRPr="00B90BE8" w:rsidR="0043586D" w:rsidP="007A1C68" w:rsidRDefault="0043586D" w14:paraId="15957C77"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Type of Respondents</w:t>
            </w:r>
          </w:p>
        </w:tc>
        <w:tc>
          <w:tcPr>
            <w:tcW w:w="1440" w:type="dxa"/>
            <w:shd w:val="clear" w:color="auto" w:fill="auto"/>
          </w:tcPr>
          <w:p w:rsidRPr="00B90BE8" w:rsidR="0043586D" w:rsidP="007A1C68" w:rsidRDefault="0043586D" w14:paraId="22D4AC03"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Form Name</w:t>
            </w:r>
          </w:p>
        </w:tc>
        <w:tc>
          <w:tcPr>
            <w:tcW w:w="1440" w:type="dxa"/>
            <w:shd w:val="clear" w:color="auto" w:fill="auto"/>
          </w:tcPr>
          <w:p w:rsidRPr="00B90BE8" w:rsidR="0043586D" w:rsidP="007A1C68" w:rsidRDefault="0043586D" w14:paraId="53D7AD34"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No. of Respondents</w:t>
            </w:r>
          </w:p>
        </w:tc>
        <w:tc>
          <w:tcPr>
            <w:tcW w:w="1350" w:type="dxa"/>
            <w:shd w:val="clear" w:color="auto" w:fill="auto"/>
          </w:tcPr>
          <w:p w:rsidRPr="00B90BE8" w:rsidR="0043586D" w:rsidP="007A1C68" w:rsidRDefault="0043586D" w14:paraId="141C93FD"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No. of Responses per Respondent</w:t>
            </w:r>
          </w:p>
        </w:tc>
        <w:tc>
          <w:tcPr>
            <w:tcW w:w="1260" w:type="dxa"/>
            <w:shd w:val="clear" w:color="auto" w:fill="auto"/>
          </w:tcPr>
          <w:p w:rsidRPr="00B90BE8" w:rsidR="0043586D" w:rsidP="007A1C68" w:rsidRDefault="0043586D" w14:paraId="2765FA33" w14:textId="77777777">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Avg. Burden per Response (in hrs.)</w:t>
            </w:r>
          </w:p>
        </w:tc>
        <w:tc>
          <w:tcPr>
            <w:tcW w:w="990" w:type="dxa"/>
          </w:tcPr>
          <w:p w:rsidRPr="00B90BE8" w:rsidR="0043586D" w:rsidP="007A1C68" w:rsidRDefault="00390D88" w14:paraId="07851C20" w14:textId="103663B9">
            <w:pPr>
              <w:widowControl w:val="0"/>
              <w:tabs>
                <w:tab w:val="left" w:pos="0"/>
              </w:tabs>
              <w:autoSpaceDE w:val="0"/>
              <w:autoSpaceDN w:val="0"/>
              <w:adjustRightInd w:val="0"/>
              <w:rPr>
                <w:rFonts w:eastAsia="Calibri" w:cs="EEAGN D+ Melior" w:asciiTheme="minorHAnsi" w:hAnsiTheme="minorHAnsi"/>
                <w:b/>
                <w:color w:val="000000"/>
              </w:rPr>
            </w:pPr>
            <w:r>
              <w:rPr>
                <w:rFonts w:eastAsia="Calibri" w:cs="EEAGN D+ Melior" w:asciiTheme="minorHAnsi" w:hAnsiTheme="minorHAnsi"/>
                <w:b/>
                <w:color w:val="000000"/>
              </w:rPr>
              <w:t xml:space="preserve">Avg. </w:t>
            </w:r>
            <w:r w:rsidRPr="00B90BE8" w:rsidR="0043586D">
              <w:rPr>
                <w:rFonts w:eastAsia="Calibri" w:cs="EEAGN D+ Melior" w:asciiTheme="minorHAnsi" w:hAnsiTheme="minorHAnsi"/>
                <w:b/>
                <w:color w:val="000000"/>
              </w:rPr>
              <w:t>Hourly Wage Rate</w:t>
            </w:r>
            <w:r w:rsidR="0043586D">
              <w:rPr>
                <w:rFonts w:eastAsia="Calibri" w:cs="EEAGN D+ Melior" w:asciiTheme="minorHAnsi" w:hAnsiTheme="minorHAnsi"/>
                <w:b/>
                <w:color w:val="000000"/>
              </w:rPr>
              <w:t>*</w:t>
            </w:r>
          </w:p>
        </w:tc>
        <w:tc>
          <w:tcPr>
            <w:tcW w:w="1350" w:type="dxa"/>
          </w:tcPr>
          <w:p w:rsidRPr="00B90BE8" w:rsidR="0043586D" w:rsidP="007A1C68" w:rsidRDefault="0043586D" w14:paraId="08BBED95" w14:textId="553B9284">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 xml:space="preserve">Total </w:t>
            </w:r>
            <w:r w:rsidR="00390D88">
              <w:rPr>
                <w:rFonts w:eastAsia="Calibri" w:cs="EEAGN D+ Melior" w:asciiTheme="minorHAnsi" w:hAnsiTheme="minorHAnsi"/>
                <w:b/>
                <w:color w:val="000000"/>
              </w:rPr>
              <w:t>Burden</w:t>
            </w:r>
            <w:r w:rsidRPr="00B90BE8">
              <w:rPr>
                <w:rFonts w:eastAsia="Calibri" w:cs="EEAGN D+ Melior" w:asciiTheme="minorHAnsi" w:hAnsiTheme="minorHAnsi"/>
                <w:b/>
                <w:color w:val="000000"/>
              </w:rPr>
              <w:t xml:space="preserve"> Costs</w:t>
            </w:r>
          </w:p>
        </w:tc>
      </w:tr>
      <w:tr w:rsidRPr="00BB3935" w:rsidR="00390D88" w:rsidTr="00390D88" w14:paraId="0C676B97" w14:textId="711C7060">
        <w:trPr>
          <w:trHeight w:val="359"/>
        </w:trPr>
        <w:tc>
          <w:tcPr>
            <w:tcW w:w="1615" w:type="dxa"/>
            <w:shd w:val="clear" w:color="auto" w:fill="auto"/>
          </w:tcPr>
          <w:p w:rsidRPr="00BB3935" w:rsidR="0043586D" w:rsidP="00664B37" w:rsidRDefault="0043586D" w14:paraId="69FD2D61" w14:textId="2052B5C2">
            <w:pPr>
              <w:widowControl w:val="0"/>
              <w:tabs>
                <w:tab w:val="left" w:pos="0"/>
              </w:tabs>
              <w:autoSpaceDE w:val="0"/>
              <w:autoSpaceDN w:val="0"/>
              <w:adjustRightInd w:val="0"/>
              <w:rPr>
                <w:rFonts w:eastAsia="Calibri" w:cs="EEAGN D+ Melior" w:asciiTheme="minorHAnsi" w:hAnsiTheme="minorHAnsi"/>
                <w:color w:val="000000"/>
              </w:rPr>
            </w:pPr>
            <w:proofErr w:type="gramStart"/>
            <w:r>
              <w:rPr>
                <w:rFonts w:eastAsia="Calibri" w:cs="EEAGN D+ Melior" w:asciiTheme="minorHAnsi" w:hAnsiTheme="minorHAnsi"/>
                <w:color w:val="000000"/>
              </w:rPr>
              <w:t xml:space="preserve">External  </w:t>
            </w:r>
            <w:r w:rsidR="00BE77D8">
              <w:rPr>
                <w:rFonts w:eastAsia="Calibri" w:cs="EEAGN D+ Melior" w:asciiTheme="minorHAnsi" w:hAnsiTheme="minorHAnsi"/>
                <w:color w:val="000000"/>
              </w:rPr>
              <w:t>partner</w:t>
            </w:r>
            <w:proofErr w:type="gramEnd"/>
            <w:r w:rsidR="00BE77D8">
              <w:rPr>
                <w:rFonts w:eastAsia="Calibri" w:cs="EEAGN D+ Melior" w:asciiTheme="minorHAnsi" w:hAnsiTheme="minorHAnsi"/>
                <w:color w:val="000000"/>
              </w:rPr>
              <w:t xml:space="preserve">, </w:t>
            </w:r>
            <w:r>
              <w:rPr>
                <w:rFonts w:eastAsia="Calibri" w:cs="EEAGN D+ Melior" w:asciiTheme="minorHAnsi" w:hAnsiTheme="minorHAnsi"/>
                <w:color w:val="000000"/>
              </w:rPr>
              <w:t>stakeholder</w:t>
            </w:r>
            <w:r w:rsidR="00BE77D8">
              <w:rPr>
                <w:rFonts w:eastAsia="Calibri" w:cs="EEAGN D+ Melior" w:asciiTheme="minorHAnsi" w:hAnsiTheme="minorHAnsi"/>
                <w:color w:val="000000"/>
              </w:rPr>
              <w:t>, or</w:t>
            </w:r>
            <w:r>
              <w:rPr>
                <w:rFonts w:eastAsia="Calibri" w:cs="EEAGN D+ Melior" w:asciiTheme="minorHAnsi" w:hAnsiTheme="minorHAnsi"/>
                <w:color w:val="000000"/>
              </w:rPr>
              <w:t xml:space="preserve"> customer</w:t>
            </w:r>
          </w:p>
        </w:tc>
        <w:tc>
          <w:tcPr>
            <w:tcW w:w="1440" w:type="dxa"/>
            <w:shd w:val="clear" w:color="auto" w:fill="auto"/>
          </w:tcPr>
          <w:p w:rsidRPr="00B66550" w:rsidR="0043586D" w:rsidP="00664B37" w:rsidRDefault="0043586D" w14:paraId="30C2D0E9" w14:textId="66BCA023">
            <w:pPr>
              <w:widowControl w:val="0"/>
              <w:tabs>
                <w:tab w:val="left" w:pos="0"/>
              </w:tabs>
              <w:autoSpaceDE w:val="0"/>
              <w:autoSpaceDN w:val="0"/>
              <w:adjustRightInd w:val="0"/>
              <w:rPr>
                <w:rFonts w:eastAsia="Calibri" w:cs="EEAGN D+ Melior" w:asciiTheme="minorHAnsi" w:hAnsiTheme="minorHAnsi"/>
                <w:color w:val="000000"/>
                <w:sz w:val="20"/>
                <w:szCs w:val="20"/>
              </w:rPr>
            </w:pPr>
            <w:r w:rsidRPr="00B66550">
              <w:rPr>
                <w:rFonts w:eastAsia="Calibri" w:cs="EEAGN D+ Melior" w:asciiTheme="minorHAnsi" w:hAnsiTheme="minorHAnsi"/>
                <w:color w:val="000000"/>
                <w:sz w:val="20"/>
                <w:szCs w:val="20"/>
              </w:rPr>
              <w:t>Interview Guide</w:t>
            </w:r>
            <w:r w:rsidRPr="00B66550" w:rsidR="00390D88">
              <w:rPr>
                <w:rFonts w:eastAsia="Calibri" w:cs="EEAGN D+ Melior" w:asciiTheme="minorHAnsi" w:hAnsiTheme="minorHAnsi"/>
                <w:color w:val="000000"/>
                <w:sz w:val="20"/>
                <w:szCs w:val="20"/>
              </w:rPr>
              <w:t>, Questio</w:t>
            </w:r>
            <w:r w:rsidR="00BE77D8">
              <w:rPr>
                <w:rFonts w:eastAsia="Calibri" w:cs="EEAGN D+ Melior" w:asciiTheme="minorHAnsi" w:hAnsiTheme="minorHAnsi"/>
                <w:color w:val="000000"/>
                <w:sz w:val="20"/>
                <w:szCs w:val="20"/>
              </w:rPr>
              <w:t>n</w:t>
            </w:r>
            <w:r w:rsidRPr="00B66550" w:rsidR="00390D88">
              <w:rPr>
                <w:rFonts w:eastAsia="Calibri" w:cs="EEAGN D+ Melior" w:asciiTheme="minorHAnsi" w:hAnsiTheme="minorHAnsi"/>
                <w:color w:val="000000"/>
                <w:sz w:val="20"/>
                <w:szCs w:val="20"/>
              </w:rPr>
              <w:t>naire, or Survey</w:t>
            </w:r>
          </w:p>
        </w:tc>
        <w:tc>
          <w:tcPr>
            <w:tcW w:w="1440" w:type="dxa"/>
            <w:shd w:val="clear" w:color="auto" w:fill="auto"/>
          </w:tcPr>
          <w:p w:rsidRPr="00BB3935" w:rsidR="0043586D" w:rsidP="00664B37" w:rsidRDefault="0043586D" w14:paraId="3CD538FC" w14:textId="7AF3E31B">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500</w:t>
            </w:r>
          </w:p>
        </w:tc>
        <w:tc>
          <w:tcPr>
            <w:tcW w:w="1350" w:type="dxa"/>
            <w:shd w:val="clear" w:color="auto" w:fill="auto"/>
          </w:tcPr>
          <w:p w:rsidRPr="00BB3935" w:rsidR="0043586D" w:rsidP="00664B37" w:rsidRDefault="0043586D" w14:paraId="5AF7FA2E" w14:textId="795C6B2E">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1</w:t>
            </w:r>
          </w:p>
        </w:tc>
        <w:tc>
          <w:tcPr>
            <w:tcW w:w="1260" w:type="dxa"/>
            <w:shd w:val="clear" w:color="auto" w:fill="auto"/>
          </w:tcPr>
          <w:p w:rsidRPr="00BB3935" w:rsidR="0043586D" w:rsidP="00664B37" w:rsidRDefault="0043586D" w14:paraId="7645A05B" w14:textId="6988C4F6">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0.5</w:t>
            </w:r>
          </w:p>
        </w:tc>
        <w:tc>
          <w:tcPr>
            <w:tcW w:w="990" w:type="dxa"/>
          </w:tcPr>
          <w:p w:rsidR="0043586D" w:rsidP="00664B37" w:rsidRDefault="0043586D" w14:paraId="0596D7CB" w14:textId="7A336A6D">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$58.32</w:t>
            </w:r>
          </w:p>
        </w:tc>
        <w:tc>
          <w:tcPr>
            <w:tcW w:w="1350" w:type="dxa"/>
          </w:tcPr>
          <w:p w:rsidR="0043586D" w:rsidP="00664B37" w:rsidRDefault="0043586D" w14:paraId="6B1013C0" w14:textId="513C53A7">
            <w:pPr>
              <w:widowControl w:val="0"/>
              <w:tabs>
                <w:tab w:val="left" w:pos="0"/>
              </w:tabs>
              <w:autoSpaceDE w:val="0"/>
              <w:autoSpaceDN w:val="0"/>
              <w:adjustRightInd w:val="0"/>
              <w:rPr>
                <w:rFonts w:eastAsia="Calibri" w:cs="EEAGN D+ Melior" w:asciiTheme="minorHAnsi" w:hAnsiTheme="minorHAnsi"/>
                <w:color w:val="000000"/>
              </w:rPr>
            </w:pPr>
            <w:r>
              <w:rPr>
                <w:rFonts w:eastAsia="Calibri" w:cs="EEAGN D+ Melior" w:asciiTheme="minorHAnsi" w:hAnsiTheme="minorHAnsi"/>
                <w:color w:val="000000"/>
              </w:rPr>
              <w:t>$  14,580.00</w:t>
            </w:r>
          </w:p>
        </w:tc>
      </w:tr>
      <w:tr w:rsidRPr="00BB3935" w:rsidR="00390D88" w:rsidTr="00B66550" w14:paraId="549F7A63" w14:textId="63BCF8E1">
        <w:trPr>
          <w:trHeight w:val="260"/>
        </w:trPr>
        <w:tc>
          <w:tcPr>
            <w:tcW w:w="1615" w:type="dxa"/>
            <w:shd w:val="clear" w:color="auto" w:fill="D9D9D9" w:themeFill="background1" w:themeFillShade="D9"/>
          </w:tcPr>
          <w:p w:rsidRPr="0076702A" w:rsidR="0043586D" w:rsidP="007A1C68" w:rsidRDefault="0043586D" w14:paraId="09A2609D" w14:textId="1D60CC25">
            <w:pPr>
              <w:widowControl w:val="0"/>
              <w:tabs>
                <w:tab w:val="left" w:pos="0"/>
              </w:tabs>
              <w:autoSpaceDE w:val="0"/>
              <w:autoSpaceDN w:val="0"/>
              <w:adjustRightInd w:val="0"/>
              <w:rPr>
                <w:rFonts w:eastAsia="Calibri" w:cs="EEAGN D+ Melior" w:asciiTheme="minorHAnsi" w:hAnsiTheme="minorHAnsi"/>
                <w:b/>
                <w:color w:val="000000"/>
              </w:rPr>
            </w:pPr>
          </w:p>
        </w:tc>
        <w:tc>
          <w:tcPr>
            <w:tcW w:w="1440" w:type="dxa"/>
            <w:shd w:val="clear" w:color="auto" w:fill="D9D9D9" w:themeFill="background1" w:themeFillShade="D9"/>
          </w:tcPr>
          <w:p w:rsidRPr="006A01F6" w:rsidR="0043586D" w:rsidP="007A1C68" w:rsidRDefault="0043586D" w14:paraId="3561126B" w14:textId="77777777">
            <w:pPr>
              <w:widowControl w:val="0"/>
              <w:tabs>
                <w:tab w:val="left" w:pos="0"/>
              </w:tabs>
              <w:autoSpaceDE w:val="0"/>
              <w:autoSpaceDN w:val="0"/>
              <w:adjustRightInd w:val="0"/>
              <w:rPr>
                <w:rFonts w:eastAsia="Calibri" w:cs="Courier New" w:asciiTheme="minorHAnsi" w:hAnsiTheme="minorHAnsi"/>
                <w:sz w:val="10"/>
              </w:rPr>
            </w:pPr>
          </w:p>
        </w:tc>
        <w:tc>
          <w:tcPr>
            <w:tcW w:w="1440" w:type="dxa"/>
            <w:shd w:val="clear" w:color="auto" w:fill="D9D9D9" w:themeFill="background1" w:themeFillShade="D9"/>
          </w:tcPr>
          <w:p w:rsidR="0043586D" w:rsidP="007A1C68" w:rsidRDefault="0043586D" w14:paraId="680C733A" w14:textId="77777777">
            <w:pPr>
              <w:widowControl w:val="0"/>
              <w:tabs>
                <w:tab w:val="left" w:pos="0"/>
              </w:tabs>
              <w:autoSpaceDE w:val="0"/>
              <w:autoSpaceDN w:val="0"/>
              <w:adjustRightInd w:val="0"/>
              <w:rPr>
                <w:rFonts w:eastAsia="Calibri" w:cs="EEAGN D+ Melior" w:asciiTheme="minorHAnsi" w:hAnsiTheme="minorHAnsi"/>
                <w:color w:val="000000"/>
              </w:rPr>
            </w:pPr>
          </w:p>
        </w:tc>
        <w:tc>
          <w:tcPr>
            <w:tcW w:w="1350" w:type="dxa"/>
            <w:shd w:val="clear" w:color="auto" w:fill="D9D9D9" w:themeFill="background1" w:themeFillShade="D9"/>
          </w:tcPr>
          <w:p w:rsidR="0043586D" w:rsidP="007A1C68" w:rsidRDefault="0043586D" w14:paraId="40AD688A" w14:textId="77777777">
            <w:pPr>
              <w:widowControl w:val="0"/>
              <w:tabs>
                <w:tab w:val="left" w:pos="0"/>
              </w:tabs>
              <w:autoSpaceDE w:val="0"/>
              <w:autoSpaceDN w:val="0"/>
              <w:adjustRightInd w:val="0"/>
              <w:rPr>
                <w:rFonts w:eastAsia="Calibri" w:cs="EEAGN D+ Melior" w:asciiTheme="minorHAnsi" w:hAnsiTheme="minorHAnsi"/>
                <w:color w:val="000000"/>
              </w:rPr>
            </w:pPr>
          </w:p>
        </w:tc>
        <w:tc>
          <w:tcPr>
            <w:tcW w:w="1260" w:type="dxa"/>
            <w:shd w:val="clear" w:color="auto" w:fill="D9D9D9" w:themeFill="background1" w:themeFillShade="D9"/>
          </w:tcPr>
          <w:p w:rsidR="0043586D" w:rsidP="007A1C68" w:rsidRDefault="0043586D" w14:paraId="57904242" w14:textId="77777777">
            <w:pPr>
              <w:widowControl w:val="0"/>
              <w:tabs>
                <w:tab w:val="left" w:pos="0"/>
              </w:tabs>
              <w:autoSpaceDE w:val="0"/>
              <w:autoSpaceDN w:val="0"/>
              <w:adjustRightInd w:val="0"/>
              <w:rPr>
                <w:rFonts w:eastAsia="Calibri" w:cs="EEAGN D+ Melior" w:asciiTheme="minorHAnsi" w:hAnsiTheme="minorHAnsi"/>
                <w:color w:val="000000"/>
              </w:rPr>
            </w:pPr>
          </w:p>
        </w:tc>
        <w:tc>
          <w:tcPr>
            <w:tcW w:w="990" w:type="dxa"/>
            <w:shd w:val="clear" w:color="auto" w:fill="D9D9D9" w:themeFill="background1" w:themeFillShade="D9"/>
          </w:tcPr>
          <w:p w:rsidR="0043586D" w:rsidP="007A1C68" w:rsidRDefault="0043586D" w14:paraId="464B4EAD" w14:textId="77777777">
            <w:pPr>
              <w:widowControl w:val="0"/>
              <w:tabs>
                <w:tab w:val="left" w:pos="0"/>
              </w:tabs>
              <w:autoSpaceDE w:val="0"/>
              <w:autoSpaceDN w:val="0"/>
              <w:adjustRightInd w:val="0"/>
              <w:rPr>
                <w:rFonts w:eastAsia="Calibri" w:cs="EEAGN D+ Melior" w:asciiTheme="minorHAnsi" w:hAnsiTheme="minorHAnsi"/>
                <w:color w:val="000000"/>
              </w:rPr>
            </w:pPr>
          </w:p>
        </w:tc>
        <w:tc>
          <w:tcPr>
            <w:tcW w:w="1350" w:type="dxa"/>
            <w:shd w:val="clear" w:color="auto" w:fill="D9D9D9" w:themeFill="background1" w:themeFillShade="D9"/>
          </w:tcPr>
          <w:p w:rsidRPr="00B90BE8" w:rsidR="0043586D" w:rsidP="00664B37" w:rsidRDefault="0043586D" w14:paraId="63A4BDF5" w14:textId="20B83ECE">
            <w:pPr>
              <w:widowControl w:val="0"/>
              <w:tabs>
                <w:tab w:val="left" w:pos="0"/>
              </w:tabs>
              <w:autoSpaceDE w:val="0"/>
              <w:autoSpaceDN w:val="0"/>
              <w:adjustRightInd w:val="0"/>
              <w:rPr>
                <w:rFonts w:eastAsia="Calibri" w:cs="EEAGN D+ Melior" w:asciiTheme="minorHAnsi" w:hAnsiTheme="minorHAnsi"/>
                <w:b/>
                <w:color w:val="000000"/>
              </w:rPr>
            </w:pPr>
            <w:r w:rsidRPr="00B90BE8">
              <w:rPr>
                <w:rFonts w:eastAsia="Calibri" w:cs="EEAGN D+ Melior" w:asciiTheme="minorHAnsi" w:hAnsiTheme="minorHAnsi"/>
                <w:b/>
                <w:color w:val="000000"/>
              </w:rPr>
              <w:t xml:space="preserve">$ </w:t>
            </w:r>
            <w:r>
              <w:rPr>
                <w:rFonts w:eastAsia="Calibri" w:cs="EEAGN D+ Melior" w:asciiTheme="minorHAnsi" w:hAnsiTheme="minorHAnsi"/>
                <w:b/>
                <w:color w:val="000000"/>
              </w:rPr>
              <w:t>14,580.00</w:t>
            </w:r>
          </w:p>
        </w:tc>
      </w:tr>
    </w:tbl>
    <w:p w:rsidR="0076702A" w:rsidP="00664B37" w:rsidRDefault="009E1E51" w14:paraId="53830720" w14:textId="2B7D2A2A">
      <w:pPr>
        <w:widowControl w:val="0"/>
        <w:tabs>
          <w:tab w:val="left" w:pos="0"/>
        </w:tabs>
        <w:autoSpaceDE w:val="0"/>
        <w:autoSpaceDN w:val="0"/>
        <w:adjustRightInd w:val="0"/>
        <w:jc w:val="both"/>
        <w:rPr>
          <w:rFonts w:asciiTheme="minorHAnsi" w:hAnsiTheme="minorHAnsi"/>
        </w:rPr>
      </w:pPr>
      <w:r>
        <w:rPr>
          <w:rFonts w:asciiTheme="minorHAnsi" w:hAnsiTheme="minorHAnsi"/>
        </w:rPr>
        <w:t>*</w:t>
      </w:r>
      <w:r w:rsidR="00930227">
        <w:rPr>
          <w:rFonts w:asciiTheme="minorHAnsi" w:hAnsiTheme="minorHAnsi"/>
        </w:rPr>
        <w:t>A</w:t>
      </w:r>
      <w:r w:rsidR="00664B37">
        <w:rPr>
          <w:rFonts w:asciiTheme="minorHAnsi" w:hAnsiTheme="minorHAnsi"/>
        </w:rPr>
        <w:t xml:space="preserve">verage of </w:t>
      </w:r>
      <w:r>
        <w:rPr>
          <w:rFonts w:asciiTheme="minorHAnsi" w:hAnsiTheme="minorHAnsi"/>
        </w:rPr>
        <w:t>hourly wage</w:t>
      </w:r>
      <w:r w:rsidR="00664B37">
        <w:rPr>
          <w:rFonts w:asciiTheme="minorHAnsi" w:hAnsiTheme="minorHAnsi"/>
        </w:rPr>
        <w:t xml:space="preserve"> of </w:t>
      </w:r>
      <w:r w:rsidR="00664B37">
        <w:rPr>
          <w:rFonts w:eastAsia="Calibri" w:cs="EEAGN D+ Melior" w:asciiTheme="minorHAnsi" w:hAnsiTheme="minorHAnsi"/>
          <w:color w:val="000000"/>
        </w:rPr>
        <w:t xml:space="preserve">External </w:t>
      </w:r>
      <w:r w:rsidR="00BE77D8">
        <w:rPr>
          <w:rFonts w:eastAsia="Calibri" w:cs="EEAGN D+ Melior" w:asciiTheme="minorHAnsi" w:hAnsiTheme="minorHAnsi"/>
          <w:color w:val="000000"/>
        </w:rPr>
        <w:t xml:space="preserve">partner, </w:t>
      </w:r>
      <w:r w:rsidR="00664B37">
        <w:rPr>
          <w:rFonts w:eastAsia="Calibri" w:cs="EEAGN D+ Melior" w:asciiTheme="minorHAnsi" w:hAnsiTheme="minorHAnsi"/>
          <w:color w:val="000000"/>
        </w:rPr>
        <w:t>stakeholder</w:t>
      </w:r>
      <w:r w:rsidR="00BE77D8">
        <w:rPr>
          <w:rFonts w:eastAsia="Calibri" w:cs="EEAGN D+ Melior" w:asciiTheme="minorHAnsi" w:hAnsiTheme="minorHAnsi"/>
          <w:color w:val="000000"/>
        </w:rPr>
        <w:t xml:space="preserve">, or </w:t>
      </w:r>
      <w:r w:rsidR="00664B37">
        <w:rPr>
          <w:rFonts w:eastAsia="Calibri" w:cs="EEAGN D+ Melior" w:asciiTheme="minorHAnsi" w:hAnsiTheme="minorHAnsi"/>
          <w:color w:val="000000"/>
        </w:rPr>
        <w:t>customer (</w:t>
      </w:r>
      <w:r w:rsidR="00664B37">
        <w:rPr>
          <w:rFonts w:asciiTheme="minorHAnsi" w:hAnsiTheme="minorHAnsi"/>
        </w:rPr>
        <w:t xml:space="preserve">Administrators, Scientists &amp; Healthcare staff) </w:t>
      </w:r>
      <w:r>
        <w:rPr>
          <w:rFonts w:asciiTheme="minorHAnsi" w:hAnsiTheme="minorHAnsi"/>
        </w:rPr>
        <w:t xml:space="preserve">from </w:t>
      </w:r>
      <w:hyperlink w:history="1" r:id="rId12">
        <w:r w:rsidRPr="00176B2F">
          <w:rPr>
            <w:rStyle w:val="Hyperlink"/>
            <w:rFonts w:asciiTheme="minorHAnsi" w:hAnsiTheme="minorHAnsi"/>
          </w:rPr>
          <w:t>http://www.bls.gov/home.htm</w:t>
        </w:r>
      </w:hyperlink>
      <w:r>
        <w:rPr>
          <w:rFonts w:asciiTheme="minorHAnsi" w:hAnsiTheme="minorHAnsi"/>
        </w:rPr>
        <w:t xml:space="preserve"> </w:t>
      </w:r>
    </w:p>
    <w:p w:rsidR="009E1E51" w:rsidP="00DC2CD8" w:rsidRDefault="009E1E51" w14:paraId="43087EDB" w14:textId="77777777">
      <w:pPr>
        <w:jc w:val="both"/>
        <w:rPr>
          <w:rFonts w:asciiTheme="minorHAnsi" w:hAnsiTheme="minorHAnsi"/>
        </w:rPr>
      </w:pPr>
    </w:p>
    <w:p w:rsidR="009E1E51" w:rsidP="00DC2CD8" w:rsidRDefault="009E1E51" w14:paraId="04198A57" w14:textId="77777777">
      <w:pPr>
        <w:jc w:val="both"/>
        <w:rPr>
          <w:rFonts w:asciiTheme="minorHAnsi" w:hAnsiTheme="minorHAnsi"/>
        </w:rPr>
      </w:pPr>
    </w:p>
    <w:p w:rsidRPr="009A5895" w:rsidR="002B470C" w:rsidP="005B2A35" w:rsidRDefault="002B470C" w14:paraId="4963A2FD" w14:textId="77777777">
      <w:pPr>
        <w:pStyle w:val="Heading3"/>
        <w:rPr>
          <w:rFonts w:asciiTheme="minorHAnsi" w:hAnsiTheme="minorHAnsi"/>
          <w:sz w:val="22"/>
          <w:szCs w:val="22"/>
        </w:rPr>
      </w:pPr>
      <w:bookmarkStart w:name="_Toc466364042" w:id="16"/>
      <w:r w:rsidRPr="009A5895">
        <w:rPr>
          <w:rFonts w:asciiTheme="minorHAnsi" w:hAnsiTheme="minorHAnsi"/>
          <w:sz w:val="22"/>
          <w:szCs w:val="22"/>
        </w:rPr>
        <w:t>13. Estimates of Other Total Annual Cost Burden to Respondents or Record Keepers</w:t>
      </w:r>
      <w:bookmarkEnd w:id="16"/>
      <w:r w:rsidRPr="009A5895">
        <w:rPr>
          <w:rFonts w:asciiTheme="minorHAnsi" w:hAnsiTheme="minorHAnsi"/>
          <w:sz w:val="22"/>
          <w:szCs w:val="22"/>
        </w:rPr>
        <w:t xml:space="preserve"> </w:t>
      </w:r>
    </w:p>
    <w:p w:rsidRPr="009A5895" w:rsidR="00DC31EF" w:rsidP="00DC31EF" w:rsidRDefault="00DC31EF" w14:paraId="0E70AFF6" w14:textId="77777777">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sidRPr="009A5895">
        <w:rPr>
          <w:rFonts w:asciiTheme="minorHAnsi" w:hAnsiTheme="minorHAnsi"/>
          <w:sz w:val="22"/>
          <w:szCs w:val="22"/>
        </w:rPr>
        <w:t>There are no projected cost burdens for reporting.</w:t>
      </w:r>
    </w:p>
    <w:p w:rsidRPr="009A5895" w:rsidR="00DC31EF" w:rsidP="00DC31EF" w:rsidRDefault="00DC31EF" w14:paraId="141B2100" w14:textId="77777777">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Pr="009A5895" w:rsidR="002B470C" w:rsidP="005B2A35" w:rsidRDefault="002B470C" w14:paraId="6FCDAC0D" w14:textId="77777777">
      <w:pPr>
        <w:pStyle w:val="Heading3"/>
        <w:rPr>
          <w:rFonts w:asciiTheme="minorHAnsi" w:hAnsiTheme="minorHAnsi"/>
          <w:sz w:val="22"/>
          <w:szCs w:val="22"/>
        </w:rPr>
      </w:pPr>
      <w:bookmarkStart w:name="_Toc466364043" w:id="17"/>
      <w:r w:rsidRPr="009A5895">
        <w:rPr>
          <w:rFonts w:asciiTheme="minorHAnsi" w:hAnsiTheme="minorHAnsi"/>
          <w:sz w:val="22"/>
          <w:szCs w:val="22"/>
        </w:rPr>
        <w:t>14. Annualized Cost to the Government</w:t>
      </w:r>
      <w:bookmarkEnd w:id="17"/>
      <w:r w:rsidRPr="009A5895">
        <w:rPr>
          <w:rFonts w:asciiTheme="minorHAnsi" w:hAnsiTheme="minorHAnsi"/>
          <w:sz w:val="22"/>
          <w:szCs w:val="22"/>
        </w:rPr>
        <w:t xml:space="preserve"> </w:t>
      </w:r>
    </w:p>
    <w:p w:rsidRPr="005E2958" w:rsidR="00AD41CC" w:rsidP="00AD41CC" w:rsidRDefault="00DC31EF" w14:paraId="1FFC1FFE" w14:textId="3EF8F7F2">
      <w:pPr>
        <w:pStyle w:val="ListParagraph"/>
        <w:numPr>
          <w:ilvl w:val="0"/>
          <w:numId w:val="12"/>
        </w:numPr>
        <w:rPr>
          <w:rFonts w:eastAsia="Times New Roman" w:asciiTheme="minorHAnsi" w:hAnsiTheme="minorHAnsi"/>
        </w:rPr>
      </w:pPr>
      <w:r w:rsidRPr="00782172">
        <w:rPr>
          <w:rFonts w:asciiTheme="minorHAnsi" w:hAnsiTheme="minorHAnsi"/>
        </w:rPr>
        <w:t xml:space="preserve">The </w:t>
      </w:r>
      <w:r w:rsidRPr="00782172" w:rsidR="00862D9C">
        <w:rPr>
          <w:rFonts w:asciiTheme="minorHAnsi" w:hAnsiTheme="minorHAnsi"/>
        </w:rPr>
        <w:t xml:space="preserve">cost </w:t>
      </w:r>
      <w:r w:rsidRPr="00782172">
        <w:rPr>
          <w:rFonts w:asciiTheme="minorHAnsi" w:hAnsiTheme="minorHAnsi"/>
        </w:rPr>
        <w:t xml:space="preserve">to the program is </w:t>
      </w:r>
      <w:r w:rsidR="00862D9C">
        <w:rPr>
          <w:rFonts w:asciiTheme="minorHAnsi" w:hAnsiTheme="minorHAnsi"/>
        </w:rPr>
        <w:t>associated with the</w:t>
      </w:r>
      <w:r w:rsidRPr="00B75614" w:rsidR="00862D9C">
        <w:rPr>
          <w:rFonts w:asciiTheme="minorHAnsi" w:hAnsiTheme="minorHAnsi"/>
        </w:rPr>
        <w:t xml:space="preserve"> contractors</w:t>
      </w:r>
      <w:r w:rsidR="00862D9C">
        <w:rPr>
          <w:rFonts w:asciiTheme="minorHAnsi" w:hAnsiTheme="minorHAnsi"/>
        </w:rPr>
        <w:t xml:space="preserve"> responsible for providing the I-Catalyst curriculum</w:t>
      </w:r>
      <w:r w:rsidRPr="00B75614" w:rsidR="00862D9C">
        <w:rPr>
          <w:rFonts w:asciiTheme="minorHAnsi" w:hAnsiTheme="minorHAnsi"/>
        </w:rPr>
        <w:t>.</w:t>
      </w:r>
      <w:r w:rsidR="00862D9C">
        <w:rPr>
          <w:rFonts w:asciiTheme="minorHAnsi" w:hAnsiTheme="minorHAnsi"/>
        </w:rPr>
        <w:t xml:space="preserve"> </w:t>
      </w:r>
      <w:r w:rsidRPr="005E2958" w:rsidR="005E2958">
        <w:rPr>
          <w:rFonts w:asciiTheme="minorHAnsi" w:hAnsiTheme="minorHAnsi"/>
        </w:rPr>
        <w:t xml:space="preserve">Contractor </w:t>
      </w:r>
      <w:r w:rsidR="00664B37">
        <w:rPr>
          <w:rFonts w:asciiTheme="minorHAnsi" w:hAnsiTheme="minorHAnsi"/>
        </w:rPr>
        <w:t>fees</w:t>
      </w:r>
      <w:r w:rsidRPr="005E2958" w:rsidR="005E2958">
        <w:rPr>
          <w:rFonts w:asciiTheme="minorHAnsi" w:hAnsiTheme="minorHAnsi"/>
        </w:rPr>
        <w:t xml:space="preserve"> are estimated to be $</w:t>
      </w:r>
      <w:r w:rsidR="005E2958">
        <w:rPr>
          <w:rFonts w:asciiTheme="minorHAnsi" w:hAnsiTheme="minorHAnsi"/>
        </w:rPr>
        <w:t>7</w:t>
      </w:r>
      <w:r w:rsidR="00B96E35">
        <w:rPr>
          <w:rFonts w:asciiTheme="minorHAnsi" w:hAnsiTheme="minorHAnsi"/>
        </w:rPr>
        <w:t>5</w:t>
      </w:r>
      <w:r w:rsidR="005E2958">
        <w:rPr>
          <w:rFonts w:asciiTheme="minorHAnsi" w:hAnsiTheme="minorHAnsi"/>
        </w:rPr>
        <w:t>,000</w:t>
      </w:r>
      <w:r w:rsidRPr="005E2958" w:rsidR="005E2958">
        <w:rPr>
          <w:rFonts w:asciiTheme="minorHAnsi" w:hAnsiTheme="minorHAnsi"/>
        </w:rPr>
        <w:t xml:space="preserve"> </w:t>
      </w:r>
      <w:r w:rsidR="00664B37">
        <w:rPr>
          <w:rFonts w:asciiTheme="minorHAnsi" w:hAnsiTheme="minorHAnsi"/>
        </w:rPr>
        <w:t>per year</w:t>
      </w:r>
      <w:r w:rsidR="00B90BE8">
        <w:rPr>
          <w:rFonts w:asciiTheme="minorHAnsi" w:hAnsiTheme="minorHAnsi"/>
        </w:rPr>
        <w:t xml:space="preserve">; CDC </w:t>
      </w:r>
      <w:r w:rsidR="00664B37">
        <w:rPr>
          <w:rFonts w:asciiTheme="minorHAnsi" w:hAnsiTheme="minorHAnsi"/>
        </w:rPr>
        <w:t>cost</w:t>
      </w:r>
      <w:r w:rsidR="00930227">
        <w:rPr>
          <w:rFonts w:asciiTheme="minorHAnsi" w:hAnsiTheme="minorHAnsi"/>
        </w:rPr>
        <w:t xml:space="preserve"> is:</w:t>
      </w:r>
      <w:r w:rsidR="00292050">
        <w:rPr>
          <w:rFonts w:asciiTheme="minorHAnsi" w:hAnsiTheme="minorHAnsi"/>
        </w:rPr>
        <w:t xml:space="preserve"> 50% </w:t>
      </w:r>
      <w:r w:rsidR="00584766">
        <w:rPr>
          <w:rFonts w:asciiTheme="minorHAnsi" w:hAnsiTheme="minorHAnsi"/>
        </w:rPr>
        <w:t xml:space="preserve">ORISE </w:t>
      </w:r>
      <w:r w:rsidR="00292050">
        <w:rPr>
          <w:rFonts w:asciiTheme="minorHAnsi" w:hAnsiTheme="minorHAnsi"/>
        </w:rPr>
        <w:t>Fellow</w:t>
      </w:r>
      <w:r w:rsidR="00930227">
        <w:rPr>
          <w:rFonts w:asciiTheme="minorHAnsi" w:hAnsiTheme="minorHAnsi"/>
        </w:rPr>
        <w:t xml:space="preserve">’s time </w:t>
      </w:r>
      <w:r w:rsidR="00795F94">
        <w:rPr>
          <w:rFonts w:asciiTheme="minorHAnsi" w:hAnsiTheme="minorHAnsi"/>
        </w:rPr>
        <w:t xml:space="preserve">at </w:t>
      </w:r>
      <w:r w:rsidR="00292050">
        <w:rPr>
          <w:rFonts w:asciiTheme="minorHAnsi" w:hAnsiTheme="minorHAnsi"/>
        </w:rPr>
        <w:t>$23,000</w:t>
      </w:r>
      <w:r w:rsidR="00B90BE8">
        <w:rPr>
          <w:rFonts w:asciiTheme="minorHAnsi" w:hAnsiTheme="minorHAnsi"/>
        </w:rPr>
        <w:t xml:space="preserve"> and </w:t>
      </w:r>
      <w:r w:rsidR="00292050">
        <w:rPr>
          <w:rFonts w:asciiTheme="minorHAnsi" w:hAnsiTheme="minorHAnsi"/>
        </w:rPr>
        <w:t xml:space="preserve">25% </w:t>
      </w:r>
      <w:r w:rsidR="00795F94">
        <w:rPr>
          <w:rFonts w:asciiTheme="minorHAnsi" w:hAnsiTheme="minorHAnsi"/>
        </w:rPr>
        <w:t xml:space="preserve">time </w:t>
      </w:r>
      <w:r w:rsidR="00292050">
        <w:rPr>
          <w:rFonts w:asciiTheme="minorHAnsi" w:hAnsiTheme="minorHAnsi"/>
        </w:rPr>
        <w:t xml:space="preserve">of </w:t>
      </w:r>
      <w:r w:rsidR="00930227">
        <w:rPr>
          <w:rFonts w:asciiTheme="minorHAnsi" w:hAnsiTheme="minorHAnsi"/>
        </w:rPr>
        <w:t xml:space="preserve">an </w:t>
      </w:r>
      <w:r w:rsidR="00292050">
        <w:rPr>
          <w:rFonts w:asciiTheme="minorHAnsi" w:hAnsiTheme="minorHAnsi"/>
        </w:rPr>
        <w:t>FTE GS-15 at $</w:t>
      </w:r>
      <w:r w:rsidR="009E1E51">
        <w:rPr>
          <w:rFonts w:asciiTheme="minorHAnsi" w:hAnsiTheme="minorHAnsi"/>
        </w:rPr>
        <w:t>25,</w:t>
      </w:r>
      <w:r w:rsidR="00292050">
        <w:rPr>
          <w:rFonts w:asciiTheme="minorHAnsi" w:hAnsiTheme="minorHAnsi"/>
        </w:rPr>
        <w:t>000</w:t>
      </w:r>
      <w:r w:rsidR="00B90BE8">
        <w:rPr>
          <w:rFonts w:asciiTheme="minorHAnsi" w:hAnsiTheme="minorHAnsi"/>
        </w:rPr>
        <w:t>.</w:t>
      </w:r>
      <w:r w:rsidR="00AD41CC">
        <w:rPr>
          <w:rFonts w:asciiTheme="minorHAnsi" w:hAnsiTheme="minorHAnsi"/>
        </w:rPr>
        <w:t xml:space="preserve"> </w:t>
      </w:r>
      <w:r w:rsidRPr="005E2958" w:rsidR="00AD41CC">
        <w:rPr>
          <w:rFonts w:eastAsia="Times New Roman" w:asciiTheme="minorHAnsi" w:hAnsiTheme="minorHAnsi"/>
        </w:rPr>
        <w:t>These figures were estimated as the sum of the anticipated direct labor; fringe and burden on direct labor; other direct costs including computers, telephone, reproduction, shipping, mail, travel and per diem; general and administrative costs, and contractor fee.</w:t>
      </w:r>
    </w:p>
    <w:p w:rsidR="00DC31EF" w:rsidP="00AD41CC" w:rsidRDefault="00DC31EF" w14:paraId="404E719F" w14:textId="3D3BF9D9">
      <w:pPr>
        <w:pStyle w:val="Level4"/>
        <w:widowControl/>
        <w:numPr>
          <w:ilvl w:val="0"/>
          <w:numId w:val="0"/>
        </w:numPr>
        <w:tabs>
          <w:tab w:val="left" w:pos="-1440"/>
          <w:tab w:val="left" w:pos="-720"/>
          <w:tab w:val="left" w:pos="0"/>
          <w:tab w:val="left" w:pos="432"/>
          <w:tab w:val="left" w:pos="720"/>
          <w:tab w:val="left" w:pos="1080"/>
        </w:tabs>
        <w:ind w:left="1440" w:hanging="360"/>
        <w:rPr>
          <w:rFonts w:asciiTheme="minorHAnsi" w:hAnsiTheme="minorHAnsi"/>
          <w:sz w:val="22"/>
          <w:szCs w:val="22"/>
        </w:rPr>
      </w:pPr>
    </w:p>
    <w:tbl>
      <w:tblPr>
        <w:tblStyle w:val="TableGrid"/>
        <w:tblW w:w="0" w:type="auto"/>
        <w:tblInd w:w="7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5"/>
        <w:gridCol w:w="1350"/>
      </w:tblGrid>
      <w:tr w:rsidR="00B90BE8" w:rsidTr="00AD41CC" w14:paraId="21CDDC9F" w14:textId="77777777">
        <w:tc>
          <w:tcPr>
            <w:tcW w:w="5035" w:type="dxa"/>
          </w:tcPr>
          <w:p w:rsidRPr="00B90BE8" w:rsidR="00B90BE8" w:rsidP="00B90BE8" w:rsidRDefault="00AD41CC" w14:paraId="3E40D9CF" w14:textId="2C0267BD">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Pr>
                <w:rFonts w:asciiTheme="minorHAnsi" w:hAnsiTheme="minorHAnsi"/>
                <w:b/>
                <w:sz w:val="22"/>
                <w:szCs w:val="22"/>
              </w:rPr>
              <w:t>Program Staff Oversight &amp; Contractor</w:t>
            </w:r>
          </w:p>
        </w:tc>
        <w:tc>
          <w:tcPr>
            <w:tcW w:w="1350" w:type="dxa"/>
          </w:tcPr>
          <w:p w:rsidRPr="00B90BE8" w:rsidR="00B90BE8" w:rsidP="00B90BE8" w:rsidRDefault="00B90BE8" w14:paraId="58F09D42" w14:textId="42F6AA3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B90BE8">
              <w:rPr>
                <w:rFonts w:asciiTheme="minorHAnsi" w:hAnsiTheme="minorHAnsi"/>
                <w:b/>
                <w:sz w:val="22"/>
                <w:szCs w:val="22"/>
              </w:rPr>
              <w:t>Annual Cost</w:t>
            </w:r>
          </w:p>
        </w:tc>
      </w:tr>
      <w:tr w:rsidR="00B90BE8" w:rsidTr="00AD41CC" w14:paraId="2C8790B0" w14:textId="77777777">
        <w:tc>
          <w:tcPr>
            <w:tcW w:w="5035" w:type="dxa"/>
          </w:tcPr>
          <w:p w:rsidR="00B90BE8" w:rsidP="00B90BE8" w:rsidRDefault="00B90BE8" w14:paraId="71958BF6" w14:textId="73885D6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Contract</w:t>
            </w:r>
            <w:r w:rsidR="009E1E51">
              <w:rPr>
                <w:rFonts w:asciiTheme="minorHAnsi" w:hAnsiTheme="minorHAnsi"/>
                <w:sz w:val="22"/>
                <w:szCs w:val="22"/>
              </w:rPr>
              <w:t>or fee</w:t>
            </w:r>
          </w:p>
        </w:tc>
        <w:tc>
          <w:tcPr>
            <w:tcW w:w="1350" w:type="dxa"/>
          </w:tcPr>
          <w:p w:rsidR="00B90BE8" w:rsidP="00B96E35" w:rsidRDefault="00B90BE8" w14:paraId="11275228" w14:textId="6F9947F7">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 xml:space="preserve"> $7</w:t>
            </w:r>
            <w:r w:rsidR="00B96E35">
              <w:rPr>
                <w:rFonts w:asciiTheme="minorHAnsi" w:hAnsiTheme="minorHAnsi"/>
                <w:sz w:val="22"/>
                <w:szCs w:val="22"/>
              </w:rPr>
              <w:t>5</w:t>
            </w:r>
            <w:r>
              <w:rPr>
                <w:rFonts w:asciiTheme="minorHAnsi" w:hAnsiTheme="minorHAnsi"/>
                <w:sz w:val="22"/>
                <w:szCs w:val="22"/>
              </w:rPr>
              <w:t>,000</w:t>
            </w:r>
          </w:p>
        </w:tc>
      </w:tr>
      <w:tr w:rsidR="00B90BE8" w:rsidTr="00AD41CC" w14:paraId="69A0AF9A" w14:textId="77777777">
        <w:tc>
          <w:tcPr>
            <w:tcW w:w="5035" w:type="dxa"/>
          </w:tcPr>
          <w:p w:rsidR="00B90BE8" w:rsidP="00B90BE8" w:rsidRDefault="002873EC" w14:paraId="67C686B4" w14:textId="704CCBF0">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CDC Cost:</w:t>
            </w:r>
            <w:r w:rsidR="00B90BE8">
              <w:rPr>
                <w:rFonts w:asciiTheme="minorHAnsi" w:hAnsiTheme="minorHAnsi"/>
                <w:sz w:val="22"/>
                <w:szCs w:val="22"/>
              </w:rPr>
              <w:t xml:space="preserve"> </w:t>
            </w:r>
            <w:r w:rsidR="00584766">
              <w:rPr>
                <w:rFonts w:asciiTheme="minorHAnsi" w:hAnsiTheme="minorHAnsi"/>
                <w:sz w:val="22"/>
                <w:szCs w:val="22"/>
              </w:rPr>
              <w:t xml:space="preserve">ORISE </w:t>
            </w:r>
            <w:r w:rsidR="00B90BE8">
              <w:rPr>
                <w:rFonts w:asciiTheme="minorHAnsi" w:hAnsiTheme="minorHAnsi"/>
                <w:sz w:val="22"/>
                <w:szCs w:val="22"/>
              </w:rPr>
              <w:t>Fellow (50% of Time)</w:t>
            </w:r>
          </w:p>
        </w:tc>
        <w:tc>
          <w:tcPr>
            <w:tcW w:w="1350" w:type="dxa"/>
          </w:tcPr>
          <w:p w:rsidR="00B90BE8" w:rsidP="00B90BE8" w:rsidRDefault="00B90BE8" w14:paraId="462A8E44" w14:textId="1648C30A">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 xml:space="preserve"> $23,000</w:t>
            </w:r>
          </w:p>
        </w:tc>
      </w:tr>
      <w:tr w:rsidR="00B90BE8" w:rsidTr="00AD41CC" w14:paraId="6DFF9BB2" w14:textId="77777777">
        <w:tc>
          <w:tcPr>
            <w:tcW w:w="5035" w:type="dxa"/>
          </w:tcPr>
          <w:p w:rsidR="00B90BE8" w:rsidP="00B90BE8" w:rsidRDefault="002873EC" w14:paraId="1E39AE58" w14:textId="5E9453F4">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 xml:space="preserve">CDC Cost: </w:t>
            </w:r>
            <w:r w:rsidR="00B90BE8">
              <w:rPr>
                <w:rFonts w:asciiTheme="minorHAnsi" w:hAnsiTheme="minorHAnsi"/>
                <w:sz w:val="22"/>
                <w:szCs w:val="22"/>
              </w:rPr>
              <w:t>Support Staff Director (25% of Time)</w:t>
            </w:r>
          </w:p>
        </w:tc>
        <w:tc>
          <w:tcPr>
            <w:tcW w:w="1350" w:type="dxa"/>
          </w:tcPr>
          <w:p w:rsidR="00B90BE8" w:rsidP="00B90BE8" w:rsidRDefault="00B90BE8" w14:paraId="25E219AC" w14:textId="006F0F6F">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r>
              <w:rPr>
                <w:rFonts w:asciiTheme="minorHAnsi" w:hAnsiTheme="minorHAnsi"/>
                <w:sz w:val="22"/>
                <w:szCs w:val="22"/>
              </w:rPr>
              <w:t xml:space="preserve"> $25,000</w:t>
            </w:r>
          </w:p>
        </w:tc>
      </w:tr>
      <w:tr w:rsidR="00664B37" w:rsidTr="00AD41CC" w14:paraId="526B4DA2" w14:textId="77777777">
        <w:tc>
          <w:tcPr>
            <w:tcW w:w="5035" w:type="dxa"/>
          </w:tcPr>
          <w:p w:rsidRPr="00664B37" w:rsidR="00664B37" w:rsidP="00B90BE8" w:rsidRDefault="00664B37" w14:paraId="78FBFBFC" w14:textId="798E2EF8">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664B37">
              <w:rPr>
                <w:rFonts w:asciiTheme="minorHAnsi" w:hAnsiTheme="minorHAnsi"/>
                <w:b/>
                <w:sz w:val="22"/>
                <w:szCs w:val="22"/>
              </w:rPr>
              <w:t>Total</w:t>
            </w:r>
          </w:p>
        </w:tc>
        <w:tc>
          <w:tcPr>
            <w:tcW w:w="1350" w:type="dxa"/>
          </w:tcPr>
          <w:p w:rsidRPr="00664B37" w:rsidR="00664B37" w:rsidP="00B90BE8" w:rsidRDefault="00664B37" w14:paraId="75FEFE36" w14:textId="258ADEF2">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b/>
                <w:sz w:val="22"/>
                <w:szCs w:val="22"/>
              </w:rPr>
            </w:pPr>
            <w:r w:rsidRPr="00664B37">
              <w:rPr>
                <w:rFonts w:asciiTheme="minorHAnsi" w:hAnsiTheme="minorHAnsi"/>
                <w:b/>
                <w:sz w:val="22"/>
                <w:szCs w:val="22"/>
              </w:rPr>
              <w:t>$123,000</w:t>
            </w:r>
          </w:p>
        </w:tc>
      </w:tr>
    </w:tbl>
    <w:p w:rsidR="00B90BE8" w:rsidP="00B90BE8" w:rsidRDefault="00B90BE8" w14:paraId="3BDCE6E6" w14:textId="77777777">
      <w:pPr>
        <w:pStyle w:val="Level4"/>
        <w:widowControl/>
        <w:numPr>
          <w:ilvl w:val="0"/>
          <w:numId w:val="0"/>
        </w:numPr>
        <w:tabs>
          <w:tab w:val="left" w:pos="-1440"/>
          <w:tab w:val="left" w:pos="-720"/>
          <w:tab w:val="left" w:pos="0"/>
          <w:tab w:val="left" w:pos="432"/>
          <w:tab w:val="left" w:pos="720"/>
          <w:tab w:val="left" w:pos="1080"/>
        </w:tabs>
        <w:rPr>
          <w:rFonts w:asciiTheme="minorHAnsi" w:hAnsiTheme="minorHAnsi"/>
          <w:sz w:val="22"/>
          <w:szCs w:val="22"/>
        </w:rPr>
      </w:pPr>
    </w:p>
    <w:p w:rsidRPr="009A5895" w:rsidR="00DC31EF" w:rsidP="00DC31EF" w:rsidRDefault="00DC31EF" w14:paraId="210B61E5" w14:textId="77777777">
      <w:pPr>
        <w:pStyle w:val="Level3"/>
        <w:widowControl/>
        <w:numPr>
          <w:ilvl w:val="0"/>
          <w:numId w:val="0"/>
        </w:numPr>
        <w:tabs>
          <w:tab w:val="left" w:pos="-1440"/>
          <w:tab w:val="left" w:pos="-720"/>
          <w:tab w:val="left" w:pos="0"/>
          <w:tab w:val="left" w:pos="432"/>
          <w:tab w:val="left" w:pos="720"/>
        </w:tabs>
        <w:rPr>
          <w:rFonts w:asciiTheme="minorHAnsi" w:hAnsiTheme="minorHAnsi"/>
          <w:sz w:val="22"/>
          <w:szCs w:val="22"/>
        </w:rPr>
      </w:pPr>
    </w:p>
    <w:p w:rsidRPr="009A5895" w:rsidR="00920F4C" w:rsidP="005B2A35" w:rsidRDefault="002B470C" w14:paraId="4CB73F6B" w14:textId="77777777">
      <w:pPr>
        <w:pStyle w:val="Heading3"/>
        <w:rPr>
          <w:rFonts w:asciiTheme="minorHAnsi" w:hAnsiTheme="minorHAnsi"/>
          <w:sz w:val="22"/>
          <w:szCs w:val="22"/>
        </w:rPr>
      </w:pPr>
      <w:bookmarkStart w:name="_Toc466364044" w:id="18"/>
      <w:r w:rsidRPr="009A5895">
        <w:rPr>
          <w:rFonts w:asciiTheme="minorHAnsi" w:hAnsiTheme="minorHAnsi"/>
          <w:sz w:val="22"/>
          <w:szCs w:val="22"/>
        </w:rPr>
        <w:t>15. Explanation for Program Changes or Adjustments</w:t>
      </w:r>
      <w:bookmarkEnd w:id="18"/>
      <w:r w:rsidRPr="009A5895">
        <w:rPr>
          <w:rFonts w:asciiTheme="minorHAnsi" w:hAnsiTheme="minorHAnsi"/>
          <w:sz w:val="22"/>
          <w:szCs w:val="22"/>
        </w:rPr>
        <w:t xml:space="preserve"> </w:t>
      </w:r>
    </w:p>
    <w:p w:rsidR="0043586D" w:rsidP="00FA7A17" w:rsidRDefault="0043586D" w14:paraId="3EDC0538" w14:textId="0F5140EA">
      <w:pPr>
        <w:rPr>
          <w:rFonts w:asciiTheme="minorHAnsi" w:hAnsiTheme="minorHAnsi" w:cstheme="minorHAnsi"/>
        </w:rPr>
      </w:pPr>
      <w:r w:rsidRPr="0043586D">
        <w:rPr>
          <w:rFonts w:asciiTheme="minorHAnsi" w:hAnsiTheme="minorHAnsi" w:cstheme="minorHAnsi"/>
        </w:rPr>
        <w:t>In this Revision request, CDC seeks approval for minor changes to the I-Catalyst generic clearance.</w:t>
      </w:r>
    </w:p>
    <w:p w:rsidR="0043586D" w:rsidP="00FA7A17" w:rsidRDefault="0043586D" w14:paraId="6A6E5905" w14:textId="40E6A8F1">
      <w:pPr>
        <w:rPr>
          <w:rFonts w:asciiTheme="minorHAnsi" w:hAnsiTheme="minorHAnsi" w:cstheme="minorHAnsi"/>
        </w:rPr>
      </w:pPr>
      <w:r w:rsidRPr="0043586D">
        <w:rPr>
          <w:rFonts w:asciiTheme="minorHAnsi" w:hAnsiTheme="minorHAnsi" w:cstheme="minorHAnsi"/>
        </w:rPr>
        <w:t>(1) The number of respondents and burden hours will decrease</w:t>
      </w:r>
      <w:r>
        <w:rPr>
          <w:rFonts w:asciiTheme="minorHAnsi" w:hAnsiTheme="minorHAnsi" w:cstheme="minorHAnsi"/>
        </w:rPr>
        <w:t>, b</w:t>
      </w:r>
      <w:r w:rsidRPr="0043586D">
        <w:rPr>
          <w:rFonts w:asciiTheme="minorHAnsi" w:hAnsiTheme="minorHAnsi" w:cstheme="minorHAnsi"/>
        </w:rPr>
        <w:t>ased on participation in the I-Catalyst process during the period 2017-2019</w:t>
      </w:r>
      <w:r>
        <w:rPr>
          <w:rFonts w:asciiTheme="minorHAnsi" w:hAnsiTheme="minorHAnsi" w:cstheme="minorHAnsi"/>
        </w:rPr>
        <w:t>. The total estimated annualized burden hours will decrease from 500 hours to 250 hours</w:t>
      </w:r>
      <w:r w:rsidRPr="0043586D">
        <w:rPr>
          <w:rFonts w:asciiTheme="minorHAnsi" w:hAnsiTheme="minorHAnsi" w:cstheme="minorHAnsi"/>
        </w:rPr>
        <w:t>. Project-specific estimates will be included with each submission under the I-Catalyst generic clearance.</w:t>
      </w:r>
    </w:p>
    <w:p w:rsidR="00FA7A17" w:rsidP="0043586D" w:rsidRDefault="0043586D" w14:paraId="1616230B" w14:textId="17283C34">
      <w:pPr>
        <w:rPr>
          <w:rFonts w:asciiTheme="minorHAnsi" w:hAnsiTheme="minorHAnsi" w:cstheme="minorHAnsi"/>
        </w:rPr>
      </w:pPr>
      <w:r w:rsidRPr="0043586D">
        <w:rPr>
          <w:rFonts w:asciiTheme="minorHAnsi" w:hAnsiTheme="minorHAnsi" w:cstheme="minorHAnsi"/>
        </w:rPr>
        <w:t>(2) CDC/ATSDR programs may request OTI approval to use the I-Catalyst generic if (a) program representatives completed relevant OTI training in 2017-2019, (b) program representatives participate in relevant OTI training or mentored technical assistance in 2020-2022, or (c) OTI determines that project goals and methodology are consistent with the I-Catalyst process. These changes will allow OTI to facilitate OMB approval for a broader pool of qualified customer discovery projects including previous participants in the I-Catalyst process.</w:t>
      </w:r>
    </w:p>
    <w:p w:rsidRPr="00FA7A17" w:rsidR="00DC31EF" w:rsidP="00FA7A17" w:rsidRDefault="0043586D" w14:paraId="2D08D2AD" w14:textId="3B3408FB">
      <w:pPr>
        <w:rPr>
          <w:rFonts w:asciiTheme="minorHAnsi" w:hAnsiTheme="minorHAnsi" w:cstheme="minorHAnsi"/>
        </w:rPr>
      </w:pPr>
      <w:r w:rsidRPr="0043586D">
        <w:rPr>
          <w:rFonts w:asciiTheme="minorHAnsi" w:hAnsiTheme="minorHAnsi" w:cstheme="minorHAnsi"/>
        </w:rPr>
        <w:t>(3) The title of the clearance is being updated to reflect its use by additional CDC/ATSDR project teams approved by OTI.</w:t>
      </w:r>
    </w:p>
    <w:p w:rsidRPr="009A5895" w:rsidR="00920F4C" w:rsidP="005B2A35" w:rsidRDefault="00920F4C" w14:paraId="4686F26A" w14:textId="77777777">
      <w:pPr>
        <w:pStyle w:val="Heading3"/>
        <w:rPr>
          <w:rFonts w:cs="Times New Roman" w:asciiTheme="minorHAnsi" w:hAnsiTheme="minorHAnsi"/>
          <w:sz w:val="22"/>
          <w:szCs w:val="22"/>
        </w:rPr>
      </w:pPr>
    </w:p>
    <w:p w:rsidRPr="009A5895" w:rsidR="002B470C" w:rsidP="005B2A35" w:rsidRDefault="002B470C" w14:paraId="420EB5DB" w14:textId="77777777">
      <w:pPr>
        <w:pStyle w:val="Heading3"/>
        <w:rPr>
          <w:rFonts w:asciiTheme="minorHAnsi" w:hAnsiTheme="minorHAnsi"/>
          <w:sz w:val="22"/>
          <w:szCs w:val="22"/>
        </w:rPr>
      </w:pPr>
      <w:bookmarkStart w:name="_Toc466364045" w:id="19"/>
      <w:r w:rsidRPr="009A5895">
        <w:rPr>
          <w:rFonts w:asciiTheme="minorHAnsi" w:hAnsiTheme="minorHAnsi"/>
          <w:sz w:val="22"/>
          <w:szCs w:val="22"/>
        </w:rPr>
        <w:t>16. Plans for Tabulation and Publication and Project Time Schedule</w:t>
      </w:r>
      <w:bookmarkEnd w:id="19"/>
      <w:r w:rsidRPr="009A5895">
        <w:rPr>
          <w:rFonts w:asciiTheme="minorHAnsi" w:hAnsiTheme="minorHAnsi"/>
          <w:sz w:val="22"/>
          <w:szCs w:val="22"/>
        </w:rPr>
        <w:t xml:space="preserve"> </w:t>
      </w:r>
    </w:p>
    <w:p w:rsidR="00920F4C" w:rsidP="00BC1559" w:rsidRDefault="005E2958" w14:paraId="49637B3C" w14:textId="708FD6BE">
      <w:r w:rsidRPr="005E2958">
        <w:t xml:space="preserve">The proposed </w:t>
      </w:r>
      <w:r w:rsidR="0075467F">
        <w:t xml:space="preserve">surveys or </w:t>
      </w:r>
      <w:r w:rsidRPr="005E2958">
        <w:t xml:space="preserve">interviews will be conducted </w:t>
      </w:r>
      <w:r w:rsidR="00292050">
        <w:t>annually</w:t>
      </w:r>
      <w:r w:rsidRPr="005E2958">
        <w:t xml:space="preserve">.  </w:t>
      </w:r>
      <w:r w:rsidR="00635A52">
        <w:t>There is n</w:t>
      </w:r>
      <w:r w:rsidR="00CF5954">
        <w:t xml:space="preserve">o planned publication from this information collection. </w:t>
      </w:r>
      <w:r w:rsidRPr="005E2958">
        <w:t xml:space="preserve">Interim reports </w:t>
      </w:r>
      <w:r w:rsidR="00930227">
        <w:t xml:space="preserve">will be developed, </w:t>
      </w:r>
      <w:r w:rsidRPr="005E2958">
        <w:t xml:space="preserve">which will incorporate data collected from these sources in </w:t>
      </w:r>
      <w:r w:rsidR="00584766">
        <w:t>2020</w:t>
      </w:r>
      <w:r w:rsidR="0075467F">
        <w:t xml:space="preserve"> </w:t>
      </w:r>
      <w:r>
        <w:t xml:space="preserve">and </w:t>
      </w:r>
      <w:r w:rsidR="0075467F">
        <w:t>202</w:t>
      </w:r>
      <w:r w:rsidR="00584766">
        <w:t>1</w:t>
      </w:r>
      <w:r w:rsidRPr="005E2958">
        <w:t xml:space="preserve">, with final </w:t>
      </w:r>
      <w:r w:rsidR="00CF5954">
        <w:t xml:space="preserve">program </w:t>
      </w:r>
      <w:r w:rsidRPr="005E2958">
        <w:t xml:space="preserve">reports in </w:t>
      </w:r>
      <w:r w:rsidRPr="005E2958" w:rsidR="0075467F">
        <w:t>20</w:t>
      </w:r>
      <w:r w:rsidR="0075467F">
        <w:t>2</w:t>
      </w:r>
      <w:r w:rsidR="00584766">
        <w:t>2</w:t>
      </w:r>
      <w:r w:rsidRPr="005E2958">
        <w:t>.</w:t>
      </w:r>
      <w:r w:rsidR="005562B2">
        <w:t xml:space="preserve">  Outcomes from the collections submitted under this generic mechanism are intended to be used internally and are not generalizable to broader populations.</w:t>
      </w:r>
    </w:p>
    <w:p w:rsidRPr="005E2958" w:rsidR="005E2958" w:rsidP="005E2958" w:rsidRDefault="005E2958" w14:paraId="087B7D20" w14:textId="77777777"/>
    <w:p w:rsidRPr="009A5895" w:rsidR="002B470C" w:rsidP="005B2A35" w:rsidRDefault="002B470C" w14:paraId="047BDD51" w14:textId="77777777">
      <w:pPr>
        <w:pStyle w:val="Heading3"/>
        <w:rPr>
          <w:rFonts w:asciiTheme="minorHAnsi" w:hAnsiTheme="minorHAnsi"/>
          <w:sz w:val="22"/>
          <w:szCs w:val="22"/>
        </w:rPr>
      </w:pPr>
      <w:bookmarkStart w:name="_Toc466364046" w:id="20"/>
      <w:r w:rsidRPr="009A5895">
        <w:rPr>
          <w:rFonts w:asciiTheme="minorHAnsi" w:hAnsiTheme="minorHAnsi"/>
          <w:sz w:val="22"/>
          <w:szCs w:val="22"/>
        </w:rPr>
        <w:t>17. Reason(s) Display of OMB Expiration Date is Inappropriate</w:t>
      </w:r>
      <w:bookmarkEnd w:id="20"/>
      <w:r w:rsidRPr="009A5895">
        <w:rPr>
          <w:rFonts w:asciiTheme="minorHAnsi" w:hAnsiTheme="minorHAnsi"/>
          <w:sz w:val="22"/>
          <w:szCs w:val="22"/>
        </w:rPr>
        <w:t xml:space="preserve"> </w:t>
      </w:r>
    </w:p>
    <w:p w:rsidRPr="009A5895" w:rsidR="00920F4C" w:rsidP="00DC31EF" w:rsidRDefault="00CF5954" w14:paraId="1EE611BE" w14:textId="1DEC14F2">
      <w:pPr>
        <w:rPr>
          <w:rFonts w:asciiTheme="minorHAnsi" w:hAnsiTheme="minorHAnsi"/>
        </w:rPr>
      </w:pPr>
      <w:r>
        <w:rPr>
          <w:rFonts w:asciiTheme="minorHAnsi" w:hAnsiTheme="minorHAnsi"/>
        </w:rPr>
        <w:t xml:space="preserve">The display of the OMB expiration date is not inappropriate. </w:t>
      </w:r>
    </w:p>
    <w:p w:rsidRPr="009A5895" w:rsidR="00DC31EF" w:rsidP="00DC31EF" w:rsidRDefault="00DC31EF" w14:paraId="7B436B07" w14:textId="77777777">
      <w:pPr>
        <w:rPr>
          <w:rFonts w:asciiTheme="minorHAnsi" w:hAnsiTheme="minorHAnsi"/>
        </w:rPr>
      </w:pPr>
    </w:p>
    <w:p w:rsidRPr="009A5895" w:rsidR="002B470C" w:rsidP="005B2A35" w:rsidRDefault="00920F4C" w14:paraId="646DF6E8" w14:textId="77777777">
      <w:pPr>
        <w:pStyle w:val="Heading3"/>
        <w:rPr>
          <w:rFonts w:asciiTheme="minorHAnsi" w:hAnsiTheme="minorHAnsi"/>
          <w:sz w:val="22"/>
          <w:szCs w:val="22"/>
        </w:rPr>
      </w:pPr>
      <w:bookmarkStart w:name="_Toc466364047" w:id="21"/>
      <w:r w:rsidRPr="009A5895">
        <w:rPr>
          <w:rFonts w:asciiTheme="minorHAnsi" w:hAnsiTheme="minorHAnsi"/>
          <w:sz w:val="22"/>
          <w:szCs w:val="22"/>
        </w:rPr>
        <w:t>18. Exceptions to Certifi</w:t>
      </w:r>
      <w:r w:rsidRPr="009A5895" w:rsidR="002B470C">
        <w:rPr>
          <w:rFonts w:asciiTheme="minorHAnsi" w:hAnsiTheme="minorHAnsi"/>
          <w:sz w:val="22"/>
          <w:szCs w:val="22"/>
        </w:rPr>
        <w:t>cation for Paperwork Reduction Act Submissions</w:t>
      </w:r>
      <w:bookmarkEnd w:id="21"/>
      <w:r w:rsidRPr="009A5895" w:rsidR="002B470C">
        <w:rPr>
          <w:rFonts w:asciiTheme="minorHAnsi" w:hAnsiTheme="minorHAnsi"/>
          <w:sz w:val="22"/>
          <w:szCs w:val="22"/>
        </w:rPr>
        <w:t xml:space="preserve"> </w:t>
      </w:r>
    </w:p>
    <w:p w:rsidRPr="009A5895" w:rsidR="002B470C" w:rsidP="00DC2CD8" w:rsidRDefault="00CF5954" w14:paraId="69A61CC9" w14:textId="32B861C6">
      <w:pPr>
        <w:jc w:val="both"/>
        <w:rPr>
          <w:rFonts w:asciiTheme="minorHAnsi" w:hAnsiTheme="minorHAnsi"/>
        </w:rPr>
      </w:pPr>
      <w:r>
        <w:rPr>
          <w:rFonts w:asciiTheme="minorHAnsi" w:hAnsiTheme="minorHAnsi"/>
        </w:rPr>
        <w:t>There are no exception</w:t>
      </w:r>
      <w:r w:rsidR="00635A52">
        <w:rPr>
          <w:rFonts w:asciiTheme="minorHAnsi" w:hAnsiTheme="minorHAnsi"/>
        </w:rPr>
        <w:t>s</w:t>
      </w:r>
      <w:r>
        <w:rPr>
          <w:rFonts w:asciiTheme="minorHAnsi" w:hAnsiTheme="minorHAnsi"/>
        </w:rPr>
        <w:t xml:space="preserve"> to the certification statement. </w:t>
      </w:r>
    </w:p>
    <w:sectPr w:rsidRPr="009A5895" w:rsidR="002B470C" w:rsidSect="002F03D6">
      <w:footerReference w:type="default" r:id="rId13"/>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C0560" w14:textId="77777777" w:rsidR="00AD290B" w:rsidRDefault="00AD290B" w:rsidP="008B5D54">
      <w:r>
        <w:separator/>
      </w:r>
    </w:p>
  </w:endnote>
  <w:endnote w:type="continuationSeparator" w:id="0">
    <w:p w14:paraId="57671545" w14:textId="77777777" w:rsidR="00AD290B" w:rsidRDefault="00AD290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Std">
    <w:altName w:val="Courier New"/>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971887"/>
      <w:docPartObj>
        <w:docPartGallery w:val="Page Numbers (Bottom of Page)"/>
        <w:docPartUnique/>
      </w:docPartObj>
    </w:sdtPr>
    <w:sdtEndPr>
      <w:rPr>
        <w:noProof/>
      </w:rPr>
    </w:sdtEndPr>
    <w:sdtContent>
      <w:p w14:paraId="48CC3B35" w14:textId="77777777" w:rsidR="005540F8" w:rsidRDefault="005540F8">
        <w:pPr>
          <w:pStyle w:val="Footer"/>
          <w:jc w:val="center"/>
        </w:pPr>
      </w:p>
      <w:p w14:paraId="23A365BF" w14:textId="1C1ABCDD" w:rsidR="005540F8" w:rsidRDefault="005540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822DA" w14:textId="77777777" w:rsidR="007A1C68" w:rsidRDefault="007A1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F97D7" w14:textId="77777777" w:rsidR="00AD290B" w:rsidRDefault="00AD290B" w:rsidP="008B5D54">
      <w:r>
        <w:separator/>
      </w:r>
    </w:p>
  </w:footnote>
  <w:footnote w:type="continuationSeparator" w:id="0">
    <w:p w14:paraId="4973D4A2" w14:textId="77777777" w:rsidR="00AD290B" w:rsidRDefault="00AD290B" w:rsidP="008B5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6"/>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9B224AE"/>
    <w:multiLevelType w:val="hybridMultilevel"/>
    <w:tmpl w:val="CB2253E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5492"/>
    <w:multiLevelType w:val="hybridMultilevel"/>
    <w:tmpl w:val="479CB9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F1C9F"/>
    <w:multiLevelType w:val="hybridMultilevel"/>
    <w:tmpl w:val="39EA2ADA"/>
    <w:lvl w:ilvl="0" w:tplc="F872F06E">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40128E"/>
    <w:multiLevelType w:val="hybridMultilevel"/>
    <w:tmpl w:val="1B92F334"/>
    <w:lvl w:ilvl="0" w:tplc="8E70C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F5B2C"/>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EE05A5"/>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6793C"/>
    <w:multiLevelType w:val="hybridMultilevel"/>
    <w:tmpl w:val="9ABC9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AB85A62"/>
    <w:multiLevelType w:val="hybridMultilevel"/>
    <w:tmpl w:val="3FFC3168"/>
    <w:lvl w:ilvl="0" w:tplc="B2DA00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E14B70"/>
    <w:multiLevelType w:val="hybridMultilevel"/>
    <w:tmpl w:val="754C61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751F43"/>
    <w:multiLevelType w:val="hybridMultilevel"/>
    <w:tmpl w:val="ABD0C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A4140"/>
    <w:multiLevelType w:val="hybridMultilevel"/>
    <w:tmpl w:val="0CD23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9156E"/>
    <w:multiLevelType w:val="multilevel"/>
    <w:tmpl w:val="9FDC2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decimal"/>
      <w:pStyle w:val="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B631FE3"/>
    <w:multiLevelType w:val="hybridMultilevel"/>
    <w:tmpl w:val="DFD22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EA0769D"/>
    <w:multiLevelType w:val="hybridMultilevel"/>
    <w:tmpl w:val="4828A94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E5234B"/>
    <w:multiLevelType w:val="hybridMultilevel"/>
    <w:tmpl w:val="3FCE1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87AEC"/>
    <w:multiLevelType w:val="hybridMultilevel"/>
    <w:tmpl w:val="D8F4A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B06B1"/>
    <w:multiLevelType w:val="hybridMultilevel"/>
    <w:tmpl w:val="F14482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lowerLetter"/>
        <w:pStyle w:val="Quicka"/>
        <w:lvlText w:val="%1."/>
        <w:lvlJc w:val="left"/>
      </w:lvl>
    </w:lvlOverride>
  </w:num>
  <w:num w:numId="2">
    <w:abstractNumId w:val="1"/>
    <w:lvlOverride w:ilvl="0">
      <w:startOverride w:val="1"/>
      <w:lvl w:ilvl="0">
        <w:start w:val="1"/>
        <w:numFmt w:val="lowerLetter"/>
        <w:pStyle w:val="Quicka"/>
        <w:lvlText w:val="%1."/>
        <w:lvlJc w:val="left"/>
      </w:lvl>
    </w:lvlOverride>
  </w:num>
  <w:num w:numId="3">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8"/>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7"/>
  </w:num>
  <w:num w:numId="11">
    <w:abstractNumId w:val="5"/>
  </w:num>
  <w:num w:numId="12">
    <w:abstractNumId w:val="9"/>
  </w:num>
  <w:num w:numId="13">
    <w:abstractNumId w:val="10"/>
  </w:num>
  <w:num w:numId="14">
    <w:abstractNumId w:val="6"/>
  </w:num>
  <w:num w:numId="15">
    <w:abstractNumId w:val="3"/>
  </w:num>
  <w:num w:numId="16">
    <w:abstractNumId w:val="16"/>
  </w:num>
  <w:num w:numId="17">
    <w:abstractNumId w:val="14"/>
  </w:num>
  <w:num w:numId="18">
    <w:abstractNumId w:val="2"/>
  </w:num>
  <w:num w:numId="19">
    <w:abstractNumId w:val="12"/>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5C"/>
    <w:rsid w:val="00002081"/>
    <w:rsid w:val="0000671A"/>
    <w:rsid w:val="00010CD5"/>
    <w:rsid w:val="00011201"/>
    <w:rsid w:val="0002094C"/>
    <w:rsid w:val="0003143E"/>
    <w:rsid w:val="00032176"/>
    <w:rsid w:val="000419D3"/>
    <w:rsid w:val="00095972"/>
    <w:rsid w:val="000A359E"/>
    <w:rsid w:val="000A5D9F"/>
    <w:rsid w:val="000C6919"/>
    <w:rsid w:val="000C6AFE"/>
    <w:rsid w:val="000D0E7B"/>
    <w:rsid w:val="000E06DD"/>
    <w:rsid w:val="000F671D"/>
    <w:rsid w:val="001136BF"/>
    <w:rsid w:val="0011411D"/>
    <w:rsid w:val="00124901"/>
    <w:rsid w:val="00136E0E"/>
    <w:rsid w:val="001501D5"/>
    <w:rsid w:val="001624F4"/>
    <w:rsid w:val="00181FB0"/>
    <w:rsid w:val="00185415"/>
    <w:rsid w:val="001A657E"/>
    <w:rsid w:val="001F1862"/>
    <w:rsid w:val="00212D0C"/>
    <w:rsid w:val="00212D75"/>
    <w:rsid w:val="00227FD4"/>
    <w:rsid w:val="00233338"/>
    <w:rsid w:val="002629F4"/>
    <w:rsid w:val="00274718"/>
    <w:rsid w:val="002873EC"/>
    <w:rsid w:val="00292050"/>
    <w:rsid w:val="00294708"/>
    <w:rsid w:val="002B470C"/>
    <w:rsid w:val="002C0065"/>
    <w:rsid w:val="002E48CD"/>
    <w:rsid w:val="002E70A7"/>
    <w:rsid w:val="002F03D6"/>
    <w:rsid w:val="002F256F"/>
    <w:rsid w:val="002F2EBF"/>
    <w:rsid w:val="00304C7F"/>
    <w:rsid w:val="0032181C"/>
    <w:rsid w:val="003238FA"/>
    <w:rsid w:val="003252BB"/>
    <w:rsid w:val="003404A2"/>
    <w:rsid w:val="00342807"/>
    <w:rsid w:val="003448E7"/>
    <w:rsid w:val="00354330"/>
    <w:rsid w:val="003848FA"/>
    <w:rsid w:val="00390D88"/>
    <w:rsid w:val="00393152"/>
    <w:rsid w:val="003C1CC0"/>
    <w:rsid w:val="004017CD"/>
    <w:rsid w:val="00421FD7"/>
    <w:rsid w:val="00422128"/>
    <w:rsid w:val="00424A4F"/>
    <w:rsid w:val="0043586D"/>
    <w:rsid w:val="0044512B"/>
    <w:rsid w:val="004948C5"/>
    <w:rsid w:val="00494E3D"/>
    <w:rsid w:val="00496336"/>
    <w:rsid w:val="004B3263"/>
    <w:rsid w:val="004D2AB6"/>
    <w:rsid w:val="004D2B63"/>
    <w:rsid w:val="00502F72"/>
    <w:rsid w:val="00506E72"/>
    <w:rsid w:val="0051095B"/>
    <w:rsid w:val="0052666A"/>
    <w:rsid w:val="00537AEF"/>
    <w:rsid w:val="00550CE9"/>
    <w:rsid w:val="005540F8"/>
    <w:rsid w:val="005562B2"/>
    <w:rsid w:val="00556E61"/>
    <w:rsid w:val="00563488"/>
    <w:rsid w:val="00566116"/>
    <w:rsid w:val="00576A6E"/>
    <w:rsid w:val="00584766"/>
    <w:rsid w:val="00594C6F"/>
    <w:rsid w:val="005A1ED3"/>
    <w:rsid w:val="005A355F"/>
    <w:rsid w:val="005B0FBE"/>
    <w:rsid w:val="005B2A35"/>
    <w:rsid w:val="005E1A4C"/>
    <w:rsid w:val="005E2958"/>
    <w:rsid w:val="005E689D"/>
    <w:rsid w:val="005F04E2"/>
    <w:rsid w:val="00604F78"/>
    <w:rsid w:val="00610352"/>
    <w:rsid w:val="006174E8"/>
    <w:rsid w:val="00621F96"/>
    <w:rsid w:val="00635A52"/>
    <w:rsid w:val="00636770"/>
    <w:rsid w:val="00664B37"/>
    <w:rsid w:val="00681832"/>
    <w:rsid w:val="00690B97"/>
    <w:rsid w:val="006A01F6"/>
    <w:rsid w:val="006A604B"/>
    <w:rsid w:val="006C1460"/>
    <w:rsid w:val="006C6578"/>
    <w:rsid w:val="006C74FA"/>
    <w:rsid w:val="006D1DC4"/>
    <w:rsid w:val="006E7523"/>
    <w:rsid w:val="006F1CE8"/>
    <w:rsid w:val="006F3E99"/>
    <w:rsid w:val="006F526A"/>
    <w:rsid w:val="007012A7"/>
    <w:rsid w:val="007035A9"/>
    <w:rsid w:val="00713E50"/>
    <w:rsid w:val="00726232"/>
    <w:rsid w:val="0073157C"/>
    <w:rsid w:val="007454FD"/>
    <w:rsid w:val="0074690D"/>
    <w:rsid w:val="00747404"/>
    <w:rsid w:val="007527DE"/>
    <w:rsid w:val="0075467F"/>
    <w:rsid w:val="007554A9"/>
    <w:rsid w:val="00765A29"/>
    <w:rsid w:val="0076702A"/>
    <w:rsid w:val="00767543"/>
    <w:rsid w:val="00777E62"/>
    <w:rsid w:val="00781AD2"/>
    <w:rsid w:val="00782172"/>
    <w:rsid w:val="00782B24"/>
    <w:rsid w:val="00791C1B"/>
    <w:rsid w:val="00794EE2"/>
    <w:rsid w:val="00795918"/>
    <w:rsid w:val="00795F94"/>
    <w:rsid w:val="007A1C68"/>
    <w:rsid w:val="007A387F"/>
    <w:rsid w:val="007B4517"/>
    <w:rsid w:val="007B6085"/>
    <w:rsid w:val="007C0ACA"/>
    <w:rsid w:val="007C34F9"/>
    <w:rsid w:val="007C3E1C"/>
    <w:rsid w:val="007D5B5C"/>
    <w:rsid w:val="007E1CB9"/>
    <w:rsid w:val="00811811"/>
    <w:rsid w:val="0081264D"/>
    <w:rsid w:val="00821335"/>
    <w:rsid w:val="0084673A"/>
    <w:rsid w:val="008479D1"/>
    <w:rsid w:val="00862D9C"/>
    <w:rsid w:val="00874423"/>
    <w:rsid w:val="008935E8"/>
    <w:rsid w:val="008964B9"/>
    <w:rsid w:val="008A0AFA"/>
    <w:rsid w:val="008A7793"/>
    <w:rsid w:val="008B4AE2"/>
    <w:rsid w:val="008B5D54"/>
    <w:rsid w:val="008E5C6E"/>
    <w:rsid w:val="009009E4"/>
    <w:rsid w:val="00904929"/>
    <w:rsid w:val="00910328"/>
    <w:rsid w:val="009171C1"/>
    <w:rsid w:val="00920F4C"/>
    <w:rsid w:val="00930227"/>
    <w:rsid w:val="0093466B"/>
    <w:rsid w:val="0098525C"/>
    <w:rsid w:val="009931A0"/>
    <w:rsid w:val="00994561"/>
    <w:rsid w:val="009A1CBA"/>
    <w:rsid w:val="009A5895"/>
    <w:rsid w:val="009D0A70"/>
    <w:rsid w:val="009E1E51"/>
    <w:rsid w:val="009E2DA8"/>
    <w:rsid w:val="009E763B"/>
    <w:rsid w:val="009F0A0D"/>
    <w:rsid w:val="009F6EBC"/>
    <w:rsid w:val="00A07FF9"/>
    <w:rsid w:val="00A17B6F"/>
    <w:rsid w:val="00A2070F"/>
    <w:rsid w:val="00A2193E"/>
    <w:rsid w:val="00A304A4"/>
    <w:rsid w:val="00A33B57"/>
    <w:rsid w:val="00A54A62"/>
    <w:rsid w:val="00A73F24"/>
    <w:rsid w:val="00A8337E"/>
    <w:rsid w:val="00A97400"/>
    <w:rsid w:val="00AA1252"/>
    <w:rsid w:val="00AB66EF"/>
    <w:rsid w:val="00AC0988"/>
    <w:rsid w:val="00AC19E3"/>
    <w:rsid w:val="00AC50F8"/>
    <w:rsid w:val="00AC6DAE"/>
    <w:rsid w:val="00AD290B"/>
    <w:rsid w:val="00AD41CC"/>
    <w:rsid w:val="00AF26D0"/>
    <w:rsid w:val="00B409E1"/>
    <w:rsid w:val="00B53AF6"/>
    <w:rsid w:val="00B55735"/>
    <w:rsid w:val="00B608AC"/>
    <w:rsid w:val="00B66115"/>
    <w:rsid w:val="00B66550"/>
    <w:rsid w:val="00B740D4"/>
    <w:rsid w:val="00B75614"/>
    <w:rsid w:val="00B84964"/>
    <w:rsid w:val="00B90BE8"/>
    <w:rsid w:val="00B96E35"/>
    <w:rsid w:val="00BA3A6A"/>
    <w:rsid w:val="00BB1427"/>
    <w:rsid w:val="00BB3935"/>
    <w:rsid w:val="00BC1559"/>
    <w:rsid w:val="00BE262B"/>
    <w:rsid w:val="00BE2DCA"/>
    <w:rsid w:val="00BE77D8"/>
    <w:rsid w:val="00C05BF4"/>
    <w:rsid w:val="00C1221A"/>
    <w:rsid w:val="00C17A84"/>
    <w:rsid w:val="00C274A3"/>
    <w:rsid w:val="00C51751"/>
    <w:rsid w:val="00C63994"/>
    <w:rsid w:val="00C67C20"/>
    <w:rsid w:val="00C733B1"/>
    <w:rsid w:val="00C845E2"/>
    <w:rsid w:val="00C878D6"/>
    <w:rsid w:val="00C9419F"/>
    <w:rsid w:val="00CA23C8"/>
    <w:rsid w:val="00CD66EE"/>
    <w:rsid w:val="00CF5954"/>
    <w:rsid w:val="00D022A6"/>
    <w:rsid w:val="00D02565"/>
    <w:rsid w:val="00D12698"/>
    <w:rsid w:val="00D41B8A"/>
    <w:rsid w:val="00D70195"/>
    <w:rsid w:val="00D77718"/>
    <w:rsid w:val="00D8492A"/>
    <w:rsid w:val="00D94CA2"/>
    <w:rsid w:val="00D97262"/>
    <w:rsid w:val="00DA164E"/>
    <w:rsid w:val="00DA7300"/>
    <w:rsid w:val="00DB15D1"/>
    <w:rsid w:val="00DB3AC6"/>
    <w:rsid w:val="00DB607B"/>
    <w:rsid w:val="00DC2CD8"/>
    <w:rsid w:val="00DC31EF"/>
    <w:rsid w:val="00DC57CC"/>
    <w:rsid w:val="00DC6775"/>
    <w:rsid w:val="00DD0691"/>
    <w:rsid w:val="00DD5873"/>
    <w:rsid w:val="00DD67FF"/>
    <w:rsid w:val="00DE20D9"/>
    <w:rsid w:val="00DE3087"/>
    <w:rsid w:val="00DE5340"/>
    <w:rsid w:val="00DE77F6"/>
    <w:rsid w:val="00DF2AA3"/>
    <w:rsid w:val="00E16F26"/>
    <w:rsid w:val="00E4051A"/>
    <w:rsid w:val="00E51C4F"/>
    <w:rsid w:val="00E8156D"/>
    <w:rsid w:val="00E971D8"/>
    <w:rsid w:val="00EA489F"/>
    <w:rsid w:val="00EB54C7"/>
    <w:rsid w:val="00ED01F1"/>
    <w:rsid w:val="00ED67BF"/>
    <w:rsid w:val="00EE0D44"/>
    <w:rsid w:val="00EE2AF7"/>
    <w:rsid w:val="00EF3D6A"/>
    <w:rsid w:val="00F32F01"/>
    <w:rsid w:val="00F52FC0"/>
    <w:rsid w:val="00F55D7F"/>
    <w:rsid w:val="00F83FB1"/>
    <w:rsid w:val="00F857DE"/>
    <w:rsid w:val="00F973E6"/>
    <w:rsid w:val="00FA190A"/>
    <w:rsid w:val="00FA7A17"/>
    <w:rsid w:val="00FB50F4"/>
    <w:rsid w:val="00FD5E1F"/>
    <w:rsid w:val="00FE0F9C"/>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DCA20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B5C"/>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C2C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2C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2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reeForm">
    <w:name w:val="Free Form"/>
    <w:rsid w:val="007D5B5C"/>
    <w:pPr>
      <w:pBdr>
        <w:top w:val="nil"/>
        <w:left w:val="nil"/>
        <w:bottom w:val="nil"/>
        <w:right w:val="nil"/>
        <w:between w:val="nil"/>
        <w:bar w:val="nil"/>
      </w:pBdr>
      <w:spacing w:after="0" w:line="288" w:lineRule="auto"/>
      <w:ind w:firstLine="600"/>
    </w:pPr>
    <w:rPr>
      <w:rFonts w:ascii="Palatino" w:eastAsia="Arial Unicode MS" w:hAnsi="Palatino" w:cs="Arial Unicode MS"/>
      <w:color w:val="000000"/>
      <w:sz w:val="24"/>
      <w:szCs w:val="24"/>
      <w:u w:color="000000"/>
      <w:bdr w:val="nil"/>
    </w:rPr>
  </w:style>
  <w:style w:type="character" w:customStyle="1" w:styleId="None">
    <w:name w:val="None"/>
    <w:rsid w:val="007D5B5C"/>
  </w:style>
  <w:style w:type="character" w:customStyle="1" w:styleId="Hyperlink2">
    <w:name w:val="Hyperlink.2"/>
    <w:basedOn w:val="None"/>
    <w:rsid w:val="007D5B5C"/>
    <w:rPr>
      <w:color w:val="0432FF"/>
      <w:u w:val="single" w:color="0432FF"/>
    </w:rPr>
  </w:style>
  <w:style w:type="character" w:customStyle="1" w:styleId="Heading1Char">
    <w:name w:val="Heading 1 Char"/>
    <w:basedOn w:val="DefaultParagraphFont"/>
    <w:link w:val="Heading1"/>
    <w:uiPriority w:val="9"/>
    <w:rsid w:val="00DC2CD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C2CD8"/>
    <w:pPr>
      <w:spacing w:line="259" w:lineRule="auto"/>
      <w:outlineLvl w:val="9"/>
    </w:pPr>
  </w:style>
  <w:style w:type="paragraph" w:styleId="TOC2">
    <w:name w:val="toc 2"/>
    <w:basedOn w:val="Normal"/>
    <w:next w:val="Normal"/>
    <w:autoRedefine/>
    <w:uiPriority w:val="39"/>
    <w:unhideWhenUsed/>
    <w:rsid w:val="00DC2CD8"/>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C2CD8"/>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DC2CD8"/>
    <w:pPr>
      <w:spacing w:after="100" w:line="259" w:lineRule="auto"/>
      <w:ind w:left="440"/>
    </w:pPr>
    <w:rPr>
      <w:rFonts w:asciiTheme="minorHAnsi" w:eastAsiaTheme="minorEastAsia" w:hAnsiTheme="minorHAnsi"/>
    </w:rPr>
  </w:style>
  <w:style w:type="character" w:styleId="Hyperlink">
    <w:name w:val="Hyperlink"/>
    <w:basedOn w:val="DefaultParagraphFont"/>
    <w:uiPriority w:val="99"/>
    <w:unhideWhenUsed/>
    <w:rsid w:val="00DC2CD8"/>
    <w:rPr>
      <w:color w:val="0000FF" w:themeColor="hyperlink"/>
      <w:u w:val="single"/>
    </w:rPr>
  </w:style>
  <w:style w:type="paragraph" w:styleId="Subtitle">
    <w:name w:val="Subtitle"/>
    <w:basedOn w:val="Normal"/>
    <w:next w:val="Normal"/>
    <w:link w:val="SubtitleChar"/>
    <w:uiPriority w:val="11"/>
    <w:qFormat/>
    <w:rsid w:val="00DC2CD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C2CD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DC2C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2A35"/>
    <w:rPr>
      <w:rFonts w:asciiTheme="majorHAnsi" w:eastAsiaTheme="majorEastAsia" w:hAnsiTheme="majorHAnsi" w:cstheme="majorBidi"/>
      <w:color w:val="243F60" w:themeColor="accent1" w:themeShade="7F"/>
      <w:sz w:val="24"/>
      <w:szCs w:val="24"/>
    </w:rPr>
  </w:style>
  <w:style w:type="paragraph" w:customStyle="1" w:styleId="Default">
    <w:name w:val="Default"/>
    <w:rsid w:val="00AF26D0"/>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F03D6"/>
    <w:pPr>
      <w:spacing w:after="0" w:line="240" w:lineRule="auto"/>
    </w:pPr>
    <w:rPr>
      <w:rFonts w:eastAsiaTheme="minorEastAsia"/>
    </w:rPr>
  </w:style>
  <w:style w:type="character" w:customStyle="1" w:styleId="NoSpacingChar">
    <w:name w:val="No Spacing Char"/>
    <w:basedOn w:val="DefaultParagraphFont"/>
    <w:link w:val="NoSpacing"/>
    <w:uiPriority w:val="1"/>
    <w:rsid w:val="002F03D6"/>
    <w:rPr>
      <w:rFonts w:eastAsiaTheme="minorEastAsia"/>
    </w:rPr>
  </w:style>
  <w:style w:type="paragraph" w:customStyle="1" w:styleId="Quicka">
    <w:name w:val="Quick a."/>
    <w:basedOn w:val="Normal"/>
    <w:rsid w:val="00874423"/>
    <w:pPr>
      <w:widowControl w:val="0"/>
      <w:numPr>
        <w:numId w:val="1"/>
      </w:numPr>
      <w:autoSpaceDE w:val="0"/>
      <w:autoSpaceDN w:val="0"/>
      <w:adjustRightInd w:val="0"/>
      <w:ind w:left="1440" w:hanging="360"/>
    </w:pPr>
    <w:rPr>
      <w:rFonts w:ascii="Times New Roman" w:eastAsia="Times New Roman" w:hAnsi="Times New Roman"/>
      <w:sz w:val="24"/>
      <w:szCs w:val="24"/>
    </w:rPr>
  </w:style>
  <w:style w:type="paragraph" w:customStyle="1" w:styleId="Level3">
    <w:name w:val="Level 3"/>
    <w:basedOn w:val="Normal"/>
    <w:rsid w:val="00DC31EF"/>
    <w:pPr>
      <w:widowControl w:val="0"/>
      <w:numPr>
        <w:ilvl w:val="2"/>
        <w:numId w:val="6"/>
      </w:numPr>
      <w:autoSpaceDE w:val="0"/>
      <w:autoSpaceDN w:val="0"/>
      <w:adjustRightInd w:val="0"/>
      <w:ind w:left="1080" w:hanging="360"/>
      <w:outlineLvl w:val="2"/>
    </w:pPr>
    <w:rPr>
      <w:rFonts w:ascii="Times New Roman" w:eastAsia="Times New Roman" w:hAnsi="Times New Roman"/>
      <w:sz w:val="24"/>
      <w:szCs w:val="24"/>
    </w:rPr>
  </w:style>
  <w:style w:type="paragraph" w:customStyle="1" w:styleId="Level4">
    <w:name w:val="Level 4"/>
    <w:basedOn w:val="Normal"/>
    <w:rsid w:val="00DC31EF"/>
    <w:pPr>
      <w:widowControl w:val="0"/>
      <w:numPr>
        <w:ilvl w:val="3"/>
        <w:numId w:val="7"/>
      </w:numPr>
      <w:autoSpaceDE w:val="0"/>
      <w:autoSpaceDN w:val="0"/>
      <w:adjustRightInd w:val="0"/>
      <w:ind w:left="1440" w:hanging="360"/>
      <w:outlineLvl w:val="3"/>
    </w:pPr>
    <w:rPr>
      <w:rFonts w:ascii="Times New Roman" w:eastAsia="Times New Roman" w:hAnsi="Times New Roman"/>
      <w:sz w:val="24"/>
      <w:szCs w:val="24"/>
    </w:rPr>
  </w:style>
  <w:style w:type="paragraph" w:styleId="NormalWeb">
    <w:name w:val="Normal (Web)"/>
    <w:basedOn w:val="Normal"/>
    <w:uiPriority w:val="99"/>
    <w:semiHidden/>
    <w:unhideWhenUsed/>
    <w:rsid w:val="00D94CA2"/>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uiPriority w:val="34"/>
    <w:qFormat/>
    <w:rsid w:val="00C733B1"/>
    <w:pPr>
      <w:ind w:left="720"/>
      <w:contextualSpacing/>
    </w:pPr>
  </w:style>
  <w:style w:type="character" w:styleId="CommentReference">
    <w:name w:val="annotation reference"/>
    <w:basedOn w:val="DefaultParagraphFont"/>
    <w:semiHidden/>
    <w:unhideWhenUsed/>
    <w:rsid w:val="005E2958"/>
    <w:rPr>
      <w:sz w:val="16"/>
      <w:szCs w:val="16"/>
    </w:rPr>
  </w:style>
  <w:style w:type="paragraph" w:styleId="CommentText">
    <w:name w:val="annotation text"/>
    <w:basedOn w:val="Normal"/>
    <w:link w:val="CommentTextChar"/>
    <w:uiPriority w:val="99"/>
    <w:semiHidden/>
    <w:unhideWhenUsed/>
    <w:rsid w:val="005E2958"/>
    <w:rPr>
      <w:sz w:val="20"/>
      <w:szCs w:val="20"/>
    </w:rPr>
  </w:style>
  <w:style w:type="character" w:customStyle="1" w:styleId="CommentTextChar">
    <w:name w:val="Comment Text Char"/>
    <w:basedOn w:val="DefaultParagraphFont"/>
    <w:link w:val="CommentText"/>
    <w:uiPriority w:val="99"/>
    <w:semiHidden/>
    <w:rsid w:val="005E295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E2958"/>
    <w:rPr>
      <w:b/>
      <w:bCs/>
    </w:rPr>
  </w:style>
  <w:style w:type="character" w:customStyle="1" w:styleId="CommentSubjectChar">
    <w:name w:val="Comment Subject Char"/>
    <w:basedOn w:val="CommentTextChar"/>
    <w:link w:val="CommentSubject"/>
    <w:uiPriority w:val="99"/>
    <w:semiHidden/>
    <w:rsid w:val="005E2958"/>
    <w:rPr>
      <w:rFonts w:ascii="Calibri" w:hAnsi="Calibri" w:cs="Times New Roman"/>
      <w:b/>
      <w:bCs/>
      <w:sz w:val="20"/>
      <w:szCs w:val="20"/>
    </w:rPr>
  </w:style>
  <w:style w:type="paragraph" w:styleId="BalloonText">
    <w:name w:val="Balloon Text"/>
    <w:basedOn w:val="Normal"/>
    <w:link w:val="BalloonTextChar"/>
    <w:uiPriority w:val="99"/>
    <w:semiHidden/>
    <w:unhideWhenUsed/>
    <w:rsid w:val="005E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58"/>
    <w:rPr>
      <w:rFonts w:ascii="Segoe UI" w:hAnsi="Segoe UI" w:cs="Segoe UI"/>
      <w:sz w:val="18"/>
      <w:szCs w:val="18"/>
    </w:rPr>
  </w:style>
  <w:style w:type="character" w:styleId="Strong">
    <w:name w:val="Strong"/>
    <w:basedOn w:val="DefaultParagraphFont"/>
    <w:uiPriority w:val="22"/>
    <w:qFormat/>
    <w:rsid w:val="00DA7300"/>
    <w:rPr>
      <w:b/>
      <w:bCs/>
    </w:rPr>
  </w:style>
  <w:style w:type="table" w:styleId="TableGrid">
    <w:name w:val="Table Grid"/>
    <w:basedOn w:val="TableNormal"/>
    <w:uiPriority w:val="59"/>
    <w:rsid w:val="00B90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71C1"/>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635210">
      <w:bodyDiv w:val="1"/>
      <w:marLeft w:val="0"/>
      <w:marRight w:val="0"/>
      <w:marTop w:val="0"/>
      <w:marBottom w:val="0"/>
      <w:divBdr>
        <w:top w:val="none" w:sz="0" w:space="0" w:color="auto"/>
        <w:left w:val="none" w:sz="0" w:space="0" w:color="auto"/>
        <w:bottom w:val="none" w:sz="0" w:space="0" w:color="auto"/>
        <w:right w:val="none" w:sz="0" w:space="0" w:color="auto"/>
      </w:divBdr>
      <w:divsChild>
        <w:div w:id="326717027">
          <w:marLeft w:val="0"/>
          <w:marRight w:val="0"/>
          <w:marTop w:val="0"/>
          <w:marBottom w:val="0"/>
          <w:divBdr>
            <w:top w:val="none" w:sz="0" w:space="0" w:color="auto"/>
            <w:left w:val="none" w:sz="0" w:space="0" w:color="auto"/>
            <w:bottom w:val="none" w:sz="0" w:space="0" w:color="auto"/>
            <w:right w:val="none" w:sz="0" w:space="0" w:color="auto"/>
          </w:divBdr>
          <w:divsChild>
            <w:div w:id="1102577784">
              <w:marLeft w:val="0"/>
              <w:marRight w:val="0"/>
              <w:marTop w:val="0"/>
              <w:marBottom w:val="0"/>
              <w:divBdr>
                <w:top w:val="none" w:sz="0" w:space="0" w:color="auto"/>
                <w:left w:val="none" w:sz="0" w:space="0" w:color="auto"/>
                <w:bottom w:val="none" w:sz="0" w:space="0" w:color="auto"/>
                <w:right w:val="none" w:sz="0" w:space="0" w:color="auto"/>
              </w:divBdr>
              <w:divsChild>
                <w:div w:id="1850177271">
                  <w:marLeft w:val="0"/>
                  <w:marRight w:val="0"/>
                  <w:marTop w:val="0"/>
                  <w:marBottom w:val="0"/>
                  <w:divBdr>
                    <w:top w:val="none" w:sz="0" w:space="0" w:color="auto"/>
                    <w:left w:val="none" w:sz="0" w:space="0" w:color="auto"/>
                    <w:bottom w:val="none" w:sz="0" w:space="0" w:color="auto"/>
                    <w:right w:val="none" w:sz="0" w:space="0" w:color="auto"/>
                  </w:divBdr>
                  <w:divsChild>
                    <w:div w:id="804857568">
                      <w:marLeft w:val="0"/>
                      <w:marRight w:val="0"/>
                      <w:marTop w:val="0"/>
                      <w:marBottom w:val="0"/>
                      <w:divBdr>
                        <w:top w:val="none" w:sz="0" w:space="0" w:color="auto"/>
                        <w:left w:val="none" w:sz="0" w:space="0" w:color="auto"/>
                        <w:bottom w:val="none" w:sz="0" w:space="0" w:color="auto"/>
                        <w:right w:val="none" w:sz="0" w:space="0" w:color="auto"/>
                      </w:divBdr>
                      <w:divsChild>
                        <w:div w:id="1695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5542">
      <w:bodyDiv w:val="1"/>
      <w:marLeft w:val="0"/>
      <w:marRight w:val="0"/>
      <w:marTop w:val="0"/>
      <w:marBottom w:val="0"/>
      <w:divBdr>
        <w:top w:val="none" w:sz="0" w:space="0" w:color="auto"/>
        <w:left w:val="none" w:sz="0" w:space="0" w:color="auto"/>
        <w:bottom w:val="none" w:sz="0" w:space="0" w:color="auto"/>
        <w:right w:val="none" w:sz="0" w:space="0" w:color="auto"/>
      </w:divBdr>
    </w:div>
    <w:div w:id="1404328782">
      <w:bodyDiv w:val="1"/>
      <w:marLeft w:val="0"/>
      <w:marRight w:val="0"/>
      <w:marTop w:val="0"/>
      <w:marBottom w:val="0"/>
      <w:divBdr>
        <w:top w:val="none" w:sz="0" w:space="0" w:color="auto"/>
        <w:left w:val="none" w:sz="0" w:space="0" w:color="auto"/>
        <w:bottom w:val="none" w:sz="0" w:space="0" w:color="auto"/>
        <w:right w:val="none" w:sz="0" w:space="0" w:color="auto"/>
      </w:divBdr>
    </w:div>
    <w:div w:id="1757941097">
      <w:bodyDiv w:val="1"/>
      <w:marLeft w:val="0"/>
      <w:marRight w:val="0"/>
      <w:marTop w:val="0"/>
      <w:marBottom w:val="0"/>
      <w:divBdr>
        <w:top w:val="none" w:sz="0" w:space="0" w:color="auto"/>
        <w:left w:val="none" w:sz="0" w:space="0" w:color="auto"/>
        <w:bottom w:val="none" w:sz="0" w:space="0" w:color="auto"/>
        <w:right w:val="none" w:sz="0" w:space="0" w:color="auto"/>
      </w:divBdr>
    </w:div>
    <w:div w:id="190764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ls.gov/home.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od/science/technology/innovation/index.ht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cdc.gov/od/science/technology/innovation/index.htm" TargetMode="External"/><Relationship Id="rId4" Type="http://schemas.openxmlformats.org/officeDocument/2006/relationships/styles" Target="styles.xml"/><Relationship Id="rId9" Type="http://schemas.openxmlformats.org/officeDocument/2006/relationships/hyperlink" Target="https://www.cdc.gov/od/science/technology/innovation/index.ht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7B627405014E67A7981B5420C41BF3"/>
        <w:category>
          <w:name w:val="General"/>
          <w:gallery w:val="placeholder"/>
        </w:category>
        <w:types>
          <w:type w:val="bbPlcHdr"/>
        </w:types>
        <w:behaviors>
          <w:behavior w:val="content"/>
        </w:behaviors>
        <w:guid w:val="{DE8AAE73-7B72-44DA-BEF0-D4C97A7B9F5D}"/>
      </w:docPartPr>
      <w:docPartBody>
        <w:p w:rsidR="006B5C6D" w:rsidRDefault="001352AD" w:rsidP="001352AD">
          <w:pPr>
            <w:pStyle w:val="327B627405014E67A7981B5420C41BF3"/>
          </w:pPr>
          <w:r>
            <w:rPr>
              <w:rFonts w:asciiTheme="majorHAnsi" w:eastAsiaTheme="majorEastAsia" w:hAnsiTheme="majorHAnsi" w:cstheme="majorBidi"/>
              <w:color w:val="4472C4" w:themeColor="accent1"/>
              <w:sz w:val="88"/>
              <w:szCs w:val="88"/>
            </w:rPr>
            <w:t>[Document title]</w:t>
          </w:r>
        </w:p>
      </w:docPartBody>
    </w:docPart>
    <w:docPart>
      <w:docPartPr>
        <w:name w:val="F3C8A0BFBA134057A8FBAD54042C850E"/>
        <w:category>
          <w:name w:val="General"/>
          <w:gallery w:val="placeholder"/>
        </w:category>
        <w:types>
          <w:type w:val="bbPlcHdr"/>
        </w:types>
        <w:behaviors>
          <w:behavior w:val="content"/>
        </w:behaviors>
        <w:guid w:val="{712C9C16-78A7-4D8E-A18C-134997BCAA3B}"/>
      </w:docPartPr>
      <w:docPartBody>
        <w:p w:rsidR="006B5C6D" w:rsidRDefault="001352AD" w:rsidP="001352AD">
          <w:pPr>
            <w:pStyle w:val="F3C8A0BFBA134057A8FBAD54042C850E"/>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Std">
    <w:altName w:val="Courier New"/>
    <w:panose1 w:val="00000000000000000000"/>
    <w:charset w:val="00"/>
    <w:family w:val="roman"/>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2AD"/>
    <w:rsid w:val="001352AD"/>
    <w:rsid w:val="004555A6"/>
    <w:rsid w:val="006B5C6D"/>
    <w:rsid w:val="009F4C80"/>
    <w:rsid w:val="00DA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9EB49E1D9244F6A4631F9445197DC7">
    <w:name w:val="BB9EB49E1D9244F6A4631F9445197DC7"/>
    <w:rsid w:val="001352AD"/>
  </w:style>
  <w:style w:type="paragraph" w:customStyle="1" w:styleId="327B627405014E67A7981B5420C41BF3">
    <w:name w:val="327B627405014E67A7981B5420C41BF3"/>
    <w:rsid w:val="001352AD"/>
  </w:style>
  <w:style w:type="paragraph" w:customStyle="1" w:styleId="F3C8A0BFBA134057A8FBAD54042C850E">
    <w:name w:val="F3C8A0BFBA134057A8FBAD54042C850E"/>
    <w:rsid w:val="001352AD"/>
  </w:style>
  <w:style w:type="paragraph" w:customStyle="1" w:styleId="B67282640C254D13ABA711E4E0A9DD58">
    <w:name w:val="B67282640C254D13ABA711E4E0A9DD58"/>
    <w:rsid w:val="001352AD"/>
  </w:style>
  <w:style w:type="paragraph" w:customStyle="1" w:styleId="2409B089EF5643F6973972B9055846C9">
    <w:name w:val="2409B089EF5643F6973972B9055846C9"/>
    <w:rsid w:val="00135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AD5F2-3A9C-4759-B0D8-EC18C605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3270</Words>
  <Characters>18642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Ideation Catalyst (I-Catalyst) Program and Customer Engagement Information Collection</vt:lpstr>
    </vt:vector>
  </TitlesOfParts>
  <Manager/>
  <Company/>
  <LinksUpToDate>false</LinksUpToDate>
  <CharactersWithSpaces>21869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Ideation Catalyst (I-Catalyst) Program and Customer Engagement Information Collection</dc:title>
  <dc:subject>OMB No. 0920-1158</dc:subject>
  <dc:creator/>
  <cp:keywords/>
  <dc:description/>
  <cp:lastModifiedBy/>
  <cp:revision>1</cp:revision>
  <dcterms:created xsi:type="dcterms:W3CDTF">2020-01-14T20:39:00Z</dcterms:created>
  <dcterms:modified xsi:type="dcterms:W3CDTF">2020-01-15T00:01:00Z</dcterms:modified>
</cp:coreProperties>
</file>