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C7A4C" w:rsidR="00870D59" w:rsidP="00870D59" w:rsidRDefault="00870D59" w14:paraId="4ABC0F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P="00870D59" w:rsidRDefault="00870D59" w14:paraId="2BAA3793"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14:paraId="3C22D918" w14:textId="77777777">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14:paraId="1FEF4D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32A65" w:rsidR="00732A65" w:rsidRDefault="00732A65" w14:paraId="3A81E0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732A65">
        <w:rPr>
          <w:sz w:val="24"/>
          <w:u w:val="single"/>
        </w:rPr>
        <w:t>Emergency Preparedness Requirements for Medicare and Medicaid Participating Providers and Suppliers</w:t>
      </w:r>
    </w:p>
    <w:p w:rsidR="00732A65" w:rsidRDefault="00732A65" w14:paraId="2380D0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732A65" w:rsidRDefault="008F1EB4" w14:paraId="1FC3B9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732A65">
        <w:rPr>
          <w:b/>
          <w:bCs/>
          <w:sz w:val="24"/>
        </w:rPr>
        <w:t>A.</w:t>
      </w:r>
      <w:r>
        <w:rPr>
          <w:b/>
          <w:bCs/>
          <w:sz w:val="24"/>
        </w:rPr>
        <w:tab/>
      </w:r>
      <w:r w:rsidRPr="00732A65" w:rsidR="00732A65">
        <w:rPr>
          <w:b/>
          <w:bCs/>
          <w:sz w:val="24"/>
          <w:u w:val="single"/>
        </w:rPr>
        <w:t>INTRODUCTION</w:t>
      </w:r>
    </w:p>
    <w:p w:rsidR="00732A65" w:rsidRDefault="00732A65" w14:paraId="32BC68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r>
    </w:p>
    <w:p w:rsidR="00732A65" w:rsidRDefault="00732A65" w14:paraId="00FB63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This information collection package is a collection request for a new OMB control number.</w:t>
      </w:r>
    </w:p>
    <w:p w:rsidR="00732A65" w:rsidRDefault="00732A65" w14:paraId="473101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Pr="00732A65" w:rsidR="00732A65" w:rsidP="00732A65" w:rsidRDefault="00732A65" w14:paraId="3E1BE3E9" w14:textId="7777777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 w:val="24"/>
        </w:rPr>
      </w:pPr>
      <w:r>
        <w:rPr>
          <w:bCs/>
          <w:sz w:val="24"/>
        </w:rPr>
        <w:t>We are not including the burden associated with requirements for LTC facilities.  S</w:t>
      </w:r>
      <w:r w:rsidRPr="007A692A">
        <w:rPr>
          <w:sz w:val="24"/>
        </w:rPr>
        <w:t>ections 4204(b) and 4214(d), which cover skilled nursing facilities (SNFs) and nursing facilities (NFs), respectively, of the Omnibus Budget Reconciliation Act of 1987 (OBRA '87) provide for a waiver of Paperwork Reduction Act (PRA) requirements for the regulations that implement the OBRA ’87 requirements.</w:t>
      </w:r>
      <w:r>
        <w:rPr>
          <w:sz w:val="24"/>
        </w:rPr>
        <w:t xml:space="preserve">  Thus, the information collection requirement</w:t>
      </w:r>
      <w:r w:rsidRPr="007A692A">
        <w:rPr>
          <w:sz w:val="24"/>
        </w:rPr>
        <w:t>s</w:t>
      </w:r>
      <w:r>
        <w:rPr>
          <w:sz w:val="24"/>
        </w:rPr>
        <w:t xml:space="preserve"> (ICRs)</w:t>
      </w:r>
      <w:r w:rsidRPr="007A692A">
        <w:rPr>
          <w:sz w:val="24"/>
        </w:rPr>
        <w:t xml:space="preserve"> for the requirements in §483.73 are not subject to the PRA.</w:t>
      </w:r>
      <w:r w:rsidR="00221065">
        <w:rPr>
          <w:sz w:val="24"/>
        </w:rPr>
        <w:t xml:space="preserve"> In addition, we have not included burden associated with requirements for transplant centers. </w:t>
      </w:r>
      <w:r w:rsidRPr="00221065" w:rsidR="00221065">
        <w:rPr>
          <w:sz w:val="24"/>
        </w:rPr>
        <w:t>Section 482.78 will require that transplant programs be included in the emergency preparedness planning and the emergency preparedness program for the hospital in which it is located.  We note that a transplant center is not individually responsible for the emergency preparedness requirements set forth in §482.15</w:t>
      </w:r>
      <w:r w:rsidR="00221065">
        <w:rPr>
          <w:sz w:val="24"/>
        </w:rPr>
        <w:t>.</w:t>
      </w:r>
      <w:r w:rsidRPr="00221065" w:rsidR="00221065">
        <w:rPr>
          <w:sz w:val="24"/>
        </w:rPr>
        <w:t xml:space="preserve">  </w:t>
      </w:r>
    </w:p>
    <w:p w:rsidR="00732A65" w:rsidRDefault="00732A65" w14:paraId="4F032E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8F1EB4" w:rsidRDefault="00732A65" w14:paraId="4819AC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732A65">
        <w:rPr>
          <w:bCs/>
          <w:sz w:val="24"/>
        </w:rPr>
        <w:t>B.</w:t>
      </w:r>
      <w:r>
        <w:rPr>
          <w:bCs/>
          <w:sz w:val="24"/>
        </w:rPr>
        <w:tab/>
      </w:r>
      <w:r>
        <w:rPr>
          <w:b/>
          <w:bCs/>
          <w:sz w:val="24"/>
          <w:u w:val="single"/>
        </w:rPr>
        <w:t>BACKGROUND</w:t>
      </w:r>
    </w:p>
    <w:p w:rsidR="00993321" w:rsidP="00993321" w:rsidRDefault="00993321" w14:paraId="1BF0D443" w14:textId="77777777">
      <w:pPr>
        <w:widowControl/>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8C01FA" w:rsidP="008C01FA" w:rsidRDefault="003F49FB" w14:paraId="010BC1BF" w14:textId="77777777">
      <w:pPr>
        <w:widowControl/>
        <w:tabs>
          <w:tab w:val="left" w:pos="-2160"/>
          <w:tab w:val="left" w:pos="-1440"/>
          <w:tab w:val="left" w:pos="-720"/>
        </w:tabs>
        <w:ind w:left="450"/>
        <w:rPr>
          <w:sz w:val="24"/>
        </w:rPr>
      </w:pPr>
      <w:r w:rsidRPr="003F49FB">
        <w:rPr>
          <w:sz w:val="24"/>
        </w:rPr>
        <w:t xml:space="preserve">In response to past terrorist attacks, natural disasters, and the subsequent national need to refine the nation’s strategy to handle emergency situations, there continues to be a coordinated effort across Federal agencies to establish a foundation for development and expansion of emergency preparedness systems.  </w:t>
      </w:r>
      <w:r w:rsidR="006D0064">
        <w:rPr>
          <w:sz w:val="24"/>
        </w:rPr>
        <w:t xml:space="preserve">This information collection captures the burden necessary to support the development </w:t>
      </w:r>
      <w:r w:rsidR="008C01FA">
        <w:rPr>
          <w:sz w:val="24"/>
        </w:rPr>
        <w:t xml:space="preserve">and implementation of </w:t>
      </w:r>
      <w:r w:rsidR="006D0064">
        <w:rPr>
          <w:sz w:val="24"/>
        </w:rPr>
        <w:t xml:space="preserve">emergency preparedness </w:t>
      </w:r>
      <w:r w:rsidR="008C01FA">
        <w:rPr>
          <w:sz w:val="24"/>
        </w:rPr>
        <w:t>requirements</w:t>
      </w:r>
      <w:r w:rsidR="006D0064">
        <w:rPr>
          <w:sz w:val="24"/>
        </w:rPr>
        <w:t xml:space="preserve"> </w:t>
      </w:r>
      <w:r w:rsidRPr="008C01FA" w:rsidR="008C01FA">
        <w:rPr>
          <w:sz w:val="24"/>
        </w:rPr>
        <w:t>that will b</w:t>
      </w:r>
      <w:r w:rsidR="008C01FA">
        <w:rPr>
          <w:sz w:val="24"/>
        </w:rPr>
        <w:t>e consistent and enforceable across</w:t>
      </w:r>
      <w:r w:rsidRPr="008C01FA" w:rsidR="008C01FA">
        <w:rPr>
          <w:sz w:val="24"/>
        </w:rPr>
        <w:t xml:space="preserve"> </w:t>
      </w:r>
      <w:r w:rsidR="008C01FA">
        <w:rPr>
          <w:sz w:val="24"/>
        </w:rPr>
        <w:t>17</w:t>
      </w:r>
      <w:r w:rsidRPr="008C01FA" w:rsidR="008C01FA">
        <w:rPr>
          <w:sz w:val="24"/>
        </w:rPr>
        <w:t xml:space="preserve"> affected Medicare and Medicaid providers and suppliers.  </w:t>
      </w:r>
    </w:p>
    <w:p w:rsidR="008C01FA" w:rsidP="008C01FA" w:rsidRDefault="008C01FA" w14:paraId="3B1460BA" w14:textId="77777777">
      <w:pPr>
        <w:widowControl/>
        <w:tabs>
          <w:tab w:val="left" w:pos="-2160"/>
          <w:tab w:val="left" w:pos="-1440"/>
          <w:tab w:val="left" w:pos="-720"/>
        </w:tabs>
        <w:ind w:left="450"/>
        <w:rPr>
          <w:sz w:val="24"/>
        </w:rPr>
      </w:pPr>
    </w:p>
    <w:p w:rsidR="00AA5936" w:rsidP="008C01FA" w:rsidRDefault="002073FA" w14:paraId="17CF9D16" w14:textId="77777777">
      <w:pPr>
        <w:widowControl/>
        <w:tabs>
          <w:tab w:val="left" w:pos="-2160"/>
          <w:tab w:val="left" w:pos="-1440"/>
          <w:tab w:val="left" w:pos="-720"/>
        </w:tabs>
        <w:ind w:left="450"/>
        <w:rPr>
          <w:sz w:val="24"/>
        </w:rPr>
      </w:pPr>
      <w:r w:rsidRPr="0039061C">
        <w:rPr>
          <w:sz w:val="24"/>
        </w:rPr>
        <w:t xml:space="preserve">We obtained the data used in this discussion on the number of the various Medicare and Medicaid providers and suppliers from Medicare’s Certification and Survey Provider Enhanced Reporting (CASPER) as of </w:t>
      </w:r>
      <w:r w:rsidR="005B1A10">
        <w:rPr>
          <w:sz w:val="24"/>
        </w:rPr>
        <w:t>June 1</w:t>
      </w:r>
      <w:r w:rsidRPr="0039061C">
        <w:rPr>
          <w:sz w:val="24"/>
        </w:rPr>
        <w:t>, 201</w:t>
      </w:r>
      <w:r w:rsidR="005B1A10">
        <w:rPr>
          <w:sz w:val="24"/>
        </w:rPr>
        <w:t>6</w:t>
      </w:r>
      <w:r w:rsidRPr="0039061C">
        <w:rPr>
          <w:sz w:val="24"/>
        </w:rPr>
        <w:t xml:space="preserve">.  We have not included data for health care facilities that are not Medicare and/or Medicaid certified.  </w:t>
      </w:r>
      <w:r w:rsidR="008C01FA">
        <w:rPr>
          <w:sz w:val="24"/>
        </w:rPr>
        <w:t>The</w:t>
      </w:r>
      <w:r>
        <w:rPr>
          <w:sz w:val="24"/>
        </w:rPr>
        <w:t xml:space="preserve"> 17 Medicare and Medicaid providers that this regulation affects </w:t>
      </w:r>
      <w:r w:rsidR="006D0064">
        <w:rPr>
          <w:sz w:val="24"/>
        </w:rPr>
        <w:t>include</w:t>
      </w:r>
      <w:r w:rsidR="008C01FA">
        <w:rPr>
          <w:sz w:val="24"/>
        </w:rPr>
        <w:t>:</w:t>
      </w:r>
      <w:r w:rsidR="006D0064">
        <w:rPr>
          <w:sz w:val="24"/>
        </w:rPr>
        <w:t xml:space="preserve"> </w:t>
      </w:r>
    </w:p>
    <w:p w:rsidR="00AA5936" w:rsidP="00AA5936" w:rsidRDefault="006D0064" w14:paraId="12CA07F2" w14:textId="77777777">
      <w:pPr>
        <w:widowControl/>
        <w:numPr>
          <w:ilvl w:val="0"/>
          <w:numId w:val="1"/>
        </w:numPr>
        <w:tabs>
          <w:tab w:val="left" w:pos="-2160"/>
          <w:tab w:val="left" w:pos="-1440"/>
          <w:tab w:val="left" w:pos="-720"/>
        </w:tabs>
        <w:rPr>
          <w:sz w:val="24"/>
        </w:rPr>
      </w:pPr>
      <w:r w:rsidRPr="00AA5936">
        <w:rPr>
          <w:sz w:val="24"/>
        </w:rPr>
        <w:t>Religious Nonmedical Health Care Institutions (RNHCIs)</w:t>
      </w:r>
    </w:p>
    <w:p w:rsidR="00AA5936" w:rsidP="00AA5936" w:rsidRDefault="006D0064" w14:paraId="6B9F962B" w14:textId="77777777">
      <w:pPr>
        <w:widowControl/>
        <w:numPr>
          <w:ilvl w:val="0"/>
          <w:numId w:val="1"/>
        </w:numPr>
        <w:tabs>
          <w:tab w:val="left" w:pos="-2160"/>
          <w:tab w:val="left" w:pos="-1440"/>
          <w:tab w:val="left" w:pos="-720"/>
        </w:tabs>
        <w:rPr>
          <w:sz w:val="24"/>
        </w:rPr>
      </w:pPr>
      <w:r w:rsidRPr="00AA5936">
        <w:rPr>
          <w:sz w:val="24"/>
        </w:rPr>
        <w:t>Ambulatory Surgical Centers (ASCs</w:t>
      </w:r>
      <w:r w:rsidR="00AA5936">
        <w:rPr>
          <w:sz w:val="24"/>
        </w:rPr>
        <w:t>)</w:t>
      </w:r>
    </w:p>
    <w:p w:rsidR="00AA5936" w:rsidP="00AA5936" w:rsidRDefault="006D0064" w14:paraId="6450E5DB" w14:textId="77777777">
      <w:pPr>
        <w:widowControl/>
        <w:numPr>
          <w:ilvl w:val="0"/>
          <w:numId w:val="1"/>
        </w:numPr>
        <w:tabs>
          <w:tab w:val="left" w:pos="-2160"/>
          <w:tab w:val="left" w:pos="-1440"/>
          <w:tab w:val="left" w:pos="-720"/>
        </w:tabs>
        <w:rPr>
          <w:sz w:val="24"/>
        </w:rPr>
      </w:pPr>
      <w:r w:rsidRPr="00AA5936">
        <w:rPr>
          <w:sz w:val="24"/>
        </w:rPr>
        <w:t>Hospices</w:t>
      </w:r>
    </w:p>
    <w:p w:rsidR="00AA5936" w:rsidP="00AA5936" w:rsidRDefault="006D0064" w14:paraId="0E8EF4AD" w14:textId="77777777">
      <w:pPr>
        <w:widowControl/>
        <w:numPr>
          <w:ilvl w:val="0"/>
          <w:numId w:val="1"/>
        </w:numPr>
        <w:tabs>
          <w:tab w:val="left" w:pos="-2160"/>
          <w:tab w:val="left" w:pos="-1440"/>
          <w:tab w:val="left" w:pos="-720"/>
        </w:tabs>
        <w:ind w:left="450" w:firstLine="360"/>
        <w:rPr>
          <w:sz w:val="24"/>
        </w:rPr>
      </w:pPr>
      <w:r w:rsidRPr="00CA75D9">
        <w:rPr>
          <w:sz w:val="24"/>
        </w:rPr>
        <w:t>Inpatient Psychiatric Services for Individuals Under Age 21 in Psychiatric Facilities or Programs (PRTFs)</w:t>
      </w:r>
    </w:p>
    <w:p w:rsidR="00AA5936" w:rsidP="00AA5936" w:rsidRDefault="006D0064" w14:paraId="1D4D5CD4" w14:textId="77777777">
      <w:pPr>
        <w:widowControl/>
        <w:numPr>
          <w:ilvl w:val="0"/>
          <w:numId w:val="1"/>
        </w:numPr>
        <w:tabs>
          <w:tab w:val="left" w:pos="-2160"/>
          <w:tab w:val="left" w:pos="-1440"/>
          <w:tab w:val="left" w:pos="-720"/>
        </w:tabs>
        <w:rPr>
          <w:sz w:val="24"/>
        </w:rPr>
      </w:pPr>
      <w:r w:rsidRPr="00CA75D9">
        <w:rPr>
          <w:sz w:val="24"/>
        </w:rPr>
        <w:t>Programs of All-Inclusive Care for the Elderly (PACE)</w:t>
      </w:r>
    </w:p>
    <w:p w:rsidR="00AA5936" w:rsidP="00AA5936" w:rsidRDefault="006D0064" w14:paraId="3BEEEB89" w14:textId="77777777">
      <w:pPr>
        <w:widowControl/>
        <w:numPr>
          <w:ilvl w:val="0"/>
          <w:numId w:val="1"/>
        </w:numPr>
        <w:tabs>
          <w:tab w:val="left" w:pos="-2160"/>
          <w:tab w:val="left" w:pos="-1440"/>
          <w:tab w:val="left" w:pos="-720"/>
        </w:tabs>
        <w:rPr>
          <w:sz w:val="24"/>
        </w:rPr>
      </w:pPr>
      <w:r w:rsidRPr="00CA75D9">
        <w:rPr>
          <w:sz w:val="24"/>
        </w:rPr>
        <w:t>Hospitals</w:t>
      </w:r>
    </w:p>
    <w:p w:rsidR="00221065" w:rsidP="00AA5936" w:rsidRDefault="006D0064" w14:paraId="57CEBB4A" w14:textId="77777777">
      <w:pPr>
        <w:widowControl/>
        <w:numPr>
          <w:ilvl w:val="0"/>
          <w:numId w:val="1"/>
        </w:numPr>
        <w:tabs>
          <w:tab w:val="left" w:pos="-2160"/>
          <w:tab w:val="left" w:pos="-1440"/>
          <w:tab w:val="left" w:pos="-720"/>
        </w:tabs>
        <w:rPr>
          <w:sz w:val="24"/>
        </w:rPr>
      </w:pPr>
      <w:r w:rsidRPr="00CA75D9">
        <w:rPr>
          <w:sz w:val="24"/>
        </w:rPr>
        <w:lastRenderedPageBreak/>
        <w:t>Transplant Centers</w:t>
      </w:r>
    </w:p>
    <w:p w:rsidR="00AA5936" w:rsidP="00AA5936" w:rsidRDefault="006D0064" w14:paraId="30F3DB87" w14:textId="77777777">
      <w:pPr>
        <w:widowControl/>
        <w:numPr>
          <w:ilvl w:val="0"/>
          <w:numId w:val="1"/>
        </w:numPr>
        <w:tabs>
          <w:tab w:val="left" w:pos="-2160"/>
          <w:tab w:val="left" w:pos="-1440"/>
          <w:tab w:val="left" w:pos="-720"/>
        </w:tabs>
        <w:rPr>
          <w:sz w:val="24"/>
        </w:rPr>
      </w:pPr>
      <w:r w:rsidRPr="00CA75D9">
        <w:rPr>
          <w:sz w:val="24"/>
        </w:rPr>
        <w:t>Long Term Care (LTC) Facilities</w:t>
      </w:r>
    </w:p>
    <w:p w:rsidR="00AA5936" w:rsidP="00AA5936" w:rsidRDefault="006D0064" w14:paraId="16399520" w14:textId="77777777">
      <w:pPr>
        <w:widowControl/>
        <w:numPr>
          <w:ilvl w:val="0"/>
          <w:numId w:val="1"/>
        </w:numPr>
        <w:tabs>
          <w:tab w:val="left" w:pos="-2160"/>
          <w:tab w:val="left" w:pos="-1440"/>
          <w:tab w:val="left" w:pos="-720"/>
        </w:tabs>
        <w:rPr>
          <w:sz w:val="24"/>
        </w:rPr>
      </w:pPr>
      <w:r w:rsidRPr="00CA75D9">
        <w:rPr>
          <w:sz w:val="24"/>
        </w:rPr>
        <w:t>Intermediate Care Facilities for Individuals with Intellectual Disabilities (ICF/IID)</w:t>
      </w:r>
    </w:p>
    <w:p w:rsidR="00AA5936" w:rsidP="00AA5936" w:rsidRDefault="006D0064" w14:paraId="3A1AA040" w14:textId="77777777">
      <w:pPr>
        <w:widowControl/>
        <w:numPr>
          <w:ilvl w:val="0"/>
          <w:numId w:val="1"/>
        </w:numPr>
        <w:tabs>
          <w:tab w:val="left" w:pos="-2160"/>
          <w:tab w:val="left" w:pos="-1440"/>
          <w:tab w:val="left" w:pos="-720"/>
        </w:tabs>
        <w:rPr>
          <w:sz w:val="24"/>
        </w:rPr>
      </w:pPr>
      <w:r w:rsidRPr="00CA75D9">
        <w:rPr>
          <w:sz w:val="24"/>
        </w:rPr>
        <w:t>Home Health Agencies (HHAs)</w:t>
      </w:r>
    </w:p>
    <w:p w:rsidR="00AA5936" w:rsidP="00AA5936" w:rsidRDefault="006D0064" w14:paraId="2A8296DC" w14:textId="77777777">
      <w:pPr>
        <w:widowControl/>
        <w:numPr>
          <w:ilvl w:val="0"/>
          <w:numId w:val="1"/>
        </w:numPr>
        <w:tabs>
          <w:tab w:val="left" w:pos="-2160"/>
          <w:tab w:val="left" w:pos="-1440"/>
          <w:tab w:val="left" w:pos="-720"/>
        </w:tabs>
        <w:rPr>
          <w:sz w:val="24"/>
        </w:rPr>
      </w:pPr>
      <w:r w:rsidRPr="00CA75D9">
        <w:rPr>
          <w:sz w:val="24"/>
        </w:rPr>
        <w:t>Comprehensive Outpatient Rehabilitation Facilities (CORFs)</w:t>
      </w:r>
    </w:p>
    <w:p w:rsidR="00AA5936" w:rsidP="00AA5936" w:rsidRDefault="006D0064" w14:paraId="6EE24711" w14:textId="77777777">
      <w:pPr>
        <w:widowControl/>
        <w:numPr>
          <w:ilvl w:val="0"/>
          <w:numId w:val="1"/>
        </w:numPr>
        <w:tabs>
          <w:tab w:val="left" w:pos="-2160"/>
          <w:tab w:val="left" w:pos="-1440"/>
          <w:tab w:val="left" w:pos="-720"/>
        </w:tabs>
        <w:rPr>
          <w:sz w:val="24"/>
        </w:rPr>
      </w:pPr>
      <w:r w:rsidRPr="00CA75D9">
        <w:rPr>
          <w:sz w:val="24"/>
        </w:rPr>
        <w:t>Critical Access Hospitals (CAHs)</w:t>
      </w:r>
    </w:p>
    <w:p w:rsidR="00AA5936" w:rsidP="00AA5936" w:rsidRDefault="006D0064" w14:paraId="79CD4C83" w14:textId="77777777">
      <w:pPr>
        <w:widowControl/>
        <w:numPr>
          <w:ilvl w:val="0"/>
          <w:numId w:val="1"/>
        </w:numPr>
        <w:tabs>
          <w:tab w:val="left" w:pos="-2160"/>
          <w:tab w:val="left" w:pos="-1440"/>
          <w:tab w:val="left" w:pos="-720"/>
        </w:tabs>
        <w:ind w:left="450" w:firstLine="360"/>
        <w:rPr>
          <w:sz w:val="24"/>
        </w:rPr>
      </w:pPr>
      <w:r w:rsidRPr="00CA75D9">
        <w:rPr>
          <w:sz w:val="24"/>
        </w:rPr>
        <w:t>Clinics, Rehabilitation Agencies, and Public Health Agencies as Providers of Outpatient Physical Therapy and Speech-Language Pathology Services</w:t>
      </w:r>
    </w:p>
    <w:p w:rsidR="00AA5936" w:rsidP="00AA5936" w:rsidRDefault="006D0064" w14:paraId="53FD28D0" w14:textId="77777777">
      <w:pPr>
        <w:widowControl/>
        <w:numPr>
          <w:ilvl w:val="0"/>
          <w:numId w:val="1"/>
        </w:numPr>
        <w:tabs>
          <w:tab w:val="left" w:pos="-2160"/>
          <w:tab w:val="left" w:pos="-1440"/>
          <w:tab w:val="left" w:pos="-720"/>
        </w:tabs>
        <w:rPr>
          <w:sz w:val="24"/>
        </w:rPr>
      </w:pPr>
      <w:r w:rsidRPr="0039061C">
        <w:rPr>
          <w:sz w:val="24"/>
        </w:rPr>
        <w:t>Community</w:t>
      </w:r>
      <w:r w:rsidR="00AA5936">
        <w:rPr>
          <w:sz w:val="24"/>
        </w:rPr>
        <w:t xml:space="preserve"> Mental Health Centers (CMHCs)</w:t>
      </w:r>
    </w:p>
    <w:p w:rsidR="00AA5936" w:rsidP="00AA5936" w:rsidRDefault="006D0064" w14:paraId="32138AB5" w14:textId="77777777">
      <w:pPr>
        <w:widowControl/>
        <w:numPr>
          <w:ilvl w:val="0"/>
          <w:numId w:val="1"/>
        </w:numPr>
        <w:tabs>
          <w:tab w:val="left" w:pos="-2160"/>
          <w:tab w:val="left" w:pos="-1440"/>
          <w:tab w:val="left" w:pos="-720"/>
        </w:tabs>
        <w:rPr>
          <w:sz w:val="24"/>
        </w:rPr>
      </w:pPr>
      <w:r w:rsidRPr="00CA75D9">
        <w:rPr>
          <w:sz w:val="24"/>
        </w:rPr>
        <w:t>Organ Procurement Organizations (OPOs)</w:t>
      </w:r>
    </w:p>
    <w:p w:rsidR="00AA5936" w:rsidP="00AA5936" w:rsidRDefault="006D0064" w14:paraId="32BCFEBF" w14:textId="77777777">
      <w:pPr>
        <w:widowControl/>
        <w:numPr>
          <w:ilvl w:val="0"/>
          <w:numId w:val="1"/>
        </w:numPr>
        <w:tabs>
          <w:tab w:val="left" w:pos="-2160"/>
          <w:tab w:val="left" w:pos="-1440"/>
          <w:tab w:val="left" w:pos="-720"/>
        </w:tabs>
        <w:rPr>
          <w:sz w:val="24"/>
        </w:rPr>
      </w:pPr>
      <w:r w:rsidRPr="00CA75D9">
        <w:rPr>
          <w:sz w:val="24"/>
        </w:rPr>
        <w:t>Rural Health Clinics (RHCs)</w:t>
      </w:r>
    </w:p>
    <w:p w:rsidR="00AA5936" w:rsidP="00AA5936" w:rsidRDefault="006D0064" w14:paraId="1785B9AF" w14:textId="77777777">
      <w:pPr>
        <w:widowControl/>
        <w:numPr>
          <w:ilvl w:val="0"/>
          <w:numId w:val="1"/>
        </w:numPr>
        <w:tabs>
          <w:tab w:val="left" w:pos="-2160"/>
          <w:tab w:val="left" w:pos="-1440"/>
          <w:tab w:val="left" w:pos="-720"/>
        </w:tabs>
        <w:rPr>
          <w:sz w:val="24"/>
        </w:rPr>
      </w:pPr>
      <w:r w:rsidRPr="00CA75D9">
        <w:rPr>
          <w:sz w:val="24"/>
        </w:rPr>
        <w:t>Federally Qualified Health Centers (FQHCs)</w:t>
      </w:r>
    </w:p>
    <w:p w:rsidR="006D0064" w:rsidP="00AA5936" w:rsidRDefault="006D0064" w14:paraId="00312F51" w14:textId="77777777">
      <w:pPr>
        <w:widowControl/>
        <w:numPr>
          <w:ilvl w:val="0"/>
          <w:numId w:val="1"/>
        </w:numPr>
        <w:tabs>
          <w:tab w:val="left" w:pos="-2160"/>
          <w:tab w:val="left" w:pos="-1440"/>
          <w:tab w:val="left" w:pos="-720"/>
        </w:tabs>
        <w:rPr>
          <w:sz w:val="24"/>
        </w:rPr>
      </w:pPr>
      <w:r w:rsidRPr="00CA75D9">
        <w:rPr>
          <w:sz w:val="24"/>
        </w:rPr>
        <w:t>End-Stage Renal Disease (ESRD) Facilities</w:t>
      </w:r>
      <w:r>
        <w:rPr>
          <w:sz w:val="24"/>
        </w:rPr>
        <w:t>.</w:t>
      </w:r>
    </w:p>
    <w:p w:rsidR="006D0064" w:rsidP="003F49FB" w:rsidRDefault="006D0064" w14:paraId="79F0E780" w14:textId="77777777">
      <w:pPr>
        <w:pStyle w:val="ColorfulList-Accent11"/>
        <w:widowControl/>
        <w:tabs>
          <w:tab w:val="left" w:pos="-2160"/>
          <w:tab w:val="left" w:pos="-1440"/>
          <w:tab w:val="left" w:pos="-720"/>
        </w:tabs>
        <w:ind w:left="450"/>
        <w:rPr>
          <w:rFonts w:ascii="Times New Roman" w:hAnsi="Times New Roman"/>
          <w:szCs w:val="24"/>
        </w:rPr>
      </w:pPr>
    </w:p>
    <w:p w:rsidRPr="003F49FB" w:rsidR="003F49FB" w:rsidP="003F49FB" w:rsidRDefault="003F49FB" w14:paraId="29EE18BB" w14:textId="77777777">
      <w:pPr>
        <w:ind w:left="450"/>
        <w:rPr>
          <w:sz w:val="24"/>
        </w:rPr>
      </w:pPr>
      <w:r w:rsidRPr="003F49FB">
        <w:rPr>
          <w:sz w:val="24"/>
        </w:rPr>
        <w:t>We have identified four core elements that are central to an effective and comprehensive framework of emergency preparedness requirements for the various Medicare and Medicaid participating providers and suppliers.  The four elements are as follows:</w:t>
      </w:r>
    </w:p>
    <w:p w:rsidRPr="003F49FB" w:rsidR="003F49FB" w:rsidP="003F49FB" w:rsidRDefault="00475CB1" w14:paraId="2E379022" w14:textId="77777777">
      <w:pPr>
        <w:ind w:left="450"/>
        <w:rPr>
          <w:sz w:val="24"/>
        </w:rPr>
      </w:pPr>
      <w:r>
        <w:rPr>
          <w:sz w:val="24"/>
        </w:rPr>
        <w:tab/>
      </w:r>
      <w:r>
        <w:rPr>
          <w:sz w:val="24"/>
        </w:rPr>
        <w:tab/>
      </w:r>
      <w:r w:rsidRPr="003F49FB">
        <w:rPr>
          <w:sz w:val="24"/>
        </w:rPr>
        <w:t>● Risk</w:t>
      </w:r>
      <w:r w:rsidRPr="003F49FB" w:rsidR="003F49FB">
        <w:rPr>
          <w:sz w:val="24"/>
        </w:rPr>
        <w:t xml:space="preserve"> assessment and </w:t>
      </w:r>
      <w:r w:rsidR="00B31863">
        <w:rPr>
          <w:sz w:val="24"/>
        </w:rPr>
        <w:t>Emergency Plan</w:t>
      </w:r>
      <w:r w:rsidRPr="003F49FB" w:rsidR="003F49FB">
        <w:rPr>
          <w:sz w:val="24"/>
        </w:rPr>
        <w:t xml:space="preserve">:  </w:t>
      </w:r>
      <w:r w:rsidR="00B31863">
        <w:rPr>
          <w:sz w:val="24"/>
        </w:rPr>
        <w:t>A</w:t>
      </w:r>
      <w:r w:rsidR="007577C4">
        <w:rPr>
          <w:sz w:val="24"/>
        </w:rPr>
        <w:t xml:space="preserve">n </w:t>
      </w:r>
      <w:r w:rsidRPr="007A692A" w:rsidR="00B31863">
        <w:rPr>
          <w:sz w:val="24"/>
        </w:rPr>
        <w:t xml:space="preserve">emergency preparedness plan </w:t>
      </w:r>
      <w:r w:rsidR="007577C4">
        <w:rPr>
          <w:sz w:val="24"/>
        </w:rPr>
        <w:t>must be developed, maintained, and reviewed/</w:t>
      </w:r>
      <w:r w:rsidRPr="007A692A" w:rsidR="00B31863">
        <w:rPr>
          <w:sz w:val="24"/>
        </w:rPr>
        <w:t>updated at least annually</w:t>
      </w:r>
      <w:r w:rsidR="007577C4">
        <w:rPr>
          <w:sz w:val="24"/>
        </w:rPr>
        <w:t xml:space="preserve">. </w:t>
      </w:r>
      <w:r w:rsidR="00B31863">
        <w:rPr>
          <w:sz w:val="24"/>
        </w:rPr>
        <w:t xml:space="preserve"> </w:t>
      </w:r>
      <w:r>
        <w:rPr>
          <w:sz w:val="24"/>
        </w:rPr>
        <w:t>Prior</w:t>
      </w:r>
      <w:r w:rsidRPr="003F49FB" w:rsidR="003F49FB">
        <w:rPr>
          <w:sz w:val="24"/>
        </w:rPr>
        <w:t xml:space="preserve"> to establishing an emergency plan, a risk assessment </w:t>
      </w:r>
      <w:r w:rsidR="00C912F3">
        <w:rPr>
          <w:sz w:val="24"/>
        </w:rPr>
        <w:t>must be</w:t>
      </w:r>
      <w:r w:rsidRPr="003F49FB" w:rsidR="003F49FB">
        <w:rPr>
          <w:sz w:val="24"/>
        </w:rPr>
        <w:t xml:space="preserve"> performed based on utilizing an “all hazards” approach.  An all-hazards approach is an integrated approach to emergency preparedness planning that focuses on capacities and capabilities that are critical to preparedness for a full spectrum of emergencies or disasters.</w:t>
      </w:r>
    </w:p>
    <w:p w:rsidRPr="003F49FB" w:rsidR="003F49FB" w:rsidP="003F49FB" w:rsidRDefault="003F49FB" w14:paraId="24A125CB" w14:textId="77777777">
      <w:pPr>
        <w:ind w:left="450"/>
        <w:rPr>
          <w:sz w:val="24"/>
        </w:rPr>
      </w:pPr>
      <w:r w:rsidRPr="003F49FB">
        <w:rPr>
          <w:sz w:val="24"/>
        </w:rPr>
        <w:tab/>
      </w:r>
      <w:r w:rsidR="00475CB1">
        <w:rPr>
          <w:sz w:val="24"/>
        </w:rPr>
        <w:tab/>
      </w:r>
      <w:r w:rsidRPr="003F49FB" w:rsidR="00475CB1">
        <w:rPr>
          <w:sz w:val="24"/>
        </w:rPr>
        <w:t>● Policies</w:t>
      </w:r>
      <w:r w:rsidRPr="003F49FB">
        <w:rPr>
          <w:sz w:val="24"/>
        </w:rPr>
        <w:t xml:space="preserve"> and procedures:  </w:t>
      </w:r>
      <w:r w:rsidR="00475CB1">
        <w:rPr>
          <w:sz w:val="24"/>
        </w:rPr>
        <w:t>P</w:t>
      </w:r>
      <w:r w:rsidRPr="003F49FB">
        <w:rPr>
          <w:sz w:val="24"/>
        </w:rPr>
        <w:t>olicies and procedures based on the emergency plan and risk assessment</w:t>
      </w:r>
      <w:r w:rsidR="00475CB1">
        <w:rPr>
          <w:sz w:val="24"/>
        </w:rPr>
        <w:t xml:space="preserve"> must be developed and implemented</w:t>
      </w:r>
      <w:r w:rsidRPr="003F49FB">
        <w:rPr>
          <w:sz w:val="24"/>
        </w:rPr>
        <w:t>.</w:t>
      </w:r>
    </w:p>
    <w:p w:rsidRPr="003F49FB" w:rsidR="003F49FB" w:rsidP="003F49FB" w:rsidRDefault="003F49FB" w14:paraId="5533B47C" w14:textId="77777777">
      <w:pPr>
        <w:ind w:left="450"/>
        <w:rPr>
          <w:sz w:val="24"/>
        </w:rPr>
      </w:pPr>
      <w:r w:rsidRPr="003F49FB">
        <w:rPr>
          <w:sz w:val="24"/>
        </w:rPr>
        <w:tab/>
      </w:r>
      <w:r w:rsidR="00475CB1">
        <w:rPr>
          <w:sz w:val="24"/>
        </w:rPr>
        <w:tab/>
      </w:r>
      <w:r w:rsidRPr="003F49FB" w:rsidR="00475CB1">
        <w:rPr>
          <w:sz w:val="24"/>
        </w:rPr>
        <w:t>● Communication</w:t>
      </w:r>
      <w:r w:rsidRPr="003F49FB">
        <w:rPr>
          <w:sz w:val="24"/>
        </w:rPr>
        <w:t xml:space="preserve"> plan:  </w:t>
      </w:r>
      <w:r w:rsidR="00475CB1">
        <w:rPr>
          <w:sz w:val="24"/>
        </w:rPr>
        <w:t>A</w:t>
      </w:r>
      <w:r w:rsidRPr="003F49FB">
        <w:rPr>
          <w:sz w:val="24"/>
        </w:rPr>
        <w:t>n emergency preparedness communication plan that complies with both Federal and State law</w:t>
      </w:r>
      <w:r w:rsidR="00475CB1">
        <w:rPr>
          <w:sz w:val="24"/>
        </w:rPr>
        <w:t xml:space="preserve"> must be developed and maintained</w:t>
      </w:r>
      <w:r w:rsidRPr="003F49FB">
        <w:rPr>
          <w:sz w:val="24"/>
        </w:rPr>
        <w:t>.  Patient care must be well-coordinated within the facility, across health care providers, and with State and local public health departments and emergency systems to protect patient health and safety in the event of a disaster.</w:t>
      </w:r>
    </w:p>
    <w:p w:rsidR="008F1EB4" w:rsidP="003F49FB" w:rsidRDefault="003F49FB" w14:paraId="3B9FEDC9" w14:textId="77777777">
      <w:pPr>
        <w:ind w:left="450"/>
        <w:rPr>
          <w:sz w:val="24"/>
        </w:rPr>
      </w:pPr>
      <w:r w:rsidRPr="003F49FB">
        <w:rPr>
          <w:sz w:val="24"/>
        </w:rPr>
        <w:tab/>
      </w:r>
      <w:r w:rsidR="00475CB1">
        <w:rPr>
          <w:sz w:val="24"/>
        </w:rPr>
        <w:tab/>
      </w:r>
      <w:r w:rsidRPr="003F49FB" w:rsidR="00475CB1">
        <w:rPr>
          <w:sz w:val="24"/>
        </w:rPr>
        <w:t>● Training</w:t>
      </w:r>
      <w:r w:rsidRPr="003F49FB">
        <w:rPr>
          <w:sz w:val="24"/>
        </w:rPr>
        <w:t xml:space="preserve"> and testing:  </w:t>
      </w:r>
      <w:r w:rsidR="00475CB1">
        <w:rPr>
          <w:sz w:val="24"/>
        </w:rPr>
        <w:t>A</w:t>
      </w:r>
      <w:r w:rsidRPr="003F49FB">
        <w:rPr>
          <w:sz w:val="24"/>
        </w:rPr>
        <w:t>n emergency preparedness training and testing program</w:t>
      </w:r>
      <w:r w:rsidR="00475CB1">
        <w:rPr>
          <w:sz w:val="24"/>
        </w:rPr>
        <w:t xml:space="preserve"> must be developed and implemented</w:t>
      </w:r>
      <w:r w:rsidRPr="003F49FB">
        <w:rPr>
          <w:sz w:val="24"/>
        </w:rPr>
        <w:t xml:space="preserve">.  A well-organized, effective training program must include providing initial training in emergency preparedness policies and procedures.  </w:t>
      </w:r>
      <w:r w:rsidR="00475CB1">
        <w:rPr>
          <w:sz w:val="24"/>
        </w:rPr>
        <w:t>Staff</w:t>
      </w:r>
      <w:r w:rsidRPr="003F49FB">
        <w:rPr>
          <w:sz w:val="24"/>
        </w:rPr>
        <w:t xml:space="preserve"> </w:t>
      </w:r>
      <w:r w:rsidR="00475CB1">
        <w:rPr>
          <w:sz w:val="24"/>
        </w:rPr>
        <w:t>must</w:t>
      </w:r>
      <w:r w:rsidRPr="003F49FB">
        <w:rPr>
          <w:sz w:val="24"/>
        </w:rPr>
        <w:t xml:space="preserve"> demonstrate knowledge of emergency procedures and provide this training at least annually.  </w:t>
      </w:r>
      <w:r w:rsidR="00475CB1">
        <w:rPr>
          <w:sz w:val="24"/>
        </w:rPr>
        <w:t>F</w:t>
      </w:r>
      <w:r w:rsidRPr="003F49FB">
        <w:rPr>
          <w:sz w:val="24"/>
        </w:rPr>
        <w:t xml:space="preserve">acilities </w:t>
      </w:r>
      <w:r w:rsidR="00475CB1">
        <w:rPr>
          <w:sz w:val="24"/>
        </w:rPr>
        <w:t xml:space="preserve">must also </w:t>
      </w:r>
      <w:r w:rsidRPr="003F49FB">
        <w:rPr>
          <w:sz w:val="24"/>
        </w:rPr>
        <w:t xml:space="preserve">conduct </w:t>
      </w:r>
      <w:r w:rsidR="00D625CC">
        <w:rPr>
          <w:sz w:val="24"/>
        </w:rPr>
        <w:t>testing</w:t>
      </w:r>
      <w:r w:rsidRPr="003F49FB">
        <w:rPr>
          <w:sz w:val="24"/>
        </w:rPr>
        <w:t xml:space="preserve"> exercises to test the emergency plan.</w:t>
      </w:r>
    </w:p>
    <w:p w:rsidR="00475CB1" w:rsidP="003F49FB" w:rsidRDefault="00475CB1" w14:paraId="017211B6" w14:textId="77777777">
      <w:pPr>
        <w:ind w:left="450"/>
        <w:rPr>
          <w:sz w:val="24"/>
        </w:rPr>
      </w:pPr>
    </w:p>
    <w:p w:rsidR="00C35509" w:rsidP="003F49FB" w:rsidRDefault="00C35509" w14:paraId="101E36DB" w14:textId="77777777">
      <w:pPr>
        <w:ind w:left="450"/>
        <w:rPr>
          <w:sz w:val="24"/>
        </w:rPr>
      </w:pPr>
      <w:r>
        <w:rPr>
          <w:sz w:val="24"/>
        </w:rPr>
        <w:t xml:space="preserve">Therefore, this information collection consists primarily of </w:t>
      </w:r>
      <w:r w:rsidR="00072AA0">
        <w:rPr>
          <w:sz w:val="24"/>
        </w:rPr>
        <w:t xml:space="preserve">the review, revision, and/or development of emergency plans, policies and procedures, and training and testing materials to ensure on-going compliance with the requirements contained in the regulation, discussed above.  </w:t>
      </w:r>
    </w:p>
    <w:p w:rsidR="001A202D" w:rsidP="003F49FB" w:rsidRDefault="001A202D" w14:paraId="6944BDE4" w14:textId="24D16570">
      <w:pPr>
        <w:ind w:left="450"/>
        <w:rPr>
          <w:sz w:val="24"/>
        </w:rPr>
      </w:pPr>
    </w:p>
    <w:p w:rsidR="001A202D" w:rsidP="003F49FB" w:rsidRDefault="001A202D" w14:paraId="5C4D8418" w14:textId="1A103133">
      <w:pPr>
        <w:ind w:left="450"/>
        <w:rPr>
          <w:sz w:val="24"/>
        </w:rPr>
      </w:pPr>
      <w:r>
        <w:rPr>
          <w:sz w:val="24"/>
        </w:rPr>
        <w:t xml:space="preserve">In addition, modification to certain emergency preparedness requirements were finalized in </w:t>
      </w:r>
      <w:r w:rsidRPr="001A202D">
        <w:rPr>
          <w:sz w:val="24"/>
        </w:rPr>
        <w:t>Regulatory Provisions to Promote Program Efficiency, Transparency, a</w:t>
      </w:r>
      <w:r>
        <w:rPr>
          <w:sz w:val="24"/>
        </w:rPr>
        <w:t xml:space="preserve">nd Burden Reduction (0938-AT23) </w:t>
      </w:r>
      <w:r w:rsidRPr="001A202D">
        <w:rPr>
          <w:sz w:val="24"/>
        </w:rPr>
        <w:t>on September 30, 2019 (84 FR 51732).</w:t>
      </w:r>
    </w:p>
    <w:p w:rsidR="00072AA0" w:rsidP="003F49FB" w:rsidRDefault="00072AA0" w14:paraId="722B2AD3" w14:textId="77777777">
      <w:pPr>
        <w:ind w:left="450"/>
        <w:rPr>
          <w:sz w:val="24"/>
        </w:rPr>
      </w:pPr>
    </w:p>
    <w:p w:rsidR="008F1EB4" w:rsidRDefault="008F1EB4" w14:paraId="7D16DF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lastRenderedPageBreak/>
        <w:t>B.</w:t>
      </w:r>
      <w:r>
        <w:rPr>
          <w:b/>
          <w:bCs/>
          <w:sz w:val="24"/>
        </w:rPr>
        <w:tab/>
      </w:r>
      <w:r>
        <w:rPr>
          <w:b/>
          <w:bCs/>
          <w:sz w:val="24"/>
          <w:u w:val="single"/>
        </w:rPr>
        <w:t>Justification</w:t>
      </w:r>
    </w:p>
    <w:p w:rsidR="008F1EB4" w:rsidRDefault="008F1EB4" w14:paraId="719BF4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70976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8F1EB4" w:rsidRDefault="008F1EB4" w14:paraId="110432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475CB1" w:rsidRDefault="00475CB1" w14:paraId="690FC39C" w14:textId="77777777">
      <w:pPr>
        <w:ind w:left="450"/>
        <w:rPr>
          <w:sz w:val="24"/>
        </w:rPr>
      </w:pPr>
      <w:r w:rsidRPr="00475CB1">
        <w:rPr>
          <w:sz w:val="24"/>
        </w:rPr>
        <w:t>Various sections of the Social Security Act (the Act) define the terms Medicare uses for each provider and supplier type and list the requirements that each provider and supplier must meet to be eligible for Medicare participation.  Each statutory provision also specifies that the Secretary may establish other requirements as the Secretary finds necessary in the interest of the health and safety of patients, although the exact wording of such authority may differ slightly between different provider and supplier types.  Further, the Public Health Service (PHS) Act sets forth additional requirements that certain Medicare providers and suppliers must meet to participate.</w:t>
      </w:r>
    </w:p>
    <w:p w:rsidR="00475CB1" w:rsidP="00475CB1" w:rsidRDefault="00475CB1" w14:paraId="1CD0181B" w14:textId="77777777">
      <w:pPr>
        <w:ind w:left="450"/>
        <w:rPr>
          <w:sz w:val="24"/>
        </w:rPr>
      </w:pPr>
    </w:p>
    <w:p w:rsidRPr="00475CB1" w:rsidR="00475CB1" w:rsidP="00475CB1" w:rsidRDefault="00475CB1" w14:paraId="763994E1" w14:textId="77777777">
      <w:pPr>
        <w:ind w:left="450"/>
        <w:rPr>
          <w:sz w:val="24"/>
        </w:rPr>
      </w:pPr>
      <w:r w:rsidRPr="00475CB1">
        <w:rPr>
          <w:sz w:val="24"/>
        </w:rPr>
        <w:t>The following are the statutory and regulatory citations for the providers and supplier</w:t>
      </w:r>
      <w:r w:rsidR="008C01FA">
        <w:rPr>
          <w:sz w:val="24"/>
        </w:rPr>
        <w:t>s for which we intend to implement</w:t>
      </w:r>
      <w:r w:rsidRPr="00475CB1">
        <w:rPr>
          <w:sz w:val="24"/>
        </w:rPr>
        <w:t xml:space="preserve"> emergency preparedness re</w:t>
      </w:r>
      <w:r w:rsidR="008C01FA">
        <w:rPr>
          <w:sz w:val="24"/>
        </w:rPr>
        <w:t>quirements</w:t>
      </w:r>
      <w:r w:rsidRPr="00475CB1">
        <w:rPr>
          <w:sz w:val="24"/>
        </w:rPr>
        <w:t xml:space="preserve">: </w:t>
      </w:r>
    </w:p>
    <w:p w:rsidR="00475CB1" w:rsidP="00611AAB" w:rsidRDefault="00475CB1" w14:paraId="1A116A1C" w14:textId="77777777">
      <w:pPr>
        <w:ind w:left="450" w:hanging="90"/>
        <w:rPr>
          <w:sz w:val="24"/>
        </w:rPr>
      </w:pPr>
      <w:r>
        <w:rPr>
          <w:sz w:val="24"/>
        </w:rPr>
        <w:tab/>
      </w:r>
      <w:r w:rsidRPr="00475CB1">
        <w:rPr>
          <w:sz w:val="24"/>
        </w:rPr>
        <w:t xml:space="preserve">● </w:t>
      </w:r>
      <w:r w:rsidRPr="008F33A2">
        <w:rPr>
          <w:sz w:val="24"/>
          <w:u w:val="single"/>
        </w:rPr>
        <w:t>Religious Nonmedical Health Care Institutions (RNHCIs)</w:t>
      </w:r>
      <w:r w:rsidRPr="00475CB1">
        <w:rPr>
          <w:sz w:val="24"/>
        </w:rPr>
        <w:t xml:space="preserve"> – section 1821 of the Act and 42 CFR 403.700 through 403.756. </w:t>
      </w:r>
    </w:p>
    <w:p w:rsidRPr="00475CB1" w:rsidR="00475CB1" w:rsidP="00611AAB" w:rsidRDefault="00475CB1" w14:paraId="29207D14" w14:textId="77777777">
      <w:pPr>
        <w:ind w:left="450" w:hanging="270"/>
        <w:rPr>
          <w:sz w:val="24"/>
        </w:rPr>
      </w:pPr>
      <w:r w:rsidRPr="00475CB1">
        <w:rPr>
          <w:sz w:val="24"/>
        </w:rPr>
        <w:tab/>
        <w:t xml:space="preserve">● </w:t>
      </w:r>
      <w:r w:rsidRPr="008F33A2">
        <w:rPr>
          <w:sz w:val="24"/>
          <w:u w:val="single"/>
        </w:rPr>
        <w:t>Ambulatory Surgical Centers (ASCs)</w:t>
      </w:r>
      <w:r w:rsidRPr="00475CB1">
        <w:rPr>
          <w:sz w:val="24"/>
        </w:rPr>
        <w:t xml:space="preserve"> – section 1832(a)(2)(F)(i) of the Act and 42 CFR 416.40 through 416.49.</w:t>
      </w:r>
    </w:p>
    <w:p w:rsidR="00475CB1" w:rsidP="00475CB1" w:rsidRDefault="00475CB1" w14:paraId="5E6B37FD" w14:textId="77777777">
      <w:pPr>
        <w:ind w:left="450"/>
        <w:rPr>
          <w:sz w:val="24"/>
        </w:rPr>
      </w:pPr>
      <w:r w:rsidRPr="00475CB1">
        <w:rPr>
          <w:sz w:val="24"/>
        </w:rPr>
        <w:tab/>
        <w:t xml:space="preserve">● </w:t>
      </w:r>
      <w:r w:rsidRPr="008F33A2">
        <w:rPr>
          <w:sz w:val="24"/>
          <w:u w:val="single"/>
        </w:rPr>
        <w:t>Hospices</w:t>
      </w:r>
      <w:r w:rsidRPr="00475CB1">
        <w:rPr>
          <w:sz w:val="24"/>
        </w:rPr>
        <w:t xml:space="preserve"> – section 1861(dd)(1) of the Act and 42 CFR 418.52 through 418.116.</w:t>
      </w:r>
    </w:p>
    <w:p w:rsidR="00475CB1" w:rsidP="00611AAB" w:rsidRDefault="00475CB1" w14:paraId="524FC8F0" w14:textId="77777777">
      <w:pPr>
        <w:ind w:left="450" w:firstLine="270"/>
        <w:rPr>
          <w:sz w:val="24"/>
        </w:rPr>
      </w:pPr>
      <w:r w:rsidRPr="00475CB1">
        <w:rPr>
          <w:sz w:val="24"/>
        </w:rPr>
        <w:t xml:space="preserve">● </w:t>
      </w:r>
      <w:r w:rsidRPr="008F33A2">
        <w:rPr>
          <w:sz w:val="24"/>
          <w:u w:val="single"/>
        </w:rPr>
        <w:t xml:space="preserve">Inpatient Psychiatric Services for Individuals Under Age 21 in Psychiatric </w:t>
      </w:r>
      <w:r w:rsidR="00D625CC">
        <w:rPr>
          <w:sz w:val="24"/>
          <w:u w:val="single"/>
        </w:rPr>
        <w:t xml:space="preserve">Residential Treatment </w:t>
      </w:r>
      <w:r w:rsidRPr="008F33A2" w:rsidR="00221065">
        <w:rPr>
          <w:sz w:val="24"/>
          <w:u w:val="single"/>
        </w:rPr>
        <w:t xml:space="preserve">Facilities </w:t>
      </w:r>
      <w:r w:rsidRPr="008F33A2">
        <w:rPr>
          <w:sz w:val="24"/>
          <w:u w:val="single"/>
        </w:rPr>
        <w:t>(PRTFs)</w:t>
      </w:r>
      <w:r w:rsidRPr="00475CB1">
        <w:rPr>
          <w:sz w:val="24"/>
        </w:rPr>
        <w:t xml:space="preserve"> – sections1905 (a) and 1905 (h) of the Act and 42 CFR 441.150 through 441.182 and 42 CFR 483.350 through 483.376.</w:t>
      </w:r>
    </w:p>
    <w:p w:rsidR="00475CB1" w:rsidP="00475CB1" w:rsidRDefault="00475CB1" w14:paraId="59DC8BD5" w14:textId="77777777">
      <w:pPr>
        <w:ind w:left="450"/>
        <w:rPr>
          <w:sz w:val="24"/>
        </w:rPr>
      </w:pPr>
      <w:r>
        <w:rPr>
          <w:sz w:val="24"/>
        </w:rPr>
        <w:tab/>
      </w:r>
      <w:r w:rsidRPr="00475CB1" w:rsidR="008F33A2">
        <w:rPr>
          <w:sz w:val="24"/>
        </w:rPr>
        <w:t xml:space="preserve">● </w:t>
      </w:r>
      <w:r w:rsidRPr="008F33A2" w:rsidR="008F33A2">
        <w:rPr>
          <w:sz w:val="24"/>
          <w:u w:val="single"/>
        </w:rPr>
        <w:t>Programs</w:t>
      </w:r>
      <w:r w:rsidRPr="008F33A2">
        <w:rPr>
          <w:sz w:val="24"/>
          <w:u w:val="single"/>
        </w:rPr>
        <w:t xml:space="preserve"> of All-Inclusive Care for the Elderly (PACE)</w:t>
      </w:r>
      <w:r w:rsidRPr="00475CB1">
        <w:rPr>
          <w:sz w:val="24"/>
        </w:rPr>
        <w:t xml:space="preserve"> - sections 1894, 1905(a), and 1934 of the Act and 42 CFR 460.2 through 460.210.</w:t>
      </w:r>
    </w:p>
    <w:p w:rsidRPr="00475CB1" w:rsidR="00475CB1" w:rsidP="00475CB1" w:rsidRDefault="00475CB1" w14:paraId="7CED52C0" w14:textId="77777777">
      <w:pPr>
        <w:ind w:left="450"/>
        <w:rPr>
          <w:sz w:val="24"/>
        </w:rPr>
      </w:pPr>
      <w:r>
        <w:rPr>
          <w:sz w:val="24"/>
        </w:rPr>
        <w:tab/>
      </w:r>
      <w:r w:rsidRPr="00475CB1" w:rsidR="008F33A2">
        <w:rPr>
          <w:sz w:val="24"/>
        </w:rPr>
        <w:t xml:space="preserve">● </w:t>
      </w:r>
      <w:r w:rsidRPr="008F33A2" w:rsidR="008F33A2">
        <w:rPr>
          <w:sz w:val="24"/>
          <w:u w:val="single"/>
        </w:rPr>
        <w:t>Hospitals</w:t>
      </w:r>
      <w:r w:rsidRPr="008F33A2">
        <w:rPr>
          <w:sz w:val="24"/>
        </w:rPr>
        <w:t xml:space="preserve"> </w:t>
      </w:r>
      <w:r w:rsidRPr="00475CB1">
        <w:rPr>
          <w:sz w:val="24"/>
        </w:rPr>
        <w:t>- section 1861(e)(9) of the Act and 42 CFR 482.1 through 482.66.</w:t>
      </w:r>
    </w:p>
    <w:p w:rsidR="00475CB1" w:rsidP="00475CB1" w:rsidRDefault="00475CB1" w14:paraId="378C90ED" w14:textId="77777777">
      <w:pPr>
        <w:ind w:left="450"/>
        <w:rPr>
          <w:sz w:val="24"/>
        </w:rPr>
      </w:pPr>
      <w:r>
        <w:rPr>
          <w:sz w:val="24"/>
        </w:rPr>
        <w:tab/>
      </w:r>
      <w:r w:rsidRPr="00475CB1" w:rsidR="008F33A2">
        <w:rPr>
          <w:sz w:val="24"/>
        </w:rPr>
        <w:t xml:space="preserve">● </w:t>
      </w:r>
      <w:r w:rsidRPr="008F33A2" w:rsidR="008F33A2">
        <w:rPr>
          <w:sz w:val="24"/>
          <w:u w:val="single"/>
        </w:rPr>
        <w:t>Transplant</w:t>
      </w:r>
      <w:r w:rsidRPr="008F33A2">
        <w:rPr>
          <w:sz w:val="24"/>
          <w:u w:val="single"/>
        </w:rPr>
        <w:t xml:space="preserve"> Centers</w:t>
      </w:r>
      <w:r w:rsidRPr="00475CB1">
        <w:rPr>
          <w:sz w:val="24"/>
        </w:rPr>
        <w:t xml:space="preserve"> – sections 1861(e)(9) and 1881(b)(1) of the Act and 42 CFR 482.68 through 482.104.  </w:t>
      </w:r>
    </w:p>
    <w:p w:rsidR="00475CB1" w:rsidP="00475CB1" w:rsidRDefault="00475CB1" w14:paraId="26A0B3A2" w14:textId="77777777">
      <w:pPr>
        <w:ind w:left="450"/>
        <w:rPr>
          <w:sz w:val="24"/>
        </w:rPr>
      </w:pPr>
      <w:r>
        <w:rPr>
          <w:sz w:val="24"/>
        </w:rPr>
        <w:tab/>
      </w:r>
      <w:r w:rsidRPr="00475CB1">
        <w:rPr>
          <w:sz w:val="24"/>
        </w:rPr>
        <w:t xml:space="preserve">●  </w:t>
      </w:r>
      <w:r w:rsidRPr="008F33A2">
        <w:rPr>
          <w:sz w:val="24"/>
          <w:u w:val="single"/>
        </w:rPr>
        <w:t>Long Term Care (LTC) Facilities</w:t>
      </w:r>
      <w:r w:rsidRPr="00475CB1">
        <w:rPr>
          <w:sz w:val="24"/>
        </w:rPr>
        <w:t xml:space="preserve"> –Skilled Nursing Facilities (SNFs) –under section 1819 of the Act, Nursing Facilities (NFs) – under section 1919 of the Act, and 42 CFR 483.1 through 483.180.</w:t>
      </w:r>
    </w:p>
    <w:p w:rsidR="00475CB1" w:rsidP="00475CB1" w:rsidRDefault="00475CB1" w14:paraId="7E181807" w14:textId="77777777">
      <w:pPr>
        <w:ind w:left="450"/>
        <w:rPr>
          <w:sz w:val="24"/>
        </w:rPr>
      </w:pPr>
      <w:r>
        <w:rPr>
          <w:sz w:val="24"/>
        </w:rPr>
        <w:tab/>
      </w:r>
      <w:r w:rsidRPr="00475CB1" w:rsidR="008F33A2">
        <w:rPr>
          <w:sz w:val="24"/>
        </w:rPr>
        <w:t xml:space="preserve">● </w:t>
      </w:r>
      <w:r w:rsidRPr="008F33A2" w:rsidR="008F33A2">
        <w:rPr>
          <w:sz w:val="24"/>
          <w:u w:val="single"/>
        </w:rPr>
        <w:t>Intermediate</w:t>
      </w:r>
      <w:r w:rsidRPr="008F33A2">
        <w:rPr>
          <w:sz w:val="24"/>
          <w:u w:val="single"/>
        </w:rPr>
        <w:t xml:space="preserve"> Care Facilities for Individuals with Intellectual Disabilities (ICF/IID)</w:t>
      </w:r>
      <w:r w:rsidRPr="00475CB1">
        <w:rPr>
          <w:sz w:val="24"/>
        </w:rPr>
        <w:t xml:space="preserve"> - section 1905(d) of the Act and 42 CFR 483.400 through 483.480.  </w:t>
      </w:r>
    </w:p>
    <w:p w:rsidR="00475CB1" w:rsidP="00475CB1" w:rsidRDefault="00475CB1" w14:paraId="7D5EBE00" w14:textId="77777777">
      <w:pPr>
        <w:ind w:left="450"/>
        <w:rPr>
          <w:sz w:val="24"/>
        </w:rPr>
      </w:pPr>
      <w:r>
        <w:rPr>
          <w:sz w:val="24"/>
        </w:rPr>
        <w:tab/>
      </w:r>
      <w:r w:rsidRPr="00475CB1" w:rsidR="008F33A2">
        <w:rPr>
          <w:sz w:val="24"/>
        </w:rPr>
        <w:t xml:space="preserve">● </w:t>
      </w:r>
      <w:r w:rsidRPr="008F33A2" w:rsidR="008F33A2">
        <w:rPr>
          <w:sz w:val="24"/>
          <w:u w:val="single"/>
        </w:rPr>
        <w:t>Home</w:t>
      </w:r>
      <w:r w:rsidRPr="008F33A2">
        <w:rPr>
          <w:sz w:val="24"/>
          <w:u w:val="single"/>
        </w:rPr>
        <w:t xml:space="preserve"> Health Agencies (HHAs)</w:t>
      </w:r>
      <w:r w:rsidRPr="00475CB1">
        <w:rPr>
          <w:sz w:val="24"/>
        </w:rPr>
        <w:t xml:space="preserve"> - sections 1861(o), 1891 of the Act and 42 CFR 484.1 through 484.55.  </w:t>
      </w:r>
    </w:p>
    <w:p w:rsidRPr="00475CB1" w:rsidR="00475CB1" w:rsidP="00475CB1" w:rsidRDefault="00475CB1" w14:paraId="36ABF0C6" w14:textId="77777777">
      <w:pPr>
        <w:ind w:left="450"/>
        <w:rPr>
          <w:sz w:val="24"/>
        </w:rPr>
      </w:pPr>
      <w:r>
        <w:rPr>
          <w:sz w:val="24"/>
        </w:rPr>
        <w:tab/>
      </w:r>
      <w:r w:rsidRPr="00475CB1" w:rsidR="008F33A2">
        <w:rPr>
          <w:sz w:val="24"/>
        </w:rPr>
        <w:t xml:space="preserve">● </w:t>
      </w:r>
      <w:r w:rsidRPr="008F33A2" w:rsidR="008F33A2">
        <w:rPr>
          <w:sz w:val="24"/>
          <w:u w:val="single"/>
        </w:rPr>
        <w:t>Comprehensive</w:t>
      </w:r>
      <w:r w:rsidRPr="008F33A2">
        <w:rPr>
          <w:sz w:val="24"/>
          <w:u w:val="single"/>
        </w:rPr>
        <w:t xml:space="preserve"> Outpatient Rehabilitation Facilities (CORFs)</w:t>
      </w:r>
      <w:r w:rsidRPr="00475CB1">
        <w:rPr>
          <w:sz w:val="24"/>
        </w:rPr>
        <w:t xml:space="preserve"> - section 1861(cc)(2) of the Act and 42 CFR 485.50 through 485.74.  </w:t>
      </w:r>
    </w:p>
    <w:p w:rsidRPr="00475CB1" w:rsidR="00475CB1" w:rsidP="00475CB1" w:rsidRDefault="00475CB1" w14:paraId="7D40AF9F" w14:textId="77777777">
      <w:pPr>
        <w:ind w:left="450"/>
        <w:rPr>
          <w:sz w:val="24"/>
        </w:rPr>
      </w:pPr>
      <w:r>
        <w:rPr>
          <w:sz w:val="24"/>
        </w:rPr>
        <w:tab/>
      </w:r>
      <w:r w:rsidRPr="00475CB1" w:rsidR="008F33A2">
        <w:rPr>
          <w:sz w:val="24"/>
        </w:rPr>
        <w:t xml:space="preserve">● </w:t>
      </w:r>
      <w:r w:rsidRPr="008F33A2" w:rsidR="008F33A2">
        <w:rPr>
          <w:sz w:val="24"/>
          <w:u w:val="single"/>
        </w:rPr>
        <w:t>Critical</w:t>
      </w:r>
      <w:r w:rsidRPr="008F33A2">
        <w:rPr>
          <w:sz w:val="24"/>
          <w:u w:val="single"/>
        </w:rPr>
        <w:t xml:space="preserve"> Access Hospitals (CAHs)</w:t>
      </w:r>
      <w:r w:rsidRPr="00475CB1">
        <w:rPr>
          <w:sz w:val="24"/>
        </w:rPr>
        <w:t xml:space="preserve"> - sections 1820 and 1861(mm)of the Act and 42 CFR 485.601 through 485.647.  </w:t>
      </w:r>
    </w:p>
    <w:p w:rsidR="0039061C" w:rsidP="00475CB1" w:rsidRDefault="00475CB1" w14:paraId="359E62D8" w14:textId="77777777">
      <w:pPr>
        <w:ind w:left="450"/>
        <w:rPr>
          <w:sz w:val="24"/>
        </w:rPr>
      </w:pPr>
      <w:r>
        <w:rPr>
          <w:sz w:val="24"/>
        </w:rPr>
        <w:tab/>
      </w:r>
      <w:r w:rsidRPr="00475CB1">
        <w:rPr>
          <w:sz w:val="24"/>
        </w:rPr>
        <w:t xml:space="preserve">●  </w:t>
      </w:r>
      <w:r w:rsidRPr="008F33A2">
        <w:rPr>
          <w:sz w:val="24"/>
          <w:u w:val="single"/>
        </w:rPr>
        <w:t>Clinics, Rehabilitation Agencies, and Public Health Agencies as Providers of Outpatient Physical Therapy and Speech-Language Pathology Services</w:t>
      </w:r>
      <w:r w:rsidRPr="00475CB1">
        <w:rPr>
          <w:sz w:val="24"/>
        </w:rPr>
        <w:t xml:space="preserve"> – section 1861(p) of the Act and 42 CFR 485.701 through 485.729.</w:t>
      </w:r>
    </w:p>
    <w:p w:rsidRPr="0039061C" w:rsidR="0039061C" w:rsidP="00475CB1" w:rsidRDefault="0039061C" w14:paraId="1842CA85" w14:textId="77777777">
      <w:pPr>
        <w:ind w:left="450"/>
        <w:rPr>
          <w:sz w:val="24"/>
        </w:rPr>
      </w:pPr>
      <w:r>
        <w:rPr>
          <w:sz w:val="24"/>
        </w:rPr>
        <w:tab/>
      </w:r>
      <w:r w:rsidRPr="00475CB1">
        <w:rPr>
          <w:sz w:val="24"/>
        </w:rPr>
        <w:t xml:space="preserve">● </w:t>
      </w:r>
      <w:r>
        <w:rPr>
          <w:sz w:val="24"/>
          <w:u w:val="single"/>
        </w:rPr>
        <w:t>Community Mental Health Centers (CMHC</w:t>
      </w:r>
      <w:r w:rsidRPr="008F33A2">
        <w:rPr>
          <w:sz w:val="24"/>
          <w:u w:val="single"/>
        </w:rPr>
        <w:t>s)</w:t>
      </w:r>
      <w:r w:rsidRPr="0039061C">
        <w:rPr>
          <w:sz w:val="24"/>
        </w:rPr>
        <w:t xml:space="preserve"> </w:t>
      </w:r>
      <w:r>
        <w:rPr>
          <w:sz w:val="24"/>
        </w:rPr>
        <w:t xml:space="preserve">– section </w:t>
      </w:r>
      <w:r w:rsidRPr="0039061C">
        <w:rPr>
          <w:sz w:val="24"/>
        </w:rPr>
        <w:t>1861(ff)(3)(B)(i)(ii) of the Act, §1913(c)(1) of the PHS Act, and 42 CFR §410.110</w:t>
      </w:r>
    </w:p>
    <w:p w:rsidRPr="00475CB1" w:rsidR="00475CB1" w:rsidP="00475CB1" w:rsidRDefault="00475CB1" w14:paraId="555FFFD2" w14:textId="77777777">
      <w:pPr>
        <w:ind w:left="450"/>
        <w:rPr>
          <w:sz w:val="24"/>
        </w:rPr>
      </w:pPr>
      <w:r>
        <w:rPr>
          <w:sz w:val="24"/>
        </w:rPr>
        <w:tab/>
      </w:r>
      <w:r w:rsidRPr="00475CB1" w:rsidR="008F33A2">
        <w:rPr>
          <w:sz w:val="24"/>
        </w:rPr>
        <w:t xml:space="preserve">● </w:t>
      </w:r>
      <w:r w:rsidRPr="008F33A2" w:rsidR="008F33A2">
        <w:rPr>
          <w:sz w:val="24"/>
          <w:u w:val="single"/>
        </w:rPr>
        <w:t>Organ</w:t>
      </w:r>
      <w:r w:rsidRPr="008F33A2">
        <w:rPr>
          <w:sz w:val="24"/>
          <w:u w:val="single"/>
        </w:rPr>
        <w:t xml:space="preserve"> Procurement Organizations (OPOs)</w:t>
      </w:r>
      <w:r w:rsidRPr="00475CB1">
        <w:rPr>
          <w:sz w:val="24"/>
        </w:rPr>
        <w:t xml:space="preserve"> - section 1138 of the Act and section 371 of the PHS Act and 42 CFR 486.301 through 486.348.  </w:t>
      </w:r>
    </w:p>
    <w:p w:rsidRPr="00475CB1" w:rsidR="00475CB1" w:rsidP="00475CB1" w:rsidRDefault="00475CB1" w14:paraId="5EE5FB45" w14:textId="77777777">
      <w:pPr>
        <w:ind w:left="450"/>
        <w:rPr>
          <w:sz w:val="24"/>
        </w:rPr>
      </w:pPr>
      <w:r>
        <w:rPr>
          <w:sz w:val="24"/>
        </w:rPr>
        <w:lastRenderedPageBreak/>
        <w:tab/>
      </w:r>
      <w:r w:rsidRPr="00475CB1" w:rsidR="008F33A2">
        <w:rPr>
          <w:sz w:val="24"/>
        </w:rPr>
        <w:t xml:space="preserve">● </w:t>
      </w:r>
      <w:r w:rsidRPr="008F33A2" w:rsidR="008F33A2">
        <w:rPr>
          <w:sz w:val="24"/>
          <w:u w:val="single"/>
        </w:rPr>
        <w:t>Rural</w:t>
      </w:r>
      <w:r w:rsidRPr="008F33A2">
        <w:rPr>
          <w:sz w:val="24"/>
          <w:u w:val="single"/>
        </w:rPr>
        <w:t xml:space="preserve"> Health Clinics (RHCs)</w:t>
      </w:r>
      <w:r w:rsidRPr="00475CB1">
        <w:rPr>
          <w:sz w:val="24"/>
        </w:rPr>
        <w:t xml:space="preserve"> - section 1861(aa) of the Act and 42 CFR 491.1 through 491.11; Federally Qualified Health Centers (FQHCs) - section 1861(aa) of the Act and 42 CFR 491.1 through 491.11, except 491.3.  </w:t>
      </w:r>
    </w:p>
    <w:p w:rsidR="00475CB1" w:rsidP="00475CB1" w:rsidRDefault="00475CB1" w14:paraId="37E57A0E" w14:textId="77777777">
      <w:pPr>
        <w:ind w:left="450"/>
        <w:rPr>
          <w:sz w:val="24"/>
        </w:rPr>
      </w:pPr>
      <w:r>
        <w:rPr>
          <w:sz w:val="24"/>
        </w:rPr>
        <w:tab/>
      </w:r>
      <w:r w:rsidRPr="00475CB1" w:rsidR="008F33A2">
        <w:rPr>
          <w:sz w:val="24"/>
        </w:rPr>
        <w:t xml:space="preserve">● </w:t>
      </w:r>
      <w:r w:rsidRPr="008F33A2" w:rsidR="008F33A2">
        <w:rPr>
          <w:sz w:val="24"/>
          <w:u w:val="single"/>
        </w:rPr>
        <w:t>End</w:t>
      </w:r>
      <w:r w:rsidRPr="008F33A2">
        <w:rPr>
          <w:sz w:val="24"/>
          <w:u w:val="single"/>
        </w:rPr>
        <w:t>-Stage Renal Disease (ESRD) Facilities</w:t>
      </w:r>
      <w:r w:rsidRPr="008F33A2">
        <w:rPr>
          <w:sz w:val="24"/>
        </w:rPr>
        <w:t xml:space="preserve"> </w:t>
      </w:r>
      <w:r w:rsidRPr="00475CB1">
        <w:rPr>
          <w:sz w:val="24"/>
        </w:rPr>
        <w:t>– sections 1881(b), 1881(c), 1881(f)(7) of the Act and 42 CFR 494.1 through 494.180.</w:t>
      </w:r>
    </w:p>
    <w:p w:rsidR="00475CB1" w:rsidP="00475CB1" w:rsidRDefault="00475CB1" w14:paraId="79884BD1" w14:textId="77777777">
      <w:pPr>
        <w:ind w:left="450"/>
        <w:rPr>
          <w:sz w:val="24"/>
        </w:rPr>
      </w:pPr>
    </w:p>
    <w:p w:rsidR="008F1EB4" w:rsidRDefault="008F1EB4" w14:paraId="7CD17D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223CC">
        <w:rPr>
          <w:sz w:val="24"/>
        </w:rPr>
        <w:t>2.</w:t>
      </w:r>
      <w:r w:rsidRPr="00E223CC">
        <w:rPr>
          <w:sz w:val="24"/>
        </w:rPr>
        <w:tab/>
      </w:r>
      <w:r w:rsidRPr="00E223CC">
        <w:rPr>
          <w:sz w:val="24"/>
          <w:u w:val="single"/>
        </w:rPr>
        <w:t>Information Users</w:t>
      </w:r>
    </w:p>
    <w:p w:rsidR="008F1EB4" w:rsidRDefault="008F1EB4" w14:paraId="0BD6B2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40D47" w:rsidR="00540D47" w:rsidP="00540D47" w:rsidRDefault="00FC4154" w14:paraId="46794EB3" w14:textId="77777777">
      <w:pPr>
        <w:ind w:left="432"/>
        <w:rPr>
          <w:sz w:val="24"/>
        </w:rPr>
      </w:pPr>
      <w:r>
        <w:rPr>
          <w:sz w:val="24"/>
        </w:rPr>
        <w:t>This regulation</w:t>
      </w:r>
      <w:r w:rsidR="008F33A2">
        <w:rPr>
          <w:sz w:val="24"/>
        </w:rPr>
        <w:t xml:space="preserve"> require</w:t>
      </w:r>
      <w:r>
        <w:rPr>
          <w:sz w:val="24"/>
        </w:rPr>
        <w:t>s</w:t>
      </w:r>
      <w:r w:rsidRPr="003863E6" w:rsidR="00540D47">
        <w:rPr>
          <w:sz w:val="24"/>
        </w:rPr>
        <w:t xml:space="preserve"> </w:t>
      </w:r>
      <w:r w:rsidR="008F33A2">
        <w:rPr>
          <w:sz w:val="24"/>
        </w:rPr>
        <w:t>Medicare and Medicaid participating providers and suppliers to establish emergency preparedness policies and procedures in order to adequately plan for both natural and man-made disasters</w:t>
      </w:r>
      <w:r w:rsidRPr="00E223CC" w:rsidR="00E223CC">
        <w:rPr>
          <w:bCs/>
          <w:sz w:val="24"/>
        </w:rPr>
        <w:t>.</w:t>
      </w:r>
      <w:r w:rsidR="00E223CC">
        <w:rPr>
          <w:bCs/>
          <w:sz w:val="24"/>
        </w:rPr>
        <w:t xml:space="preserve">  </w:t>
      </w:r>
      <w:r w:rsidR="00022F06">
        <w:rPr>
          <w:bCs/>
          <w:sz w:val="24"/>
        </w:rPr>
        <w:t>The healthcare industry, along with CMS,</w:t>
      </w:r>
      <w:r w:rsidR="00D625CC">
        <w:rPr>
          <w:bCs/>
          <w:sz w:val="24"/>
        </w:rPr>
        <w:t xml:space="preserve"> </w:t>
      </w:r>
      <w:r w:rsidRPr="003863E6" w:rsidR="00260B06">
        <w:rPr>
          <w:sz w:val="24"/>
        </w:rPr>
        <w:t>primarily use</w:t>
      </w:r>
      <w:r w:rsidR="0030020F">
        <w:rPr>
          <w:sz w:val="24"/>
        </w:rPr>
        <w:t>s</w:t>
      </w:r>
      <w:r w:rsidRPr="003863E6" w:rsidR="00260B06">
        <w:rPr>
          <w:sz w:val="24"/>
        </w:rPr>
        <w:t xml:space="preserve"> the information collected </w:t>
      </w:r>
      <w:r w:rsidRPr="003863E6" w:rsidR="00540D47">
        <w:rPr>
          <w:sz w:val="24"/>
        </w:rPr>
        <w:t xml:space="preserve">to </w:t>
      </w:r>
      <w:r w:rsidR="008F33A2">
        <w:rPr>
          <w:sz w:val="24"/>
        </w:rPr>
        <w:t>ensure the well-being and safety of patients and residents</w:t>
      </w:r>
      <w:r w:rsidR="007577C4">
        <w:rPr>
          <w:sz w:val="24"/>
        </w:rPr>
        <w:t>, including staff,</w:t>
      </w:r>
      <w:r w:rsidR="008F33A2">
        <w:rPr>
          <w:sz w:val="24"/>
        </w:rPr>
        <w:t xml:space="preserve"> while also </w:t>
      </w:r>
      <w:r w:rsidRPr="003863E6" w:rsidR="00540D47">
        <w:rPr>
          <w:sz w:val="24"/>
        </w:rPr>
        <w:t>prevent</w:t>
      </w:r>
      <w:r w:rsidR="008F33A2">
        <w:rPr>
          <w:sz w:val="24"/>
        </w:rPr>
        <w:t>ing</w:t>
      </w:r>
      <w:r w:rsidRPr="003863E6" w:rsidR="00540D47">
        <w:rPr>
          <w:sz w:val="24"/>
        </w:rPr>
        <w:t xml:space="preserve"> violations under their programs</w:t>
      </w:r>
      <w:r w:rsidRPr="003863E6" w:rsidR="00260B06">
        <w:rPr>
          <w:sz w:val="24"/>
        </w:rPr>
        <w:t>.</w:t>
      </w:r>
      <w:r w:rsidR="00260B06">
        <w:rPr>
          <w:sz w:val="24"/>
        </w:rPr>
        <w:t xml:space="preserve">  </w:t>
      </w:r>
      <w:r w:rsidRPr="003863E6" w:rsidR="00540D47">
        <w:rPr>
          <w:sz w:val="24"/>
        </w:rPr>
        <w:t xml:space="preserve">CMS </w:t>
      </w:r>
      <w:r w:rsidR="00474E4B">
        <w:rPr>
          <w:sz w:val="24"/>
        </w:rPr>
        <w:t>will</w:t>
      </w:r>
      <w:r w:rsidR="00260B06">
        <w:rPr>
          <w:sz w:val="24"/>
        </w:rPr>
        <w:t xml:space="preserve"> also use this information </w:t>
      </w:r>
      <w:r w:rsidRPr="003863E6" w:rsidR="00540D47">
        <w:rPr>
          <w:sz w:val="24"/>
        </w:rPr>
        <w:t>for regulatory and other enforce</w:t>
      </w:r>
      <w:r w:rsidR="007577C4">
        <w:rPr>
          <w:sz w:val="24"/>
        </w:rPr>
        <w:t>ment purposes, as well as for emergency planning and program development.</w:t>
      </w:r>
      <w:r w:rsidRPr="00540D47" w:rsidR="00540D47">
        <w:rPr>
          <w:sz w:val="24"/>
        </w:rPr>
        <w:t xml:space="preserve">   </w:t>
      </w:r>
    </w:p>
    <w:p w:rsidR="008F1EB4" w:rsidRDefault="008F1EB4" w14:paraId="36CD08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72D6E6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FC4154">
        <w:rPr>
          <w:sz w:val="24"/>
        </w:rPr>
        <w:t>3.</w:t>
      </w:r>
      <w:r w:rsidRPr="00FC4154">
        <w:rPr>
          <w:sz w:val="24"/>
        </w:rPr>
        <w:tab/>
      </w:r>
      <w:r w:rsidRPr="00FC4154">
        <w:rPr>
          <w:sz w:val="24"/>
          <w:u w:val="single"/>
        </w:rPr>
        <w:t>Use of Information Technology</w:t>
      </w:r>
    </w:p>
    <w:p w:rsidRPr="00FC4154" w:rsidR="00FC4154" w:rsidRDefault="00FC4154" w14:paraId="394660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B74A2" w:rsidP="00540D47" w:rsidRDefault="00FC4154" w14:paraId="5BF279F4" w14:textId="25EF32D9">
      <w:pPr>
        <w:pStyle w:val="ListParagraph"/>
        <w:spacing w:line="240" w:lineRule="auto"/>
        <w:ind w:left="446"/>
      </w:pPr>
      <w:r>
        <w:t xml:space="preserve">Providers and suppliers may use various information technologies </w:t>
      </w:r>
      <w:r w:rsidR="00782F6F">
        <w:t xml:space="preserve">to comply with the requirements of this </w:t>
      </w:r>
      <w:r>
        <w:t xml:space="preserve">regulation. </w:t>
      </w:r>
      <w:r w:rsidR="00782F6F">
        <w:t xml:space="preserve"> </w:t>
      </w:r>
      <w:r>
        <w:t>We believe that most, if not all, providers/suppliers have online access and can use technological</w:t>
      </w:r>
      <w:r w:rsidR="00482368">
        <w:t>ly</w:t>
      </w:r>
      <w:r>
        <w:t xml:space="preserve"> advanced software (i.e. Word, Excel, etc.).  Some </w:t>
      </w:r>
      <w:r w:rsidR="00E73320">
        <w:t>may</w:t>
      </w:r>
      <w:r w:rsidR="003F3198">
        <w:t xml:space="preserve"> develop </w:t>
      </w:r>
      <w:r w:rsidR="00E73320">
        <w:t xml:space="preserve">electronic tools for </w:t>
      </w:r>
      <w:r w:rsidR="00C35509">
        <w:t xml:space="preserve">purposes of documenting and maintaining their emergency plans, policies and procedures, communication plans, training documents, and any documentation related to their testing exercises. </w:t>
      </w:r>
      <w:r>
        <w:t xml:space="preserve">  </w:t>
      </w:r>
      <w:r w:rsidRPr="00B1302A" w:rsidR="00B1302A">
        <w:t>These requirements in no way prescribe how the facility should prepare or maintain these records.</w:t>
      </w:r>
      <w:r w:rsidR="00B1302A">
        <w:t xml:space="preserve">  In addition, </w:t>
      </w:r>
      <w:r>
        <w:t>there are various online resources and tools that are free or low cost that providers and suppliers can use to satisfy developing emergency preparedness programs, policies and procedures, and plans.</w:t>
      </w:r>
      <w:r w:rsidR="00B1302A">
        <w:t xml:space="preserve">  </w:t>
      </w:r>
      <w:r w:rsidRPr="00B1302A" w:rsidR="00B1302A">
        <w:t>Each facility is free to take advantage of any technological advances that they find appropriate for their needs.</w:t>
      </w:r>
    </w:p>
    <w:p w:rsidR="008F1EB4" w:rsidRDefault="008F1EB4" w14:paraId="003D6E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Pr="00540D47" w:rsidR="008F1EB4" w:rsidRDefault="008F1EB4" w14:paraId="4FB54A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40D47" w:rsidR="00540D47" w:rsidP="00540D47" w:rsidRDefault="00540D47" w14:paraId="78E9FC20" w14:textId="77777777">
      <w:pPr>
        <w:ind w:firstLine="432"/>
        <w:rPr>
          <w:sz w:val="24"/>
        </w:rPr>
      </w:pPr>
      <w:r w:rsidRPr="00540D47">
        <w:rPr>
          <w:sz w:val="24"/>
        </w:rPr>
        <w:t>There are no other information collections that dupl</w:t>
      </w:r>
      <w:r w:rsidR="009F0550">
        <w:rPr>
          <w:sz w:val="24"/>
        </w:rPr>
        <w:t xml:space="preserve">icate the ICRs in the </w:t>
      </w:r>
      <w:r w:rsidR="00EB64A4">
        <w:rPr>
          <w:sz w:val="24"/>
        </w:rPr>
        <w:t xml:space="preserve">final </w:t>
      </w:r>
      <w:r w:rsidR="009F0550">
        <w:rPr>
          <w:sz w:val="24"/>
        </w:rPr>
        <w:t>rule</w:t>
      </w:r>
      <w:r w:rsidRPr="00540D47">
        <w:rPr>
          <w:sz w:val="24"/>
        </w:rPr>
        <w:t>.</w:t>
      </w:r>
    </w:p>
    <w:p w:rsidR="008F1EB4" w:rsidRDefault="008F1EB4" w14:paraId="437A56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765B3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FC4154">
        <w:rPr>
          <w:sz w:val="24"/>
        </w:rPr>
        <w:t>5.</w:t>
      </w:r>
      <w:r w:rsidRPr="00FC4154">
        <w:rPr>
          <w:sz w:val="24"/>
        </w:rPr>
        <w:tab/>
      </w:r>
      <w:r w:rsidRPr="00FC4154">
        <w:rPr>
          <w:sz w:val="24"/>
          <w:u w:val="single"/>
        </w:rPr>
        <w:t>Small Businesses</w:t>
      </w:r>
      <w:r w:rsidRPr="00FC4154" w:rsidR="002E5556">
        <w:rPr>
          <w:sz w:val="24"/>
          <w:u w:val="single"/>
        </w:rPr>
        <w:t xml:space="preserve"> </w:t>
      </w:r>
    </w:p>
    <w:p w:rsidRPr="00FC4154" w:rsidR="00FC4154" w:rsidRDefault="00FC4154" w14:paraId="239CEF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5A7E91" w:rsidP="005A7E91" w:rsidRDefault="006B79C7" w14:paraId="569D3A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These requirements will not have a significant impact on most hospitals and other providers that are small entities.  </w:t>
      </w:r>
      <w:r w:rsidRPr="00B1302A" w:rsidR="00B1302A">
        <w:rPr>
          <w:sz w:val="24"/>
        </w:rPr>
        <w:t xml:space="preserve">The general nature of the requirements allows the flexibility for facilities to meet the requirement in a way consistent with their existing operations.  In an effort to minimize burden, we have also evaluated existing Federal, state and local laws that are currently imposed on the providers affected by these requirements.  </w:t>
      </w:r>
      <w:r w:rsidR="00482368">
        <w:rPr>
          <w:sz w:val="24"/>
        </w:rPr>
        <w:t xml:space="preserve">In addition, we considered the emergency preparedness accreditation standards of those </w:t>
      </w:r>
      <w:r w:rsidRPr="007A692A" w:rsidR="00482368">
        <w:rPr>
          <w:sz w:val="24"/>
        </w:rPr>
        <w:t xml:space="preserve">accrediting organizations (AOs) that have deeming authority for Medicare providers </w:t>
      </w:r>
      <w:r w:rsidR="00482368">
        <w:rPr>
          <w:sz w:val="24"/>
        </w:rPr>
        <w:t>and suppliers.</w:t>
      </w:r>
    </w:p>
    <w:p w:rsidR="008F1EB4" w:rsidP="004E2104" w:rsidRDefault="008F1EB4" w14:paraId="68CE868C" w14:textId="77777777">
      <w:pPr>
        <w:ind w:left="432"/>
        <w:rPr>
          <w:sz w:val="24"/>
        </w:rPr>
      </w:pPr>
    </w:p>
    <w:p w:rsidR="008F1EB4" w:rsidRDefault="008F1EB4" w14:paraId="560CA8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782F6F">
        <w:rPr>
          <w:sz w:val="24"/>
          <w:u w:val="single"/>
        </w:rPr>
        <w:t>Less Frequent Collection</w:t>
      </w:r>
    </w:p>
    <w:p w:rsidR="008F1EB4" w:rsidRDefault="008F1EB4" w14:paraId="3EB31D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223CC" w:rsidRDefault="00E223CC" w14:paraId="786C72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223CC">
        <w:rPr>
          <w:sz w:val="24"/>
        </w:rPr>
        <w:lastRenderedPageBreak/>
        <w:t xml:space="preserve">The information required </w:t>
      </w:r>
      <w:r w:rsidR="009F0550">
        <w:rPr>
          <w:sz w:val="24"/>
        </w:rPr>
        <w:t>by these providers and suppliers should not</w:t>
      </w:r>
      <w:r w:rsidRPr="00E223CC">
        <w:rPr>
          <w:sz w:val="24"/>
        </w:rPr>
        <w:t xml:space="preserve"> be collected less frequ</w:t>
      </w:r>
      <w:r w:rsidR="009F0550">
        <w:rPr>
          <w:sz w:val="24"/>
        </w:rPr>
        <w:t xml:space="preserve">ently than </w:t>
      </w:r>
      <w:r w:rsidR="002E4260">
        <w:rPr>
          <w:sz w:val="24"/>
        </w:rPr>
        <w:t>annually</w:t>
      </w:r>
      <w:r w:rsidR="009F0550">
        <w:rPr>
          <w:sz w:val="24"/>
        </w:rPr>
        <w:t>. Inadequate review and updating could lead to outdated or obsolete emergency plans and a lack of preparedness, which would threaten the s</w:t>
      </w:r>
      <w:r w:rsidR="00482368">
        <w:rPr>
          <w:sz w:val="24"/>
        </w:rPr>
        <w:t>afety of patients and residents, as well as others, including staff and visitors.</w:t>
      </w:r>
    </w:p>
    <w:p w:rsidR="00E223CC" w:rsidP="00E223CC" w:rsidRDefault="00E223CC" w14:paraId="737FC8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D55363" w:rsidRDefault="008F1EB4" w14:paraId="082C67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w:t>
      </w:r>
      <w:r>
        <w:rPr>
          <w:sz w:val="24"/>
        </w:rPr>
        <w:tab/>
      </w:r>
      <w:r>
        <w:rPr>
          <w:sz w:val="24"/>
          <w:u w:val="single"/>
        </w:rPr>
        <w:t>Special Circumstances</w:t>
      </w:r>
    </w:p>
    <w:p w:rsidR="008F1EB4" w:rsidRDefault="008F1EB4" w14:paraId="2A832D4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556FB" w:rsidR="00C556FB" w:rsidP="00C556FB" w:rsidRDefault="00C556FB" w14:paraId="056C6A11" w14:textId="77777777">
      <w:pPr>
        <w:ind w:firstLine="432"/>
        <w:rPr>
          <w:sz w:val="24"/>
        </w:rPr>
      </w:pPr>
      <w:r w:rsidRPr="00C556FB">
        <w:rPr>
          <w:sz w:val="24"/>
        </w:rPr>
        <w:t>This collection of information does not require any special circumstances.</w:t>
      </w:r>
    </w:p>
    <w:p w:rsidR="008F1EB4" w:rsidRDefault="008F1EB4" w14:paraId="2B2DB1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30F50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w:t>
      </w:r>
    </w:p>
    <w:p w:rsidRPr="00FF13E7" w:rsidR="008F1EB4" w:rsidP="007D5FD8" w:rsidRDefault="008F1EB4" w14:paraId="4D9006F5" w14:textId="77777777">
      <w:pPr>
        <w:ind w:left="432"/>
        <w:rPr>
          <w:sz w:val="24"/>
        </w:rPr>
      </w:pPr>
    </w:p>
    <w:p w:rsidR="005B745C" w:rsidP="007D5FD8" w:rsidRDefault="005B745C" w14:paraId="02AEB17E" w14:textId="77777777">
      <w:pPr>
        <w:ind w:left="432"/>
        <w:rPr>
          <w:sz w:val="24"/>
        </w:rPr>
      </w:pPr>
      <w:r w:rsidRPr="005B745C">
        <w:rPr>
          <w:sz w:val="24"/>
        </w:rPr>
        <w:t>This information collection request is associated with Regulatory Provisions to Promote Program Efficiency, Transparency, and Burden Reduction (0938-AT23) which was proposed on September 20, 2018 (83 FR 47686), and finalized on September 30, 2019 (84 FR 51732). There were no comments received specific to these ICRs.</w:t>
      </w:r>
      <w:r w:rsidRPr="005B745C" w:rsidDel="005B745C">
        <w:rPr>
          <w:sz w:val="24"/>
        </w:rPr>
        <w:t xml:space="preserve"> </w:t>
      </w:r>
    </w:p>
    <w:p w:rsidR="00FF13E7" w:rsidP="007D5FD8" w:rsidRDefault="00FF13E7" w14:paraId="0A08ED8D" w14:textId="77777777">
      <w:pPr>
        <w:ind w:left="432"/>
        <w:rPr>
          <w:sz w:val="24"/>
        </w:rPr>
      </w:pPr>
    </w:p>
    <w:p w:rsidRPr="00FF13E7" w:rsidR="00FF13E7" w:rsidP="00FF13E7" w:rsidRDefault="008F1EB4" w14:paraId="138DFE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9.</w:t>
      </w:r>
      <w:r>
        <w:rPr>
          <w:sz w:val="24"/>
        </w:rPr>
        <w:tab/>
      </w:r>
      <w:r>
        <w:rPr>
          <w:sz w:val="24"/>
          <w:u w:val="single"/>
        </w:rPr>
        <w:t>Payments/Gifts to Respondents</w:t>
      </w:r>
    </w:p>
    <w:p w:rsidR="008F1EB4" w:rsidRDefault="008F1EB4" w14:paraId="496001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8269B" w:rsidR="0008269B" w:rsidP="0008269B" w:rsidRDefault="0008269B" w14:paraId="0317BF42" w14:textId="77777777">
      <w:pPr>
        <w:ind w:left="432"/>
        <w:rPr>
          <w:sz w:val="24"/>
        </w:rPr>
      </w:pPr>
      <w:r w:rsidRPr="0008269B">
        <w:rPr>
          <w:sz w:val="24"/>
        </w:rPr>
        <w:t>There will not be any payment or gifts provided to respondents for the collection of this information.</w:t>
      </w:r>
    </w:p>
    <w:p w:rsidR="00611AAB" w:rsidRDefault="00611AAB" w14:paraId="4110F4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42904F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14:paraId="354251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08269B" w:rsidR="0008269B" w:rsidP="00474E4B" w:rsidRDefault="006B79C7" w14:paraId="4C2C0928" w14:textId="77777777">
      <w:pPr>
        <w:ind w:left="450"/>
        <w:rPr>
          <w:sz w:val="24"/>
        </w:rPr>
      </w:pPr>
      <w:r>
        <w:rPr>
          <w:sz w:val="24"/>
        </w:rPr>
        <w:t>Standard medical c</w:t>
      </w:r>
      <w:r w:rsidRPr="0008269B" w:rsidR="0008269B">
        <w:rPr>
          <w:sz w:val="24"/>
        </w:rPr>
        <w:t xml:space="preserve">onfidentiality </w:t>
      </w:r>
      <w:r>
        <w:rPr>
          <w:sz w:val="24"/>
        </w:rPr>
        <w:t>practices</w:t>
      </w:r>
      <w:r w:rsidR="00474E4B">
        <w:rPr>
          <w:sz w:val="24"/>
        </w:rPr>
        <w:t>, such as the Health Insurance Portability and Accountability Act of 1996 (HIPAA),</w:t>
      </w:r>
      <w:r>
        <w:rPr>
          <w:sz w:val="24"/>
        </w:rPr>
        <w:t xml:space="preserve"> assure the confidentiality </w:t>
      </w:r>
      <w:r w:rsidRPr="0008269B" w:rsidR="0008269B">
        <w:rPr>
          <w:sz w:val="24"/>
        </w:rPr>
        <w:t>of this information.</w:t>
      </w:r>
      <w:r w:rsidR="002E4260">
        <w:rPr>
          <w:sz w:val="24"/>
        </w:rPr>
        <w:t xml:space="preserve">  The requirements of this regulation must be in compliance with HIPAA Privacy Rules at 45 CFR 160 and 164, which protect the privacy and security of an individual’s protected health information. </w:t>
      </w:r>
    </w:p>
    <w:p w:rsidR="008F1EB4" w:rsidRDefault="008F1EB4" w14:paraId="50682E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7CDD9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3F2078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8269B" w:rsidR="0008269B" w:rsidP="0008269B" w:rsidRDefault="0008269B" w14:paraId="5BB8C4E3" w14:textId="77777777">
      <w:pPr>
        <w:ind w:firstLine="432"/>
        <w:rPr>
          <w:sz w:val="24"/>
        </w:rPr>
      </w:pPr>
      <w:r w:rsidRPr="0008269B">
        <w:rPr>
          <w:sz w:val="24"/>
        </w:rPr>
        <w:t xml:space="preserve">There are no </w:t>
      </w:r>
      <w:r w:rsidR="006B79C7">
        <w:rPr>
          <w:sz w:val="24"/>
        </w:rPr>
        <w:t xml:space="preserve">questions of a </w:t>
      </w:r>
      <w:r w:rsidRPr="0008269B">
        <w:rPr>
          <w:sz w:val="24"/>
        </w:rPr>
        <w:t xml:space="preserve">sensitive </w:t>
      </w:r>
      <w:r w:rsidR="006B79C7">
        <w:rPr>
          <w:sz w:val="24"/>
        </w:rPr>
        <w:t>nature associated with this information collection</w:t>
      </w:r>
      <w:r w:rsidRPr="0008269B">
        <w:rPr>
          <w:sz w:val="24"/>
        </w:rPr>
        <w:t>.</w:t>
      </w:r>
    </w:p>
    <w:p w:rsidR="008F1EB4" w:rsidRDefault="008F1EB4" w14:paraId="5A6629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C5CC3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26FA4">
        <w:rPr>
          <w:sz w:val="24"/>
        </w:rPr>
        <w:t>12.</w:t>
      </w:r>
      <w:r w:rsidRPr="00826FA4">
        <w:rPr>
          <w:sz w:val="24"/>
        </w:rPr>
        <w:tab/>
      </w:r>
      <w:r w:rsidRPr="00826FA4">
        <w:rPr>
          <w:sz w:val="24"/>
          <w:u w:val="single"/>
        </w:rPr>
        <w:t>Burden Estimates (Hours &amp; Wages)</w:t>
      </w:r>
    </w:p>
    <w:p w:rsidR="008F1EB4" w:rsidRDefault="008F1EB4" w14:paraId="2DC5F9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073FA" w:rsidP="0039061C" w:rsidRDefault="00EC207F" w14:paraId="1F10969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a. Background Information</w:t>
      </w:r>
    </w:p>
    <w:p w:rsidR="00EC207F" w:rsidP="0039061C" w:rsidRDefault="00EC207F" w14:paraId="5A6DF4D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39061C" w:rsidP="0039061C" w:rsidRDefault="002073FA" w14:paraId="4757FCEE" w14:textId="37D10BB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We</w:t>
      </w:r>
      <w:r w:rsidRPr="0039061C" w:rsidR="0039061C">
        <w:rPr>
          <w:sz w:val="24"/>
        </w:rPr>
        <w:t xml:space="preserve"> obtained all salary information for the different positions identified in the following assessments from the May </w:t>
      </w:r>
      <w:r w:rsidRPr="0039061C" w:rsidR="005B745C">
        <w:rPr>
          <w:sz w:val="24"/>
        </w:rPr>
        <w:t>201</w:t>
      </w:r>
      <w:r w:rsidR="005B745C">
        <w:rPr>
          <w:sz w:val="24"/>
        </w:rPr>
        <w:t>7</w:t>
      </w:r>
      <w:r w:rsidRPr="0039061C" w:rsidR="005B745C">
        <w:rPr>
          <w:sz w:val="24"/>
        </w:rPr>
        <w:t xml:space="preserve"> </w:t>
      </w:r>
      <w:r w:rsidRPr="0039061C" w:rsidR="0039061C">
        <w:rPr>
          <w:sz w:val="24"/>
        </w:rPr>
        <w:t xml:space="preserve">National Occupational Employment and Wage Estimates, United States by the Bureau of Labor Statistics </w:t>
      </w:r>
      <w:r w:rsidR="002E5556">
        <w:rPr>
          <w:sz w:val="24"/>
        </w:rPr>
        <w:t xml:space="preserve">(BLS) </w:t>
      </w:r>
      <w:r w:rsidRPr="0039061C" w:rsidR="0039061C">
        <w:rPr>
          <w:sz w:val="24"/>
        </w:rPr>
        <w:t>at http://www.</w:t>
      </w:r>
      <w:r w:rsidRPr="005B745C" w:rsidR="005B745C">
        <w:t xml:space="preserve"> </w:t>
      </w:r>
      <w:r w:rsidRPr="005B745C" w:rsidR="005B745C">
        <w:rPr>
          <w:sz w:val="24"/>
        </w:rPr>
        <w:t>https://www.bls.gov/oes/2017/may/oes_nat.htm</w:t>
      </w:r>
      <w:r w:rsidRPr="0039061C" w:rsidR="0039061C">
        <w:rPr>
          <w:sz w:val="24"/>
        </w:rPr>
        <w:t xml:space="preserve">. </w:t>
      </w:r>
      <w:r>
        <w:rPr>
          <w:sz w:val="24"/>
        </w:rPr>
        <w:t xml:space="preserve"> </w:t>
      </w:r>
      <w:r>
        <w:rPr>
          <w:color w:val="000000"/>
          <w:sz w:val="24"/>
        </w:rPr>
        <w:t xml:space="preserve">To ensure that fringe benefits and overhead are included in the estimated hourly wage for each position, we calculated and added in the amount that would ensure that </w:t>
      </w:r>
      <w:r w:rsidR="005B1A10">
        <w:rPr>
          <w:color w:val="000000"/>
          <w:sz w:val="24"/>
        </w:rPr>
        <w:t>100</w:t>
      </w:r>
      <w:r>
        <w:rPr>
          <w:color w:val="000000"/>
          <w:sz w:val="24"/>
        </w:rPr>
        <w:t xml:space="preserve"> percent of the total compensation was for overhead and fringe benefits.  We also rounded all amounts to the nearest dollar.</w:t>
      </w:r>
    </w:p>
    <w:p w:rsidR="0039061C" w:rsidP="0039061C" w:rsidRDefault="0039061C" w14:paraId="158F223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734B00" w:rsidP="0039061C" w:rsidRDefault="0039061C" w14:paraId="2F202CB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9061C">
        <w:rPr>
          <w:sz w:val="24"/>
        </w:rPr>
        <w:lastRenderedPageBreak/>
        <w:t>Where we were able to identify positions linked to specific providers or suppliers, we used that compensation information. However, in some instances, we used a general position description, such as director of nursing, or we used information for comparable positions.  For example, we were not able to locate specific information for physicians who practice in hospices.</w:t>
      </w:r>
      <w:r w:rsidR="002073FA">
        <w:rPr>
          <w:sz w:val="24"/>
        </w:rPr>
        <w:t xml:space="preserve"> </w:t>
      </w:r>
      <w:r w:rsidRPr="0039061C">
        <w:rPr>
          <w:sz w:val="24"/>
        </w:rPr>
        <w:t xml:space="preserve"> However, since hospices provide palliative care, we used the compensation information for physicians who work in specialty hospitals.  Based on our experience, certain providers and suppliers typically pay less than the median salary, in which case, we used a salary from a lower percentile.  Salary may also be affected by the rural versus urban locations.  </w:t>
      </w:r>
    </w:p>
    <w:p w:rsidR="002073FA" w:rsidP="0039061C" w:rsidRDefault="002073FA" w14:paraId="00610E3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464356" w:rsidP="0039061C" w:rsidRDefault="00110B70" w14:paraId="266A9591"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 xml:space="preserve">Table 1 </w:t>
      </w:r>
      <w:r w:rsidR="002073FA">
        <w:rPr>
          <w:sz w:val="24"/>
        </w:rPr>
        <w:t xml:space="preserve">below </w:t>
      </w:r>
      <w:r>
        <w:rPr>
          <w:sz w:val="24"/>
        </w:rPr>
        <w:t xml:space="preserve">lays out the positions used in this </w:t>
      </w:r>
      <w:r w:rsidR="00EB64A4">
        <w:rPr>
          <w:sz w:val="24"/>
        </w:rPr>
        <w:t>information collection request</w:t>
      </w:r>
      <w:r>
        <w:rPr>
          <w:sz w:val="24"/>
        </w:rPr>
        <w:t xml:space="preserve"> and the corresponding salaries based on the provider type.</w:t>
      </w:r>
    </w:p>
    <w:p w:rsidR="00EB64A4" w:rsidP="0039061C" w:rsidRDefault="00EB64A4" w14:paraId="61F8A9C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BE4078" w:rsidP="007D5FD8" w:rsidRDefault="00BE4078" w14:paraId="2B8B6EB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E4078" w:rsidP="007D5FD8" w:rsidRDefault="00BE4078" w14:paraId="1F2457ED" w14:textId="2FD692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sectPr w:rsidR="00BE4078" w:rsidSect="00734B00">
          <w:footerReference w:type="default" r:id="rId12"/>
          <w:endnotePr>
            <w:numFmt w:val="decimal"/>
          </w:endnotePr>
          <w:type w:val="continuous"/>
          <w:pgSz w:w="12240" w:h="15840"/>
          <w:pgMar w:top="1440" w:right="1440" w:bottom="1440" w:left="1440" w:header="1440" w:footer="1440" w:gutter="0"/>
          <w:cols w:space="720"/>
          <w:noEndnote/>
          <w:docGrid w:linePitch="272"/>
        </w:sectPr>
      </w:pPr>
    </w:p>
    <w:p w:rsidR="005B745C" w:rsidP="005B745C" w:rsidRDefault="005B745C" w14:paraId="439C8428" w14:textId="59BEEE7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jc w:val="center"/>
        <w:rPr>
          <w:sz w:val="24"/>
        </w:rPr>
      </w:pPr>
      <w:r>
        <w:rPr>
          <w:sz w:val="24"/>
        </w:rPr>
        <w:lastRenderedPageBreak/>
        <w:t>Table 1—Positions and Corresponding Salaries Based on Provider Type</w:t>
      </w:r>
    </w:p>
    <w:tbl>
      <w:tblPr>
        <w:tblW w:w="5000" w:type="pct"/>
        <w:tblLook w:val="04A0" w:firstRow="1" w:lastRow="0" w:firstColumn="1" w:lastColumn="0" w:noHBand="0" w:noVBand="1"/>
      </w:tblPr>
      <w:tblGrid>
        <w:gridCol w:w="2921"/>
        <w:gridCol w:w="750"/>
        <w:gridCol w:w="552"/>
        <w:gridCol w:w="759"/>
        <w:gridCol w:w="634"/>
        <w:gridCol w:w="652"/>
        <w:gridCol w:w="794"/>
        <w:gridCol w:w="777"/>
        <w:gridCol w:w="581"/>
        <w:gridCol w:w="670"/>
        <w:gridCol w:w="572"/>
        <w:gridCol w:w="670"/>
        <w:gridCol w:w="723"/>
        <w:gridCol w:w="563"/>
        <w:gridCol w:w="679"/>
        <w:gridCol w:w="643"/>
      </w:tblGrid>
      <w:tr w:rsidRPr="005B745C" w:rsidR="005B745C" w:rsidTr="007D5FD8" w14:paraId="339F5606" w14:textId="77777777">
        <w:trPr>
          <w:trHeight w:val="630"/>
          <w:tblHeader/>
        </w:trPr>
        <w:tc>
          <w:tcPr>
            <w:tcW w:w="1163" w:type="pct"/>
            <w:tcBorders>
              <w:top w:val="single" w:color="auto" w:sz="8" w:space="0"/>
              <w:left w:val="single" w:color="auto" w:sz="8" w:space="0"/>
              <w:bottom w:val="single" w:color="auto" w:sz="8" w:space="0"/>
              <w:right w:val="single" w:color="auto" w:sz="8" w:space="0"/>
            </w:tcBorders>
            <w:shd w:val="clear" w:color="auto" w:fill="auto"/>
            <w:vAlign w:val="bottom"/>
            <w:hideMark/>
          </w:tcPr>
          <w:p w:rsidRPr="005B745C" w:rsidR="005B745C" w:rsidP="005B745C" w:rsidRDefault="005B745C" w14:paraId="1608239D" w14:textId="77777777">
            <w:pPr>
              <w:widowControl/>
              <w:autoSpaceDE/>
              <w:autoSpaceDN/>
              <w:adjustRightInd/>
              <w:rPr>
                <w:color w:val="000000"/>
                <w:szCs w:val="20"/>
              </w:rPr>
            </w:pPr>
            <w:r w:rsidRPr="005B745C">
              <w:rPr>
                <w:color w:val="000000"/>
                <w:szCs w:val="20"/>
              </w:rPr>
              <w:t> </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514B0524" w14:textId="77777777">
            <w:pPr>
              <w:widowControl/>
              <w:autoSpaceDE/>
              <w:autoSpaceDN/>
              <w:adjustRightInd/>
              <w:rPr>
                <w:b/>
                <w:bCs/>
                <w:color w:val="000000"/>
                <w:sz w:val="16"/>
                <w:szCs w:val="16"/>
              </w:rPr>
            </w:pPr>
            <w:r w:rsidRPr="005B745C">
              <w:rPr>
                <w:b/>
                <w:bCs/>
                <w:color w:val="000000"/>
                <w:sz w:val="16"/>
                <w:szCs w:val="16"/>
              </w:rPr>
              <w:t>RNHCI</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46111E61" w14:textId="77777777">
            <w:pPr>
              <w:widowControl/>
              <w:autoSpaceDE/>
              <w:autoSpaceDN/>
              <w:adjustRightInd/>
              <w:rPr>
                <w:b/>
                <w:bCs/>
                <w:color w:val="000000"/>
                <w:sz w:val="16"/>
                <w:szCs w:val="16"/>
              </w:rPr>
            </w:pPr>
            <w:r w:rsidRPr="005B745C">
              <w:rPr>
                <w:b/>
                <w:bCs/>
                <w:color w:val="000000"/>
                <w:sz w:val="16"/>
                <w:szCs w:val="16"/>
              </w:rPr>
              <w:t>ASC</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19C74316" w14:textId="77777777">
            <w:pPr>
              <w:widowControl/>
              <w:autoSpaceDE/>
              <w:autoSpaceDN/>
              <w:adjustRightInd/>
              <w:rPr>
                <w:b/>
                <w:bCs/>
                <w:color w:val="000000"/>
                <w:sz w:val="16"/>
                <w:szCs w:val="16"/>
              </w:rPr>
            </w:pPr>
            <w:r w:rsidRPr="005B745C">
              <w:rPr>
                <w:b/>
                <w:bCs/>
                <w:color w:val="000000"/>
                <w:sz w:val="16"/>
                <w:szCs w:val="16"/>
              </w:rPr>
              <w:t>Hospice</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0C656049" w14:textId="77777777">
            <w:pPr>
              <w:widowControl/>
              <w:autoSpaceDE/>
              <w:autoSpaceDN/>
              <w:adjustRightInd/>
              <w:rPr>
                <w:b/>
                <w:bCs/>
                <w:color w:val="000000"/>
                <w:sz w:val="16"/>
                <w:szCs w:val="16"/>
              </w:rPr>
            </w:pPr>
            <w:r w:rsidRPr="005B745C">
              <w:rPr>
                <w:b/>
                <w:bCs/>
                <w:color w:val="000000"/>
                <w:sz w:val="16"/>
                <w:szCs w:val="16"/>
              </w:rPr>
              <w:t>PRTF</w:t>
            </w:r>
          </w:p>
        </w:tc>
        <w:tc>
          <w:tcPr>
            <w:tcW w:w="300"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282B9A53" w14:textId="77777777">
            <w:pPr>
              <w:widowControl/>
              <w:autoSpaceDE/>
              <w:autoSpaceDN/>
              <w:adjustRightInd/>
              <w:rPr>
                <w:b/>
                <w:bCs/>
                <w:color w:val="000000"/>
                <w:sz w:val="16"/>
                <w:szCs w:val="16"/>
              </w:rPr>
            </w:pPr>
            <w:r w:rsidRPr="005B745C">
              <w:rPr>
                <w:b/>
                <w:bCs/>
                <w:color w:val="000000"/>
                <w:sz w:val="16"/>
                <w:szCs w:val="16"/>
              </w:rPr>
              <w:t>PACE</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2BCC38C5" w14:textId="77777777">
            <w:pPr>
              <w:widowControl/>
              <w:autoSpaceDE/>
              <w:autoSpaceDN/>
              <w:adjustRightInd/>
              <w:rPr>
                <w:b/>
                <w:bCs/>
                <w:color w:val="000000"/>
                <w:sz w:val="16"/>
                <w:szCs w:val="16"/>
              </w:rPr>
            </w:pPr>
            <w:r w:rsidRPr="005B745C">
              <w:rPr>
                <w:b/>
                <w:bCs/>
                <w:color w:val="000000"/>
                <w:sz w:val="16"/>
                <w:szCs w:val="16"/>
              </w:rPr>
              <w:t>Hospital</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54AAB681" w14:textId="77777777">
            <w:pPr>
              <w:widowControl/>
              <w:autoSpaceDE/>
              <w:autoSpaceDN/>
              <w:adjustRightInd/>
              <w:rPr>
                <w:b/>
                <w:bCs/>
                <w:color w:val="000000"/>
                <w:sz w:val="16"/>
                <w:szCs w:val="16"/>
              </w:rPr>
            </w:pPr>
            <w:r w:rsidRPr="005B745C">
              <w:rPr>
                <w:b/>
                <w:bCs/>
                <w:color w:val="000000"/>
                <w:sz w:val="16"/>
                <w:szCs w:val="16"/>
              </w:rPr>
              <w:t>ICF/IID</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34286402" w14:textId="77777777">
            <w:pPr>
              <w:widowControl/>
              <w:autoSpaceDE/>
              <w:autoSpaceDN/>
              <w:adjustRightInd/>
              <w:rPr>
                <w:b/>
                <w:bCs/>
                <w:color w:val="000000"/>
                <w:sz w:val="16"/>
                <w:szCs w:val="16"/>
              </w:rPr>
            </w:pPr>
            <w:r w:rsidRPr="005B745C">
              <w:rPr>
                <w:b/>
                <w:bCs/>
                <w:color w:val="000000"/>
                <w:sz w:val="16"/>
                <w:szCs w:val="16"/>
              </w:rPr>
              <w:t>HHA</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0C915ED8" w14:textId="77777777">
            <w:pPr>
              <w:widowControl/>
              <w:autoSpaceDE/>
              <w:autoSpaceDN/>
              <w:adjustRightInd/>
              <w:rPr>
                <w:b/>
                <w:bCs/>
                <w:color w:val="000000"/>
                <w:sz w:val="16"/>
                <w:szCs w:val="16"/>
              </w:rPr>
            </w:pPr>
            <w:r w:rsidRPr="005B745C">
              <w:rPr>
                <w:b/>
                <w:bCs/>
                <w:color w:val="000000"/>
                <w:sz w:val="16"/>
                <w:szCs w:val="16"/>
              </w:rPr>
              <w:t>CORF</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3FF04E33" w14:textId="77777777">
            <w:pPr>
              <w:widowControl/>
              <w:autoSpaceDE/>
              <w:autoSpaceDN/>
              <w:adjustRightInd/>
              <w:rPr>
                <w:b/>
                <w:bCs/>
                <w:color w:val="000000"/>
                <w:sz w:val="16"/>
                <w:szCs w:val="16"/>
              </w:rPr>
            </w:pPr>
            <w:r w:rsidRPr="005B745C">
              <w:rPr>
                <w:b/>
                <w:bCs/>
                <w:color w:val="000000"/>
                <w:sz w:val="16"/>
                <w:szCs w:val="16"/>
              </w:rPr>
              <w:t>CAH</w:t>
            </w:r>
          </w:p>
        </w:tc>
        <w:tc>
          <w:tcPr>
            <w:tcW w:w="310"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00F4CA2E" w14:textId="77777777">
            <w:pPr>
              <w:widowControl/>
              <w:autoSpaceDE/>
              <w:autoSpaceDN/>
              <w:adjustRightInd/>
              <w:rPr>
                <w:b/>
                <w:bCs/>
                <w:color w:val="000000"/>
                <w:sz w:val="16"/>
                <w:szCs w:val="16"/>
              </w:rPr>
            </w:pPr>
            <w:r w:rsidRPr="005B745C">
              <w:rPr>
                <w:b/>
                <w:bCs/>
                <w:color w:val="000000"/>
                <w:sz w:val="16"/>
                <w:szCs w:val="16"/>
              </w:rPr>
              <w:t>OP PT ORGS</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49FCFD69" w14:textId="77777777">
            <w:pPr>
              <w:widowControl/>
              <w:autoSpaceDE/>
              <w:autoSpaceDN/>
              <w:adjustRightInd/>
              <w:rPr>
                <w:b/>
                <w:bCs/>
                <w:color w:val="000000"/>
                <w:sz w:val="16"/>
                <w:szCs w:val="16"/>
              </w:rPr>
            </w:pPr>
            <w:r w:rsidRPr="005B745C">
              <w:rPr>
                <w:b/>
                <w:bCs/>
                <w:color w:val="000000"/>
                <w:sz w:val="16"/>
                <w:szCs w:val="16"/>
              </w:rPr>
              <w:t>CMHC</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09926F8E" w14:textId="77777777">
            <w:pPr>
              <w:widowControl/>
              <w:autoSpaceDE/>
              <w:autoSpaceDN/>
              <w:adjustRightInd/>
              <w:rPr>
                <w:b/>
                <w:bCs/>
                <w:color w:val="000000"/>
                <w:sz w:val="16"/>
                <w:szCs w:val="16"/>
              </w:rPr>
            </w:pPr>
            <w:r w:rsidRPr="005B745C">
              <w:rPr>
                <w:b/>
                <w:bCs/>
                <w:color w:val="000000"/>
                <w:sz w:val="16"/>
                <w:szCs w:val="16"/>
              </w:rPr>
              <w:t>OPO</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51CE4153" w14:textId="77777777">
            <w:pPr>
              <w:widowControl/>
              <w:autoSpaceDE/>
              <w:autoSpaceDN/>
              <w:adjustRightInd/>
              <w:rPr>
                <w:b/>
                <w:bCs/>
                <w:color w:val="000000"/>
                <w:sz w:val="16"/>
                <w:szCs w:val="16"/>
              </w:rPr>
            </w:pPr>
            <w:r w:rsidRPr="005B745C">
              <w:rPr>
                <w:b/>
                <w:bCs/>
                <w:color w:val="000000"/>
                <w:sz w:val="16"/>
                <w:szCs w:val="16"/>
              </w:rPr>
              <w:t>RHC/ FQHC</w:t>
            </w:r>
          </w:p>
        </w:tc>
        <w:tc>
          <w:tcPr>
            <w:tcW w:w="248" w:type="pct"/>
            <w:tcBorders>
              <w:top w:val="single" w:color="auto" w:sz="8" w:space="0"/>
              <w:left w:val="nil"/>
              <w:bottom w:val="single" w:color="auto" w:sz="8" w:space="0"/>
              <w:right w:val="single" w:color="auto" w:sz="8" w:space="0"/>
            </w:tcBorders>
            <w:shd w:val="clear" w:color="auto" w:fill="auto"/>
            <w:vAlign w:val="center"/>
            <w:hideMark/>
          </w:tcPr>
          <w:p w:rsidRPr="005B745C" w:rsidR="005B745C" w:rsidP="005B745C" w:rsidRDefault="005B745C" w14:paraId="70ACE378" w14:textId="77777777">
            <w:pPr>
              <w:widowControl/>
              <w:autoSpaceDE/>
              <w:autoSpaceDN/>
              <w:adjustRightInd/>
              <w:rPr>
                <w:b/>
                <w:bCs/>
                <w:color w:val="000000"/>
                <w:sz w:val="16"/>
                <w:szCs w:val="16"/>
              </w:rPr>
            </w:pPr>
            <w:r w:rsidRPr="005B745C">
              <w:rPr>
                <w:b/>
                <w:bCs/>
                <w:color w:val="000000"/>
                <w:sz w:val="16"/>
                <w:szCs w:val="16"/>
              </w:rPr>
              <w:t>ESRD</w:t>
            </w:r>
          </w:p>
        </w:tc>
      </w:tr>
      <w:tr w:rsidRPr="005B745C" w:rsidR="005B745C" w:rsidTr="007D5FD8" w14:paraId="6CF7C9BE"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02B3FF85" w14:textId="77777777">
            <w:pPr>
              <w:widowControl/>
              <w:autoSpaceDE/>
              <w:autoSpaceDN/>
              <w:adjustRightInd/>
              <w:rPr>
                <w:b/>
                <w:bCs/>
                <w:color w:val="000000"/>
                <w:sz w:val="16"/>
                <w:szCs w:val="16"/>
              </w:rPr>
            </w:pPr>
            <w:r w:rsidRPr="005B745C">
              <w:rPr>
                <w:b/>
                <w:bCs/>
                <w:color w:val="000000"/>
                <w:sz w:val="16"/>
                <w:szCs w:val="16"/>
              </w:rPr>
              <w:t>Administrator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E5E54E7" w14:textId="77777777">
            <w:pPr>
              <w:widowControl/>
              <w:autoSpaceDE/>
              <w:autoSpaceDN/>
              <w:adjustRightInd/>
              <w:jc w:val="right"/>
              <w:rPr>
                <w:color w:val="000000"/>
                <w:sz w:val="16"/>
                <w:szCs w:val="16"/>
              </w:rPr>
            </w:pPr>
            <w:r w:rsidRPr="005B745C">
              <w:rPr>
                <w:color w:val="000000"/>
                <w:sz w:val="16"/>
                <w:szCs w:val="16"/>
              </w:rPr>
              <w:t xml:space="preserve">$109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3EBF59E" w14:textId="77777777">
            <w:pPr>
              <w:widowControl/>
              <w:autoSpaceDE/>
              <w:autoSpaceDN/>
              <w:adjustRightInd/>
              <w:jc w:val="right"/>
              <w:rPr>
                <w:color w:val="000000"/>
                <w:sz w:val="16"/>
                <w:szCs w:val="16"/>
              </w:rPr>
            </w:pPr>
            <w:r w:rsidRPr="005B745C">
              <w:rPr>
                <w:color w:val="000000"/>
                <w:sz w:val="16"/>
                <w:szCs w:val="16"/>
              </w:rPr>
              <w:t xml:space="preserve">$121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E3A74C1" w14:textId="77777777">
            <w:pPr>
              <w:widowControl/>
              <w:autoSpaceDE/>
              <w:autoSpaceDN/>
              <w:adjustRightInd/>
              <w:jc w:val="right"/>
              <w:rPr>
                <w:color w:val="000000"/>
                <w:sz w:val="16"/>
                <w:szCs w:val="16"/>
              </w:rPr>
            </w:pPr>
            <w:r w:rsidRPr="005B745C">
              <w:rPr>
                <w:color w:val="000000"/>
                <w:sz w:val="16"/>
                <w:szCs w:val="16"/>
              </w:rPr>
              <w:t xml:space="preserve">$89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39DFF76" w14:textId="77777777">
            <w:pPr>
              <w:widowControl/>
              <w:autoSpaceDE/>
              <w:autoSpaceDN/>
              <w:adjustRightInd/>
              <w:jc w:val="right"/>
              <w:rPr>
                <w:color w:val="000000"/>
                <w:sz w:val="16"/>
                <w:szCs w:val="16"/>
              </w:rPr>
            </w:pPr>
            <w:r w:rsidRPr="005B745C">
              <w:rPr>
                <w:color w:val="000000"/>
                <w:sz w:val="16"/>
                <w:szCs w:val="16"/>
              </w:rPr>
              <w:t xml:space="preserve">$107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F5E023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4871813" w14:textId="77777777">
            <w:pPr>
              <w:widowControl/>
              <w:autoSpaceDE/>
              <w:autoSpaceDN/>
              <w:adjustRightInd/>
              <w:jc w:val="right"/>
              <w:rPr>
                <w:color w:val="000000"/>
                <w:sz w:val="16"/>
                <w:szCs w:val="16"/>
              </w:rPr>
            </w:pPr>
            <w:r w:rsidRPr="005B745C">
              <w:rPr>
                <w:color w:val="000000"/>
                <w:sz w:val="16"/>
                <w:szCs w:val="16"/>
              </w:rPr>
              <w:t xml:space="preserve">$189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DB3578F" w14:textId="77777777">
            <w:pPr>
              <w:widowControl/>
              <w:autoSpaceDE/>
              <w:autoSpaceDN/>
              <w:adjustRightInd/>
              <w:jc w:val="right"/>
              <w:rPr>
                <w:color w:val="000000"/>
                <w:sz w:val="16"/>
                <w:szCs w:val="16"/>
              </w:rPr>
            </w:pPr>
            <w:r w:rsidRPr="005B745C">
              <w:rPr>
                <w:color w:val="000000"/>
                <w:sz w:val="16"/>
                <w:szCs w:val="16"/>
              </w:rPr>
              <w:t xml:space="preserve">$93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432EDCE" w14:textId="77777777">
            <w:pPr>
              <w:widowControl/>
              <w:autoSpaceDE/>
              <w:autoSpaceDN/>
              <w:adjustRightInd/>
              <w:jc w:val="right"/>
              <w:rPr>
                <w:color w:val="000000"/>
                <w:sz w:val="16"/>
                <w:szCs w:val="16"/>
              </w:rPr>
            </w:pPr>
            <w:r w:rsidRPr="005B745C">
              <w:rPr>
                <w:color w:val="000000"/>
                <w:sz w:val="16"/>
                <w:szCs w:val="16"/>
              </w:rPr>
              <w:t xml:space="preserve">$107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0D9BE0B" w14:textId="77777777">
            <w:pPr>
              <w:widowControl/>
              <w:autoSpaceDE/>
              <w:autoSpaceDN/>
              <w:adjustRightInd/>
              <w:jc w:val="right"/>
              <w:rPr>
                <w:color w:val="000000"/>
                <w:sz w:val="16"/>
                <w:szCs w:val="16"/>
              </w:rPr>
            </w:pPr>
            <w:r w:rsidRPr="005B745C">
              <w:rPr>
                <w:color w:val="000000"/>
                <w:sz w:val="16"/>
                <w:szCs w:val="16"/>
              </w:rPr>
              <w:t xml:space="preserve">$107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C5C8D67" w14:textId="77777777">
            <w:pPr>
              <w:widowControl/>
              <w:autoSpaceDE/>
              <w:autoSpaceDN/>
              <w:adjustRightInd/>
              <w:jc w:val="right"/>
              <w:rPr>
                <w:color w:val="000000"/>
                <w:sz w:val="16"/>
                <w:szCs w:val="16"/>
              </w:rPr>
            </w:pPr>
            <w:r w:rsidRPr="005B745C">
              <w:rPr>
                <w:color w:val="000000"/>
                <w:sz w:val="16"/>
                <w:szCs w:val="16"/>
              </w:rPr>
              <w:t xml:space="preserve">$107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5A9875B" w14:textId="77777777">
            <w:pPr>
              <w:widowControl/>
              <w:autoSpaceDE/>
              <w:autoSpaceDN/>
              <w:adjustRightInd/>
              <w:jc w:val="right"/>
              <w:rPr>
                <w:color w:val="000000"/>
                <w:sz w:val="16"/>
                <w:szCs w:val="16"/>
              </w:rPr>
            </w:pPr>
            <w:r w:rsidRPr="005B745C">
              <w:rPr>
                <w:color w:val="000000"/>
                <w:sz w:val="16"/>
                <w:szCs w:val="16"/>
              </w:rPr>
              <w:t xml:space="preserve">$99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3BA66DB" w14:textId="77777777">
            <w:pPr>
              <w:widowControl/>
              <w:autoSpaceDE/>
              <w:autoSpaceDN/>
              <w:adjustRightInd/>
              <w:jc w:val="right"/>
              <w:rPr>
                <w:color w:val="000000"/>
                <w:sz w:val="16"/>
                <w:szCs w:val="16"/>
              </w:rPr>
            </w:pPr>
            <w:r w:rsidRPr="005B745C">
              <w:rPr>
                <w:color w:val="000000"/>
                <w:sz w:val="16"/>
                <w:szCs w:val="16"/>
              </w:rPr>
              <w:t xml:space="preserve">$99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108AD4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4EBA4AE" w14:textId="77777777">
            <w:pPr>
              <w:widowControl/>
              <w:autoSpaceDE/>
              <w:autoSpaceDN/>
              <w:adjustRightInd/>
              <w:jc w:val="right"/>
              <w:rPr>
                <w:color w:val="000000"/>
                <w:sz w:val="16"/>
                <w:szCs w:val="16"/>
              </w:rPr>
            </w:pPr>
            <w:r w:rsidRPr="005B745C">
              <w:rPr>
                <w:color w:val="000000"/>
                <w:sz w:val="16"/>
                <w:szCs w:val="16"/>
              </w:rPr>
              <w:t xml:space="preserve">$107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F1969AC" w14:textId="77777777">
            <w:pPr>
              <w:widowControl/>
              <w:autoSpaceDE/>
              <w:autoSpaceDN/>
              <w:adjustRightInd/>
              <w:jc w:val="right"/>
              <w:rPr>
                <w:color w:val="000000"/>
                <w:sz w:val="16"/>
                <w:szCs w:val="16"/>
              </w:rPr>
            </w:pPr>
            <w:r w:rsidRPr="005B745C">
              <w:rPr>
                <w:color w:val="000000"/>
                <w:sz w:val="16"/>
                <w:szCs w:val="16"/>
              </w:rPr>
              <w:t xml:space="preserve">$115 </w:t>
            </w:r>
          </w:p>
        </w:tc>
      </w:tr>
      <w:tr w:rsidRPr="005B745C" w:rsidR="005B745C" w:rsidTr="007D5FD8" w14:paraId="2E7A1A1C"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79036B31" w14:textId="77777777">
            <w:pPr>
              <w:widowControl/>
              <w:autoSpaceDE/>
              <w:autoSpaceDN/>
              <w:adjustRightInd/>
              <w:rPr>
                <w:b/>
                <w:bCs/>
                <w:color w:val="000000"/>
                <w:sz w:val="16"/>
                <w:szCs w:val="16"/>
              </w:rPr>
            </w:pPr>
            <w:r w:rsidRPr="005B745C">
              <w:rPr>
                <w:b/>
                <w:bCs/>
                <w:color w:val="000000"/>
                <w:sz w:val="16"/>
                <w:szCs w:val="16"/>
              </w:rPr>
              <w:t>Program Director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33429A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2F4A2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83BB8F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634BC6C"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02D2E09" w14:textId="77777777">
            <w:pPr>
              <w:widowControl/>
              <w:autoSpaceDE/>
              <w:autoSpaceDN/>
              <w:adjustRightInd/>
              <w:jc w:val="right"/>
              <w:rPr>
                <w:color w:val="000000"/>
                <w:sz w:val="16"/>
                <w:szCs w:val="16"/>
              </w:rPr>
            </w:pPr>
            <w:r w:rsidRPr="005B745C">
              <w:rPr>
                <w:color w:val="000000"/>
                <w:sz w:val="16"/>
                <w:szCs w:val="16"/>
              </w:rPr>
              <w:t xml:space="preserve">$121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04BEEF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C1ADEC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DE0835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91B18F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F99817E"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F09766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90EEBC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C79411C" w14:textId="77777777">
            <w:pPr>
              <w:widowControl/>
              <w:autoSpaceDE/>
              <w:autoSpaceDN/>
              <w:adjustRightInd/>
              <w:jc w:val="right"/>
              <w:rPr>
                <w:color w:val="000000"/>
                <w:sz w:val="16"/>
                <w:szCs w:val="16"/>
              </w:rPr>
            </w:pPr>
            <w:r w:rsidRPr="005B745C">
              <w:rPr>
                <w:color w:val="000000"/>
                <w:sz w:val="16"/>
                <w:szCs w:val="16"/>
              </w:rPr>
              <w:t xml:space="preserve">$115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2C3B20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8909A3F"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1FD95F7C"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1D4878FE" w14:textId="77777777">
            <w:pPr>
              <w:widowControl/>
              <w:autoSpaceDE/>
              <w:autoSpaceDN/>
              <w:adjustRightInd/>
              <w:rPr>
                <w:b/>
                <w:bCs/>
                <w:color w:val="000000"/>
                <w:sz w:val="16"/>
                <w:szCs w:val="16"/>
              </w:rPr>
            </w:pPr>
            <w:r w:rsidRPr="005B745C">
              <w:rPr>
                <w:b/>
                <w:bCs/>
                <w:color w:val="000000"/>
                <w:sz w:val="16"/>
                <w:szCs w:val="16"/>
              </w:rPr>
              <w:t>Medical Director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056736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F96FD8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E8A0C1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0FE14CC"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E707E46" w14:textId="77777777">
            <w:pPr>
              <w:widowControl/>
              <w:autoSpaceDE/>
              <w:autoSpaceDN/>
              <w:adjustRightInd/>
              <w:jc w:val="right"/>
              <w:rPr>
                <w:color w:val="000000"/>
                <w:sz w:val="16"/>
                <w:szCs w:val="16"/>
              </w:rPr>
            </w:pPr>
            <w:r w:rsidRPr="005B745C">
              <w:rPr>
                <w:color w:val="000000"/>
                <w:sz w:val="16"/>
                <w:szCs w:val="16"/>
              </w:rPr>
              <w:t xml:space="preserve">$206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CA904B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B25E7A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835091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5A971C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07E6CEF" w14:textId="77777777">
            <w:pPr>
              <w:widowControl/>
              <w:autoSpaceDE/>
              <w:autoSpaceDN/>
              <w:adjustRightInd/>
              <w:jc w:val="right"/>
              <w:rPr>
                <w:color w:val="000000"/>
                <w:sz w:val="16"/>
                <w:szCs w:val="16"/>
              </w:rPr>
            </w:pPr>
            <w:r w:rsidRPr="005B745C">
              <w:rPr>
                <w:color w:val="000000"/>
                <w:sz w:val="16"/>
                <w:szCs w:val="16"/>
              </w:rPr>
              <w:t xml:space="preserve">$191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D25C28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CA557C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E24CB0E" w14:textId="77777777">
            <w:pPr>
              <w:widowControl/>
              <w:autoSpaceDE/>
              <w:autoSpaceDN/>
              <w:adjustRightInd/>
              <w:jc w:val="right"/>
              <w:rPr>
                <w:color w:val="000000"/>
                <w:sz w:val="16"/>
                <w:szCs w:val="16"/>
              </w:rPr>
            </w:pPr>
            <w:r w:rsidRPr="005B745C">
              <w:rPr>
                <w:color w:val="000000"/>
                <w:sz w:val="16"/>
                <w:szCs w:val="16"/>
              </w:rPr>
              <w:t xml:space="preserve">$223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48E8B3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B7E85A1" w14:textId="77777777">
            <w:pPr>
              <w:widowControl/>
              <w:autoSpaceDE/>
              <w:autoSpaceDN/>
              <w:adjustRightInd/>
              <w:jc w:val="right"/>
              <w:rPr>
                <w:color w:val="000000"/>
                <w:sz w:val="16"/>
                <w:szCs w:val="16"/>
              </w:rPr>
            </w:pPr>
            <w:r w:rsidRPr="005B745C">
              <w:rPr>
                <w:color w:val="000000"/>
                <w:sz w:val="16"/>
                <w:szCs w:val="16"/>
              </w:rPr>
              <w:t xml:space="preserve">$223 </w:t>
            </w:r>
          </w:p>
        </w:tc>
      </w:tr>
      <w:tr w:rsidRPr="005B745C" w:rsidR="005B745C" w:rsidTr="007D5FD8" w14:paraId="278EE431"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7130E465" w14:textId="77777777">
            <w:pPr>
              <w:widowControl/>
              <w:autoSpaceDE/>
              <w:autoSpaceDN/>
              <w:adjustRightInd/>
              <w:rPr>
                <w:b/>
                <w:bCs/>
                <w:color w:val="000000"/>
                <w:sz w:val="16"/>
                <w:szCs w:val="16"/>
              </w:rPr>
            </w:pPr>
            <w:r w:rsidRPr="005B745C">
              <w:rPr>
                <w:b/>
                <w:bCs/>
                <w:color w:val="000000"/>
                <w:sz w:val="16"/>
                <w:szCs w:val="16"/>
              </w:rPr>
              <w:t>Nurse Manager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BB6FA6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5B19AF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991A85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3F46341"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190977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30EBA4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70DACD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2AC3C3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48E3BA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F94632C"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AAD441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41AB7B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005F31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F4C9C5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9178D27" w14:textId="77777777">
            <w:pPr>
              <w:widowControl/>
              <w:autoSpaceDE/>
              <w:autoSpaceDN/>
              <w:adjustRightInd/>
              <w:jc w:val="right"/>
              <w:rPr>
                <w:color w:val="000000"/>
                <w:sz w:val="16"/>
                <w:szCs w:val="16"/>
              </w:rPr>
            </w:pPr>
            <w:r w:rsidRPr="005B745C">
              <w:rPr>
                <w:color w:val="000000"/>
                <w:sz w:val="16"/>
                <w:szCs w:val="16"/>
              </w:rPr>
              <w:t xml:space="preserve">$99 </w:t>
            </w:r>
          </w:p>
        </w:tc>
      </w:tr>
      <w:tr w:rsidRPr="005B745C" w:rsidR="005B745C" w:rsidTr="007D5FD8" w14:paraId="32BAB453"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2FD4E92B" w14:textId="77777777">
            <w:pPr>
              <w:widowControl/>
              <w:autoSpaceDE/>
              <w:autoSpaceDN/>
              <w:adjustRightInd/>
              <w:rPr>
                <w:b/>
                <w:bCs/>
                <w:color w:val="000000"/>
                <w:sz w:val="16"/>
                <w:szCs w:val="16"/>
              </w:rPr>
            </w:pPr>
            <w:r w:rsidRPr="005B745C">
              <w:rPr>
                <w:b/>
                <w:bCs/>
                <w:color w:val="000000"/>
                <w:sz w:val="16"/>
                <w:szCs w:val="16"/>
              </w:rPr>
              <w:t>Director of Nursing</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601E766" w14:textId="77777777">
            <w:pPr>
              <w:widowControl/>
              <w:autoSpaceDE/>
              <w:autoSpaceDN/>
              <w:adjustRightInd/>
              <w:jc w:val="right"/>
              <w:rPr>
                <w:color w:val="000000"/>
                <w:sz w:val="16"/>
                <w:szCs w:val="16"/>
              </w:rPr>
            </w:pPr>
            <w:r w:rsidRPr="005B745C">
              <w:rPr>
                <w:color w:val="000000"/>
                <w:sz w:val="16"/>
                <w:szCs w:val="16"/>
              </w:rPr>
              <w:t xml:space="preserve">$44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216E03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2A36AC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243355E"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7634D6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79C9AB7" w14:textId="77777777">
            <w:pPr>
              <w:widowControl/>
              <w:autoSpaceDE/>
              <w:autoSpaceDN/>
              <w:adjustRightInd/>
              <w:jc w:val="right"/>
              <w:rPr>
                <w:color w:val="000000"/>
                <w:sz w:val="16"/>
                <w:szCs w:val="16"/>
              </w:rPr>
            </w:pPr>
            <w:r w:rsidRPr="005B745C">
              <w:rPr>
                <w:color w:val="000000"/>
                <w:sz w:val="16"/>
                <w:szCs w:val="16"/>
              </w:rPr>
              <w:t xml:space="preserve">$348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DE850D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471692C" w14:textId="77777777">
            <w:pPr>
              <w:widowControl/>
              <w:autoSpaceDE/>
              <w:autoSpaceDN/>
              <w:adjustRightInd/>
              <w:jc w:val="right"/>
              <w:rPr>
                <w:color w:val="000000"/>
                <w:sz w:val="16"/>
                <w:szCs w:val="16"/>
              </w:rPr>
            </w:pPr>
            <w:r w:rsidRPr="005B745C">
              <w:rPr>
                <w:color w:val="000000"/>
                <w:sz w:val="16"/>
                <w:szCs w:val="16"/>
              </w:rPr>
              <w:t xml:space="preserve">$107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DDC918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1C6D782" w14:textId="77777777">
            <w:pPr>
              <w:widowControl/>
              <w:autoSpaceDE/>
              <w:autoSpaceDN/>
              <w:adjustRightInd/>
              <w:jc w:val="right"/>
              <w:rPr>
                <w:color w:val="000000"/>
                <w:sz w:val="16"/>
                <w:szCs w:val="16"/>
              </w:rPr>
            </w:pPr>
            <w:r w:rsidRPr="005B745C">
              <w:rPr>
                <w:color w:val="000000"/>
                <w:sz w:val="16"/>
                <w:szCs w:val="16"/>
              </w:rPr>
              <w:t xml:space="preserve">$107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446614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B0FC75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75E9AC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363FBF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DC6E7E2"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0843C6D7"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3FA4AB38" w14:textId="77777777">
            <w:pPr>
              <w:widowControl/>
              <w:autoSpaceDE/>
              <w:autoSpaceDN/>
              <w:adjustRightInd/>
              <w:rPr>
                <w:b/>
                <w:bCs/>
                <w:color w:val="000000"/>
                <w:sz w:val="16"/>
                <w:szCs w:val="16"/>
              </w:rPr>
            </w:pPr>
            <w:r w:rsidRPr="005B745C">
              <w:rPr>
                <w:b/>
                <w:bCs/>
                <w:color w:val="000000"/>
                <w:sz w:val="16"/>
                <w:szCs w:val="16"/>
              </w:rPr>
              <w:t>Social Worker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B495FB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8EA615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2A57A10" w14:textId="77777777">
            <w:pPr>
              <w:widowControl/>
              <w:autoSpaceDE/>
              <w:autoSpaceDN/>
              <w:adjustRightInd/>
              <w:jc w:val="right"/>
              <w:rPr>
                <w:color w:val="000000"/>
                <w:sz w:val="16"/>
                <w:szCs w:val="16"/>
              </w:rPr>
            </w:pPr>
            <w:r w:rsidRPr="005B745C">
              <w:rPr>
                <w:color w:val="000000"/>
                <w:sz w:val="16"/>
                <w:szCs w:val="16"/>
              </w:rPr>
              <w:t xml:space="preserve">$49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1486C69" w14:textId="77777777">
            <w:pPr>
              <w:widowControl/>
              <w:autoSpaceDE/>
              <w:autoSpaceDN/>
              <w:adjustRightInd/>
              <w:jc w:val="right"/>
              <w:rPr>
                <w:color w:val="000000"/>
                <w:sz w:val="16"/>
                <w:szCs w:val="16"/>
              </w:rPr>
            </w:pPr>
            <w:r w:rsidRPr="005B745C">
              <w:rPr>
                <w:color w:val="000000"/>
                <w:sz w:val="16"/>
                <w:szCs w:val="16"/>
              </w:rPr>
              <w:t xml:space="preserve">$54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273E59E" w14:textId="77777777">
            <w:pPr>
              <w:widowControl/>
              <w:autoSpaceDE/>
              <w:autoSpaceDN/>
              <w:adjustRightInd/>
              <w:jc w:val="right"/>
              <w:rPr>
                <w:color w:val="000000"/>
                <w:sz w:val="16"/>
                <w:szCs w:val="16"/>
              </w:rPr>
            </w:pPr>
            <w:r w:rsidRPr="005B745C">
              <w:rPr>
                <w:color w:val="000000"/>
                <w:sz w:val="16"/>
                <w:szCs w:val="16"/>
              </w:rPr>
              <w:t xml:space="preserve">$58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33CA06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7E2B6F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F91CB8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73A549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3CCB897"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FD2637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53F2B5D" w14:textId="77777777">
            <w:pPr>
              <w:widowControl/>
              <w:autoSpaceDE/>
              <w:autoSpaceDN/>
              <w:adjustRightInd/>
              <w:jc w:val="right"/>
              <w:rPr>
                <w:color w:val="000000"/>
                <w:sz w:val="16"/>
                <w:szCs w:val="16"/>
              </w:rPr>
            </w:pPr>
            <w:r w:rsidRPr="005B745C">
              <w:rPr>
                <w:color w:val="000000"/>
                <w:sz w:val="16"/>
                <w:szCs w:val="16"/>
              </w:rPr>
              <w:t xml:space="preserve">$43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36F8C2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960168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64BE2AC" w14:textId="77777777">
            <w:pPr>
              <w:widowControl/>
              <w:autoSpaceDE/>
              <w:autoSpaceDN/>
              <w:adjustRightInd/>
              <w:jc w:val="right"/>
              <w:rPr>
                <w:color w:val="000000"/>
                <w:sz w:val="16"/>
                <w:szCs w:val="16"/>
              </w:rPr>
            </w:pPr>
            <w:r w:rsidRPr="005B745C">
              <w:rPr>
                <w:color w:val="000000"/>
                <w:sz w:val="16"/>
                <w:szCs w:val="16"/>
              </w:rPr>
              <w:t xml:space="preserve">$56 </w:t>
            </w:r>
          </w:p>
        </w:tc>
      </w:tr>
      <w:tr w:rsidRPr="005B745C" w:rsidR="005B745C" w:rsidTr="007D5FD8" w14:paraId="7F36733F"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2B2FDE3A" w14:textId="77777777">
            <w:pPr>
              <w:widowControl/>
              <w:autoSpaceDE/>
              <w:autoSpaceDN/>
              <w:adjustRightInd/>
              <w:rPr>
                <w:b/>
                <w:bCs/>
                <w:color w:val="000000"/>
                <w:sz w:val="16"/>
                <w:szCs w:val="16"/>
              </w:rPr>
            </w:pPr>
            <w:r w:rsidRPr="005B745C">
              <w:rPr>
                <w:b/>
                <w:bCs/>
                <w:color w:val="000000"/>
                <w:sz w:val="16"/>
                <w:szCs w:val="16"/>
              </w:rPr>
              <w:t>Physician</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66D32C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642091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E635015" w14:textId="77777777">
            <w:pPr>
              <w:widowControl/>
              <w:autoSpaceDE/>
              <w:autoSpaceDN/>
              <w:adjustRightInd/>
              <w:jc w:val="right"/>
              <w:rPr>
                <w:color w:val="000000"/>
                <w:sz w:val="16"/>
                <w:szCs w:val="16"/>
              </w:rPr>
            </w:pPr>
            <w:r w:rsidRPr="005B745C">
              <w:rPr>
                <w:color w:val="000000"/>
                <w:sz w:val="16"/>
                <w:szCs w:val="16"/>
              </w:rPr>
              <w:t xml:space="preserve">$203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3040D39"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D7C042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9B7E15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E4DE2D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D04FA9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30E8FF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0B66634"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07BA07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1C7212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F50036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B9E5FC8" w14:textId="77777777">
            <w:pPr>
              <w:widowControl/>
              <w:autoSpaceDE/>
              <w:autoSpaceDN/>
              <w:adjustRightInd/>
              <w:jc w:val="right"/>
              <w:rPr>
                <w:color w:val="000000"/>
                <w:sz w:val="16"/>
                <w:szCs w:val="16"/>
              </w:rPr>
            </w:pPr>
            <w:r w:rsidRPr="005B745C">
              <w:rPr>
                <w:color w:val="000000"/>
                <w:sz w:val="16"/>
                <w:szCs w:val="16"/>
              </w:rPr>
              <w:t xml:space="preserve">$191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5CD4756"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00B99222"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66F04340" w14:textId="77777777">
            <w:pPr>
              <w:widowControl/>
              <w:autoSpaceDE/>
              <w:autoSpaceDN/>
              <w:adjustRightInd/>
              <w:rPr>
                <w:b/>
                <w:bCs/>
                <w:color w:val="000000"/>
                <w:sz w:val="16"/>
                <w:szCs w:val="16"/>
              </w:rPr>
            </w:pPr>
            <w:r w:rsidRPr="005B745C">
              <w:rPr>
                <w:b/>
                <w:bCs/>
                <w:color w:val="000000"/>
                <w:sz w:val="16"/>
                <w:szCs w:val="16"/>
              </w:rPr>
              <w:t>Nurse Practitioner or Physician Assistant</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A50E8C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CFE33A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F0FFA4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300B487"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D1A973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028736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ADFD60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8230A4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4E656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1948320"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977154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878168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20597F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BA35417" w14:textId="77777777">
            <w:pPr>
              <w:widowControl/>
              <w:autoSpaceDE/>
              <w:autoSpaceDN/>
              <w:adjustRightInd/>
              <w:jc w:val="right"/>
              <w:rPr>
                <w:color w:val="000000"/>
                <w:sz w:val="16"/>
                <w:szCs w:val="16"/>
              </w:rPr>
            </w:pPr>
            <w:r w:rsidRPr="005B745C">
              <w:rPr>
                <w:color w:val="000000"/>
                <w:sz w:val="16"/>
                <w:szCs w:val="16"/>
              </w:rPr>
              <w:t xml:space="preserve">$107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DDD823"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11B5FE9C"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6A27C68A" w14:textId="77777777">
            <w:pPr>
              <w:widowControl/>
              <w:autoSpaceDE/>
              <w:autoSpaceDN/>
              <w:adjustRightInd/>
              <w:rPr>
                <w:b/>
                <w:bCs/>
                <w:color w:val="000000"/>
                <w:sz w:val="16"/>
                <w:szCs w:val="16"/>
              </w:rPr>
            </w:pPr>
            <w:r w:rsidRPr="005B745C">
              <w:rPr>
                <w:b/>
                <w:bCs/>
                <w:color w:val="000000"/>
                <w:sz w:val="16"/>
                <w:szCs w:val="16"/>
              </w:rPr>
              <w:t>Registered Nurse</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2F8921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5089E1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6A5EB98" w14:textId="77777777">
            <w:pPr>
              <w:widowControl/>
              <w:autoSpaceDE/>
              <w:autoSpaceDN/>
              <w:adjustRightInd/>
              <w:jc w:val="right"/>
              <w:rPr>
                <w:color w:val="000000"/>
                <w:sz w:val="16"/>
                <w:szCs w:val="16"/>
              </w:rPr>
            </w:pPr>
            <w:r w:rsidRPr="005B745C">
              <w:rPr>
                <w:color w:val="000000"/>
                <w:sz w:val="16"/>
                <w:szCs w:val="16"/>
              </w:rPr>
              <w:t xml:space="preserve">$63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64BD6C5" w14:textId="77777777">
            <w:pPr>
              <w:widowControl/>
              <w:autoSpaceDE/>
              <w:autoSpaceDN/>
              <w:adjustRightInd/>
              <w:jc w:val="right"/>
              <w:rPr>
                <w:color w:val="000000"/>
                <w:sz w:val="16"/>
                <w:szCs w:val="16"/>
              </w:rPr>
            </w:pPr>
            <w:r w:rsidRPr="005B745C">
              <w:rPr>
                <w:color w:val="000000"/>
                <w:sz w:val="16"/>
                <w:szCs w:val="16"/>
              </w:rPr>
              <w:t xml:space="preserve">$69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67B386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02EC1F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CD4340A" w14:textId="77777777">
            <w:pPr>
              <w:widowControl/>
              <w:autoSpaceDE/>
              <w:autoSpaceDN/>
              <w:adjustRightInd/>
              <w:jc w:val="right"/>
              <w:rPr>
                <w:color w:val="000000"/>
                <w:sz w:val="16"/>
                <w:szCs w:val="16"/>
              </w:rPr>
            </w:pPr>
            <w:r w:rsidRPr="005B745C">
              <w:rPr>
                <w:color w:val="000000"/>
                <w:sz w:val="16"/>
                <w:szCs w:val="16"/>
              </w:rPr>
              <w:t xml:space="preserve">$64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3DD418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A2755A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20D7BFA"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A59E1E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53C9B68" w14:textId="77777777">
            <w:pPr>
              <w:widowControl/>
              <w:autoSpaceDE/>
              <w:autoSpaceDN/>
              <w:adjustRightInd/>
              <w:jc w:val="right"/>
              <w:rPr>
                <w:color w:val="000000"/>
                <w:sz w:val="16"/>
                <w:szCs w:val="16"/>
              </w:rPr>
            </w:pPr>
            <w:r w:rsidRPr="005B745C">
              <w:rPr>
                <w:color w:val="000000"/>
                <w:sz w:val="16"/>
                <w:szCs w:val="16"/>
              </w:rPr>
              <w:t xml:space="preserve">$73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122D6F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09DE168" w14:textId="77777777">
            <w:pPr>
              <w:widowControl/>
              <w:autoSpaceDE/>
              <w:autoSpaceDN/>
              <w:adjustRightInd/>
              <w:jc w:val="right"/>
              <w:rPr>
                <w:color w:val="000000"/>
                <w:sz w:val="16"/>
                <w:szCs w:val="16"/>
              </w:rPr>
            </w:pPr>
            <w:r w:rsidRPr="005B745C">
              <w:rPr>
                <w:color w:val="000000"/>
                <w:sz w:val="16"/>
                <w:szCs w:val="16"/>
              </w:rPr>
              <w:t xml:space="preserve">$73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3DD092E"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56B28CB3"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0DF55DE6" w14:textId="77777777">
            <w:pPr>
              <w:widowControl/>
              <w:autoSpaceDE/>
              <w:autoSpaceDN/>
              <w:adjustRightInd/>
              <w:rPr>
                <w:b/>
                <w:bCs/>
                <w:color w:val="000000"/>
                <w:sz w:val="16"/>
                <w:szCs w:val="16"/>
              </w:rPr>
            </w:pPr>
            <w:r w:rsidRPr="005B745C">
              <w:rPr>
                <w:b/>
                <w:bCs/>
                <w:color w:val="000000"/>
                <w:sz w:val="16"/>
                <w:szCs w:val="16"/>
              </w:rPr>
              <w:t>Attorney</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91FEF0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921113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49F587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0124251"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787234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660119C" w14:textId="77777777">
            <w:pPr>
              <w:widowControl/>
              <w:autoSpaceDE/>
              <w:autoSpaceDN/>
              <w:adjustRightInd/>
              <w:jc w:val="right"/>
              <w:rPr>
                <w:color w:val="000000"/>
                <w:sz w:val="16"/>
                <w:szCs w:val="16"/>
              </w:rPr>
            </w:pPr>
            <w:r w:rsidRPr="005B745C">
              <w:rPr>
                <w:color w:val="000000"/>
                <w:sz w:val="16"/>
                <w:szCs w:val="16"/>
              </w:rPr>
              <w:t xml:space="preserve">$408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E9072D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691EAB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6E6FF3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6D9E7C7"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09D8E5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76B742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053EB5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E79230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840BD80"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686955C8"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1ACC8785" w14:textId="77777777">
            <w:pPr>
              <w:widowControl/>
              <w:autoSpaceDE/>
              <w:autoSpaceDN/>
              <w:adjustRightInd/>
              <w:rPr>
                <w:b/>
                <w:bCs/>
                <w:color w:val="000000"/>
                <w:sz w:val="16"/>
                <w:szCs w:val="16"/>
              </w:rPr>
            </w:pPr>
            <w:r w:rsidRPr="005B745C">
              <w:rPr>
                <w:b/>
                <w:bCs/>
                <w:color w:val="000000"/>
                <w:sz w:val="16"/>
                <w:szCs w:val="16"/>
              </w:rPr>
              <w:t>Facilities Director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377C0A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426772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2B5B44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FD2394D"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EECFE3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4E14325" w14:textId="77777777">
            <w:pPr>
              <w:widowControl/>
              <w:autoSpaceDE/>
              <w:autoSpaceDN/>
              <w:adjustRightInd/>
              <w:jc w:val="right"/>
              <w:rPr>
                <w:color w:val="000000"/>
                <w:sz w:val="16"/>
                <w:szCs w:val="16"/>
              </w:rPr>
            </w:pPr>
            <w:r w:rsidRPr="005B745C">
              <w:rPr>
                <w:color w:val="000000"/>
                <w:sz w:val="16"/>
                <w:szCs w:val="16"/>
              </w:rPr>
              <w:t xml:space="preserve">$116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0D9C10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CCDFFA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5D6988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4A5E5C8" w14:textId="77777777">
            <w:pPr>
              <w:widowControl/>
              <w:autoSpaceDE/>
              <w:autoSpaceDN/>
              <w:adjustRightInd/>
              <w:jc w:val="right"/>
              <w:rPr>
                <w:color w:val="000000"/>
                <w:sz w:val="16"/>
                <w:szCs w:val="16"/>
              </w:rPr>
            </w:pPr>
            <w:r w:rsidRPr="005B745C">
              <w:rPr>
                <w:color w:val="000000"/>
                <w:sz w:val="16"/>
                <w:szCs w:val="16"/>
              </w:rPr>
              <w:t xml:space="preserve">$99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B6CFDB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F4E9AC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594350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1C2657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9BB7AF8"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0ED84CFF"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2C0CC3C2" w14:textId="77777777">
            <w:pPr>
              <w:widowControl/>
              <w:autoSpaceDE/>
              <w:autoSpaceDN/>
              <w:adjustRightInd/>
              <w:rPr>
                <w:b/>
                <w:bCs/>
                <w:color w:val="000000"/>
                <w:sz w:val="16"/>
                <w:szCs w:val="16"/>
              </w:rPr>
            </w:pPr>
            <w:r w:rsidRPr="005B745C">
              <w:rPr>
                <w:b/>
                <w:bCs/>
                <w:color w:val="000000"/>
                <w:sz w:val="16"/>
                <w:szCs w:val="16"/>
              </w:rPr>
              <w:t>Food Services Director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0BEA4C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CC300D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004F11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8A18CF4"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8A9586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3B0AF73" w14:textId="77777777">
            <w:pPr>
              <w:widowControl/>
              <w:autoSpaceDE/>
              <w:autoSpaceDN/>
              <w:adjustRightInd/>
              <w:jc w:val="right"/>
              <w:rPr>
                <w:color w:val="000000"/>
                <w:sz w:val="16"/>
                <w:szCs w:val="16"/>
              </w:rPr>
            </w:pPr>
            <w:r w:rsidRPr="005B745C">
              <w:rPr>
                <w:color w:val="000000"/>
                <w:sz w:val="16"/>
                <w:szCs w:val="16"/>
              </w:rPr>
              <w:t xml:space="preserve">$77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C478E5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02B947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2EB674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BE6FF84" w14:textId="77777777">
            <w:pPr>
              <w:widowControl/>
              <w:autoSpaceDE/>
              <w:autoSpaceDN/>
              <w:adjustRightInd/>
              <w:jc w:val="right"/>
              <w:rPr>
                <w:color w:val="000000"/>
                <w:sz w:val="16"/>
                <w:szCs w:val="16"/>
              </w:rPr>
            </w:pPr>
            <w:r w:rsidRPr="005B745C">
              <w:rPr>
                <w:color w:val="000000"/>
                <w:sz w:val="16"/>
                <w:szCs w:val="16"/>
              </w:rPr>
              <w:t xml:space="preserve">$58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7E54D9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2DD424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D44D47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497D34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F919399"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52A0FFAF"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1B0E8238" w14:textId="77777777">
            <w:pPr>
              <w:widowControl/>
              <w:autoSpaceDE/>
              <w:autoSpaceDN/>
              <w:adjustRightInd/>
              <w:rPr>
                <w:b/>
                <w:bCs/>
                <w:color w:val="000000"/>
                <w:sz w:val="16"/>
                <w:szCs w:val="16"/>
              </w:rPr>
            </w:pPr>
            <w:r w:rsidRPr="005B745C">
              <w:rPr>
                <w:b/>
                <w:bCs/>
                <w:color w:val="000000"/>
                <w:sz w:val="16"/>
                <w:szCs w:val="16"/>
              </w:rPr>
              <w:t>Director of Training</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6A65EE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794C05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0A3379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099B830"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43BD2C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61288E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01B6AA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6D8376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FD1577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D160251"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063C83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F04203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C55006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FE360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A6AEA07"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10CA2FC5"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057DC10F" w14:textId="77777777">
            <w:pPr>
              <w:widowControl/>
              <w:autoSpaceDE/>
              <w:autoSpaceDN/>
              <w:adjustRightInd/>
              <w:rPr>
                <w:b/>
                <w:bCs/>
                <w:color w:val="000000"/>
                <w:sz w:val="16"/>
                <w:szCs w:val="16"/>
              </w:rPr>
            </w:pPr>
            <w:r w:rsidRPr="005B745C">
              <w:rPr>
                <w:b/>
                <w:bCs/>
                <w:color w:val="000000"/>
                <w:sz w:val="16"/>
                <w:szCs w:val="16"/>
              </w:rPr>
              <w:t>Director of Rehabilitation</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463FFD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B59C49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DD7187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FD257A2"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78C9D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BE48E8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A3CC52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8656461" w14:textId="77777777">
            <w:pPr>
              <w:widowControl/>
              <w:autoSpaceDE/>
              <w:autoSpaceDN/>
              <w:adjustRightInd/>
              <w:jc w:val="right"/>
              <w:rPr>
                <w:color w:val="000000"/>
                <w:sz w:val="16"/>
                <w:szCs w:val="16"/>
              </w:rPr>
            </w:pPr>
            <w:r w:rsidRPr="005B745C">
              <w:rPr>
                <w:color w:val="000000"/>
                <w:sz w:val="16"/>
                <w:szCs w:val="16"/>
              </w:rPr>
              <w:t xml:space="preserve">$92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4C8C1F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4C5192F"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86409B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0D5DC6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774CE8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72407F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C51FFAC"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51F0B553"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37975A94" w14:textId="77777777">
            <w:pPr>
              <w:widowControl/>
              <w:autoSpaceDE/>
              <w:autoSpaceDN/>
              <w:adjustRightInd/>
              <w:rPr>
                <w:b/>
                <w:bCs/>
                <w:color w:val="000000"/>
                <w:sz w:val="16"/>
                <w:szCs w:val="16"/>
              </w:rPr>
            </w:pPr>
            <w:r w:rsidRPr="005B745C">
              <w:rPr>
                <w:b/>
                <w:bCs/>
                <w:color w:val="000000"/>
                <w:sz w:val="16"/>
                <w:szCs w:val="16"/>
              </w:rPr>
              <w:t>Office Manager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47ABA9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3549F4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070172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7350643"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83E230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2D3034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431DA6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794041F" w14:textId="77777777">
            <w:pPr>
              <w:widowControl/>
              <w:autoSpaceDE/>
              <w:autoSpaceDN/>
              <w:adjustRightInd/>
              <w:jc w:val="right"/>
              <w:rPr>
                <w:color w:val="000000"/>
                <w:sz w:val="16"/>
                <w:szCs w:val="16"/>
              </w:rPr>
            </w:pPr>
            <w:r w:rsidRPr="005B745C">
              <w:rPr>
                <w:color w:val="000000"/>
                <w:sz w:val="16"/>
                <w:szCs w:val="16"/>
              </w:rPr>
              <w:t xml:space="preserve">$56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46EF24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F515F89"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FCB117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C6AD90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A14BBA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870EFC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FAAAE61"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3A571E4A"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1A69152F" w14:textId="77777777">
            <w:pPr>
              <w:widowControl/>
              <w:autoSpaceDE/>
              <w:autoSpaceDN/>
              <w:adjustRightInd/>
              <w:rPr>
                <w:b/>
                <w:bCs/>
                <w:color w:val="000000"/>
                <w:sz w:val="16"/>
                <w:szCs w:val="16"/>
              </w:rPr>
            </w:pPr>
            <w:r w:rsidRPr="005B745C">
              <w:rPr>
                <w:b/>
                <w:bCs/>
                <w:color w:val="000000"/>
                <w:sz w:val="16"/>
                <w:szCs w:val="16"/>
              </w:rPr>
              <w:t>Counselor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C5E725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E55F56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2B57E24" w14:textId="77777777">
            <w:pPr>
              <w:widowControl/>
              <w:autoSpaceDE/>
              <w:autoSpaceDN/>
              <w:adjustRightInd/>
              <w:jc w:val="right"/>
              <w:rPr>
                <w:color w:val="000000"/>
                <w:sz w:val="16"/>
                <w:szCs w:val="16"/>
              </w:rPr>
            </w:pPr>
            <w:r w:rsidRPr="005B745C">
              <w:rPr>
                <w:color w:val="000000"/>
                <w:sz w:val="16"/>
                <w:szCs w:val="16"/>
              </w:rPr>
              <w:t xml:space="preserve">$33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7B4E440"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1A5356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9FF900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C4653C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10912A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41E236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420FB9"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862011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2D1149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A0EDB8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7080C7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AD28C24"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48340212"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3B31D539" w14:textId="77777777">
            <w:pPr>
              <w:widowControl/>
              <w:autoSpaceDE/>
              <w:autoSpaceDN/>
              <w:adjustRightInd/>
              <w:rPr>
                <w:b/>
                <w:bCs/>
                <w:color w:val="000000"/>
                <w:sz w:val="16"/>
                <w:szCs w:val="16"/>
              </w:rPr>
            </w:pPr>
            <w:r w:rsidRPr="005B745C">
              <w:rPr>
                <w:b/>
                <w:bCs/>
                <w:color w:val="000000"/>
                <w:sz w:val="16"/>
                <w:szCs w:val="16"/>
              </w:rPr>
              <w:t>Physical Therapist</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1CDCB7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F03735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26BB12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8784E5C"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A62D87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D1649A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B148D5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E80391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81B47C7" w14:textId="77777777">
            <w:pPr>
              <w:widowControl/>
              <w:autoSpaceDE/>
              <w:autoSpaceDN/>
              <w:adjustRightInd/>
              <w:jc w:val="right"/>
              <w:rPr>
                <w:color w:val="000000"/>
                <w:sz w:val="16"/>
                <w:szCs w:val="16"/>
              </w:rPr>
            </w:pPr>
            <w:r w:rsidRPr="005B745C">
              <w:rPr>
                <w:color w:val="000000"/>
                <w:sz w:val="16"/>
                <w:szCs w:val="16"/>
              </w:rPr>
              <w:t xml:space="preserve">$85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99D7303"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8520C22" w14:textId="77777777">
            <w:pPr>
              <w:widowControl/>
              <w:autoSpaceDE/>
              <w:autoSpaceDN/>
              <w:adjustRightInd/>
              <w:jc w:val="right"/>
              <w:rPr>
                <w:color w:val="000000"/>
                <w:sz w:val="16"/>
                <w:szCs w:val="16"/>
              </w:rPr>
            </w:pPr>
            <w:r w:rsidRPr="005B745C">
              <w:rPr>
                <w:color w:val="000000"/>
                <w:sz w:val="16"/>
                <w:szCs w:val="16"/>
              </w:rPr>
              <w:t xml:space="preserve">$85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EA8709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EF3E41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D82FA2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4C3D7A0"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3FA58D6A"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0E404A6D" w14:textId="77777777">
            <w:pPr>
              <w:widowControl/>
              <w:autoSpaceDE/>
              <w:autoSpaceDN/>
              <w:adjustRightInd/>
              <w:rPr>
                <w:b/>
                <w:bCs/>
                <w:color w:val="000000"/>
                <w:sz w:val="16"/>
                <w:szCs w:val="16"/>
              </w:rPr>
            </w:pPr>
            <w:r w:rsidRPr="005B745C">
              <w:rPr>
                <w:b/>
                <w:bCs/>
                <w:color w:val="000000"/>
                <w:sz w:val="16"/>
                <w:szCs w:val="16"/>
              </w:rPr>
              <w:t>QAPI Director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7401E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47AC22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4764E7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9AC38D1"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F0C75C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C0E401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9BC5C4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A2D386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3D8D59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087523C"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26A80B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AD9D4A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1C036DC" w14:textId="77777777">
            <w:pPr>
              <w:widowControl/>
              <w:autoSpaceDE/>
              <w:autoSpaceDN/>
              <w:adjustRightInd/>
              <w:jc w:val="right"/>
              <w:rPr>
                <w:color w:val="000000"/>
                <w:sz w:val="16"/>
                <w:szCs w:val="16"/>
              </w:rPr>
            </w:pPr>
            <w:r w:rsidRPr="005B745C">
              <w:rPr>
                <w:color w:val="000000"/>
                <w:sz w:val="16"/>
                <w:szCs w:val="16"/>
              </w:rPr>
              <w:t xml:space="preserve">$99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60549C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3EBFF14"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55F2A151"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4D2EEBC1" w14:textId="77777777">
            <w:pPr>
              <w:widowControl/>
              <w:autoSpaceDE/>
              <w:autoSpaceDN/>
              <w:adjustRightInd/>
              <w:rPr>
                <w:b/>
                <w:bCs/>
                <w:color w:val="000000"/>
                <w:sz w:val="16"/>
                <w:szCs w:val="16"/>
              </w:rPr>
            </w:pPr>
            <w:r w:rsidRPr="005B745C">
              <w:rPr>
                <w:b/>
                <w:bCs/>
                <w:color w:val="000000"/>
                <w:sz w:val="16"/>
                <w:szCs w:val="16"/>
              </w:rPr>
              <w:t>Registered Nurse-Quality Improvement Nurse</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C17398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207F2C0" w14:textId="77777777">
            <w:pPr>
              <w:widowControl/>
              <w:autoSpaceDE/>
              <w:autoSpaceDN/>
              <w:adjustRightInd/>
              <w:jc w:val="right"/>
              <w:rPr>
                <w:color w:val="000000"/>
                <w:sz w:val="16"/>
                <w:szCs w:val="16"/>
              </w:rPr>
            </w:pPr>
            <w:r w:rsidRPr="005B745C">
              <w:rPr>
                <w:color w:val="000000"/>
                <w:sz w:val="16"/>
                <w:szCs w:val="16"/>
              </w:rPr>
              <w:t xml:space="preserve">$74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5F8746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795BC20"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65F005F" w14:textId="77777777">
            <w:pPr>
              <w:widowControl/>
              <w:autoSpaceDE/>
              <w:autoSpaceDN/>
              <w:adjustRightInd/>
              <w:jc w:val="right"/>
              <w:rPr>
                <w:color w:val="000000"/>
                <w:sz w:val="16"/>
                <w:szCs w:val="16"/>
              </w:rPr>
            </w:pPr>
            <w:r w:rsidRPr="005B745C">
              <w:rPr>
                <w:color w:val="000000"/>
                <w:sz w:val="16"/>
                <w:szCs w:val="16"/>
              </w:rPr>
              <w:t xml:space="preserve">$68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59E3A2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22A4EA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C17232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EAC262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D4136D5"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9E162D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699CDA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573BA6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3C25AA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21DA292"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4D207798"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582377F1" w14:textId="77777777">
            <w:pPr>
              <w:widowControl/>
              <w:autoSpaceDE/>
              <w:autoSpaceDN/>
              <w:adjustRightInd/>
              <w:rPr>
                <w:b/>
                <w:bCs/>
                <w:color w:val="000000"/>
                <w:sz w:val="16"/>
                <w:szCs w:val="16"/>
              </w:rPr>
            </w:pPr>
            <w:r w:rsidRPr="005B745C">
              <w:rPr>
                <w:b/>
                <w:bCs/>
                <w:color w:val="000000"/>
                <w:sz w:val="16"/>
                <w:szCs w:val="16"/>
              </w:rPr>
              <w:t>Organ Procurement Coordinator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3BD386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D28EDA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63208A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88267D9"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DD6DBB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6B85DF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9FA909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C890CD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0BDE81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07ED590"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CD3C92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3D8E73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29E63E" w14:textId="77777777">
            <w:pPr>
              <w:widowControl/>
              <w:autoSpaceDE/>
              <w:autoSpaceDN/>
              <w:adjustRightInd/>
              <w:jc w:val="right"/>
              <w:rPr>
                <w:color w:val="000000"/>
                <w:sz w:val="16"/>
                <w:szCs w:val="16"/>
              </w:rPr>
            </w:pPr>
            <w:r w:rsidRPr="005B745C">
              <w:rPr>
                <w:color w:val="000000"/>
                <w:sz w:val="16"/>
                <w:szCs w:val="16"/>
              </w:rPr>
              <w:t xml:space="preserve">$99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972AF2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FB5D105"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3B4C67CB"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7198E6B2" w14:textId="77777777">
            <w:pPr>
              <w:widowControl/>
              <w:autoSpaceDE/>
              <w:autoSpaceDN/>
              <w:adjustRightInd/>
              <w:rPr>
                <w:b/>
                <w:bCs/>
                <w:color w:val="000000"/>
                <w:sz w:val="16"/>
                <w:szCs w:val="16"/>
              </w:rPr>
            </w:pPr>
            <w:r w:rsidRPr="005B745C">
              <w:rPr>
                <w:b/>
                <w:bCs/>
                <w:color w:val="000000"/>
                <w:sz w:val="16"/>
                <w:szCs w:val="16"/>
              </w:rPr>
              <w:t>Education Coordinator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1D72AC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690242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2C6BCA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D417656"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65CF9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3DA4BA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894C6B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E98492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33B1B8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D9B28DD"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47B699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D8DE43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77944E9" w14:textId="77777777">
            <w:pPr>
              <w:widowControl/>
              <w:autoSpaceDE/>
              <w:autoSpaceDN/>
              <w:adjustRightInd/>
              <w:jc w:val="right"/>
              <w:rPr>
                <w:color w:val="000000"/>
                <w:sz w:val="16"/>
                <w:szCs w:val="16"/>
              </w:rPr>
            </w:pPr>
            <w:r w:rsidRPr="005B745C">
              <w:rPr>
                <w:color w:val="000000"/>
                <w:sz w:val="16"/>
                <w:szCs w:val="16"/>
              </w:rPr>
              <w:t xml:space="preserve">$67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2556F3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2978EC1"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0895252B"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7D369CF3" w14:textId="77777777">
            <w:pPr>
              <w:widowControl/>
              <w:autoSpaceDE/>
              <w:autoSpaceDN/>
              <w:adjustRightInd/>
              <w:rPr>
                <w:b/>
                <w:bCs/>
                <w:color w:val="000000"/>
                <w:sz w:val="16"/>
                <w:szCs w:val="16"/>
              </w:rPr>
            </w:pPr>
            <w:r w:rsidRPr="005B745C">
              <w:rPr>
                <w:b/>
                <w:bCs/>
                <w:color w:val="000000"/>
                <w:sz w:val="16"/>
                <w:szCs w:val="16"/>
              </w:rPr>
              <w:t>Head of Maintenance</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3301E0C" w14:textId="77777777">
            <w:pPr>
              <w:widowControl/>
              <w:autoSpaceDE/>
              <w:autoSpaceDN/>
              <w:adjustRightInd/>
              <w:jc w:val="right"/>
              <w:rPr>
                <w:color w:val="000000"/>
                <w:sz w:val="16"/>
                <w:szCs w:val="16"/>
              </w:rPr>
            </w:pPr>
            <w:r w:rsidRPr="005B745C">
              <w:rPr>
                <w:color w:val="000000"/>
                <w:sz w:val="16"/>
                <w:szCs w:val="16"/>
              </w:rPr>
              <w:t xml:space="preserve">$41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7FD914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5BBC96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02A687C"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5F71E6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4557E6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EE0085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3ABFAC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7C02E6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2C139B4"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9CF73C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699546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348260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1E8756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DEC9822"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0E10991C"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5CBFA621" w14:textId="77777777">
            <w:pPr>
              <w:widowControl/>
              <w:autoSpaceDE/>
              <w:autoSpaceDN/>
              <w:adjustRightInd/>
              <w:rPr>
                <w:b/>
                <w:bCs/>
                <w:color w:val="000000"/>
                <w:sz w:val="16"/>
                <w:szCs w:val="16"/>
              </w:rPr>
            </w:pPr>
            <w:r w:rsidRPr="005B745C">
              <w:rPr>
                <w:b/>
                <w:bCs/>
                <w:color w:val="000000"/>
                <w:sz w:val="16"/>
                <w:szCs w:val="16"/>
              </w:rPr>
              <w:t>Patient Care Dialysis Technician</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F55331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295601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794BD7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035F113"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06E343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ED5819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FDA2BE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FD2AB1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FFA3BF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DDC4063"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59EE9E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C7F6DB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FA13E4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7DE1A9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EAF81BA" w14:textId="77777777">
            <w:pPr>
              <w:widowControl/>
              <w:autoSpaceDE/>
              <w:autoSpaceDN/>
              <w:adjustRightInd/>
              <w:jc w:val="right"/>
              <w:rPr>
                <w:color w:val="000000"/>
                <w:sz w:val="16"/>
                <w:szCs w:val="16"/>
              </w:rPr>
            </w:pPr>
            <w:r w:rsidRPr="005B745C">
              <w:rPr>
                <w:color w:val="000000"/>
                <w:sz w:val="16"/>
                <w:szCs w:val="16"/>
              </w:rPr>
              <w:t xml:space="preserve">$39 </w:t>
            </w:r>
          </w:p>
        </w:tc>
      </w:tr>
      <w:tr w:rsidRPr="005B745C" w:rsidR="005B745C" w:rsidTr="007D5FD8" w14:paraId="49300425"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2DCE8729" w14:textId="77777777">
            <w:pPr>
              <w:widowControl/>
              <w:autoSpaceDE/>
              <w:autoSpaceDN/>
              <w:adjustRightInd/>
              <w:rPr>
                <w:b/>
                <w:bCs/>
                <w:color w:val="000000"/>
                <w:sz w:val="16"/>
                <w:szCs w:val="16"/>
              </w:rPr>
            </w:pPr>
            <w:r w:rsidRPr="005B745C">
              <w:rPr>
                <w:b/>
                <w:bCs/>
                <w:color w:val="000000"/>
                <w:sz w:val="16"/>
                <w:szCs w:val="16"/>
              </w:rPr>
              <w:t>Home Care Coordinator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7240E6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D487AF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0A1A2B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3EBB8EC"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521EDEF" w14:textId="77777777">
            <w:pPr>
              <w:widowControl/>
              <w:autoSpaceDE/>
              <w:autoSpaceDN/>
              <w:adjustRightInd/>
              <w:jc w:val="right"/>
              <w:rPr>
                <w:color w:val="000000"/>
                <w:sz w:val="16"/>
                <w:szCs w:val="16"/>
              </w:rPr>
            </w:pPr>
            <w:r w:rsidRPr="005B745C">
              <w:rPr>
                <w:color w:val="000000"/>
                <w:sz w:val="16"/>
                <w:szCs w:val="16"/>
              </w:rPr>
              <w:t xml:space="preserve">$68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1B1A62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73F956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D52B66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92D6E0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EE2FB1B"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4C7F84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68B86F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1C68CA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90E95F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F9D1B5F"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49A83307"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521BEA5D" w14:textId="77777777">
            <w:pPr>
              <w:widowControl/>
              <w:autoSpaceDE/>
              <w:autoSpaceDN/>
              <w:adjustRightInd/>
              <w:rPr>
                <w:b/>
                <w:bCs/>
                <w:color w:val="000000"/>
                <w:sz w:val="16"/>
                <w:szCs w:val="16"/>
              </w:rPr>
            </w:pPr>
            <w:r w:rsidRPr="005B745C">
              <w:rPr>
                <w:b/>
                <w:bCs/>
                <w:color w:val="000000"/>
                <w:sz w:val="16"/>
                <w:szCs w:val="16"/>
              </w:rPr>
              <w:lastRenderedPageBreak/>
              <w:t>Chief Medical Officer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3FAD35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88A9D7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8C8283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1BC7A9C"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6B8935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1F8E37F" w14:textId="77777777">
            <w:pPr>
              <w:widowControl/>
              <w:autoSpaceDE/>
              <w:autoSpaceDN/>
              <w:adjustRightInd/>
              <w:jc w:val="right"/>
              <w:rPr>
                <w:color w:val="000000"/>
                <w:sz w:val="16"/>
                <w:szCs w:val="16"/>
              </w:rPr>
            </w:pPr>
            <w:r w:rsidRPr="005B745C">
              <w:rPr>
                <w:color w:val="000000"/>
                <w:sz w:val="16"/>
                <w:szCs w:val="16"/>
              </w:rPr>
              <w:t xml:space="preserve">$208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43C3AC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5A7D49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294493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DCA06C4"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A727F1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582992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E3A5A6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FAB67E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DBDE934"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01964BFA"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54BA63CA" w14:textId="77777777">
            <w:pPr>
              <w:widowControl/>
              <w:autoSpaceDE/>
              <w:autoSpaceDN/>
              <w:adjustRightInd/>
              <w:rPr>
                <w:b/>
                <w:bCs/>
                <w:color w:val="000000"/>
                <w:sz w:val="16"/>
                <w:szCs w:val="16"/>
              </w:rPr>
            </w:pPr>
            <w:r w:rsidRPr="005B745C">
              <w:rPr>
                <w:b/>
                <w:bCs/>
                <w:color w:val="000000"/>
                <w:sz w:val="16"/>
                <w:szCs w:val="16"/>
              </w:rPr>
              <w:t>Chief of Surgery</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D932AD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1DED6D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CE3D49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B5E5A7A"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DC1BCB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C71430C" w14:textId="77777777">
            <w:pPr>
              <w:widowControl/>
              <w:autoSpaceDE/>
              <w:autoSpaceDN/>
              <w:adjustRightInd/>
              <w:jc w:val="right"/>
              <w:rPr>
                <w:color w:val="000000"/>
                <w:sz w:val="16"/>
                <w:szCs w:val="16"/>
              </w:rPr>
            </w:pPr>
            <w:r w:rsidRPr="005B745C">
              <w:rPr>
                <w:color w:val="000000"/>
                <w:sz w:val="16"/>
                <w:szCs w:val="16"/>
              </w:rPr>
              <w:t xml:space="preserve">$252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025EE4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A3358F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EE7B0A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971AD3E"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9101FE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AA4CED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F9FD37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18143E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71667BC"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67BD0288"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7DED5D87" w14:textId="77777777">
            <w:pPr>
              <w:widowControl/>
              <w:autoSpaceDE/>
              <w:autoSpaceDN/>
              <w:adjustRightInd/>
              <w:rPr>
                <w:b/>
                <w:bCs/>
                <w:color w:val="000000"/>
                <w:sz w:val="16"/>
                <w:szCs w:val="16"/>
              </w:rPr>
            </w:pPr>
            <w:r w:rsidRPr="005B745C">
              <w:rPr>
                <w:b/>
                <w:bCs/>
                <w:color w:val="000000"/>
                <w:sz w:val="16"/>
                <w:szCs w:val="16"/>
              </w:rPr>
              <w:t>Pharmacy Director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62A0E9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67E705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BA8063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802E1DE"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19FC77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9B49E9D" w14:textId="77777777">
            <w:pPr>
              <w:widowControl/>
              <w:autoSpaceDE/>
              <w:autoSpaceDN/>
              <w:adjustRightInd/>
              <w:jc w:val="right"/>
              <w:rPr>
                <w:color w:val="000000"/>
                <w:sz w:val="16"/>
                <w:szCs w:val="16"/>
              </w:rPr>
            </w:pPr>
            <w:r w:rsidRPr="005B745C">
              <w:rPr>
                <w:color w:val="000000"/>
                <w:sz w:val="16"/>
                <w:szCs w:val="16"/>
              </w:rPr>
              <w:t xml:space="preserve">$153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135BA3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53586E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1852B3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CD82BB5"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C119E3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AEF72B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F11461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4BB28F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B1E62B1"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59B09012"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5916FA44" w14:textId="77777777">
            <w:pPr>
              <w:widowControl/>
              <w:autoSpaceDE/>
              <w:autoSpaceDN/>
              <w:adjustRightInd/>
              <w:rPr>
                <w:b/>
                <w:bCs/>
                <w:color w:val="000000"/>
                <w:sz w:val="16"/>
                <w:szCs w:val="16"/>
              </w:rPr>
            </w:pPr>
            <w:r w:rsidRPr="005B745C">
              <w:rPr>
                <w:b/>
                <w:bCs/>
                <w:color w:val="000000"/>
                <w:sz w:val="16"/>
                <w:szCs w:val="16"/>
              </w:rPr>
              <w:t>Health Information Services Director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18BDAE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D59550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71F3B6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4373DDC"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64CC73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A83357D" w14:textId="77777777">
            <w:pPr>
              <w:widowControl/>
              <w:autoSpaceDE/>
              <w:autoSpaceDN/>
              <w:adjustRightInd/>
              <w:jc w:val="right"/>
              <w:rPr>
                <w:color w:val="000000"/>
                <w:sz w:val="16"/>
                <w:szCs w:val="16"/>
              </w:rPr>
            </w:pPr>
            <w:r w:rsidRPr="005B745C">
              <w:rPr>
                <w:color w:val="000000"/>
                <w:sz w:val="16"/>
                <w:szCs w:val="16"/>
              </w:rPr>
              <w:t xml:space="preserve">$116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6A7D23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F37EDE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FAEAF0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B7D7FE7"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8A08B0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202314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92A6C2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B8406C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30609BE"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29532D88"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6593D868" w14:textId="77777777">
            <w:pPr>
              <w:widowControl/>
              <w:autoSpaceDE/>
              <w:autoSpaceDN/>
              <w:adjustRightInd/>
              <w:rPr>
                <w:b/>
                <w:bCs/>
                <w:color w:val="000000"/>
                <w:sz w:val="16"/>
                <w:szCs w:val="16"/>
              </w:rPr>
            </w:pPr>
            <w:r w:rsidRPr="005B745C">
              <w:rPr>
                <w:b/>
                <w:bCs/>
                <w:color w:val="000000"/>
                <w:sz w:val="16"/>
                <w:szCs w:val="16"/>
              </w:rPr>
              <w:t>Health Care Trainer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3E1EDC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D6B45D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762B6B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109AA56"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AD85CC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96B9589" w14:textId="77777777">
            <w:pPr>
              <w:widowControl/>
              <w:autoSpaceDE/>
              <w:autoSpaceDN/>
              <w:adjustRightInd/>
              <w:jc w:val="right"/>
              <w:rPr>
                <w:color w:val="000000"/>
                <w:sz w:val="16"/>
                <w:szCs w:val="16"/>
              </w:rPr>
            </w:pPr>
            <w:r w:rsidRPr="005B745C">
              <w:rPr>
                <w:color w:val="000000"/>
                <w:sz w:val="16"/>
                <w:szCs w:val="16"/>
              </w:rPr>
              <w:t xml:space="preserve">$73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F546EF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5324E3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5EFE60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F579385"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DC3496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7E2F60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904C0E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668783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0D9A9C8"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6CF5B1A2"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77068602" w14:textId="77777777">
            <w:pPr>
              <w:widowControl/>
              <w:autoSpaceDE/>
              <w:autoSpaceDN/>
              <w:adjustRightInd/>
              <w:rPr>
                <w:b/>
                <w:bCs/>
                <w:color w:val="000000"/>
                <w:sz w:val="16"/>
                <w:szCs w:val="16"/>
              </w:rPr>
            </w:pPr>
            <w:r w:rsidRPr="005B745C">
              <w:rPr>
                <w:b/>
                <w:bCs/>
                <w:color w:val="000000"/>
                <w:sz w:val="16"/>
                <w:szCs w:val="16"/>
              </w:rPr>
              <w:t>Security Manager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04FDF2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32FDE1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E68D24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658D706"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93DCF2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341F4ED" w14:textId="77777777">
            <w:pPr>
              <w:widowControl/>
              <w:autoSpaceDE/>
              <w:autoSpaceDN/>
              <w:adjustRightInd/>
              <w:jc w:val="right"/>
              <w:rPr>
                <w:color w:val="000000"/>
                <w:sz w:val="16"/>
                <w:szCs w:val="16"/>
              </w:rPr>
            </w:pPr>
            <w:r w:rsidRPr="005B745C">
              <w:rPr>
                <w:color w:val="000000"/>
                <w:sz w:val="16"/>
                <w:szCs w:val="16"/>
              </w:rPr>
              <w:t xml:space="preserve">$116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45DDA1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F83EAA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2CE4B7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F3291B7"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20CDFC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2F1243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8072CC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64E474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4117657"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1CE5EF38"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28AC7F60" w14:textId="77777777">
            <w:pPr>
              <w:widowControl/>
              <w:autoSpaceDE/>
              <w:autoSpaceDN/>
              <w:adjustRightInd/>
              <w:rPr>
                <w:b/>
                <w:bCs/>
                <w:color w:val="000000"/>
                <w:sz w:val="16"/>
                <w:szCs w:val="16"/>
              </w:rPr>
            </w:pPr>
            <w:r w:rsidRPr="005B745C">
              <w:rPr>
                <w:b/>
                <w:bCs/>
                <w:color w:val="000000"/>
                <w:sz w:val="16"/>
                <w:szCs w:val="16"/>
              </w:rPr>
              <w:t>Medical Secretary</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C9F528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72DD7E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4C101F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B74AE3A"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64CD6F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CDE965F" w14:textId="77777777">
            <w:pPr>
              <w:widowControl/>
              <w:autoSpaceDE/>
              <w:autoSpaceDN/>
              <w:adjustRightInd/>
              <w:jc w:val="right"/>
              <w:rPr>
                <w:color w:val="000000"/>
                <w:sz w:val="16"/>
                <w:szCs w:val="16"/>
              </w:rPr>
            </w:pPr>
            <w:r w:rsidRPr="005B745C">
              <w:rPr>
                <w:color w:val="000000"/>
                <w:sz w:val="16"/>
                <w:szCs w:val="16"/>
              </w:rPr>
              <w:t xml:space="preserve">$35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23B848A"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0588DA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03F329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3855693"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D571F64"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25C1EF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31BAE5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7FBE83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608710D"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136E1C27"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3C16F59C" w14:textId="77777777">
            <w:pPr>
              <w:widowControl/>
              <w:autoSpaceDE/>
              <w:autoSpaceDN/>
              <w:adjustRightInd/>
              <w:rPr>
                <w:b/>
                <w:bCs/>
                <w:color w:val="000000"/>
                <w:sz w:val="16"/>
                <w:szCs w:val="16"/>
              </w:rPr>
            </w:pPr>
            <w:r w:rsidRPr="005B745C">
              <w:rPr>
                <w:b/>
                <w:bCs/>
                <w:color w:val="000000"/>
                <w:sz w:val="16"/>
                <w:szCs w:val="16"/>
              </w:rPr>
              <w:t>Community Relations Manager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7D93956"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379860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816FEE7"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53DA748"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94733F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BA0ACFF" w14:textId="77777777">
            <w:pPr>
              <w:widowControl/>
              <w:autoSpaceDE/>
              <w:autoSpaceDN/>
              <w:adjustRightInd/>
              <w:jc w:val="right"/>
              <w:rPr>
                <w:color w:val="000000"/>
                <w:sz w:val="16"/>
                <w:szCs w:val="16"/>
              </w:rPr>
            </w:pPr>
            <w:r w:rsidRPr="005B745C">
              <w:rPr>
                <w:color w:val="000000"/>
                <w:sz w:val="16"/>
                <w:szCs w:val="16"/>
              </w:rPr>
              <w:t xml:space="preserve">$126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E1983A3"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3DBC540"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12B1B9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DCD520E"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8D1CEC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3F5C2F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6464DE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228A47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C3B2102"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23684F3C"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023AB028" w14:textId="77777777">
            <w:pPr>
              <w:widowControl/>
              <w:autoSpaceDE/>
              <w:autoSpaceDN/>
              <w:adjustRightInd/>
              <w:rPr>
                <w:b/>
                <w:bCs/>
                <w:color w:val="000000"/>
                <w:sz w:val="16"/>
                <w:szCs w:val="16"/>
              </w:rPr>
            </w:pPr>
            <w:r w:rsidRPr="005B745C">
              <w:rPr>
                <w:b/>
                <w:bCs/>
                <w:color w:val="000000"/>
                <w:sz w:val="16"/>
                <w:szCs w:val="16"/>
              </w:rPr>
              <w:t>Risk Management Director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084938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91D315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FFB7C8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DE5F6CD"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A39FE8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DE72629" w14:textId="77777777">
            <w:pPr>
              <w:widowControl/>
              <w:autoSpaceDE/>
              <w:autoSpaceDN/>
              <w:adjustRightInd/>
              <w:jc w:val="right"/>
              <w:rPr>
                <w:color w:val="000000"/>
                <w:sz w:val="16"/>
                <w:szCs w:val="16"/>
              </w:rPr>
            </w:pPr>
            <w:r w:rsidRPr="005B745C">
              <w:rPr>
                <w:color w:val="000000"/>
                <w:sz w:val="16"/>
                <w:szCs w:val="16"/>
              </w:rPr>
              <w:t xml:space="preserve">$116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7AFE2E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1A0F3B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6B1881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3BFD74B"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1B328E8"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135278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F397281"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9EA9542"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76CC902" w14:textId="77777777">
            <w:pPr>
              <w:widowControl/>
              <w:autoSpaceDE/>
              <w:autoSpaceDN/>
              <w:adjustRightInd/>
              <w:jc w:val="right"/>
              <w:rPr>
                <w:color w:val="000000"/>
                <w:sz w:val="16"/>
                <w:szCs w:val="16"/>
              </w:rPr>
            </w:pPr>
            <w:r w:rsidRPr="005B745C">
              <w:rPr>
                <w:color w:val="000000"/>
                <w:sz w:val="16"/>
                <w:szCs w:val="16"/>
              </w:rPr>
              <w:t> </w:t>
            </w:r>
          </w:p>
        </w:tc>
      </w:tr>
      <w:tr w:rsidRPr="005B745C" w:rsidR="005B745C" w:rsidTr="007D5FD8" w14:paraId="06A42875" w14:textId="77777777">
        <w:trPr>
          <w:trHeight w:val="315"/>
        </w:trPr>
        <w:tc>
          <w:tcPr>
            <w:tcW w:w="1163" w:type="pct"/>
            <w:tcBorders>
              <w:top w:val="nil"/>
              <w:left w:val="single" w:color="auto" w:sz="8" w:space="0"/>
              <w:bottom w:val="single" w:color="auto" w:sz="8" w:space="0"/>
              <w:right w:val="single" w:color="auto" w:sz="8" w:space="0"/>
            </w:tcBorders>
            <w:shd w:val="clear" w:color="auto" w:fill="auto"/>
            <w:vAlign w:val="center"/>
            <w:hideMark/>
          </w:tcPr>
          <w:p w:rsidRPr="005B745C" w:rsidR="005B745C" w:rsidP="005B745C" w:rsidRDefault="005B745C" w14:paraId="73B46DDC" w14:textId="77777777">
            <w:pPr>
              <w:widowControl/>
              <w:autoSpaceDE/>
              <w:autoSpaceDN/>
              <w:adjustRightInd/>
              <w:rPr>
                <w:b/>
                <w:bCs/>
                <w:color w:val="000000"/>
                <w:sz w:val="16"/>
                <w:szCs w:val="16"/>
              </w:rPr>
            </w:pPr>
            <w:r w:rsidRPr="005B745C">
              <w:rPr>
                <w:b/>
                <w:bCs/>
                <w:color w:val="000000"/>
                <w:sz w:val="16"/>
                <w:szCs w:val="16"/>
              </w:rPr>
              <w:t>Driver</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BE7928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DEDE7F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AE9BABE"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3ADB8BC" w14:textId="77777777">
            <w:pPr>
              <w:widowControl/>
              <w:autoSpaceDE/>
              <w:autoSpaceDN/>
              <w:adjustRightInd/>
              <w:jc w:val="right"/>
              <w:rPr>
                <w:color w:val="000000"/>
                <w:sz w:val="16"/>
                <w:szCs w:val="16"/>
              </w:rPr>
            </w:pPr>
            <w:r w:rsidRPr="005B745C">
              <w:rPr>
                <w:color w:val="000000"/>
                <w:sz w:val="16"/>
                <w:szCs w:val="16"/>
              </w:rPr>
              <w:t> </w:t>
            </w:r>
          </w:p>
        </w:tc>
        <w:tc>
          <w:tcPr>
            <w:tcW w:w="30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A94B022" w14:textId="77777777">
            <w:pPr>
              <w:widowControl/>
              <w:autoSpaceDE/>
              <w:autoSpaceDN/>
              <w:adjustRightInd/>
              <w:jc w:val="right"/>
              <w:rPr>
                <w:color w:val="000000"/>
                <w:sz w:val="16"/>
                <w:szCs w:val="16"/>
              </w:rPr>
            </w:pPr>
            <w:r w:rsidRPr="005B745C">
              <w:rPr>
                <w:color w:val="000000"/>
                <w:sz w:val="16"/>
                <w:szCs w:val="16"/>
              </w:rPr>
              <w:t xml:space="preserve">$29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0535C5C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7AF1D47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2A718DC9"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615931DB"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5DA9698" w14:textId="77777777">
            <w:pPr>
              <w:widowControl/>
              <w:autoSpaceDE/>
              <w:autoSpaceDN/>
              <w:adjustRightInd/>
              <w:jc w:val="right"/>
              <w:rPr>
                <w:color w:val="000000"/>
                <w:sz w:val="16"/>
                <w:szCs w:val="16"/>
              </w:rPr>
            </w:pPr>
            <w:r w:rsidRPr="005B745C">
              <w:rPr>
                <w:color w:val="000000"/>
                <w:sz w:val="16"/>
                <w:szCs w:val="16"/>
              </w:rPr>
              <w:t> </w:t>
            </w:r>
          </w:p>
        </w:tc>
        <w:tc>
          <w:tcPr>
            <w:tcW w:w="310"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1DD01E9C"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43314E5"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46B5874F"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3D14ADAD" w14:textId="77777777">
            <w:pPr>
              <w:widowControl/>
              <w:autoSpaceDE/>
              <w:autoSpaceDN/>
              <w:adjustRightInd/>
              <w:jc w:val="right"/>
              <w:rPr>
                <w:color w:val="000000"/>
                <w:sz w:val="16"/>
                <w:szCs w:val="16"/>
              </w:rPr>
            </w:pPr>
            <w:r w:rsidRPr="005B745C">
              <w:rPr>
                <w:color w:val="000000"/>
                <w:sz w:val="16"/>
                <w:szCs w:val="16"/>
              </w:rPr>
              <w:t> </w:t>
            </w:r>
          </w:p>
        </w:tc>
        <w:tc>
          <w:tcPr>
            <w:tcW w:w="248" w:type="pct"/>
            <w:tcBorders>
              <w:top w:val="nil"/>
              <w:left w:val="nil"/>
              <w:bottom w:val="single" w:color="auto" w:sz="8" w:space="0"/>
              <w:right w:val="single" w:color="auto" w:sz="8" w:space="0"/>
            </w:tcBorders>
            <w:shd w:val="clear" w:color="auto" w:fill="auto"/>
            <w:noWrap/>
            <w:vAlign w:val="center"/>
            <w:hideMark/>
          </w:tcPr>
          <w:p w:rsidRPr="005B745C" w:rsidR="005B745C" w:rsidP="005B745C" w:rsidRDefault="005B745C" w14:paraId="5D57A6BA" w14:textId="77777777">
            <w:pPr>
              <w:widowControl/>
              <w:autoSpaceDE/>
              <w:autoSpaceDN/>
              <w:adjustRightInd/>
              <w:jc w:val="right"/>
              <w:rPr>
                <w:color w:val="000000"/>
                <w:sz w:val="16"/>
                <w:szCs w:val="16"/>
              </w:rPr>
            </w:pPr>
            <w:r w:rsidRPr="005B745C">
              <w:rPr>
                <w:color w:val="000000"/>
                <w:sz w:val="16"/>
                <w:szCs w:val="16"/>
              </w:rPr>
              <w:t> </w:t>
            </w:r>
          </w:p>
        </w:tc>
      </w:tr>
    </w:tbl>
    <w:p w:rsidR="005B745C" w:rsidP="007D5FD8" w:rsidRDefault="005B745C" w14:paraId="610A0DC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FD0FF7" w:rsidP="00A55126" w:rsidRDefault="00FD0FF7" w14:paraId="44B6D64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sectPr w:rsidR="00FD0FF7" w:rsidSect="00FD0FF7">
          <w:endnotePr>
            <w:numFmt w:val="decimal"/>
          </w:endnotePr>
          <w:pgSz w:w="15840" w:h="12240" w:orient="landscape"/>
          <w:pgMar w:top="1440" w:right="1440" w:bottom="1440" w:left="1440" w:header="1440" w:footer="1440" w:gutter="0"/>
          <w:cols w:space="720"/>
          <w:noEndnote/>
          <w:docGrid w:linePitch="272"/>
        </w:sectPr>
      </w:pPr>
    </w:p>
    <w:p w:rsidR="00D164BA" w:rsidP="00A55126" w:rsidRDefault="00D164BA" w14:paraId="35471C7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A55126" w:rsidP="00A55126" w:rsidRDefault="00A55126" w14:paraId="041BBD5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Given the range of providers and suppliers covered in</w:t>
      </w:r>
      <w:r w:rsidRPr="00A55126">
        <w:rPr>
          <w:sz w:val="24"/>
        </w:rPr>
        <w:t xml:space="preserve"> this </w:t>
      </w:r>
      <w:r w:rsidR="002073FA">
        <w:rPr>
          <w:sz w:val="24"/>
        </w:rPr>
        <w:t>regulation</w:t>
      </w:r>
      <w:r w:rsidRPr="00A55126">
        <w:rPr>
          <w:sz w:val="24"/>
        </w:rPr>
        <w:t>, even where the proposed regulatory requirements are the same, certain factors would greatly affect the burden for different providers and suppliers.</w:t>
      </w:r>
      <w:r>
        <w:rPr>
          <w:sz w:val="24"/>
        </w:rPr>
        <w:t xml:space="preserve">  </w:t>
      </w:r>
      <w:r w:rsidRPr="00A55126">
        <w:rPr>
          <w:sz w:val="24"/>
        </w:rPr>
        <w:t>A significant factor in the burden for each pro</w:t>
      </w:r>
      <w:r w:rsidR="00EC207F">
        <w:rPr>
          <w:sz w:val="24"/>
        </w:rPr>
        <w:t xml:space="preserve">vider or supplier type would be </w:t>
      </w:r>
      <w:r w:rsidR="009B50AC">
        <w:rPr>
          <w:sz w:val="24"/>
        </w:rPr>
        <w:t>th</w:t>
      </w:r>
      <w:r w:rsidR="00EC207F">
        <w:rPr>
          <w:sz w:val="24"/>
        </w:rPr>
        <w:t>eir accreditation status.  Some accrediting organization (</w:t>
      </w:r>
      <w:r w:rsidRPr="00A55126">
        <w:rPr>
          <w:sz w:val="24"/>
        </w:rPr>
        <w:t>AOs</w:t>
      </w:r>
      <w:r w:rsidR="00EC207F">
        <w:rPr>
          <w:sz w:val="24"/>
        </w:rPr>
        <w:t>)</w:t>
      </w:r>
      <w:r w:rsidRPr="00A55126">
        <w:rPr>
          <w:sz w:val="24"/>
        </w:rPr>
        <w:t xml:space="preserve"> that have deeming authority for Medicare providers and suppliers have emergency preparedness standards</w:t>
      </w:r>
      <w:r w:rsidR="00EC207F">
        <w:rPr>
          <w:sz w:val="24"/>
        </w:rPr>
        <w:t xml:space="preserve"> similar or virtually identical to the requirements in this regulation</w:t>
      </w:r>
      <w:r w:rsidRPr="00A55126">
        <w:rPr>
          <w:sz w:val="24"/>
        </w:rPr>
        <w:t>.  Those organizations are:  The Joint Commission (TJC), the American Osteopathic Association</w:t>
      </w:r>
      <w:r w:rsidR="00F303DC">
        <w:rPr>
          <w:sz w:val="24"/>
        </w:rPr>
        <w:t>/Healthcare Facilities Accreditation</w:t>
      </w:r>
      <w:r w:rsidRPr="00A55126">
        <w:rPr>
          <w:sz w:val="24"/>
        </w:rPr>
        <w:t xml:space="preserve"> (AOA</w:t>
      </w:r>
      <w:r w:rsidR="00F303DC">
        <w:rPr>
          <w:sz w:val="24"/>
        </w:rPr>
        <w:t>/HFAP</w:t>
      </w:r>
      <w:r w:rsidRPr="00A55126">
        <w:rPr>
          <w:sz w:val="24"/>
        </w:rPr>
        <w:t xml:space="preserve">), the Accreditation Association for Ambulatory Health Care, Inc. (AAAHC), the American Association for Accreditation for Ambulatory Surgery Facilities, Inc. (AAAASF), and </w:t>
      </w:r>
      <w:r w:rsidR="00FF0421">
        <w:rPr>
          <w:sz w:val="24"/>
        </w:rPr>
        <w:t>Det Norske Veritas (</w:t>
      </w:r>
      <w:r w:rsidR="00F303DC">
        <w:rPr>
          <w:sz w:val="24"/>
        </w:rPr>
        <w:t>DNV</w:t>
      </w:r>
      <w:r w:rsidR="00FF0421">
        <w:rPr>
          <w:sz w:val="24"/>
        </w:rPr>
        <w:t>)</w:t>
      </w:r>
      <w:r w:rsidR="00F303DC">
        <w:rPr>
          <w:sz w:val="24"/>
        </w:rPr>
        <w:t xml:space="preserve"> GL - Healthcare</w:t>
      </w:r>
      <w:r w:rsidRPr="00A55126">
        <w:rPr>
          <w:sz w:val="24"/>
        </w:rPr>
        <w:t xml:space="preserve"> (DNV</w:t>
      </w:r>
      <w:r w:rsidR="00F303DC">
        <w:rPr>
          <w:sz w:val="24"/>
        </w:rPr>
        <w:t xml:space="preserve"> GL</w:t>
      </w:r>
      <w:r w:rsidRPr="00A55126">
        <w:rPr>
          <w:sz w:val="24"/>
        </w:rPr>
        <w:t xml:space="preserve">).  </w:t>
      </w:r>
      <w:r w:rsidRPr="000F335A" w:rsidR="00070F26">
        <w:rPr>
          <w:sz w:val="24"/>
        </w:rPr>
        <w:t xml:space="preserve">Accreditation can substantially affect the burden a </w:t>
      </w:r>
      <w:r w:rsidR="00EC207F">
        <w:rPr>
          <w:sz w:val="24"/>
        </w:rPr>
        <w:t>provider</w:t>
      </w:r>
      <w:r w:rsidRPr="000F335A" w:rsidR="00070F26">
        <w:rPr>
          <w:sz w:val="24"/>
        </w:rPr>
        <w:t xml:space="preserve"> would sustain under </w:t>
      </w:r>
      <w:r w:rsidRPr="000F335A" w:rsidR="009B4D6B">
        <w:rPr>
          <w:sz w:val="24"/>
        </w:rPr>
        <w:t>this</w:t>
      </w:r>
      <w:r w:rsidR="009B4D6B">
        <w:rPr>
          <w:sz w:val="24"/>
        </w:rPr>
        <w:t xml:space="preserve"> regulation; therefore</w:t>
      </w:r>
      <w:r w:rsidR="009B50AC">
        <w:rPr>
          <w:sz w:val="24"/>
        </w:rPr>
        <w:t>,</w:t>
      </w:r>
      <w:r w:rsidR="009B4D6B">
        <w:rPr>
          <w:sz w:val="24"/>
        </w:rPr>
        <w:t xml:space="preserve"> when appropriate we have assessed the burden for </w:t>
      </w:r>
      <w:r w:rsidR="009B50AC">
        <w:rPr>
          <w:sz w:val="24"/>
        </w:rPr>
        <w:t>accredited facilities separately</w:t>
      </w:r>
      <w:r w:rsidR="009B4D6B">
        <w:rPr>
          <w:sz w:val="24"/>
        </w:rPr>
        <w:t xml:space="preserve"> from non-accredited facilities</w:t>
      </w:r>
      <w:r w:rsidRPr="000F335A" w:rsidR="00070F26">
        <w:rPr>
          <w:sz w:val="24"/>
        </w:rPr>
        <w:t xml:space="preserve">.  </w:t>
      </w:r>
    </w:p>
    <w:p w:rsidRPr="00A55126" w:rsidR="00A55126" w:rsidP="00A55126" w:rsidRDefault="00A55126" w14:paraId="373AE68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EC207F" w:rsidR="00AA0385" w:rsidP="00D55363" w:rsidRDefault="00EC207F" w14:paraId="69ABA16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EC207F">
        <w:rPr>
          <w:sz w:val="24"/>
        </w:rPr>
        <w:t xml:space="preserve">b. </w:t>
      </w:r>
      <w:r w:rsidRPr="00EC207F" w:rsidR="0039061C">
        <w:rPr>
          <w:sz w:val="24"/>
        </w:rPr>
        <w:t xml:space="preserve">Condition of </w:t>
      </w:r>
      <w:r>
        <w:rPr>
          <w:sz w:val="24"/>
        </w:rPr>
        <w:t>P</w:t>
      </w:r>
      <w:r w:rsidRPr="00EC207F" w:rsidR="0039061C">
        <w:rPr>
          <w:sz w:val="24"/>
        </w:rPr>
        <w:t xml:space="preserve">articipation: Emergency </w:t>
      </w:r>
      <w:r>
        <w:rPr>
          <w:sz w:val="24"/>
        </w:rPr>
        <w:t>P</w:t>
      </w:r>
      <w:r w:rsidRPr="00EC207F" w:rsidR="00AA0385">
        <w:rPr>
          <w:sz w:val="24"/>
        </w:rPr>
        <w:t>reparedness</w:t>
      </w:r>
    </w:p>
    <w:p w:rsidR="00597957" w:rsidP="00D55363" w:rsidRDefault="00597957" w14:paraId="785C327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AA0385" w:rsidP="00D55363" w:rsidRDefault="00AB24B4" w14:paraId="040868E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Risk Assessment and Planning</w:t>
      </w:r>
      <w:r w:rsidR="00917BDA">
        <w:rPr>
          <w:sz w:val="24"/>
          <w:u w:val="single"/>
        </w:rPr>
        <w:t>—§403.748(a), §416.54(a), §418.80(a), §441.184(a), §460.84(a), §482.15(a), §483.73(a), §482.78(a), §483.475(a), §484.22(a), §485.68(a), §485.625(a), §485.727(a), §485.920(a), §491.12(a), §494.62(a)</w:t>
      </w:r>
    </w:p>
    <w:p w:rsidR="00CF2409" w:rsidP="00D55363" w:rsidRDefault="00CF2409" w14:paraId="51AD3AF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Pr="008241F6" w:rsidR="008241F6" w:rsidP="00A0373A" w:rsidRDefault="003D2D2E" w14:paraId="7DBBCF6C" w14:textId="69A6AB8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P</w:t>
      </w:r>
      <w:r w:rsidR="008241F6">
        <w:rPr>
          <w:sz w:val="24"/>
        </w:rPr>
        <w:t>roviders and suppliers</w:t>
      </w:r>
      <w:r>
        <w:rPr>
          <w:sz w:val="24"/>
        </w:rPr>
        <w:t xml:space="preserve"> are required</w:t>
      </w:r>
      <w:r w:rsidR="008241F6">
        <w:rPr>
          <w:sz w:val="24"/>
        </w:rPr>
        <w:t xml:space="preserve"> </w:t>
      </w:r>
      <w:r w:rsidR="009B4D6B">
        <w:rPr>
          <w:sz w:val="24"/>
        </w:rPr>
        <w:t>to</w:t>
      </w:r>
      <w:r w:rsidR="008241F6">
        <w:rPr>
          <w:sz w:val="24"/>
        </w:rPr>
        <w:t xml:space="preserve"> develop and maintain an emergency preparedness plan that must be reviewed and updated at least </w:t>
      </w:r>
      <w:r w:rsidR="00593006">
        <w:rPr>
          <w:sz w:val="24"/>
        </w:rPr>
        <w:t>biennially</w:t>
      </w:r>
      <w:r w:rsidR="008241F6">
        <w:rPr>
          <w:sz w:val="24"/>
        </w:rPr>
        <w:t>.</w:t>
      </w:r>
      <w:r w:rsidR="00A0373A">
        <w:rPr>
          <w:sz w:val="24"/>
        </w:rPr>
        <w:t xml:space="preserve"> </w:t>
      </w:r>
      <w:r w:rsidRPr="00A0373A" w:rsidR="00A0373A">
        <w:rPr>
          <w:sz w:val="24"/>
        </w:rPr>
        <w:t xml:space="preserve">We expect that each </w:t>
      </w:r>
      <w:r w:rsidR="00A0373A">
        <w:rPr>
          <w:sz w:val="24"/>
        </w:rPr>
        <w:t>provider and supplier</w:t>
      </w:r>
      <w:r w:rsidRPr="00A0373A" w:rsidR="00A0373A">
        <w:rPr>
          <w:sz w:val="24"/>
        </w:rPr>
        <w:t xml:space="preserve"> would conduct a thorough risk assessment</w:t>
      </w:r>
      <w:r w:rsidR="009B4D6B">
        <w:rPr>
          <w:sz w:val="24"/>
        </w:rPr>
        <w:t xml:space="preserve"> that</w:t>
      </w:r>
      <w:r w:rsidR="00D14B31">
        <w:rPr>
          <w:sz w:val="24"/>
        </w:rPr>
        <w:t xml:space="preserve"> will</w:t>
      </w:r>
      <w:r w:rsidRPr="00A0373A" w:rsidR="00A0373A">
        <w:rPr>
          <w:sz w:val="24"/>
        </w:rPr>
        <w:t xml:space="preserve"> consider its location and geographical area; patient population, including those with special need</w:t>
      </w:r>
      <w:r w:rsidR="00D14B31">
        <w:rPr>
          <w:sz w:val="24"/>
        </w:rPr>
        <w:t>s; and the type of services they have</w:t>
      </w:r>
      <w:r w:rsidRPr="00A0373A" w:rsidR="00A0373A">
        <w:rPr>
          <w:sz w:val="24"/>
        </w:rPr>
        <w:t xml:space="preserve"> the ability t</w:t>
      </w:r>
      <w:r w:rsidR="00D14B31">
        <w:rPr>
          <w:sz w:val="24"/>
        </w:rPr>
        <w:t xml:space="preserve">o provide in an emergency.  They each </w:t>
      </w:r>
      <w:r w:rsidRPr="00A0373A" w:rsidR="00A0373A">
        <w:rPr>
          <w:sz w:val="24"/>
        </w:rPr>
        <w:t xml:space="preserve">would </w:t>
      </w:r>
      <w:r w:rsidR="00D14B31">
        <w:rPr>
          <w:sz w:val="24"/>
        </w:rPr>
        <w:t xml:space="preserve">also </w:t>
      </w:r>
      <w:r w:rsidRPr="00A0373A" w:rsidR="00A0373A">
        <w:rPr>
          <w:sz w:val="24"/>
        </w:rPr>
        <w:t xml:space="preserve">need to identify the measures </w:t>
      </w:r>
      <w:r w:rsidR="000D1676">
        <w:rPr>
          <w:sz w:val="24"/>
        </w:rPr>
        <w:t>needed</w:t>
      </w:r>
      <w:r w:rsidRPr="00A0373A" w:rsidR="00A0373A">
        <w:rPr>
          <w:sz w:val="24"/>
        </w:rPr>
        <w:t xml:space="preserve"> to ensure continuity of its</w:t>
      </w:r>
      <w:r w:rsidR="000D1676">
        <w:rPr>
          <w:sz w:val="24"/>
        </w:rPr>
        <w:t xml:space="preserve"> </w:t>
      </w:r>
      <w:r w:rsidRPr="00A0373A" w:rsidR="00A0373A">
        <w:rPr>
          <w:sz w:val="24"/>
        </w:rPr>
        <w:t xml:space="preserve">operation, including delegations and succession plans. </w:t>
      </w:r>
    </w:p>
    <w:p w:rsidR="00CF2409" w:rsidP="00D55363" w:rsidRDefault="00CF2409" w14:paraId="29115D3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B12C5D" w:rsidP="00D14B31" w:rsidRDefault="00725EE6" w14:paraId="57A103F0" w14:textId="3BAB3BD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We have removed the one-time costs associated with performing a risk assessment and developing an emergency preparedness plan. Table 2 below lays out the burden hours and cost for each provider to review their emergency plan biennially.</w:t>
      </w:r>
    </w:p>
    <w:p w:rsidR="00D075E6" w:rsidP="00FC0091" w:rsidRDefault="00D075E6" w14:paraId="238670D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7A3E04" w:rsidR="00CF2409" w:rsidP="00D075E6" w:rsidRDefault="00110B70" w14:paraId="77A2FA55" w14:textId="74C4755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bCs/>
          <w:color w:val="000000"/>
          <w:sz w:val="16"/>
          <w:szCs w:val="16"/>
        </w:rPr>
      </w:pPr>
      <w:r w:rsidRPr="007A3E04">
        <w:rPr>
          <w:b/>
          <w:bCs/>
          <w:color w:val="000000"/>
          <w:sz w:val="16"/>
          <w:szCs w:val="16"/>
        </w:rPr>
        <w:t>Table 2--</w:t>
      </w:r>
      <w:r w:rsidRPr="007A3E04" w:rsidR="00CF2409">
        <w:rPr>
          <w:b/>
          <w:bCs/>
          <w:color w:val="000000"/>
          <w:sz w:val="16"/>
          <w:szCs w:val="16"/>
        </w:rPr>
        <w:t>Burden Hours and Cost</w:t>
      </w:r>
      <w:r w:rsidRPr="007A3E04" w:rsidR="00AB24B4">
        <w:rPr>
          <w:b/>
          <w:bCs/>
          <w:color w:val="000000"/>
          <w:sz w:val="16"/>
          <w:szCs w:val="16"/>
        </w:rPr>
        <w:t xml:space="preserve"> Estimates</w:t>
      </w:r>
      <w:r w:rsidRPr="007A3E04" w:rsidR="00CF2409">
        <w:rPr>
          <w:b/>
          <w:bCs/>
          <w:color w:val="000000"/>
          <w:sz w:val="16"/>
          <w:szCs w:val="16"/>
        </w:rPr>
        <w:t xml:space="preserve"> for Providers to </w:t>
      </w:r>
      <w:r w:rsidR="00955BF2">
        <w:rPr>
          <w:b/>
          <w:bCs/>
          <w:color w:val="000000"/>
          <w:sz w:val="16"/>
          <w:szCs w:val="16"/>
        </w:rPr>
        <w:t>Review</w:t>
      </w:r>
      <w:r w:rsidRPr="007A3E04" w:rsidR="00955BF2">
        <w:rPr>
          <w:b/>
          <w:bCs/>
          <w:color w:val="000000"/>
          <w:sz w:val="16"/>
          <w:szCs w:val="16"/>
        </w:rPr>
        <w:t xml:space="preserve"> </w:t>
      </w:r>
      <w:r w:rsidR="00955BF2">
        <w:rPr>
          <w:b/>
          <w:bCs/>
          <w:color w:val="000000"/>
          <w:sz w:val="16"/>
          <w:szCs w:val="16"/>
        </w:rPr>
        <w:t>their</w:t>
      </w:r>
      <w:r w:rsidRPr="007A3E04" w:rsidR="00955BF2">
        <w:rPr>
          <w:b/>
          <w:bCs/>
          <w:color w:val="000000"/>
          <w:sz w:val="16"/>
          <w:szCs w:val="16"/>
        </w:rPr>
        <w:t xml:space="preserve"> </w:t>
      </w:r>
      <w:r w:rsidRPr="007A3E04" w:rsidR="00CF2409">
        <w:rPr>
          <w:b/>
          <w:bCs/>
          <w:color w:val="000000"/>
          <w:sz w:val="16"/>
          <w:szCs w:val="16"/>
        </w:rPr>
        <w:t>Emergency Plan</w:t>
      </w:r>
    </w:p>
    <w:p w:rsidR="00CF2409" w:rsidP="00D55363" w:rsidRDefault="00CF2409" w14:paraId="426A8B1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tbl>
      <w:tblPr>
        <w:tblW w:w="9500" w:type="dxa"/>
        <w:tblInd w:w="5" w:type="dxa"/>
        <w:tblLook w:val="04A0" w:firstRow="1" w:lastRow="0" w:firstColumn="1" w:lastColumn="0" w:noHBand="0" w:noVBand="1"/>
      </w:tblPr>
      <w:tblGrid>
        <w:gridCol w:w="4500"/>
        <w:gridCol w:w="960"/>
        <w:gridCol w:w="960"/>
        <w:gridCol w:w="960"/>
        <w:gridCol w:w="960"/>
        <w:gridCol w:w="1160"/>
      </w:tblGrid>
      <w:tr w:rsidRPr="00E46B5D" w:rsidR="00E46B5D" w:rsidTr="00E46B5D" w14:paraId="5A80FA66" w14:textId="77777777">
        <w:trPr>
          <w:trHeight w:val="855"/>
        </w:trPr>
        <w:tc>
          <w:tcPr>
            <w:tcW w:w="45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3C6145E3" w14:textId="77777777">
            <w:pPr>
              <w:widowControl/>
              <w:autoSpaceDE/>
              <w:autoSpaceDN/>
              <w:adjustRightInd/>
              <w:jc w:val="center"/>
              <w:rPr>
                <w:b/>
                <w:bCs/>
                <w:color w:val="000000"/>
                <w:sz w:val="16"/>
                <w:szCs w:val="16"/>
              </w:rPr>
            </w:pPr>
            <w:r w:rsidRPr="00E46B5D">
              <w:rPr>
                <w:b/>
                <w:bCs/>
                <w:color w:val="000000"/>
                <w:sz w:val="16"/>
                <w:szCs w:val="16"/>
              </w:rPr>
              <w:t>Provider Type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E46B5D" w:rsidR="00E46B5D" w:rsidP="00E46B5D" w:rsidRDefault="00E46B5D" w14:paraId="7AC2E0EA" w14:textId="77777777">
            <w:pPr>
              <w:widowControl/>
              <w:autoSpaceDE/>
              <w:autoSpaceDN/>
              <w:adjustRightInd/>
              <w:jc w:val="center"/>
              <w:rPr>
                <w:b/>
                <w:bCs/>
                <w:color w:val="000000"/>
                <w:sz w:val="16"/>
                <w:szCs w:val="16"/>
              </w:rPr>
            </w:pPr>
            <w:r w:rsidRPr="00E46B5D">
              <w:rPr>
                <w:b/>
                <w:bCs/>
                <w:color w:val="000000"/>
                <w:sz w:val="16"/>
                <w:szCs w:val="16"/>
              </w:rPr>
              <w:t>Number of Providers</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E46B5D" w:rsidR="00E46B5D" w:rsidP="00E46B5D" w:rsidRDefault="00E46B5D" w14:paraId="213B6DD7" w14:textId="77777777">
            <w:pPr>
              <w:widowControl/>
              <w:autoSpaceDE/>
              <w:autoSpaceDN/>
              <w:adjustRightInd/>
              <w:jc w:val="center"/>
              <w:rPr>
                <w:b/>
                <w:bCs/>
                <w:color w:val="000000"/>
                <w:sz w:val="16"/>
                <w:szCs w:val="16"/>
              </w:rPr>
            </w:pPr>
            <w:r w:rsidRPr="00E46B5D">
              <w:rPr>
                <w:b/>
                <w:bCs/>
                <w:color w:val="000000"/>
                <w:sz w:val="16"/>
                <w:szCs w:val="16"/>
              </w:rPr>
              <w:t>Responses Per Provider</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E46B5D" w:rsidR="00E46B5D" w:rsidP="00E46B5D" w:rsidRDefault="00E46B5D" w14:paraId="7FF19C41" w14:textId="77777777">
            <w:pPr>
              <w:widowControl/>
              <w:autoSpaceDE/>
              <w:autoSpaceDN/>
              <w:adjustRightInd/>
              <w:jc w:val="center"/>
              <w:rPr>
                <w:b/>
                <w:bCs/>
                <w:color w:val="000000"/>
                <w:sz w:val="16"/>
                <w:szCs w:val="16"/>
              </w:rPr>
            </w:pPr>
            <w:r w:rsidRPr="00E46B5D">
              <w:rPr>
                <w:b/>
                <w:bCs/>
                <w:color w:val="000000"/>
                <w:sz w:val="16"/>
                <w:szCs w:val="16"/>
              </w:rPr>
              <w:t>Burden Hours Per Response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E46B5D" w:rsidR="00E46B5D" w:rsidP="00E46B5D" w:rsidRDefault="00E46B5D" w14:paraId="730470EE" w14:textId="77777777">
            <w:pPr>
              <w:widowControl/>
              <w:autoSpaceDE/>
              <w:autoSpaceDN/>
              <w:adjustRightInd/>
              <w:jc w:val="center"/>
              <w:rPr>
                <w:b/>
                <w:bCs/>
                <w:color w:val="000000"/>
                <w:sz w:val="16"/>
                <w:szCs w:val="16"/>
              </w:rPr>
            </w:pPr>
            <w:r w:rsidRPr="00E46B5D">
              <w:rPr>
                <w:b/>
                <w:bCs/>
                <w:color w:val="000000"/>
                <w:sz w:val="16"/>
                <w:szCs w:val="16"/>
              </w:rPr>
              <w:t>Total Annual Burden Hours</w:t>
            </w:r>
          </w:p>
        </w:tc>
        <w:tc>
          <w:tcPr>
            <w:tcW w:w="1160" w:type="dxa"/>
            <w:tcBorders>
              <w:top w:val="single" w:color="auto" w:sz="8" w:space="0"/>
              <w:left w:val="nil"/>
              <w:bottom w:val="single" w:color="auto" w:sz="8" w:space="0"/>
              <w:right w:val="single" w:color="auto" w:sz="8" w:space="0"/>
            </w:tcBorders>
            <w:shd w:val="clear" w:color="auto" w:fill="auto"/>
            <w:vAlign w:val="center"/>
            <w:hideMark/>
          </w:tcPr>
          <w:p w:rsidRPr="00E46B5D" w:rsidR="00E46B5D" w:rsidP="00E46B5D" w:rsidRDefault="00E46B5D" w14:paraId="0C6D5C77" w14:textId="77777777">
            <w:pPr>
              <w:widowControl/>
              <w:autoSpaceDE/>
              <w:autoSpaceDN/>
              <w:adjustRightInd/>
              <w:jc w:val="center"/>
              <w:rPr>
                <w:b/>
                <w:bCs/>
                <w:color w:val="000000"/>
                <w:sz w:val="16"/>
                <w:szCs w:val="16"/>
              </w:rPr>
            </w:pPr>
            <w:r w:rsidRPr="00E46B5D">
              <w:rPr>
                <w:b/>
                <w:bCs/>
                <w:color w:val="000000"/>
                <w:sz w:val="16"/>
                <w:szCs w:val="16"/>
              </w:rPr>
              <w:t>Total Cost Estimate</w:t>
            </w:r>
          </w:p>
        </w:tc>
      </w:tr>
      <w:tr w:rsidRPr="00E46B5D" w:rsidR="00E46B5D" w:rsidTr="00E46B5D" w14:paraId="35A1E9B5"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21130B99" w14:textId="77777777">
            <w:pPr>
              <w:widowControl/>
              <w:autoSpaceDE/>
              <w:autoSpaceDN/>
              <w:adjustRightInd/>
              <w:rPr>
                <w:color w:val="000000"/>
                <w:sz w:val="16"/>
                <w:szCs w:val="16"/>
              </w:rPr>
            </w:pPr>
            <w:r w:rsidRPr="00E46B5D">
              <w:rPr>
                <w:color w:val="000000"/>
                <w:sz w:val="16"/>
                <w:szCs w:val="16"/>
              </w:rPr>
              <w:t>RNHCIs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72B0BFAD" w14:textId="77777777">
            <w:pPr>
              <w:widowControl/>
              <w:autoSpaceDE/>
              <w:autoSpaceDN/>
              <w:adjustRightInd/>
              <w:jc w:val="right"/>
              <w:rPr>
                <w:color w:val="000000"/>
                <w:sz w:val="16"/>
                <w:szCs w:val="16"/>
              </w:rPr>
            </w:pPr>
            <w:r w:rsidRPr="00E46B5D">
              <w:rPr>
                <w:color w:val="000000"/>
                <w:sz w:val="16"/>
                <w:szCs w:val="16"/>
              </w:rPr>
              <w:t>18</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1B63A8D"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46F0D983" w14:textId="77777777">
            <w:pPr>
              <w:widowControl/>
              <w:autoSpaceDE/>
              <w:autoSpaceDN/>
              <w:adjustRightInd/>
              <w:jc w:val="right"/>
              <w:rPr>
                <w:color w:val="000000"/>
                <w:sz w:val="16"/>
                <w:szCs w:val="16"/>
              </w:rPr>
            </w:pPr>
            <w:r w:rsidRPr="00E46B5D">
              <w:rPr>
                <w:color w:val="000000"/>
                <w:sz w:val="16"/>
                <w:szCs w:val="16"/>
              </w:rPr>
              <w:t>6.5</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0D54977" w14:textId="77777777">
            <w:pPr>
              <w:widowControl/>
              <w:autoSpaceDE/>
              <w:autoSpaceDN/>
              <w:adjustRightInd/>
              <w:jc w:val="right"/>
              <w:rPr>
                <w:color w:val="000000"/>
                <w:sz w:val="16"/>
                <w:szCs w:val="16"/>
              </w:rPr>
            </w:pPr>
            <w:r w:rsidRPr="00E46B5D">
              <w:rPr>
                <w:color w:val="000000"/>
                <w:sz w:val="16"/>
                <w:szCs w:val="16"/>
              </w:rPr>
              <w:t>117</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17020AA" w14:textId="77777777">
            <w:pPr>
              <w:widowControl/>
              <w:autoSpaceDE/>
              <w:autoSpaceDN/>
              <w:adjustRightInd/>
              <w:jc w:val="right"/>
              <w:rPr>
                <w:color w:val="000000"/>
                <w:sz w:val="16"/>
                <w:szCs w:val="16"/>
              </w:rPr>
            </w:pPr>
            <w:r w:rsidRPr="00E46B5D">
              <w:rPr>
                <w:color w:val="000000"/>
                <w:sz w:val="16"/>
                <w:szCs w:val="16"/>
              </w:rPr>
              <w:t xml:space="preserve">$9,828 </w:t>
            </w:r>
          </w:p>
        </w:tc>
      </w:tr>
      <w:tr w:rsidRPr="00E46B5D" w:rsidR="00E46B5D" w:rsidTr="00E46B5D" w14:paraId="53D0361B"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1F8F9754" w14:textId="77777777">
            <w:pPr>
              <w:widowControl/>
              <w:autoSpaceDE/>
              <w:autoSpaceDN/>
              <w:adjustRightInd/>
              <w:rPr>
                <w:color w:val="000000"/>
                <w:sz w:val="16"/>
                <w:szCs w:val="16"/>
              </w:rPr>
            </w:pPr>
            <w:r w:rsidRPr="00E46B5D">
              <w:rPr>
                <w:color w:val="000000"/>
                <w:sz w:val="16"/>
                <w:szCs w:val="16"/>
              </w:rPr>
              <w:t>Non-TJC Accredited ASCs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62AD2B6F" w14:textId="77777777">
            <w:pPr>
              <w:widowControl/>
              <w:autoSpaceDE/>
              <w:autoSpaceDN/>
              <w:adjustRightInd/>
              <w:jc w:val="right"/>
              <w:rPr>
                <w:color w:val="000000"/>
                <w:sz w:val="16"/>
                <w:szCs w:val="16"/>
              </w:rPr>
            </w:pPr>
            <w:r w:rsidRPr="00E46B5D">
              <w:rPr>
                <w:color w:val="000000"/>
                <w:sz w:val="16"/>
                <w:szCs w:val="16"/>
              </w:rPr>
              <w:t>5,115</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8682AD3"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F3FB0E7" w14:textId="77777777">
            <w:pPr>
              <w:widowControl/>
              <w:autoSpaceDE/>
              <w:autoSpaceDN/>
              <w:adjustRightInd/>
              <w:jc w:val="right"/>
              <w:rPr>
                <w:color w:val="000000"/>
                <w:sz w:val="16"/>
                <w:szCs w:val="16"/>
              </w:rPr>
            </w:pPr>
            <w:r w:rsidRPr="00E46B5D">
              <w:rPr>
                <w:color w:val="000000"/>
                <w:sz w:val="16"/>
                <w:szCs w:val="16"/>
              </w:rPr>
              <w:t>10</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9725601" w14:textId="77777777">
            <w:pPr>
              <w:widowControl/>
              <w:autoSpaceDE/>
              <w:autoSpaceDN/>
              <w:adjustRightInd/>
              <w:jc w:val="right"/>
              <w:rPr>
                <w:color w:val="000000"/>
                <w:sz w:val="16"/>
                <w:szCs w:val="16"/>
              </w:rPr>
            </w:pPr>
            <w:r w:rsidRPr="00E46B5D">
              <w:rPr>
                <w:color w:val="000000"/>
                <w:sz w:val="16"/>
                <w:szCs w:val="16"/>
              </w:rPr>
              <w:t>51,150</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25A0DCD" w14:textId="77777777">
            <w:pPr>
              <w:widowControl/>
              <w:autoSpaceDE/>
              <w:autoSpaceDN/>
              <w:adjustRightInd/>
              <w:jc w:val="right"/>
              <w:rPr>
                <w:color w:val="000000"/>
                <w:sz w:val="16"/>
                <w:szCs w:val="16"/>
              </w:rPr>
            </w:pPr>
            <w:r w:rsidRPr="00E46B5D">
              <w:rPr>
                <w:color w:val="000000"/>
                <w:sz w:val="16"/>
                <w:szCs w:val="16"/>
              </w:rPr>
              <w:t xml:space="preserve">$3,989,700 </w:t>
            </w:r>
          </w:p>
        </w:tc>
      </w:tr>
      <w:tr w:rsidRPr="00E46B5D" w:rsidR="00E46B5D" w:rsidTr="00E46B5D" w14:paraId="5832F560"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75B89255" w14:textId="77777777">
            <w:pPr>
              <w:widowControl/>
              <w:autoSpaceDE/>
              <w:autoSpaceDN/>
              <w:adjustRightInd/>
              <w:rPr>
                <w:color w:val="000000"/>
                <w:sz w:val="16"/>
                <w:szCs w:val="16"/>
              </w:rPr>
            </w:pPr>
            <w:r w:rsidRPr="00E46B5D">
              <w:rPr>
                <w:color w:val="000000"/>
                <w:sz w:val="16"/>
                <w:szCs w:val="16"/>
              </w:rPr>
              <w:t>Inpatient Hospices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44D2C6A2" w14:textId="77777777">
            <w:pPr>
              <w:widowControl/>
              <w:autoSpaceDE/>
              <w:autoSpaceDN/>
              <w:adjustRightInd/>
              <w:jc w:val="right"/>
              <w:rPr>
                <w:color w:val="000000"/>
                <w:sz w:val="16"/>
                <w:szCs w:val="16"/>
              </w:rPr>
            </w:pPr>
            <w:r w:rsidRPr="00E46B5D">
              <w:rPr>
                <w:color w:val="000000"/>
                <w:sz w:val="16"/>
                <w:szCs w:val="16"/>
              </w:rPr>
              <w:t>372</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651B0326"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854C1E3" w14:textId="77777777">
            <w:pPr>
              <w:widowControl/>
              <w:autoSpaceDE/>
              <w:autoSpaceDN/>
              <w:adjustRightInd/>
              <w:jc w:val="right"/>
              <w:rPr>
                <w:color w:val="000000"/>
                <w:sz w:val="16"/>
                <w:szCs w:val="16"/>
              </w:rPr>
            </w:pPr>
            <w:r w:rsidRPr="00E46B5D">
              <w:rPr>
                <w:color w:val="000000"/>
                <w:sz w:val="16"/>
                <w:szCs w:val="16"/>
              </w:rPr>
              <w:t>14</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469F0FAF" w14:textId="77777777">
            <w:pPr>
              <w:widowControl/>
              <w:autoSpaceDE/>
              <w:autoSpaceDN/>
              <w:adjustRightInd/>
              <w:jc w:val="right"/>
              <w:rPr>
                <w:color w:val="000000"/>
                <w:sz w:val="16"/>
                <w:szCs w:val="16"/>
              </w:rPr>
            </w:pPr>
            <w:r w:rsidRPr="00E46B5D">
              <w:rPr>
                <w:color w:val="000000"/>
                <w:sz w:val="16"/>
                <w:szCs w:val="16"/>
              </w:rPr>
              <w:t>5,208</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F298DD4" w14:textId="77777777">
            <w:pPr>
              <w:widowControl/>
              <w:autoSpaceDE/>
              <w:autoSpaceDN/>
              <w:adjustRightInd/>
              <w:jc w:val="right"/>
              <w:rPr>
                <w:color w:val="000000"/>
                <w:sz w:val="16"/>
                <w:szCs w:val="16"/>
              </w:rPr>
            </w:pPr>
            <w:r w:rsidRPr="00E46B5D">
              <w:rPr>
                <w:color w:val="000000"/>
                <w:sz w:val="16"/>
                <w:szCs w:val="16"/>
              </w:rPr>
              <w:t xml:space="preserve">$438,216 </w:t>
            </w:r>
          </w:p>
        </w:tc>
      </w:tr>
      <w:tr w:rsidRPr="00E46B5D" w:rsidR="00E46B5D" w:rsidTr="00E46B5D" w14:paraId="4D589B13"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35FC4B47" w14:textId="77777777">
            <w:pPr>
              <w:widowControl/>
              <w:autoSpaceDE/>
              <w:autoSpaceDN/>
              <w:adjustRightInd/>
              <w:rPr>
                <w:color w:val="000000"/>
                <w:sz w:val="16"/>
                <w:szCs w:val="16"/>
              </w:rPr>
            </w:pPr>
            <w:r w:rsidRPr="00E46B5D">
              <w:rPr>
                <w:color w:val="000000"/>
                <w:sz w:val="16"/>
                <w:szCs w:val="16"/>
              </w:rPr>
              <w:t>Home Based Hospices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AE0AFBF" w14:textId="77777777">
            <w:pPr>
              <w:widowControl/>
              <w:autoSpaceDE/>
              <w:autoSpaceDN/>
              <w:adjustRightInd/>
              <w:jc w:val="right"/>
              <w:rPr>
                <w:color w:val="000000"/>
                <w:sz w:val="16"/>
                <w:szCs w:val="16"/>
              </w:rPr>
            </w:pPr>
            <w:r w:rsidRPr="00E46B5D">
              <w:rPr>
                <w:color w:val="000000"/>
                <w:sz w:val="16"/>
                <w:szCs w:val="16"/>
              </w:rPr>
              <w:t>4,403</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8C2FAC5"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B1B1CE0" w14:textId="77777777">
            <w:pPr>
              <w:widowControl/>
              <w:autoSpaceDE/>
              <w:autoSpaceDN/>
              <w:adjustRightInd/>
              <w:jc w:val="right"/>
              <w:rPr>
                <w:color w:val="000000"/>
                <w:sz w:val="16"/>
                <w:szCs w:val="16"/>
              </w:rPr>
            </w:pPr>
            <w:r w:rsidRPr="00E46B5D">
              <w:rPr>
                <w:color w:val="000000"/>
                <w:sz w:val="16"/>
                <w:szCs w:val="16"/>
              </w:rPr>
              <w:t>14</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1A2F97E4" w14:textId="77777777">
            <w:pPr>
              <w:widowControl/>
              <w:autoSpaceDE/>
              <w:autoSpaceDN/>
              <w:adjustRightInd/>
              <w:jc w:val="right"/>
              <w:rPr>
                <w:color w:val="000000"/>
                <w:sz w:val="16"/>
                <w:szCs w:val="16"/>
              </w:rPr>
            </w:pPr>
            <w:r w:rsidRPr="00E46B5D">
              <w:rPr>
                <w:color w:val="000000"/>
                <w:sz w:val="16"/>
                <w:szCs w:val="16"/>
              </w:rPr>
              <w:t>61,642</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EE2C97D" w14:textId="77777777">
            <w:pPr>
              <w:widowControl/>
              <w:autoSpaceDE/>
              <w:autoSpaceDN/>
              <w:adjustRightInd/>
              <w:jc w:val="right"/>
              <w:rPr>
                <w:color w:val="000000"/>
                <w:sz w:val="16"/>
                <w:szCs w:val="16"/>
              </w:rPr>
            </w:pPr>
            <w:r w:rsidRPr="00E46B5D">
              <w:rPr>
                <w:color w:val="000000"/>
                <w:sz w:val="16"/>
                <w:szCs w:val="16"/>
              </w:rPr>
              <w:t xml:space="preserve">$5,186,734 </w:t>
            </w:r>
          </w:p>
        </w:tc>
      </w:tr>
      <w:tr w:rsidRPr="00E46B5D" w:rsidR="00E46B5D" w:rsidTr="00E46B5D" w14:paraId="237B02D0"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5B41F97F" w14:textId="77777777">
            <w:pPr>
              <w:widowControl/>
              <w:autoSpaceDE/>
              <w:autoSpaceDN/>
              <w:adjustRightInd/>
              <w:rPr>
                <w:color w:val="000000"/>
                <w:sz w:val="16"/>
                <w:szCs w:val="16"/>
              </w:rPr>
            </w:pPr>
            <w:r w:rsidRPr="00E46B5D">
              <w:rPr>
                <w:color w:val="000000"/>
                <w:sz w:val="16"/>
                <w:szCs w:val="16"/>
              </w:rPr>
              <w:t>PRTFs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D0D75ED" w14:textId="77777777">
            <w:pPr>
              <w:widowControl/>
              <w:autoSpaceDE/>
              <w:autoSpaceDN/>
              <w:adjustRightInd/>
              <w:jc w:val="right"/>
              <w:rPr>
                <w:color w:val="000000"/>
                <w:sz w:val="16"/>
                <w:szCs w:val="16"/>
              </w:rPr>
            </w:pPr>
            <w:r w:rsidRPr="00E46B5D">
              <w:rPr>
                <w:color w:val="000000"/>
                <w:sz w:val="16"/>
                <w:szCs w:val="16"/>
              </w:rPr>
              <w:t>366</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871B114"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1CA33E02" w14:textId="77777777">
            <w:pPr>
              <w:widowControl/>
              <w:autoSpaceDE/>
              <w:autoSpaceDN/>
              <w:adjustRightInd/>
              <w:jc w:val="right"/>
              <w:rPr>
                <w:color w:val="000000"/>
                <w:sz w:val="16"/>
                <w:szCs w:val="16"/>
              </w:rPr>
            </w:pPr>
            <w:r w:rsidRPr="00E46B5D">
              <w:rPr>
                <w:color w:val="000000"/>
                <w:sz w:val="16"/>
                <w:szCs w:val="16"/>
              </w:rPr>
              <w:t>12</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D8EA23A" w14:textId="77777777">
            <w:pPr>
              <w:widowControl/>
              <w:autoSpaceDE/>
              <w:autoSpaceDN/>
              <w:adjustRightInd/>
              <w:jc w:val="right"/>
              <w:rPr>
                <w:color w:val="000000"/>
                <w:sz w:val="16"/>
                <w:szCs w:val="16"/>
              </w:rPr>
            </w:pPr>
            <w:r w:rsidRPr="00E46B5D">
              <w:rPr>
                <w:color w:val="000000"/>
                <w:sz w:val="16"/>
                <w:szCs w:val="16"/>
              </w:rPr>
              <w:t>4,392</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3F25A32" w14:textId="77777777">
            <w:pPr>
              <w:widowControl/>
              <w:autoSpaceDE/>
              <w:autoSpaceDN/>
              <w:adjustRightInd/>
              <w:jc w:val="right"/>
              <w:rPr>
                <w:color w:val="000000"/>
                <w:sz w:val="16"/>
                <w:szCs w:val="16"/>
              </w:rPr>
            </w:pPr>
            <w:r w:rsidRPr="00E46B5D">
              <w:rPr>
                <w:color w:val="000000"/>
                <w:sz w:val="16"/>
                <w:szCs w:val="16"/>
              </w:rPr>
              <w:t xml:space="preserve">$336,720 </w:t>
            </w:r>
          </w:p>
        </w:tc>
      </w:tr>
      <w:tr w:rsidRPr="00E46B5D" w:rsidR="00E46B5D" w:rsidTr="00E46B5D" w14:paraId="3EC335B0"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4127A673" w14:textId="77777777">
            <w:pPr>
              <w:widowControl/>
              <w:autoSpaceDE/>
              <w:autoSpaceDN/>
              <w:adjustRightInd/>
              <w:rPr>
                <w:color w:val="000000"/>
                <w:sz w:val="16"/>
                <w:szCs w:val="16"/>
              </w:rPr>
            </w:pPr>
            <w:r w:rsidRPr="00E46B5D">
              <w:rPr>
                <w:color w:val="000000"/>
                <w:sz w:val="16"/>
                <w:szCs w:val="16"/>
              </w:rPr>
              <w:t>PACE organizations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9296F28" w14:textId="77777777">
            <w:pPr>
              <w:widowControl/>
              <w:autoSpaceDE/>
              <w:autoSpaceDN/>
              <w:adjustRightInd/>
              <w:jc w:val="right"/>
              <w:rPr>
                <w:color w:val="000000"/>
                <w:sz w:val="16"/>
                <w:szCs w:val="16"/>
              </w:rPr>
            </w:pPr>
            <w:r w:rsidRPr="00E46B5D">
              <w:rPr>
                <w:color w:val="000000"/>
                <w:sz w:val="16"/>
                <w:szCs w:val="16"/>
              </w:rPr>
              <w:t>233</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59A2228"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751D1D16" w14:textId="77777777">
            <w:pPr>
              <w:widowControl/>
              <w:autoSpaceDE/>
              <w:autoSpaceDN/>
              <w:adjustRightInd/>
              <w:jc w:val="right"/>
              <w:rPr>
                <w:color w:val="000000"/>
                <w:sz w:val="16"/>
                <w:szCs w:val="16"/>
              </w:rPr>
            </w:pPr>
            <w:r w:rsidRPr="00E46B5D">
              <w:rPr>
                <w:color w:val="000000"/>
                <w:sz w:val="16"/>
                <w:szCs w:val="16"/>
              </w:rPr>
              <w:t>12</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78F1DCE9" w14:textId="77777777">
            <w:pPr>
              <w:widowControl/>
              <w:autoSpaceDE/>
              <w:autoSpaceDN/>
              <w:adjustRightInd/>
              <w:jc w:val="right"/>
              <w:rPr>
                <w:color w:val="000000"/>
                <w:sz w:val="16"/>
                <w:szCs w:val="16"/>
              </w:rPr>
            </w:pPr>
            <w:r w:rsidRPr="00E46B5D">
              <w:rPr>
                <w:color w:val="000000"/>
                <w:sz w:val="16"/>
                <w:szCs w:val="16"/>
              </w:rPr>
              <w:t>2,796</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71B4C3AA" w14:textId="77777777">
            <w:pPr>
              <w:widowControl/>
              <w:autoSpaceDE/>
              <w:autoSpaceDN/>
              <w:adjustRightInd/>
              <w:jc w:val="right"/>
              <w:rPr>
                <w:color w:val="000000"/>
                <w:sz w:val="16"/>
                <w:szCs w:val="16"/>
              </w:rPr>
            </w:pPr>
            <w:r w:rsidRPr="00E46B5D">
              <w:rPr>
                <w:color w:val="000000"/>
                <w:sz w:val="16"/>
                <w:szCs w:val="16"/>
              </w:rPr>
              <w:t xml:space="preserve">$239,524 </w:t>
            </w:r>
          </w:p>
        </w:tc>
      </w:tr>
      <w:tr w:rsidRPr="00E46B5D" w:rsidR="00E46B5D" w:rsidTr="00E46B5D" w14:paraId="67BC9BE1"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61EF6E30" w14:textId="77777777">
            <w:pPr>
              <w:widowControl/>
              <w:autoSpaceDE/>
              <w:autoSpaceDN/>
              <w:adjustRightInd/>
              <w:rPr>
                <w:color w:val="000000"/>
                <w:sz w:val="16"/>
                <w:szCs w:val="16"/>
              </w:rPr>
            </w:pPr>
            <w:r w:rsidRPr="00E46B5D">
              <w:rPr>
                <w:color w:val="000000"/>
                <w:sz w:val="16"/>
                <w:szCs w:val="16"/>
              </w:rPr>
              <w:lastRenderedPageBreak/>
              <w:t>Non-TJC Accredited Hospitals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9630BB1" w14:textId="77777777">
            <w:pPr>
              <w:widowControl/>
              <w:autoSpaceDE/>
              <w:autoSpaceDN/>
              <w:adjustRightInd/>
              <w:jc w:val="right"/>
              <w:rPr>
                <w:color w:val="000000"/>
                <w:sz w:val="16"/>
                <w:szCs w:val="16"/>
              </w:rPr>
            </w:pPr>
            <w:r w:rsidRPr="00E46B5D">
              <w:rPr>
                <w:color w:val="000000"/>
                <w:sz w:val="16"/>
                <w:szCs w:val="16"/>
              </w:rPr>
              <w:t>932</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7C4607E"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3B6776C" w14:textId="77777777">
            <w:pPr>
              <w:widowControl/>
              <w:autoSpaceDE/>
              <w:autoSpaceDN/>
              <w:adjustRightInd/>
              <w:jc w:val="right"/>
              <w:rPr>
                <w:color w:val="000000"/>
                <w:sz w:val="16"/>
                <w:szCs w:val="16"/>
              </w:rPr>
            </w:pPr>
            <w:r w:rsidRPr="00E46B5D">
              <w:rPr>
                <w:color w:val="000000"/>
                <w:sz w:val="16"/>
                <w:szCs w:val="16"/>
              </w:rPr>
              <w:t>22</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7A10462B" w14:textId="77777777">
            <w:pPr>
              <w:widowControl/>
              <w:autoSpaceDE/>
              <w:autoSpaceDN/>
              <w:adjustRightInd/>
              <w:jc w:val="right"/>
              <w:rPr>
                <w:color w:val="000000"/>
                <w:sz w:val="16"/>
                <w:szCs w:val="16"/>
              </w:rPr>
            </w:pPr>
            <w:r w:rsidRPr="00E46B5D">
              <w:rPr>
                <w:color w:val="000000"/>
                <w:sz w:val="16"/>
                <w:szCs w:val="16"/>
              </w:rPr>
              <w:t>20,504</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D60DAF4" w14:textId="77777777">
            <w:pPr>
              <w:widowControl/>
              <w:autoSpaceDE/>
              <w:autoSpaceDN/>
              <w:adjustRightInd/>
              <w:jc w:val="right"/>
              <w:rPr>
                <w:color w:val="000000"/>
                <w:sz w:val="16"/>
                <w:szCs w:val="16"/>
              </w:rPr>
            </w:pPr>
            <w:r w:rsidRPr="00E46B5D">
              <w:rPr>
                <w:color w:val="000000"/>
                <w:sz w:val="16"/>
                <w:szCs w:val="16"/>
              </w:rPr>
              <w:t xml:space="preserve">$2,842,600 </w:t>
            </w:r>
          </w:p>
        </w:tc>
      </w:tr>
      <w:tr w:rsidRPr="00E46B5D" w:rsidR="00E46B5D" w:rsidTr="00E46B5D" w14:paraId="28B5911D"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49B4ED64" w14:textId="77777777">
            <w:pPr>
              <w:widowControl/>
              <w:autoSpaceDE/>
              <w:autoSpaceDN/>
              <w:adjustRightInd/>
              <w:rPr>
                <w:color w:val="000000"/>
                <w:sz w:val="16"/>
                <w:szCs w:val="16"/>
              </w:rPr>
            </w:pPr>
            <w:r w:rsidRPr="00E46B5D">
              <w:rPr>
                <w:color w:val="000000"/>
                <w:sz w:val="16"/>
                <w:szCs w:val="16"/>
              </w:rPr>
              <w:t>ICF/IIDs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D03E953" w14:textId="77777777">
            <w:pPr>
              <w:widowControl/>
              <w:autoSpaceDE/>
              <w:autoSpaceDN/>
              <w:adjustRightInd/>
              <w:jc w:val="right"/>
              <w:rPr>
                <w:color w:val="000000"/>
                <w:sz w:val="16"/>
                <w:szCs w:val="16"/>
              </w:rPr>
            </w:pPr>
            <w:r w:rsidRPr="00E46B5D">
              <w:rPr>
                <w:color w:val="000000"/>
                <w:sz w:val="16"/>
                <w:szCs w:val="16"/>
              </w:rPr>
              <w:t>6,178</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A1AE061"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41ED12A" w14:textId="77777777">
            <w:pPr>
              <w:widowControl/>
              <w:autoSpaceDE/>
              <w:autoSpaceDN/>
              <w:adjustRightInd/>
              <w:jc w:val="right"/>
              <w:rPr>
                <w:color w:val="000000"/>
                <w:sz w:val="16"/>
                <w:szCs w:val="16"/>
              </w:rPr>
            </w:pPr>
            <w:r w:rsidRPr="00E46B5D">
              <w:rPr>
                <w:color w:val="000000"/>
                <w:sz w:val="16"/>
                <w:szCs w:val="16"/>
              </w:rPr>
              <w:t>6</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D4B0FA0" w14:textId="77777777">
            <w:pPr>
              <w:widowControl/>
              <w:autoSpaceDE/>
              <w:autoSpaceDN/>
              <w:adjustRightInd/>
              <w:jc w:val="right"/>
              <w:rPr>
                <w:color w:val="000000"/>
                <w:sz w:val="16"/>
                <w:szCs w:val="16"/>
              </w:rPr>
            </w:pPr>
            <w:r w:rsidRPr="00E46B5D">
              <w:rPr>
                <w:color w:val="000000"/>
                <w:sz w:val="16"/>
                <w:szCs w:val="16"/>
              </w:rPr>
              <w:t>37,068</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3A33F07" w14:textId="77777777">
            <w:pPr>
              <w:widowControl/>
              <w:autoSpaceDE/>
              <w:autoSpaceDN/>
              <w:adjustRightInd/>
              <w:jc w:val="right"/>
              <w:rPr>
                <w:color w:val="000000"/>
                <w:sz w:val="16"/>
                <w:szCs w:val="16"/>
              </w:rPr>
            </w:pPr>
            <w:r w:rsidRPr="00E46B5D">
              <w:rPr>
                <w:color w:val="000000"/>
                <w:sz w:val="16"/>
                <w:szCs w:val="16"/>
              </w:rPr>
              <w:t xml:space="preserve">$3,089,000 </w:t>
            </w:r>
          </w:p>
        </w:tc>
      </w:tr>
      <w:tr w:rsidRPr="00E46B5D" w:rsidR="00E46B5D" w:rsidTr="00E46B5D" w14:paraId="7A02A757"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588CC765" w14:textId="77777777">
            <w:pPr>
              <w:widowControl/>
              <w:autoSpaceDE/>
              <w:autoSpaceDN/>
              <w:adjustRightInd/>
              <w:rPr>
                <w:color w:val="000000"/>
                <w:sz w:val="16"/>
                <w:szCs w:val="16"/>
              </w:rPr>
            </w:pPr>
            <w:r w:rsidRPr="00E46B5D">
              <w:rPr>
                <w:color w:val="000000"/>
                <w:sz w:val="16"/>
                <w:szCs w:val="16"/>
              </w:rPr>
              <w:t>Non-TJC Accredited HHAs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BCA60EF" w14:textId="77777777">
            <w:pPr>
              <w:widowControl/>
              <w:autoSpaceDE/>
              <w:autoSpaceDN/>
              <w:adjustRightInd/>
              <w:jc w:val="right"/>
              <w:rPr>
                <w:color w:val="000000"/>
                <w:sz w:val="16"/>
                <w:szCs w:val="16"/>
              </w:rPr>
            </w:pPr>
            <w:r w:rsidRPr="00E46B5D">
              <w:rPr>
                <w:color w:val="000000"/>
                <w:sz w:val="16"/>
                <w:szCs w:val="16"/>
              </w:rPr>
              <w:t>10,618</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DF5723D"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1C2C5798" w14:textId="77777777">
            <w:pPr>
              <w:widowControl/>
              <w:autoSpaceDE/>
              <w:autoSpaceDN/>
              <w:adjustRightInd/>
              <w:jc w:val="right"/>
              <w:rPr>
                <w:color w:val="000000"/>
                <w:sz w:val="16"/>
                <w:szCs w:val="16"/>
              </w:rPr>
            </w:pPr>
            <w:r w:rsidRPr="00E46B5D">
              <w:rPr>
                <w:color w:val="000000"/>
                <w:sz w:val="16"/>
                <w:szCs w:val="16"/>
              </w:rPr>
              <w:t>14</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6C2915FE" w14:textId="77777777">
            <w:pPr>
              <w:widowControl/>
              <w:autoSpaceDE/>
              <w:autoSpaceDN/>
              <w:adjustRightInd/>
              <w:jc w:val="right"/>
              <w:rPr>
                <w:color w:val="000000"/>
                <w:sz w:val="16"/>
                <w:szCs w:val="16"/>
              </w:rPr>
            </w:pPr>
            <w:r w:rsidRPr="00E46B5D">
              <w:rPr>
                <w:color w:val="000000"/>
                <w:sz w:val="16"/>
                <w:szCs w:val="16"/>
              </w:rPr>
              <w:t>148,652</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7F3D9ED1" w14:textId="77777777">
            <w:pPr>
              <w:widowControl/>
              <w:autoSpaceDE/>
              <w:autoSpaceDN/>
              <w:adjustRightInd/>
              <w:jc w:val="right"/>
              <w:rPr>
                <w:color w:val="000000"/>
                <w:sz w:val="16"/>
                <w:szCs w:val="16"/>
              </w:rPr>
            </w:pPr>
            <w:r w:rsidRPr="00E46B5D">
              <w:rPr>
                <w:color w:val="000000"/>
                <w:sz w:val="16"/>
                <w:szCs w:val="16"/>
              </w:rPr>
              <w:t xml:space="preserve">$14,185,648 </w:t>
            </w:r>
          </w:p>
        </w:tc>
      </w:tr>
      <w:tr w:rsidRPr="00E46B5D" w:rsidR="00E46B5D" w:rsidTr="00E46B5D" w14:paraId="223F2B67"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52DAB8B4" w14:textId="77777777">
            <w:pPr>
              <w:widowControl/>
              <w:autoSpaceDE/>
              <w:autoSpaceDN/>
              <w:adjustRightInd/>
              <w:rPr>
                <w:color w:val="000000"/>
                <w:sz w:val="16"/>
                <w:szCs w:val="16"/>
              </w:rPr>
            </w:pPr>
            <w:r w:rsidRPr="00E46B5D">
              <w:rPr>
                <w:color w:val="000000"/>
                <w:sz w:val="16"/>
                <w:szCs w:val="16"/>
              </w:rPr>
              <w:t>TJC-Accredited HHAs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BECB439" w14:textId="77777777">
            <w:pPr>
              <w:widowControl/>
              <w:autoSpaceDE/>
              <w:autoSpaceDN/>
              <w:adjustRightInd/>
              <w:jc w:val="right"/>
              <w:rPr>
                <w:color w:val="000000"/>
                <w:sz w:val="16"/>
                <w:szCs w:val="16"/>
              </w:rPr>
            </w:pPr>
            <w:r w:rsidRPr="00E46B5D">
              <w:rPr>
                <w:color w:val="000000"/>
                <w:sz w:val="16"/>
                <w:szCs w:val="16"/>
              </w:rPr>
              <w:t>1,540</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2CAB896"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6183014" w14:textId="77777777">
            <w:pPr>
              <w:widowControl/>
              <w:autoSpaceDE/>
              <w:autoSpaceDN/>
              <w:adjustRightInd/>
              <w:jc w:val="right"/>
              <w:rPr>
                <w:color w:val="000000"/>
                <w:sz w:val="16"/>
                <w:szCs w:val="16"/>
              </w:rPr>
            </w:pPr>
            <w:r w:rsidRPr="00E46B5D">
              <w:rPr>
                <w:color w:val="000000"/>
                <w:sz w:val="16"/>
                <w:szCs w:val="16"/>
              </w:rPr>
              <w:t>14</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8F94417" w14:textId="77777777">
            <w:pPr>
              <w:widowControl/>
              <w:autoSpaceDE/>
              <w:autoSpaceDN/>
              <w:adjustRightInd/>
              <w:jc w:val="right"/>
              <w:rPr>
                <w:color w:val="000000"/>
                <w:sz w:val="16"/>
                <w:szCs w:val="16"/>
              </w:rPr>
            </w:pPr>
            <w:r w:rsidRPr="00E46B5D">
              <w:rPr>
                <w:color w:val="000000"/>
                <w:sz w:val="16"/>
                <w:szCs w:val="16"/>
              </w:rPr>
              <w:t>21,560</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DB5CB25" w14:textId="77777777">
            <w:pPr>
              <w:widowControl/>
              <w:autoSpaceDE/>
              <w:autoSpaceDN/>
              <w:adjustRightInd/>
              <w:jc w:val="right"/>
              <w:rPr>
                <w:color w:val="000000"/>
                <w:sz w:val="16"/>
                <w:szCs w:val="16"/>
              </w:rPr>
            </w:pPr>
            <w:r w:rsidRPr="00E46B5D">
              <w:rPr>
                <w:color w:val="000000"/>
                <w:sz w:val="16"/>
                <w:szCs w:val="16"/>
              </w:rPr>
              <w:t xml:space="preserve">$2,057,440 </w:t>
            </w:r>
          </w:p>
        </w:tc>
      </w:tr>
      <w:tr w:rsidRPr="00E46B5D" w:rsidR="00E46B5D" w:rsidTr="00E46B5D" w14:paraId="2C218B02"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6C70C38A" w14:textId="77777777">
            <w:pPr>
              <w:widowControl/>
              <w:autoSpaceDE/>
              <w:autoSpaceDN/>
              <w:adjustRightInd/>
              <w:rPr>
                <w:color w:val="000000"/>
                <w:sz w:val="16"/>
                <w:szCs w:val="16"/>
              </w:rPr>
            </w:pPr>
            <w:r w:rsidRPr="00E46B5D">
              <w:rPr>
                <w:color w:val="000000"/>
                <w:sz w:val="16"/>
                <w:szCs w:val="16"/>
              </w:rPr>
              <w:t>CORFs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D0A7D05" w14:textId="77777777">
            <w:pPr>
              <w:widowControl/>
              <w:autoSpaceDE/>
              <w:autoSpaceDN/>
              <w:adjustRightInd/>
              <w:jc w:val="right"/>
              <w:rPr>
                <w:color w:val="000000"/>
                <w:sz w:val="16"/>
                <w:szCs w:val="16"/>
              </w:rPr>
            </w:pPr>
            <w:r w:rsidRPr="00E46B5D">
              <w:rPr>
                <w:color w:val="000000"/>
                <w:sz w:val="16"/>
                <w:szCs w:val="16"/>
              </w:rPr>
              <w:t>188</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66AF445"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6029D188" w14:textId="77777777">
            <w:pPr>
              <w:widowControl/>
              <w:autoSpaceDE/>
              <w:autoSpaceDN/>
              <w:adjustRightInd/>
              <w:jc w:val="right"/>
              <w:rPr>
                <w:color w:val="000000"/>
                <w:sz w:val="16"/>
                <w:szCs w:val="16"/>
              </w:rPr>
            </w:pPr>
            <w:r w:rsidRPr="00E46B5D">
              <w:rPr>
                <w:color w:val="000000"/>
                <w:sz w:val="16"/>
                <w:szCs w:val="16"/>
              </w:rPr>
              <w:t>8</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F583FC6" w14:textId="77777777">
            <w:pPr>
              <w:widowControl/>
              <w:autoSpaceDE/>
              <w:autoSpaceDN/>
              <w:adjustRightInd/>
              <w:jc w:val="right"/>
              <w:rPr>
                <w:color w:val="000000"/>
                <w:sz w:val="16"/>
                <w:szCs w:val="16"/>
              </w:rPr>
            </w:pPr>
            <w:r w:rsidRPr="00E46B5D">
              <w:rPr>
                <w:color w:val="000000"/>
                <w:sz w:val="16"/>
                <w:szCs w:val="16"/>
              </w:rPr>
              <w:t>1,504</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79361F3" w14:textId="77777777">
            <w:pPr>
              <w:widowControl/>
              <w:autoSpaceDE/>
              <w:autoSpaceDN/>
              <w:adjustRightInd/>
              <w:jc w:val="right"/>
              <w:rPr>
                <w:color w:val="000000"/>
                <w:sz w:val="16"/>
                <w:szCs w:val="16"/>
              </w:rPr>
            </w:pPr>
            <w:r w:rsidRPr="00E46B5D">
              <w:rPr>
                <w:color w:val="000000"/>
                <w:sz w:val="16"/>
                <w:szCs w:val="16"/>
              </w:rPr>
              <w:t xml:space="preserve">$144,384 </w:t>
            </w:r>
          </w:p>
        </w:tc>
      </w:tr>
      <w:tr w:rsidRPr="00E46B5D" w:rsidR="00E46B5D" w:rsidTr="00E46B5D" w14:paraId="156C9BBA"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1DDE9C80" w14:textId="77777777">
            <w:pPr>
              <w:widowControl/>
              <w:autoSpaceDE/>
              <w:autoSpaceDN/>
              <w:adjustRightInd/>
              <w:rPr>
                <w:color w:val="000000"/>
                <w:sz w:val="16"/>
                <w:szCs w:val="16"/>
              </w:rPr>
            </w:pPr>
            <w:r w:rsidRPr="00E46B5D">
              <w:rPr>
                <w:color w:val="000000"/>
                <w:sz w:val="16"/>
                <w:szCs w:val="16"/>
              </w:rPr>
              <w:t>Non-TJC Accredited CAHs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026AD00" w14:textId="77777777">
            <w:pPr>
              <w:widowControl/>
              <w:autoSpaceDE/>
              <w:autoSpaceDN/>
              <w:adjustRightInd/>
              <w:jc w:val="right"/>
              <w:rPr>
                <w:color w:val="000000"/>
                <w:sz w:val="16"/>
                <w:szCs w:val="16"/>
              </w:rPr>
            </w:pPr>
            <w:r w:rsidRPr="00E46B5D">
              <w:rPr>
                <w:color w:val="000000"/>
                <w:sz w:val="16"/>
                <w:szCs w:val="16"/>
              </w:rPr>
              <w:t>1,007</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66C78BF3"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1050D6E7" w14:textId="77777777">
            <w:pPr>
              <w:widowControl/>
              <w:autoSpaceDE/>
              <w:autoSpaceDN/>
              <w:adjustRightInd/>
              <w:jc w:val="right"/>
              <w:rPr>
                <w:color w:val="000000"/>
                <w:sz w:val="16"/>
                <w:szCs w:val="16"/>
              </w:rPr>
            </w:pPr>
            <w:r w:rsidRPr="00E46B5D">
              <w:rPr>
                <w:color w:val="000000"/>
                <w:sz w:val="16"/>
                <w:szCs w:val="16"/>
              </w:rPr>
              <w:t>12</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85113D1" w14:textId="77777777">
            <w:pPr>
              <w:widowControl/>
              <w:autoSpaceDE/>
              <w:autoSpaceDN/>
              <w:adjustRightInd/>
              <w:jc w:val="right"/>
              <w:rPr>
                <w:color w:val="000000"/>
                <w:sz w:val="16"/>
                <w:szCs w:val="16"/>
              </w:rPr>
            </w:pPr>
            <w:r w:rsidRPr="00E46B5D">
              <w:rPr>
                <w:color w:val="000000"/>
                <w:sz w:val="16"/>
                <w:szCs w:val="16"/>
              </w:rPr>
              <w:t>12,084</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971FFBC" w14:textId="77777777">
            <w:pPr>
              <w:widowControl/>
              <w:autoSpaceDE/>
              <w:autoSpaceDN/>
              <w:adjustRightInd/>
              <w:jc w:val="right"/>
              <w:rPr>
                <w:color w:val="000000"/>
                <w:sz w:val="16"/>
                <w:szCs w:val="16"/>
              </w:rPr>
            </w:pPr>
            <w:r w:rsidRPr="00E46B5D">
              <w:rPr>
                <w:color w:val="000000"/>
                <w:sz w:val="16"/>
                <w:szCs w:val="16"/>
              </w:rPr>
              <w:t xml:space="preserve">$1,260,764 </w:t>
            </w:r>
          </w:p>
        </w:tc>
      </w:tr>
      <w:tr w:rsidRPr="00E46B5D" w:rsidR="00E46B5D" w:rsidTr="00E46B5D" w14:paraId="491A1F4A"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029EEC8A" w14:textId="77777777">
            <w:pPr>
              <w:widowControl/>
              <w:autoSpaceDE/>
              <w:autoSpaceDN/>
              <w:adjustRightInd/>
              <w:rPr>
                <w:color w:val="000000"/>
                <w:sz w:val="16"/>
                <w:szCs w:val="16"/>
              </w:rPr>
            </w:pPr>
            <w:r w:rsidRPr="00E46B5D">
              <w:rPr>
                <w:color w:val="000000"/>
                <w:sz w:val="16"/>
                <w:szCs w:val="16"/>
              </w:rPr>
              <w:t>PT OT Organizations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5E525ED" w14:textId="77777777">
            <w:pPr>
              <w:widowControl/>
              <w:autoSpaceDE/>
              <w:autoSpaceDN/>
              <w:adjustRightInd/>
              <w:jc w:val="right"/>
              <w:rPr>
                <w:color w:val="000000"/>
                <w:sz w:val="16"/>
                <w:szCs w:val="16"/>
              </w:rPr>
            </w:pPr>
            <w:r w:rsidRPr="00E46B5D">
              <w:rPr>
                <w:color w:val="000000"/>
                <w:sz w:val="16"/>
                <w:szCs w:val="16"/>
              </w:rPr>
              <w:t>2,121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62ECCCFD"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180F93A" w14:textId="77777777">
            <w:pPr>
              <w:widowControl/>
              <w:autoSpaceDE/>
              <w:autoSpaceDN/>
              <w:adjustRightInd/>
              <w:jc w:val="right"/>
              <w:rPr>
                <w:color w:val="000000"/>
                <w:sz w:val="16"/>
                <w:szCs w:val="16"/>
              </w:rPr>
            </w:pPr>
            <w:r w:rsidRPr="00E46B5D">
              <w:rPr>
                <w:color w:val="000000"/>
                <w:sz w:val="16"/>
                <w:szCs w:val="16"/>
              </w:rPr>
              <w:t>6</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BE5EE74" w14:textId="77777777">
            <w:pPr>
              <w:widowControl/>
              <w:autoSpaceDE/>
              <w:autoSpaceDN/>
              <w:adjustRightInd/>
              <w:jc w:val="right"/>
              <w:rPr>
                <w:color w:val="000000"/>
                <w:sz w:val="16"/>
                <w:szCs w:val="16"/>
              </w:rPr>
            </w:pPr>
            <w:r w:rsidRPr="00E46B5D">
              <w:rPr>
                <w:color w:val="000000"/>
                <w:sz w:val="16"/>
                <w:szCs w:val="16"/>
              </w:rPr>
              <w:t>12,726</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7EF99D72" w14:textId="77777777">
            <w:pPr>
              <w:widowControl/>
              <w:autoSpaceDE/>
              <w:autoSpaceDN/>
              <w:adjustRightInd/>
              <w:jc w:val="right"/>
              <w:rPr>
                <w:color w:val="000000"/>
                <w:sz w:val="16"/>
                <w:szCs w:val="16"/>
              </w:rPr>
            </w:pPr>
            <w:r w:rsidRPr="00E46B5D">
              <w:rPr>
                <w:color w:val="000000"/>
                <w:sz w:val="16"/>
                <w:szCs w:val="16"/>
              </w:rPr>
              <w:t xml:space="preserve">$1,200,486 </w:t>
            </w:r>
          </w:p>
        </w:tc>
      </w:tr>
      <w:tr w:rsidRPr="00E46B5D" w:rsidR="00E46B5D" w:rsidTr="00E46B5D" w14:paraId="2917668C"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0A2F43E9" w14:textId="77777777">
            <w:pPr>
              <w:widowControl/>
              <w:autoSpaceDE/>
              <w:autoSpaceDN/>
              <w:adjustRightInd/>
              <w:rPr>
                <w:color w:val="000000"/>
                <w:sz w:val="16"/>
                <w:szCs w:val="16"/>
              </w:rPr>
            </w:pPr>
            <w:r w:rsidRPr="00E46B5D">
              <w:rPr>
                <w:color w:val="000000"/>
                <w:sz w:val="16"/>
                <w:szCs w:val="16"/>
              </w:rPr>
              <w:t>CMHCs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24CF5F2" w14:textId="77777777">
            <w:pPr>
              <w:widowControl/>
              <w:autoSpaceDE/>
              <w:autoSpaceDN/>
              <w:adjustRightInd/>
              <w:jc w:val="right"/>
              <w:rPr>
                <w:color w:val="000000"/>
                <w:sz w:val="16"/>
                <w:szCs w:val="16"/>
              </w:rPr>
            </w:pPr>
            <w:r w:rsidRPr="00E46B5D">
              <w:rPr>
                <w:color w:val="000000"/>
                <w:sz w:val="16"/>
                <w:szCs w:val="16"/>
              </w:rPr>
              <w:t>161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6D841682"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7F607202" w14:textId="77777777">
            <w:pPr>
              <w:widowControl/>
              <w:autoSpaceDE/>
              <w:autoSpaceDN/>
              <w:adjustRightInd/>
              <w:jc w:val="right"/>
              <w:rPr>
                <w:color w:val="000000"/>
                <w:sz w:val="16"/>
                <w:szCs w:val="16"/>
              </w:rPr>
            </w:pPr>
            <w:r w:rsidRPr="00E46B5D">
              <w:rPr>
                <w:color w:val="000000"/>
                <w:sz w:val="16"/>
                <w:szCs w:val="16"/>
              </w:rPr>
              <w:t>12</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202AF70" w14:textId="77777777">
            <w:pPr>
              <w:widowControl/>
              <w:autoSpaceDE/>
              <w:autoSpaceDN/>
              <w:adjustRightInd/>
              <w:jc w:val="right"/>
              <w:rPr>
                <w:color w:val="000000"/>
                <w:sz w:val="16"/>
                <w:szCs w:val="16"/>
              </w:rPr>
            </w:pPr>
            <w:r w:rsidRPr="00E46B5D">
              <w:rPr>
                <w:color w:val="000000"/>
                <w:sz w:val="16"/>
                <w:szCs w:val="16"/>
              </w:rPr>
              <w:t>1,932</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C112724" w14:textId="77777777">
            <w:pPr>
              <w:widowControl/>
              <w:autoSpaceDE/>
              <w:autoSpaceDN/>
              <w:adjustRightInd/>
              <w:jc w:val="right"/>
              <w:rPr>
                <w:color w:val="000000"/>
                <w:sz w:val="16"/>
                <w:szCs w:val="16"/>
              </w:rPr>
            </w:pPr>
            <w:r w:rsidRPr="00E46B5D">
              <w:rPr>
                <w:color w:val="000000"/>
                <w:sz w:val="16"/>
                <w:szCs w:val="16"/>
              </w:rPr>
              <w:t xml:space="preserve">$138,460 </w:t>
            </w:r>
          </w:p>
        </w:tc>
      </w:tr>
      <w:tr w:rsidRPr="00E46B5D" w:rsidR="00E46B5D" w:rsidTr="00E46B5D" w14:paraId="4DCE2B64"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01C5D3DE" w14:textId="77777777">
            <w:pPr>
              <w:widowControl/>
              <w:autoSpaceDE/>
              <w:autoSpaceDN/>
              <w:adjustRightInd/>
              <w:rPr>
                <w:color w:val="000000"/>
                <w:sz w:val="16"/>
                <w:szCs w:val="16"/>
              </w:rPr>
            </w:pPr>
            <w:r w:rsidRPr="00E46B5D">
              <w:rPr>
                <w:color w:val="000000"/>
                <w:sz w:val="16"/>
                <w:szCs w:val="16"/>
              </w:rPr>
              <w:t>OPOs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1D5D984F" w14:textId="77777777">
            <w:pPr>
              <w:widowControl/>
              <w:autoSpaceDE/>
              <w:autoSpaceDN/>
              <w:adjustRightInd/>
              <w:jc w:val="right"/>
              <w:rPr>
                <w:color w:val="000000"/>
                <w:sz w:val="16"/>
                <w:szCs w:val="16"/>
              </w:rPr>
            </w:pPr>
            <w:r w:rsidRPr="00E46B5D">
              <w:rPr>
                <w:color w:val="000000"/>
                <w:sz w:val="16"/>
                <w:szCs w:val="16"/>
              </w:rPr>
              <w:t>58</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AA8CC12"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8A98FF4" w14:textId="77777777">
            <w:pPr>
              <w:widowControl/>
              <w:autoSpaceDE/>
              <w:autoSpaceDN/>
              <w:adjustRightInd/>
              <w:jc w:val="right"/>
              <w:rPr>
                <w:color w:val="000000"/>
                <w:sz w:val="16"/>
                <w:szCs w:val="16"/>
              </w:rPr>
            </w:pPr>
            <w:r w:rsidRPr="00E46B5D">
              <w:rPr>
                <w:color w:val="000000"/>
                <w:sz w:val="16"/>
                <w:szCs w:val="16"/>
              </w:rPr>
              <w:t>16</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C044D13" w14:textId="77777777">
            <w:pPr>
              <w:widowControl/>
              <w:autoSpaceDE/>
              <w:autoSpaceDN/>
              <w:adjustRightInd/>
              <w:jc w:val="right"/>
              <w:rPr>
                <w:color w:val="000000"/>
                <w:sz w:val="16"/>
                <w:szCs w:val="16"/>
              </w:rPr>
            </w:pPr>
            <w:r w:rsidRPr="00E46B5D">
              <w:rPr>
                <w:color w:val="000000"/>
                <w:sz w:val="16"/>
                <w:szCs w:val="16"/>
              </w:rPr>
              <w:t>928</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1C0D85AE" w14:textId="77777777">
            <w:pPr>
              <w:widowControl/>
              <w:autoSpaceDE/>
              <w:autoSpaceDN/>
              <w:adjustRightInd/>
              <w:jc w:val="right"/>
              <w:rPr>
                <w:color w:val="000000"/>
                <w:sz w:val="16"/>
                <w:szCs w:val="16"/>
              </w:rPr>
            </w:pPr>
            <w:r w:rsidRPr="00E46B5D">
              <w:rPr>
                <w:color w:val="000000"/>
                <w:sz w:val="16"/>
                <w:szCs w:val="16"/>
              </w:rPr>
              <w:t xml:space="preserve">$124,352 </w:t>
            </w:r>
          </w:p>
        </w:tc>
      </w:tr>
      <w:tr w:rsidRPr="00E46B5D" w:rsidR="00E46B5D" w:rsidTr="00E46B5D" w14:paraId="7D8E65D2"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79638A98" w14:textId="77777777">
            <w:pPr>
              <w:widowControl/>
              <w:autoSpaceDE/>
              <w:autoSpaceDN/>
              <w:adjustRightInd/>
              <w:rPr>
                <w:color w:val="000000"/>
                <w:sz w:val="16"/>
                <w:szCs w:val="16"/>
              </w:rPr>
            </w:pPr>
            <w:r w:rsidRPr="00E46B5D">
              <w:rPr>
                <w:color w:val="000000"/>
                <w:sz w:val="16"/>
                <w:szCs w:val="16"/>
              </w:rPr>
              <w:t>RHCs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7AC8DF4D" w14:textId="77777777">
            <w:pPr>
              <w:widowControl/>
              <w:autoSpaceDE/>
              <w:autoSpaceDN/>
              <w:adjustRightInd/>
              <w:jc w:val="right"/>
              <w:rPr>
                <w:color w:val="000000"/>
                <w:sz w:val="16"/>
                <w:szCs w:val="16"/>
              </w:rPr>
            </w:pPr>
            <w:r w:rsidRPr="00E46B5D">
              <w:rPr>
                <w:color w:val="000000"/>
                <w:sz w:val="16"/>
                <w:szCs w:val="16"/>
              </w:rPr>
              <w:t>4,160</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72B975E"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E5AB782" w14:textId="77777777">
            <w:pPr>
              <w:widowControl/>
              <w:autoSpaceDE/>
              <w:autoSpaceDN/>
              <w:adjustRightInd/>
              <w:jc w:val="right"/>
              <w:rPr>
                <w:color w:val="000000"/>
                <w:sz w:val="16"/>
                <w:szCs w:val="16"/>
              </w:rPr>
            </w:pPr>
            <w:r w:rsidRPr="00E46B5D">
              <w:rPr>
                <w:color w:val="000000"/>
                <w:sz w:val="16"/>
                <w:szCs w:val="16"/>
              </w:rPr>
              <w:t>8</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693EBF34" w14:textId="77777777">
            <w:pPr>
              <w:widowControl/>
              <w:autoSpaceDE/>
              <w:autoSpaceDN/>
              <w:adjustRightInd/>
              <w:jc w:val="right"/>
              <w:rPr>
                <w:color w:val="000000"/>
                <w:sz w:val="16"/>
                <w:szCs w:val="16"/>
              </w:rPr>
            </w:pPr>
            <w:r w:rsidRPr="00E46B5D">
              <w:rPr>
                <w:color w:val="000000"/>
                <w:sz w:val="16"/>
                <w:szCs w:val="16"/>
              </w:rPr>
              <w:t>33,280</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73A2AF3" w14:textId="77777777">
            <w:pPr>
              <w:widowControl/>
              <w:autoSpaceDE/>
              <w:autoSpaceDN/>
              <w:adjustRightInd/>
              <w:jc w:val="right"/>
              <w:rPr>
                <w:color w:val="000000"/>
                <w:sz w:val="16"/>
                <w:szCs w:val="16"/>
              </w:rPr>
            </w:pPr>
            <w:r w:rsidRPr="00E46B5D">
              <w:rPr>
                <w:color w:val="000000"/>
                <w:sz w:val="16"/>
                <w:szCs w:val="16"/>
              </w:rPr>
              <w:t xml:space="preserve">$3,560,960 </w:t>
            </w:r>
          </w:p>
        </w:tc>
      </w:tr>
      <w:tr w:rsidRPr="00E46B5D" w:rsidR="00E46B5D" w:rsidTr="00E46B5D" w14:paraId="680690EA"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E46B5D" w:rsidR="00E46B5D" w:rsidP="00E46B5D" w:rsidRDefault="00E46B5D" w14:paraId="5AE5164F" w14:textId="77777777">
            <w:pPr>
              <w:widowControl/>
              <w:autoSpaceDE/>
              <w:autoSpaceDN/>
              <w:adjustRightInd/>
              <w:rPr>
                <w:color w:val="000000"/>
                <w:sz w:val="16"/>
                <w:szCs w:val="16"/>
              </w:rPr>
            </w:pPr>
            <w:r w:rsidRPr="00E46B5D">
              <w:rPr>
                <w:color w:val="000000"/>
                <w:sz w:val="16"/>
                <w:szCs w:val="16"/>
              </w:rPr>
              <w:t>FQHCs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195B9A1" w14:textId="77777777">
            <w:pPr>
              <w:widowControl/>
              <w:autoSpaceDE/>
              <w:autoSpaceDN/>
              <w:adjustRightInd/>
              <w:jc w:val="right"/>
              <w:rPr>
                <w:color w:val="000000"/>
                <w:sz w:val="16"/>
                <w:szCs w:val="16"/>
              </w:rPr>
            </w:pPr>
            <w:r w:rsidRPr="00E46B5D">
              <w:rPr>
                <w:color w:val="000000"/>
                <w:sz w:val="16"/>
                <w:szCs w:val="16"/>
              </w:rPr>
              <w:t>7,874</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07FF22AB"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61E1B10B" w14:textId="77777777">
            <w:pPr>
              <w:widowControl/>
              <w:autoSpaceDE/>
              <w:autoSpaceDN/>
              <w:adjustRightInd/>
              <w:jc w:val="right"/>
              <w:rPr>
                <w:color w:val="000000"/>
                <w:sz w:val="16"/>
                <w:szCs w:val="16"/>
              </w:rPr>
            </w:pPr>
            <w:r w:rsidRPr="00E46B5D">
              <w:rPr>
                <w:color w:val="000000"/>
                <w:sz w:val="16"/>
                <w:szCs w:val="16"/>
              </w:rPr>
              <w:t>13</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A51D24E" w14:textId="77777777">
            <w:pPr>
              <w:widowControl/>
              <w:autoSpaceDE/>
              <w:autoSpaceDN/>
              <w:adjustRightInd/>
              <w:jc w:val="right"/>
              <w:rPr>
                <w:color w:val="000000"/>
                <w:sz w:val="16"/>
                <w:szCs w:val="16"/>
              </w:rPr>
            </w:pPr>
            <w:r w:rsidRPr="00E46B5D">
              <w:rPr>
                <w:color w:val="000000"/>
                <w:sz w:val="16"/>
                <w:szCs w:val="16"/>
              </w:rPr>
              <w:t>102,362</w:t>
            </w:r>
          </w:p>
        </w:tc>
        <w:tc>
          <w:tcPr>
            <w:tcW w:w="11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1FFDD5FA" w14:textId="77777777">
            <w:pPr>
              <w:widowControl/>
              <w:autoSpaceDE/>
              <w:autoSpaceDN/>
              <w:adjustRightInd/>
              <w:jc w:val="right"/>
              <w:rPr>
                <w:color w:val="000000"/>
                <w:sz w:val="16"/>
                <w:szCs w:val="16"/>
              </w:rPr>
            </w:pPr>
            <w:r w:rsidRPr="00E46B5D">
              <w:rPr>
                <w:color w:val="000000"/>
                <w:sz w:val="16"/>
                <w:szCs w:val="16"/>
              </w:rPr>
              <w:t xml:space="preserve">$11,346,434 </w:t>
            </w:r>
          </w:p>
        </w:tc>
      </w:tr>
      <w:tr w:rsidRPr="00E46B5D" w:rsidR="00E46B5D" w:rsidTr="00E46B5D" w14:paraId="370DB7E0" w14:textId="77777777">
        <w:trPr>
          <w:trHeight w:val="315"/>
        </w:trPr>
        <w:tc>
          <w:tcPr>
            <w:tcW w:w="4500" w:type="dxa"/>
            <w:tcBorders>
              <w:top w:val="nil"/>
              <w:left w:val="single" w:color="auto" w:sz="8" w:space="0"/>
              <w:bottom w:val="single" w:color="auto" w:sz="8" w:space="0"/>
              <w:right w:val="single" w:color="auto" w:sz="8" w:space="0"/>
            </w:tcBorders>
            <w:shd w:val="clear" w:color="auto" w:fill="auto"/>
            <w:noWrap/>
            <w:vAlign w:val="center"/>
            <w:hideMark/>
          </w:tcPr>
          <w:p w:rsidRPr="00E46B5D" w:rsidR="00E46B5D" w:rsidP="00E46B5D" w:rsidRDefault="00E46B5D" w14:paraId="5EF24A95" w14:textId="77777777">
            <w:pPr>
              <w:widowControl/>
              <w:autoSpaceDE/>
              <w:autoSpaceDN/>
              <w:adjustRightInd/>
              <w:rPr>
                <w:color w:val="000000"/>
                <w:sz w:val="16"/>
                <w:szCs w:val="16"/>
              </w:rPr>
            </w:pPr>
            <w:r w:rsidRPr="00E46B5D">
              <w:rPr>
                <w:color w:val="000000"/>
                <w:sz w:val="16"/>
                <w:szCs w:val="16"/>
              </w:rPr>
              <w:t>ESRD Facilities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10240D59" w14:textId="77777777">
            <w:pPr>
              <w:widowControl/>
              <w:autoSpaceDE/>
              <w:autoSpaceDN/>
              <w:adjustRightInd/>
              <w:jc w:val="right"/>
              <w:rPr>
                <w:color w:val="000000"/>
                <w:sz w:val="16"/>
                <w:szCs w:val="16"/>
              </w:rPr>
            </w:pPr>
            <w:r w:rsidRPr="00E46B5D">
              <w:rPr>
                <w:color w:val="000000"/>
                <w:sz w:val="16"/>
                <w:szCs w:val="16"/>
              </w:rPr>
              <w:t>6,898</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5220D34B" w14:textId="77777777">
            <w:pPr>
              <w:widowControl/>
              <w:autoSpaceDE/>
              <w:autoSpaceDN/>
              <w:adjustRightInd/>
              <w:jc w:val="right"/>
              <w:rPr>
                <w:color w:val="000000"/>
                <w:sz w:val="16"/>
                <w:szCs w:val="16"/>
              </w:rPr>
            </w:pPr>
            <w:r w:rsidRPr="00E46B5D">
              <w:rPr>
                <w:color w:val="000000"/>
                <w:sz w:val="16"/>
                <w:szCs w:val="16"/>
              </w:rPr>
              <w:t>1</w:t>
            </w:r>
          </w:p>
        </w:tc>
        <w:tc>
          <w:tcPr>
            <w:tcW w:w="960" w:type="dxa"/>
            <w:tcBorders>
              <w:top w:val="nil"/>
              <w:left w:val="nil"/>
              <w:bottom w:val="single" w:color="auto" w:sz="8" w:space="0"/>
              <w:right w:val="single" w:color="auto" w:sz="8" w:space="0"/>
            </w:tcBorders>
            <w:shd w:val="clear" w:color="auto" w:fill="auto"/>
            <w:noWrap/>
            <w:vAlign w:val="center"/>
            <w:hideMark/>
          </w:tcPr>
          <w:p w:rsidRPr="00E46B5D" w:rsidR="00E46B5D" w:rsidP="00E46B5D" w:rsidRDefault="00E46B5D" w14:paraId="5056B46B" w14:textId="77777777">
            <w:pPr>
              <w:widowControl/>
              <w:autoSpaceDE/>
              <w:autoSpaceDN/>
              <w:adjustRightInd/>
              <w:jc w:val="right"/>
              <w:rPr>
                <w:color w:val="000000"/>
                <w:sz w:val="16"/>
                <w:szCs w:val="16"/>
              </w:rPr>
            </w:pPr>
            <w:r w:rsidRPr="00E46B5D">
              <w:rPr>
                <w:color w:val="000000"/>
                <w:sz w:val="16"/>
                <w:szCs w:val="16"/>
              </w:rPr>
              <w:t>12</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29545459" w14:textId="77777777">
            <w:pPr>
              <w:widowControl/>
              <w:autoSpaceDE/>
              <w:autoSpaceDN/>
              <w:adjustRightInd/>
              <w:jc w:val="right"/>
              <w:rPr>
                <w:color w:val="000000"/>
                <w:sz w:val="16"/>
                <w:szCs w:val="16"/>
              </w:rPr>
            </w:pPr>
            <w:r w:rsidRPr="00E46B5D">
              <w:rPr>
                <w:color w:val="000000"/>
                <w:sz w:val="16"/>
                <w:szCs w:val="16"/>
              </w:rPr>
              <w:t>82,776</w:t>
            </w:r>
          </w:p>
        </w:tc>
        <w:tc>
          <w:tcPr>
            <w:tcW w:w="1160" w:type="dxa"/>
            <w:tcBorders>
              <w:top w:val="nil"/>
              <w:left w:val="nil"/>
              <w:bottom w:val="single" w:color="auto" w:sz="8" w:space="0"/>
              <w:right w:val="single" w:color="auto" w:sz="8" w:space="0"/>
            </w:tcBorders>
            <w:shd w:val="clear" w:color="auto" w:fill="auto"/>
            <w:noWrap/>
            <w:vAlign w:val="center"/>
            <w:hideMark/>
          </w:tcPr>
          <w:p w:rsidRPr="00E46B5D" w:rsidR="00E46B5D" w:rsidP="00E46B5D" w:rsidRDefault="00E46B5D" w14:paraId="2334AE41" w14:textId="77777777">
            <w:pPr>
              <w:widowControl/>
              <w:autoSpaceDE/>
              <w:autoSpaceDN/>
              <w:adjustRightInd/>
              <w:jc w:val="right"/>
              <w:rPr>
                <w:color w:val="000000"/>
                <w:sz w:val="16"/>
                <w:szCs w:val="16"/>
              </w:rPr>
            </w:pPr>
            <w:r w:rsidRPr="00E46B5D">
              <w:rPr>
                <w:color w:val="000000"/>
                <w:sz w:val="16"/>
                <w:szCs w:val="16"/>
              </w:rPr>
              <w:t xml:space="preserve">$12,057,704 </w:t>
            </w:r>
          </w:p>
        </w:tc>
      </w:tr>
      <w:tr w:rsidRPr="00E46B5D" w:rsidR="00E46B5D" w:rsidTr="00E46B5D" w14:paraId="7CDC09CE" w14:textId="77777777">
        <w:trPr>
          <w:trHeight w:val="315"/>
        </w:trPr>
        <w:tc>
          <w:tcPr>
            <w:tcW w:w="4500" w:type="dxa"/>
            <w:tcBorders>
              <w:top w:val="nil"/>
              <w:left w:val="single" w:color="auto" w:sz="8" w:space="0"/>
              <w:bottom w:val="single" w:color="auto" w:sz="8" w:space="0"/>
              <w:right w:val="single" w:color="auto" w:sz="8" w:space="0"/>
            </w:tcBorders>
            <w:shd w:val="clear" w:color="auto" w:fill="auto"/>
            <w:noWrap/>
            <w:vAlign w:val="center"/>
            <w:hideMark/>
          </w:tcPr>
          <w:p w:rsidRPr="00E46B5D" w:rsidR="00E46B5D" w:rsidP="00E46B5D" w:rsidRDefault="00E46B5D" w14:paraId="2453D20F" w14:textId="77777777">
            <w:pPr>
              <w:widowControl/>
              <w:autoSpaceDE/>
              <w:autoSpaceDN/>
              <w:adjustRightInd/>
              <w:jc w:val="center"/>
              <w:rPr>
                <w:b/>
                <w:bCs/>
                <w:color w:val="000000"/>
                <w:sz w:val="16"/>
                <w:szCs w:val="16"/>
              </w:rPr>
            </w:pPr>
            <w:r w:rsidRPr="00E46B5D">
              <w:rPr>
                <w:b/>
                <w:bCs/>
                <w:color w:val="000000"/>
                <w:sz w:val="16"/>
                <w:szCs w:val="16"/>
              </w:rPr>
              <w:t>Totals</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3EAE6071" w14:textId="77777777">
            <w:pPr>
              <w:widowControl/>
              <w:autoSpaceDE/>
              <w:autoSpaceDN/>
              <w:adjustRightInd/>
              <w:jc w:val="right"/>
              <w:rPr>
                <w:b/>
                <w:bCs/>
                <w:color w:val="000000"/>
                <w:sz w:val="16"/>
                <w:szCs w:val="16"/>
              </w:rPr>
            </w:pPr>
            <w:r w:rsidRPr="00E46B5D">
              <w:rPr>
                <w:b/>
                <w:bCs/>
                <w:color w:val="000000"/>
                <w:sz w:val="16"/>
                <w:szCs w:val="16"/>
              </w:rPr>
              <w:t>52,242</w:t>
            </w:r>
          </w:p>
        </w:tc>
        <w:tc>
          <w:tcPr>
            <w:tcW w:w="960" w:type="dxa"/>
            <w:tcBorders>
              <w:top w:val="nil"/>
              <w:left w:val="nil"/>
              <w:bottom w:val="single" w:color="auto" w:sz="8" w:space="0"/>
              <w:right w:val="single" w:color="auto" w:sz="8" w:space="0"/>
            </w:tcBorders>
            <w:shd w:val="clear" w:color="auto" w:fill="auto"/>
            <w:vAlign w:val="center"/>
            <w:hideMark/>
          </w:tcPr>
          <w:p w:rsidRPr="00E46B5D" w:rsidR="00E46B5D" w:rsidP="00E46B5D" w:rsidRDefault="00E46B5D" w14:paraId="42B6A478" w14:textId="77777777">
            <w:pPr>
              <w:widowControl/>
              <w:autoSpaceDE/>
              <w:autoSpaceDN/>
              <w:adjustRightInd/>
              <w:jc w:val="right"/>
              <w:rPr>
                <w:b/>
                <w:bCs/>
                <w:color w:val="000000"/>
                <w:sz w:val="16"/>
                <w:szCs w:val="16"/>
              </w:rPr>
            </w:pPr>
            <w:r w:rsidRPr="00E46B5D">
              <w:rPr>
                <w:b/>
                <w:bCs/>
                <w:color w:val="000000"/>
                <w:sz w:val="16"/>
                <w:szCs w:val="16"/>
              </w:rPr>
              <w:t> </w:t>
            </w:r>
          </w:p>
        </w:tc>
        <w:tc>
          <w:tcPr>
            <w:tcW w:w="960" w:type="dxa"/>
            <w:tcBorders>
              <w:top w:val="nil"/>
              <w:left w:val="nil"/>
              <w:bottom w:val="single" w:color="auto" w:sz="8" w:space="0"/>
              <w:right w:val="single" w:color="auto" w:sz="8" w:space="0"/>
            </w:tcBorders>
            <w:shd w:val="clear" w:color="auto" w:fill="auto"/>
            <w:noWrap/>
            <w:vAlign w:val="center"/>
            <w:hideMark/>
          </w:tcPr>
          <w:p w:rsidRPr="00E46B5D" w:rsidR="00E46B5D" w:rsidP="00E46B5D" w:rsidRDefault="00E46B5D" w14:paraId="73D06C21" w14:textId="77777777">
            <w:pPr>
              <w:widowControl/>
              <w:autoSpaceDE/>
              <w:autoSpaceDN/>
              <w:adjustRightInd/>
              <w:jc w:val="right"/>
              <w:rPr>
                <w:b/>
                <w:bCs/>
                <w:color w:val="000000"/>
                <w:sz w:val="16"/>
                <w:szCs w:val="16"/>
              </w:rPr>
            </w:pPr>
            <w:r w:rsidRPr="00E46B5D">
              <w:rPr>
                <w:b/>
                <w:bCs/>
                <w:color w:val="000000"/>
                <w:sz w:val="16"/>
                <w:szCs w:val="16"/>
              </w:rPr>
              <w:t>211.5</w:t>
            </w:r>
          </w:p>
        </w:tc>
        <w:tc>
          <w:tcPr>
            <w:tcW w:w="960" w:type="dxa"/>
            <w:tcBorders>
              <w:top w:val="nil"/>
              <w:left w:val="nil"/>
              <w:bottom w:val="single" w:color="auto" w:sz="8" w:space="0"/>
              <w:right w:val="single" w:color="auto" w:sz="8" w:space="0"/>
            </w:tcBorders>
            <w:shd w:val="clear" w:color="auto" w:fill="auto"/>
            <w:noWrap/>
            <w:vAlign w:val="center"/>
            <w:hideMark/>
          </w:tcPr>
          <w:p w:rsidRPr="00E46B5D" w:rsidR="00E46B5D" w:rsidP="00E46B5D" w:rsidRDefault="00E46B5D" w14:paraId="1DD11458" w14:textId="77777777">
            <w:pPr>
              <w:widowControl/>
              <w:autoSpaceDE/>
              <w:autoSpaceDN/>
              <w:adjustRightInd/>
              <w:jc w:val="right"/>
              <w:rPr>
                <w:b/>
                <w:bCs/>
                <w:color w:val="000000"/>
                <w:sz w:val="16"/>
                <w:szCs w:val="16"/>
              </w:rPr>
            </w:pPr>
            <w:r w:rsidRPr="00E46B5D">
              <w:rPr>
                <w:b/>
                <w:bCs/>
                <w:color w:val="000000"/>
                <w:sz w:val="16"/>
                <w:szCs w:val="16"/>
              </w:rPr>
              <w:t>600,681</w:t>
            </w:r>
          </w:p>
        </w:tc>
        <w:tc>
          <w:tcPr>
            <w:tcW w:w="1160" w:type="dxa"/>
            <w:tcBorders>
              <w:top w:val="nil"/>
              <w:left w:val="nil"/>
              <w:bottom w:val="single" w:color="auto" w:sz="8" w:space="0"/>
              <w:right w:val="single" w:color="auto" w:sz="8" w:space="0"/>
            </w:tcBorders>
            <w:shd w:val="clear" w:color="auto" w:fill="auto"/>
            <w:noWrap/>
            <w:vAlign w:val="center"/>
            <w:hideMark/>
          </w:tcPr>
          <w:p w:rsidRPr="00E46B5D" w:rsidR="00E46B5D" w:rsidP="00E46B5D" w:rsidRDefault="00E46B5D" w14:paraId="79062C3D" w14:textId="77777777">
            <w:pPr>
              <w:widowControl/>
              <w:autoSpaceDE/>
              <w:autoSpaceDN/>
              <w:adjustRightInd/>
              <w:jc w:val="right"/>
              <w:rPr>
                <w:b/>
                <w:bCs/>
                <w:color w:val="000000"/>
                <w:sz w:val="16"/>
                <w:szCs w:val="16"/>
              </w:rPr>
            </w:pPr>
            <w:r w:rsidRPr="00E46B5D">
              <w:rPr>
                <w:b/>
                <w:bCs/>
                <w:color w:val="000000"/>
                <w:sz w:val="16"/>
                <w:szCs w:val="16"/>
              </w:rPr>
              <w:t xml:space="preserve">$62,208,954 </w:t>
            </w:r>
          </w:p>
        </w:tc>
      </w:tr>
    </w:tbl>
    <w:p w:rsidR="00CF2409" w:rsidP="00D55363" w:rsidRDefault="00CF2409" w14:paraId="7ECB663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AA0385" w:rsidP="00D55363" w:rsidRDefault="00AA0385" w14:paraId="5C1D9FE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A55126" w:rsidP="00D55363" w:rsidRDefault="00AA0385" w14:paraId="778B484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AA0385">
        <w:rPr>
          <w:sz w:val="24"/>
          <w:u w:val="single"/>
        </w:rPr>
        <w:t>Policies and procedures</w:t>
      </w:r>
      <w:r w:rsidR="00917BDA">
        <w:rPr>
          <w:sz w:val="24"/>
          <w:u w:val="single"/>
        </w:rPr>
        <w:t>—§403.748(b), §416.54(b), §418.80(b), §441.184(b), §460.84(b), §482.15(b), §482.78(b), §483.73(b), §483.475(b), §484.22(b), §485.68(b), §485.625(b), §485.727(b), §485.920(b), §491.12(b), §494.62(b)</w:t>
      </w:r>
    </w:p>
    <w:p w:rsidR="00A0373A" w:rsidP="00D55363" w:rsidRDefault="00A0373A" w14:paraId="356118A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A0373A" w:rsidP="00A0373A" w:rsidRDefault="00BE1B0E" w14:paraId="68FB6328" w14:textId="7F0A399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P</w:t>
      </w:r>
      <w:r w:rsidR="009B4D6B">
        <w:rPr>
          <w:sz w:val="24"/>
        </w:rPr>
        <w:t xml:space="preserve">roviders and suppliers </w:t>
      </w:r>
      <w:r>
        <w:rPr>
          <w:sz w:val="24"/>
        </w:rPr>
        <w:t>are required to</w:t>
      </w:r>
      <w:r w:rsidR="00A0373A">
        <w:rPr>
          <w:sz w:val="24"/>
        </w:rPr>
        <w:t xml:space="preserve"> maintain emergency preparedness policies and procedures in accordance with their emergency plan, risk assessment, and communication plan.  </w:t>
      </w:r>
      <w:r w:rsidR="004953BF">
        <w:rPr>
          <w:sz w:val="24"/>
        </w:rPr>
        <w:t>E</w:t>
      </w:r>
      <w:r w:rsidR="00070F26">
        <w:rPr>
          <w:sz w:val="24"/>
        </w:rPr>
        <w:t>ach</w:t>
      </w:r>
      <w:r w:rsidRPr="000F335A" w:rsidR="00070F26">
        <w:rPr>
          <w:sz w:val="24"/>
        </w:rPr>
        <w:t xml:space="preserve"> </w:t>
      </w:r>
      <w:r>
        <w:rPr>
          <w:sz w:val="24"/>
        </w:rPr>
        <w:t xml:space="preserve">needs to </w:t>
      </w:r>
      <w:r w:rsidRPr="000F335A" w:rsidR="00070F26">
        <w:rPr>
          <w:sz w:val="24"/>
        </w:rPr>
        <w:t>review their emergency preparedness policies and procedures</w:t>
      </w:r>
      <w:r w:rsidR="004953BF">
        <w:rPr>
          <w:sz w:val="24"/>
        </w:rPr>
        <w:t xml:space="preserve"> and</w:t>
      </w:r>
      <w:r w:rsidRPr="000F335A" w:rsidR="00070F26">
        <w:rPr>
          <w:sz w:val="24"/>
        </w:rPr>
        <w:t xml:space="preserve"> revise, or in some cases, develop new policies and procedures that would ensure that the emergency preparedness plans address the specific </w:t>
      </w:r>
      <w:r w:rsidR="004953BF">
        <w:rPr>
          <w:sz w:val="24"/>
        </w:rPr>
        <w:t xml:space="preserve">requirements of </w:t>
      </w:r>
      <w:r>
        <w:rPr>
          <w:sz w:val="24"/>
        </w:rPr>
        <w:t xml:space="preserve">the </w:t>
      </w:r>
      <w:r w:rsidR="004953BF">
        <w:rPr>
          <w:sz w:val="24"/>
        </w:rPr>
        <w:t>regulation</w:t>
      </w:r>
      <w:r>
        <w:rPr>
          <w:sz w:val="24"/>
        </w:rPr>
        <w:t>s</w:t>
      </w:r>
      <w:r w:rsidRPr="000F335A" w:rsidR="00070F26">
        <w:rPr>
          <w:sz w:val="24"/>
        </w:rPr>
        <w:t xml:space="preserve">.  </w:t>
      </w:r>
    </w:p>
    <w:p w:rsidR="001F627B" w:rsidP="00A0373A" w:rsidRDefault="001F627B" w14:paraId="705C4A74" w14:textId="2A72192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8241F6" w:rsidR="001F627B" w:rsidP="00A0373A" w:rsidRDefault="001F627B" w14:paraId="125D9036" w14:textId="2E42E2A1">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1F627B">
        <w:rPr>
          <w:sz w:val="24"/>
        </w:rPr>
        <w:t xml:space="preserve">Consistent with the implementing regulations at 81 FR 63860, we believe that the requirement for providers to review and update their </w:t>
      </w:r>
      <w:r w:rsidR="0080082D">
        <w:rPr>
          <w:sz w:val="24"/>
        </w:rPr>
        <w:t>policies and procedures</w:t>
      </w:r>
      <w:r w:rsidRPr="001F627B">
        <w:rPr>
          <w:sz w:val="24"/>
        </w:rPr>
        <w:t xml:space="preserve"> annually constitutes a usual and customary business practice and is not subject to the PRA in accordance with 5 CFR §1320.3(b)(2).</w:t>
      </w:r>
    </w:p>
    <w:p w:rsidR="002E2936" w:rsidRDefault="002E2936" w14:paraId="794A49A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2E2936" w:rsidP="002F7BC5" w:rsidRDefault="002E2936" w14:paraId="04B9DCC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AA0385" w:rsidP="00D55363" w:rsidRDefault="00AA0385" w14:paraId="6956AB4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AA0385">
        <w:rPr>
          <w:sz w:val="24"/>
          <w:u w:val="single"/>
        </w:rPr>
        <w:t>Communication plan</w:t>
      </w:r>
      <w:r w:rsidR="00917BDA">
        <w:rPr>
          <w:sz w:val="24"/>
          <w:u w:val="single"/>
        </w:rPr>
        <w:t>—§403.748(c), §416.54(c), §418.80(c), §441.184(c), §460.84(c), §482.15(c), §483.73(c), §483.475(c), §484.22(c), §485.68(c), §485.625(c), §485.727(c), §485.920(c), §491.12(c), §494.62(c)</w:t>
      </w:r>
    </w:p>
    <w:p w:rsidR="00A0373A" w:rsidP="00D55363" w:rsidRDefault="00A0373A" w14:paraId="3CF5DAD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4E1A54" w:rsidP="00A0373A" w:rsidRDefault="001F627B" w14:paraId="3ED8992F" w14:textId="4B53AF3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Providers</w:t>
      </w:r>
      <w:r w:rsidR="00A0373A">
        <w:rPr>
          <w:sz w:val="24"/>
        </w:rPr>
        <w:t xml:space="preserve"> and suppliers</w:t>
      </w:r>
      <w:r>
        <w:rPr>
          <w:sz w:val="24"/>
        </w:rPr>
        <w:t xml:space="preserve"> are required</w:t>
      </w:r>
      <w:r w:rsidR="00A0373A">
        <w:rPr>
          <w:sz w:val="24"/>
        </w:rPr>
        <w:t xml:space="preserve"> </w:t>
      </w:r>
      <w:r w:rsidR="004953BF">
        <w:rPr>
          <w:sz w:val="24"/>
        </w:rPr>
        <w:t xml:space="preserve">to </w:t>
      </w:r>
      <w:r w:rsidR="00A0373A">
        <w:rPr>
          <w:sz w:val="24"/>
        </w:rPr>
        <w:t>develop and mai</w:t>
      </w:r>
      <w:r w:rsidRPr="000F335A" w:rsidR="00A0373A">
        <w:rPr>
          <w:sz w:val="24"/>
        </w:rPr>
        <w:t>ntain an emergency preparedness communication plan that complies with both federal and state law and must be reviewed and updated at least annually</w:t>
      </w:r>
      <w:r w:rsidR="00A0373A">
        <w:rPr>
          <w:sz w:val="24"/>
        </w:rPr>
        <w:t>.</w:t>
      </w:r>
      <w:r w:rsidR="004E1A54">
        <w:rPr>
          <w:sz w:val="24"/>
        </w:rPr>
        <w:t xml:space="preserve">  The burden associated with this requirement would be the time and effort necessary to review, revise, and if necessary, develop </w:t>
      </w:r>
      <w:r w:rsidR="00AB24B4">
        <w:rPr>
          <w:sz w:val="24"/>
        </w:rPr>
        <w:t xml:space="preserve">a </w:t>
      </w:r>
      <w:r w:rsidR="004E1A54">
        <w:rPr>
          <w:sz w:val="24"/>
        </w:rPr>
        <w:t xml:space="preserve">new communications plan to ensure that it complies with the requirements of this </w:t>
      </w:r>
      <w:r w:rsidR="004953BF">
        <w:rPr>
          <w:sz w:val="24"/>
        </w:rPr>
        <w:t>regulation</w:t>
      </w:r>
      <w:r w:rsidR="004E1A54">
        <w:rPr>
          <w:sz w:val="24"/>
        </w:rPr>
        <w:t xml:space="preserve">. </w:t>
      </w:r>
      <w:r w:rsidR="004953BF">
        <w:rPr>
          <w:sz w:val="24"/>
        </w:rPr>
        <w:t>However, w</w:t>
      </w:r>
      <w:r w:rsidR="004E1A54">
        <w:rPr>
          <w:sz w:val="24"/>
        </w:rPr>
        <w:t xml:space="preserve">e believe that most providers have some type of emergency preparedness communication plan. </w:t>
      </w:r>
      <w:r w:rsidRPr="000F335A" w:rsidR="004E1A54">
        <w:rPr>
          <w:sz w:val="24"/>
        </w:rPr>
        <w:t xml:space="preserve">It is standard practice in the health care industry to have and maintain contact information for both staff and outside sources of assistance; alternate means of communications in case there </w:t>
      </w:r>
      <w:r w:rsidRPr="000F335A" w:rsidR="004E1A54">
        <w:rPr>
          <w:sz w:val="24"/>
        </w:rPr>
        <w:lastRenderedPageBreak/>
        <w:t>is an interruption in phone service to the facility, such as cell phones; and a method for sharing information and medical documentation with other health care providers to ensure continuity of care for their patients.</w:t>
      </w:r>
    </w:p>
    <w:p w:rsidR="00070F26" w:rsidP="00A0373A" w:rsidRDefault="00070F26" w14:paraId="1679735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8241F6" w:rsidR="00070F26" w:rsidP="00A0373A" w:rsidRDefault="008E4227" w14:paraId="4C49E30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 xml:space="preserve">The </w:t>
      </w:r>
      <w:r w:rsidR="004E1A54">
        <w:rPr>
          <w:sz w:val="24"/>
        </w:rPr>
        <w:t>TJC</w:t>
      </w:r>
      <w:r>
        <w:rPr>
          <w:sz w:val="24"/>
        </w:rPr>
        <w:t xml:space="preserve"> has communication plan requirements for a</w:t>
      </w:r>
      <w:r w:rsidR="004E1A54">
        <w:rPr>
          <w:sz w:val="24"/>
        </w:rPr>
        <w:t xml:space="preserve">ccredited ASCs </w:t>
      </w:r>
      <w:r>
        <w:rPr>
          <w:sz w:val="24"/>
        </w:rPr>
        <w:t xml:space="preserve">and hospitals that satisfy the emergency preparedness requirements of this regulation. </w:t>
      </w:r>
      <w:r w:rsidRPr="004E1A54" w:rsidR="004E1A54">
        <w:rPr>
          <w:sz w:val="24"/>
        </w:rPr>
        <w:t>If any revisions or additions are necessary to satisfy the requirements, we expect the revisions or additions would be those incurred during the course of normal business and thereby impose no add</w:t>
      </w:r>
      <w:r w:rsidR="004E1A54">
        <w:rPr>
          <w:sz w:val="24"/>
        </w:rPr>
        <w:t xml:space="preserve">itional burden.  Thus, for the </w:t>
      </w:r>
      <w:r w:rsidRPr="004E1A54" w:rsidR="004E1A54">
        <w:rPr>
          <w:sz w:val="24"/>
        </w:rPr>
        <w:t>TJC-accredited ASCs</w:t>
      </w:r>
      <w:r>
        <w:rPr>
          <w:sz w:val="24"/>
        </w:rPr>
        <w:t xml:space="preserve"> and hospitals</w:t>
      </w:r>
      <w:r w:rsidRPr="004E1A54" w:rsidR="004E1A54">
        <w:rPr>
          <w:sz w:val="24"/>
        </w:rPr>
        <w:t xml:space="preserve">, the </w:t>
      </w:r>
      <w:r>
        <w:rPr>
          <w:sz w:val="24"/>
        </w:rPr>
        <w:t>ICRs related to the</w:t>
      </w:r>
      <w:r w:rsidRPr="004E1A54" w:rsidR="004E1A54">
        <w:rPr>
          <w:sz w:val="24"/>
        </w:rPr>
        <w:t xml:space="preserve"> communication plan would constitute a usual and customary business practice as stated in</w:t>
      </w:r>
      <w:r w:rsidR="0069205B">
        <w:rPr>
          <w:sz w:val="24"/>
        </w:rPr>
        <w:t xml:space="preserve"> the implementing regulations of the PRA at </w:t>
      </w:r>
      <w:r w:rsidRPr="004E1A54" w:rsidR="004E1A54">
        <w:rPr>
          <w:sz w:val="24"/>
        </w:rPr>
        <w:t xml:space="preserve">5 CFR §1320.3(b)(2).  Thus, we </w:t>
      </w:r>
      <w:r w:rsidR="004E1A54">
        <w:rPr>
          <w:sz w:val="24"/>
        </w:rPr>
        <w:t>did</w:t>
      </w:r>
      <w:r w:rsidRPr="004E1A54" w:rsidR="004E1A54">
        <w:rPr>
          <w:sz w:val="24"/>
        </w:rPr>
        <w:t xml:space="preserve"> not include this activity in the burden analysis.</w:t>
      </w:r>
    </w:p>
    <w:p w:rsidR="00A0373A" w:rsidP="00A0373A" w:rsidRDefault="00A0373A" w14:paraId="4998A13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1F627B" w:rsidP="001F627B" w:rsidRDefault="001F627B" w14:paraId="54CA2070" w14:textId="7862AA4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 xml:space="preserve">Consistent with the implementing regulations at 81 FR 63860, we believe that the requirement for providers to review and update their emergency preparedness communication plans annually constitutes a usual and customary business practice and is not subject to the PRA in accordance with 5 CFR </w:t>
      </w:r>
      <w:r w:rsidRPr="00586BFD">
        <w:rPr>
          <w:sz w:val="24"/>
        </w:rPr>
        <w:t>§</w:t>
      </w:r>
      <w:r>
        <w:rPr>
          <w:sz w:val="24"/>
        </w:rPr>
        <w:t>1320.3(b)(2).</w:t>
      </w:r>
    </w:p>
    <w:p w:rsidR="007273AF" w:rsidP="00D55363" w:rsidRDefault="007273AF" w14:paraId="6282B0F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D075E6" w:rsidP="00D55363" w:rsidRDefault="00D075E6" w14:paraId="4ACC0817" w14:textId="257B663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AA0385" w:rsidP="00D55363" w:rsidRDefault="00AA0385" w14:paraId="105F26B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AA0385">
        <w:rPr>
          <w:sz w:val="24"/>
          <w:u w:val="single"/>
        </w:rPr>
        <w:t>Training and testing</w:t>
      </w:r>
      <w:r w:rsidR="00917BDA">
        <w:rPr>
          <w:sz w:val="24"/>
          <w:u w:val="single"/>
        </w:rPr>
        <w:t>—§403.748(d), §416.54(d), §418.80(d), §441.184(d), §460.84(d), §482.15(d), §483.73(d), §483.475(d), §484.22(d), §485.68(d), §485.625(d), §485.727(d), §485.920(d), §491.12(d), §494.62(d)</w:t>
      </w:r>
    </w:p>
    <w:p w:rsidR="008241F6" w:rsidP="00D55363" w:rsidRDefault="008241F6" w14:paraId="2D5CCB1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A0373A" w:rsidP="00A0373A" w:rsidRDefault="002329DB" w14:paraId="5BE8FDD0" w14:textId="72BC3D3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rPr>
        <w:t>P</w:t>
      </w:r>
      <w:r w:rsidR="008E4227">
        <w:rPr>
          <w:sz w:val="24"/>
        </w:rPr>
        <w:t xml:space="preserve">roviders and suppliers </w:t>
      </w:r>
      <w:r>
        <w:rPr>
          <w:sz w:val="24"/>
        </w:rPr>
        <w:t xml:space="preserve">are required </w:t>
      </w:r>
      <w:r w:rsidR="008E4227">
        <w:rPr>
          <w:sz w:val="24"/>
        </w:rPr>
        <w:t xml:space="preserve">to </w:t>
      </w:r>
      <w:r w:rsidR="00A0373A">
        <w:rPr>
          <w:sz w:val="24"/>
        </w:rPr>
        <w:t xml:space="preserve">develop and maintain an emergency preparedness training and testing program. </w:t>
      </w:r>
      <w:r w:rsidR="00B111D4">
        <w:rPr>
          <w:sz w:val="24"/>
        </w:rPr>
        <w:t xml:space="preserve">The </w:t>
      </w:r>
      <w:r w:rsidR="00A0373A">
        <w:rPr>
          <w:sz w:val="24"/>
        </w:rPr>
        <w:t xml:space="preserve">training </w:t>
      </w:r>
      <w:r w:rsidR="00B111D4">
        <w:rPr>
          <w:sz w:val="24"/>
        </w:rPr>
        <w:t xml:space="preserve">program must include </w:t>
      </w:r>
      <w:r w:rsidRPr="000F335A" w:rsidR="00A0373A">
        <w:rPr>
          <w:sz w:val="24"/>
        </w:rPr>
        <w:t xml:space="preserve">initial training in emergency preparedness policies and procedures </w:t>
      </w:r>
      <w:r w:rsidR="00A0373A">
        <w:rPr>
          <w:sz w:val="24"/>
        </w:rPr>
        <w:t xml:space="preserve">for </w:t>
      </w:r>
      <w:r w:rsidRPr="000F335A" w:rsidR="00A0373A">
        <w:rPr>
          <w:sz w:val="24"/>
        </w:rPr>
        <w:t>all new and existing staff, individuals providing services under arrangement, and volunteers, consi</w:t>
      </w:r>
      <w:r w:rsidR="00A0373A">
        <w:rPr>
          <w:sz w:val="24"/>
        </w:rPr>
        <w:t>stent with their expected roles and must be documented.</w:t>
      </w:r>
      <w:r w:rsidR="00B111D4">
        <w:rPr>
          <w:sz w:val="24"/>
        </w:rPr>
        <w:t xml:space="preserve">  The testing program must include participation in a full-scale exercise that is community-based or when a community-based exercise is not accessible, an individual, facility-based. If an actual natural or man-made emergency that requires activation of the emergency plan is experienced, then this requirement is exempt</w:t>
      </w:r>
      <w:r w:rsidR="00DB523A">
        <w:rPr>
          <w:sz w:val="24"/>
        </w:rPr>
        <w:t xml:space="preserve"> for 1 year following the onset of the actual event.  In addition, the testing program must include one additional testing </w:t>
      </w:r>
      <w:r w:rsidR="00B06393">
        <w:rPr>
          <w:sz w:val="24"/>
        </w:rPr>
        <w:t>exercise, which</w:t>
      </w:r>
      <w:r w:rsidR="00DB523A">
        <w:rPr>
          <w:sz w:val="24"/>
        </w:rPr>
        <w:t xml:space="preserve"> may be determined by the provider or supplier.</w:t>
      </w:r>
    </w:p>
    <w:p w:rsidR="005D5645" w:rsidP="00F66BFD" w:rsidRDefault="005D5645" w14:paraId="145DEC1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BA4753" w:rsidP="00F66BFD" w:rsidRDefault="00BA4753" w14:paraId="7FF32B84" w14:textId="52BA53F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The training must be provided biennially for all facilities, except for LTC facilities which must continue providing training annually. Two testing exercises must be conducted annually.</w:t>
      </w:r>
    </w:p>
    <w:p w:rsidR="00BA4753" w:rsidP="00F66BFD" w:rsidRDefault="00BA4753" w14:paraId="699F338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F66BFD" w:rsidR="00F66BFD" w:rsidP="00F66BFD" w:rsidRDefault="008E4227" w14:paraId="72369B1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F</w:t>
      </w:r>
      <w:r w:rsidR="0062415B">
        <w:rPr>
          <w:sz w:val="24"/>
        </w:rPr>
        <w:t xml:space="preserve">or </w:t>
      </w:r>
      <w:r>
        <w:rPr>
          <w:sz w:val="24"/>
        </w:rPr>
        <w:t xml:space="preserve">CAHs, </w:t>
      </w:r>
      <w:r w:rsidR="0062415B">
        <w:rPr>
          <w:sz w:val="24"/>
        </w:rPr>
        <w:t xml:space="preserve">we assess </w:t>
      </w:r>
      <w:r w:rsidR="00361F93">
        <w:rPr>
          <w:sz w:val="24"/>
        </w:rPr>
        <w:t>the</w:t>
      </w:r>
      <w:r w:rsidR="0062415B">
        <w:rPr>
          <w:sz w:val="24"/>
        </w:rPr>
        <w:t xml:space="preserve"> burden </w:t>
      </w:r>
      <w:r w:rsidR="00594C74">
        <w:rPr>
          <w:sz w:val="24"/>
        </w:rPr>
        <w:t xml:space="preserve">associated with </w:t>
      </w:r>
      <w:r w:rsidR="00361F93">
        <w:rPr>
          <w:sz w:val="24"/>
        </w:rPr>
        <w:t xml:space="preserve">the testing requirements </w:t>
      </w:r>
      <w:r w:rsidR="0062415B">
        <w:rPr>
          <w:sz w:val="24"/>
        </w:rPr>
        <w:t>for non</w:t>
      </w:r>
      <w:r w:rsidR="005D092C">
        <w:rPr>
          <w:sz w:val="24"/>
        </w:rPr>
        <w:t>-</w:t>
      </w:r>
      <w:r w:rsidR="006C7C7B">
        <w:rPr>
          <w:sz w:val="24"/>
        </w:rPr>
        <w:t xml:space="preserve">accredited CAHs </w:t>
      </w:r>
      <w:r w:rsidR="0062415B">
        <w:rPr>
          <w:sz w:val="24"/>
        </w:rPr>
        <w:t xml:space="preserve">only. </w:t>
      </w:r>
      <w:r w:rsidR="006C7C7B">
        <w:rPr>
          <w:sz w:val="24"/>
        </w:rPr>
        <w:t xml:space="preserve">The </w:t>
      </w:r>
      <w:r w:rsidRPr="00F66BFD" w:rsidR="00F66BFD">
        <w:rPr>
          <w:sz w:val="24"/>
        </w:rPr>
        <w:t>TJC</w:t>
      </w:r>
      <w:r w:rsidR="005D092C">
        <w:rPr>
          <w:sz w:val="24"/>
        </w:rPr>
        <w:t xml:space="preserve"> and the AOA</w:t>
      </w:r>
      <w:r w:rsidR="006C7C7B">
        <w:rPr>
          <w:sz w:val="24"/>
        </w:rPr>
        <w:t xml:space="preserve"> accredited CAHs</w:t>
      </w:r>
      <w:r w:rsidR="005D092C">
        <w:rPr>
          <w:sz w:val="24"/>
        </w:rPr>
        <w:t xml:space="preserve"> both have required standards for testing their emergency operations plan (EOP) that satisfy the testing requirement</w:t>
      </w:r>
      <w:r w:rsidR="00BE4078">
        <w:rPr>
          <w:sz w:val="24"/>
        </w:rPr>
        <w:t>.</w:t>
      </w:r>
      <w:r w:rsidR="005D092C">
        <w:rPr>
          <w:sz w:val="24"/>
        </w:rPr>
        <w:t xml:space="preserve"> </w:t>
      </w:r>
      <w:r w:rsidRPr="00F66BFD" w:rsidR="00F66BFD">
        <w:rPr>
          <w:sz w:val="24"/>
        </w:rPr>
        <w:t xml:space="preserve">Therefore, </w:t>
      </w:r>
      <w:r w:rsidR="0069205B">
        <w:rPr>
          <w:sz w:val="24"/>
        </w:rPr>
        <w:t xml:space="preserve">the burden associated with </w:t>
      </w:r>
      <w:r w:rsidRPr="00F66BFD" w:rsidR="00F66BFD">
        <w:rPr>
          <w:sz w:val="24"/>
        </w:rPr>
        <w:t xml:space="preserve">compliance </w:t>
      </w:r>
      <w:r w:rsidR="0069205B">
        <w:rPr>
          <w:sz w:val="24"/>
        </w:rPr>
        <w:t xml:space="preserve">for </w:t>
      </w:r>
      <w:r w:rsidRPr="00F66BFD" w:rsidR="00F66BFD">
        <w:rPr>
          <w:sz w:val="24"/>
        </w:rPr>
        <w:t>this requirement would constitute a usual and customary business practice for TJC</w:t>
      </w:r>
      <w:r>
        <w:rPr>
          <w:sz w:val="24"/>
        </w:rPr>
        <w:t xml:space="preserve"> and AOA </w:t>
      </w:r>
      <w:r w:rsidRPr="00F66BFD" w:rsidR="00F66BFD">
        <w:rPr>
          <w:sz w:val="24"/>
        </w:rPr>
        <w:t xml:space="preserve">accredited CAHs and would not be subject to the PRA in accordance with </w:t>
      </w:r>
      <w:r w:rsidR="0069205B">
        <w:rPr>
          <w:sz w:val="24"/>
        </w:rPr>
        <w:t xml:space="preserve">the implementing regulations of the PRA at </w:t>
      </w:r>
      <w:r w:rsidRPr="00F66BFD" w:rsidR="00F66BFD">
        <w:rPr>
          <w:sz w:val="24"/>
        </w:rPr>
        <w:t>5</w:t>
      </w:r>
      <w:r w:rsidR="005D092C">
        <w:rPr>
          <w:sz w:val="24"/>
        </w:rPr>
        <w:t> CFR </w:t>
      </w:r>
      <w:r w:rsidRPr="00F66BFD" w:rsidR="00F66BFD">
        <w:rPr>
          <w:sz w:val="24"/>
        </w:rPr>
        <w:t xml:space="preserve">§1320.3(b)(2). </w:t>
      </w:r>
      <w:r w:rsidR="005D092C">
        <w:rPr>
          <w:sz w:val="24"/>
        </w:rPr>
        <w:t xml:space="preserve"> However, all CAHs would be subject to the requirements for training.</w:t>
      </w:r>
    </w:p>
    <w:p w:rsidR="00373305" w:rsidP="00F66BFD" w:rsidRDefault="00373305" w14:paraId="33E8F42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Pr="00373305" w:rsidR="00586BFD" w:rsidP="00586BFD" w:rsidRDefault="005D092C" w14:paraId="0AEAA57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lastRenderedPageBreak/>
        <w:t>F</w:t>
      </w:r>
      <w:r w:rsidR="00373305">
        <w:rPr>
          <w:sz w:val="24"/>
        </w:rPr>
        <w:t xml:space="preserve">or hospitals, </w:t>
      </w:r>
      <w:r w:rsidRPr="00586BFD" w:rsidR="00586BFD">
        <w:rPr>
          <w:sz w:val="24"/>
        </w:rPr>
        <w:t>TJC</w:t>
      </w:r>
      <w:r>
        <w:rPr>
          <w:sz w:val="24"/>
        </w:rPr>
        <w:t xml:space="preserve"> has standards that satisfy both the training and testing requirements of this regulation.  </w:t>
      </w:r>
      <w:r w:rsidRPr="00586BFD" w:rsidR="00586BFD">
        <w:rPr>
          <w:sz w:val="24"/>
        </w:rPr>
        <w:t>Thus, for the TJC-accredited hospitals,</w:t>
      </w:r>
      <w:r w:rsidR="00452CAA">
        <w:rPr>
          <w:sz w:val="24"/>
        </w:rPr>
        <w:t xml:space="preserve"> </w:t>
      </w:r>
      <w:r w:rsidR="00BE4078">
        <w:rPr>
          <w:sz w:val="24"/>
        </w:rPr>
        <w:t xml:space="preserve">the burden associated with all of the </w:t>
      </w:r>
      <w:r w:rsidR="00452CAA">
        <w:rPr>
          <w:sz w:val="24"/>
        </w:rPr>
        <w:t>all</w:t>
      </w:r>
      <w:r w:rsidRPr="00586BFD" w:rsidR="00586BFD">
        <w:rPr>
          <w:sz w:val="24"/>
        </w:rPr>
        <w:t xml:space="preserve"> the requirements would not be subject to the PRA in accordance with </w:t>
      </w:r>
      <w:r w:rsidR="00BE4078">
        <w:rPr>
          <w:sz w:val="24"/>
        </w:rPr>
        <w:t xml:space="preserve">the implementing regulations of the PRA at </w:t>
      </w:r>
      <w:r w:rsidRPr="00586BFD" w:rsidR="00586BFD">
        <w:rPr>
          <w:sz w:val="24"/>
        </w:rPr>
        <w:t>5 CFR §1320.3(b)(2).</w:t>
      </w:r>
      <w:r w:rsidR="00373305">
        <w:rPr>
          <w:sz w:val="24"/>
        </w:rPr>
        <w:t xml:space="preserve">  </w:t>
      </w:r>
      <w:r w:rsidR="00452CAA">
        <w:rPr>
          <w:sz w:val="24"/>
        </w:rPr>
        <w:t>Therefore</w:t>
      </w:r>
      <w:r w:rsidR="00373305">
        <w:rPr>
          <w:sz w:val="24"/>
        </w:rPr>
        <w:t>, we have assessed the burden associated with complying with the communications plan requirements for non TJC-accredited hospitals only.</w:t>
      </w:r>
    </w:p>
    <w:p w:rsidR="00586BFD" w:rsidP="00586BFD" w:rsidRDefault="00586BFD" w14:paraId="66DB0D1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A0373A" w:rsidP="00586BFD" w:rsidRDefault="00452CAA" w14:paraId="7C92080A" w14:textId="3A85269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 xml:space="preserve">Table </w:t>
      </w:r>
      <w:r w:rsidR="00955BF2">
        <w:rPr>
          <w:sz w:val="24"/>
        </w:rPr>
        <w:t xml:space="preserve">3 </w:t>
      </w:r>
      <w:r>
        <w:rPr>
          <w:sz w:val="24"/>
        </w:rPr>
        <w:t>below lays out the a</w:t>
      </w:r>
      <w:r w:rsidRPr="00110B70">
        <w:rPr>
          <w:sz w:val="24"/>
        </w:rPr>
        <w:t xml:space="preserve">nnual </w:t>
      </w:r>
      <w:r>
        <w:rPr>
          <w:sz w:val="24"/>
        </w:rPr>
        <w:t>b</w:t>
      </w:r>
      <w:r w:rsidRPr="00110B70">
        <w:rPr>
          <w:sz w:val="24"/>
        </w:rPr>
        <w:t xml:space="preserve">urden </w:t>
      </w:r>
      <w:r>
        <w:rPr>
          <w:sz w:val="24"/>
        </w:rPr>
        <w:t>h</w:t>
      </w:r>
      <w:r w:rsidRPr="00110B70">
        <w:rPr>
          <w:sz w:val="24"/>
        </w:rPr>
        <w:t xml:space="preserve">ours and </w:t>
      </w:r>
      <w:r>
        <w:rPr>
          <w:sz w:val="24"/>
        </w:rPr>
        <w:t>c</w:t>
      </w:r>
      <w:r w:rsidRPr="00110B70">
        <w:rPr>
          <w:sz w:val="24"/>
        </w:rPr>
        <w:t xml:space="preserve">ost for </w:t>
      </w:r>
      <w:r>
        <w:rPr>
          <w:sz w:val="24"/>
        </w:rPr>
        <w:t>each provider</w:t>
      </w:r>
      <w:r w:rsidRPr="00110B70">
        <w:rPr>
          <w:sz w:val="24"/>
        </w:rPr>
        <w:t xml:space="preserve"> to </w:t>
      </w:r>
      <w:r>
        <w:rPr>
          <w:sz w:val="24"/>
        </w:rPr>
        <w:t>maintain an emergency preparedness training and testing program.</w:t>
      </w:r>
    </w:p>
    <w:p w:rsidR="00E14F42" w:rsidP="00586BFD" w:rsidRDefault="00E14F42" w14:paraId="094B5BE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B06393" w:rsidP="00586BFD" w:rsidRDefault="00E14F42" w14:paraId="2B1242FA" w14:textId="2126774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sidRPr="006B7287">
        <w:rPr>
          <w:b/>
          <w:bCs/>
          <w:color w:val="000000"/>
          <w:sz w:val="16"/>
          <w:szCs w:val="16"/>
        </w:rPr>
        <w:t xml:space="preserve">Table </w:t>
      </w:r>
      <w:r w:rsidR="002C000D">
        <w:rPr>
          <w:b/>
          <w:bCs/>
          <w:color w:val="000000"/>
          <w:sz w:val="16"/>
          <w:szCs w:val="16"/>
        </w:rPr>
        <w:t>3</w:t>
      </w:r>
      <w:r w:rsidRPr="006B7287">
        <w:rPr>
          <w:b/>
          <w:bCs/>
          <w:color w:val="000000"/>
          <w:sz w:val="16"/>
          <w:szCs w:val="16"/>
        </w:rPr>
        <w:t>--Burden Hours and Cost Estimates for Providers for Training and Testing</w:t>
      </w:r>
    </w:p>
    <w:tbl>
      <w:tblPr>
        <w:tblW w:w="9500" w:type="dxa"/>
        <w:tblLook w:val="04A0" w:firstRow="1" w:lastRow="0" w:firstColumn="1" w:lastColumn="0" w:noHBand="0" w:noVBand="1"/>
      </w:tblPr>
      <w:tblGrid>
        <w:gridCol w:w="4500"/>
        <w:gridCol w:w="960"/>
        <w:gridCol w:w="960"/>
        <w:gridCol w:w="960"/>
        <w:gridCol w:w="960"/>
        <w:gridCol w:w="1160"/>
      </w:tblGrid>
      <w:tr w:rsidRPr="007564FB" w:rsidR="007564FB" w:rsidTr="007564FB" w14:paraId="01556177" w14:textId="77777777">
        <w:trPr>
          <w:trHeight w:val="855"/>
        </w:trPr>
        <w:tc>
          <w:tcPr>
            <w:tcW w:w="45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6E6BEE44" w14:textId="77777777">
            <w:pPr>
              <w:widowControl/>
              <w:autoSpaceDE/>
              <w:autoSpaceDN/>
              <w:adjustRightInd/>
              <w:jc w:val="center"/>
              <w:rPr>
                <w:b/>
                <w:bCs/>
                <w:color w:val="000000"/>
                <w:sz w:val="16"/>
                <w:szCs w:val="16"/>
              </w:rPr>
            </w:pPr>
            <w:r w:rsidRPr="007564FB">
              <w:rPr>
                <w:b/>
                <w:bCs/>
                <w:color w:val="000000"/>
                <w:sz w:val="16"/>
                <w:szCs w:val="16"/>
              </w:rPr>
              <w:t>Provider Type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7564FB" w:rsidR="007564FB" w:rsidP="007564FB" w:rsidRDefault="007564FB" w14:paraId="3DA09CE7" w14:textId="77777777">
            <w:pPr>
              <w:widowControl/>
              <w:autoSpaceDE/>
              <w:autoSpaceDN/>
              <w:adjustRightInd/>
              <w:jc w:val="center"/>
              <w:rPr>
                <w:b/>
                <w:bCs/>
                <w:color w:val="000000"/>
                <w:sz w:val="16"/>
                <w:szCs w:val="16"/>
              </w:rPr>
            </w:pPr>
            <w:r w:rsidRPr="007564FB">
              <w:rPr>
                <w:b/>
                <w:bCs/>
                <w:color w:val="000000"/>
                <w:sz w:val="16"/>
                <w:szCs w:val="16"/>
              </w:rPr>
              <w:t>Number of Providers</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7564FB" w:rsidR="007564FB" w:rsidP="007564FB" w:rsidRDefault="007564FB" w14:paraId="55B02541" w14:textId="77777777">
            <w:pPr>
              <w:widowControl/>
              <w:autoSpaceDE/>
              <w:autoSpaceDN/>
              <w:adjustRightInd/>
              <w:jc w:val="center"/>
              <w:rPr>
                <w:b/>
                <w:bCs/>
                <w:color w:val="000000"/>
                <w:sz w:val="16"/>
                <w:szCs w:val="16"/>
              </w:rPr>
            </w:pPr>
            <w:r w:rsidRPr="007564FB">
              <w:rPr>
                <w:b/>
                <w:bCs/>
                <w:color w:val="000000"/>
                <w:sz w:val="16"/>
                <w:szCs w:val="16"/>
              </w:rPr>
              <w:t>Responses Per Provider</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7564FB" w:rsidR="007564FB" w:rsidP="007564FB" w:rsidRDefault="007564FB" w14:paraId="6192188F" w14:textId="77777777">
            <w:pPr>
              <w:widowControl/>
              <w:autoSpaceDE/>
              <w:autoSpaceDN/>
              <w:adjustRightInd/>
              <w:jc w:val="center"/>
              <w:rPr>
                <w:b/>
                <w:bCs/>
                <w:color w:val="000000"/>
                <w:sz w:val="16"/>
                <w:szCs w:val="16"/>
              </w:rPr>
            </w:pPr>
            <w:r w:rsidRPr="007564FB">
              <w:rPr>
                <w:b/>
                <w:bCs/>
                <w:color w:val="000000"/>
                <w:sz w:val="16"/>
                <w:szCs w:val="16"/>
              </w:rPr>
              <w:t>Burden Hours Per Response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7564FB" w:rsidR="007564FB" w:rsidP="007564FB" w:rsidRDefault="007564FB" w14:paraId="3CC52002" w14:textId="77777777">
            <w:pPr>
              <w:widowControl/>
              <w:autoSpaceDE/>
              <w:autoSpaceDN/>
              <w:adjustRightInd/>
              <w:jc w:val="center"/>
              <w:rPr>
                <w:b/>
                <w:bCs/>
                <w:color w:val="000000"/>
                <w:sz w:val="16"/>
                <w:szCs w:val="16"/>
              </w:rPr>
            </w:pPr>
            <w:r w:rsidRPr="007564FB">
              <w:rPr>
                <w:b/>
                <w:bCs/>
                <w:color w:val="000000"/>
                <w:sz w:val="16"/>
                <w:szCs w:val="16"/>
              </w:rPr>
              <w:t>Total Annual Burden Hours</w:t>
            </w:r>
          </w:p>
        </w:tc>
        <w:tc>
          <w:tcPr>
            <w:tcW w:w="1160" w:type="dxa"/>
            <w:tcBorders>
              <w:top w:val="single" w:color="auto" w:sz="8" w:space="0"/>
              <w:left w:val="nil"/>
              <w:bottom w:val="single" w:color="auto" w:sz="8" w:space="0"/>
              <w:right w:val="single" w:color="auto" w:sz="8" w:space="0"/>
            </w:tcBorders>
            <w:shd w:val="clear" w:color="auto" w:fill="auto"/>
            <w:vAlign w:val="center"/>
            <w:hideMark/>
          </w:tcPr>
          <w:p w:rsidRPr="007564FB" w:rsidR="007564FB" w:rsidP="007564FB" w:rsidRDefault="007564FB" w14:paraId="7169C271" w14:textId="77777777">
            <w:pPr>
              <w:widowControl/>
              <w:autoSpaceDE/>
              <w:autoSpaceDN/>
              <w:adjustRightInd/>
              <w:jc w:val="center"/>
              <w:rPr>
                <w:b/>
                <w:bCs/>
                <w:color w:val="000000"/>
                <w:sz w:val="16"/>
                <w:szCs w:val="16"/>
              </w:rPr>
            </w:pPr>
            <w:r w:rsidRPr="007564FB">
              <w:rPr>
                <w:b/>
                <w:bCs/>
                <w:color w:val="000000"/>
                <w:sz w:val="16"/>
                <w:szCs w:val="16"/>
              </w:rPr>
              <w:t>Total Cost Estimate</w:t>
            </w:r>
          </w:p>
        </w:tc>
      </w:tr>
      <w:tr w:rsidRPr="007564FB" w:rsidR="007564FB" w:rsidTr="007564FB" w14:paraId="42A320A4"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4388C1CF" w14:textId="77777777">
            <w:pPr>
              <w:widowControl/>
              <w:autoSpaceDE/>
              <w:autoSpaceDN/>
              <w:adjustRightInd/>
              <w:rPr>
                <w:color w:val="000000"/>
                <w:sz w:val="16"/>
                <w:szCs w:val="16"/>
              </w:rPr>
            </w:pPr>
            <w:r w:rsidRPr="007564FB">
              <w:rPr>
                <w:color w:val="000000"/>
                <w:sz w:val="16"/>
                <w:szCs w:val="16"/>
              </w:rPr>
              <w:t>RNHCIs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0800926" w14:textId="77777777">
            <w:pPr>
              <w:widowControl/>
              <w:autoSpaceDE/>
              <w:autoSpaceDN/>
              <w:adjustRightInd/>
              <w:jc w:val="right"/>
              <w:rPr>
                <w:color w:val="000000"/>
                <w:sz w:val="16"/>
                <w:szCs w:val="16"/>
              </w:rPr>
            </w:pPr>
            <w:r w:rsidRPr="007564FB">
              <w:rPr>
                <w:color w:val="000000"/>
                <w:sz w:val="16"/>
                <w:szCs w:val="16"/>
              </w:rPr>
              <w:t>18</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AEBF222"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8B501F4" w14:textId="77777777">
            <w:pPr>
              <w:widowControl/>
              <w:autoSpaceDE/>
              <w:autoSpaceDN/>
              <w:adjustRightInd/>
              <w:jc w:val="right"/>
              <w:rPr>
                <w:color w:val="000000"/>
                <w:sz w:val="16"/>
                <w:szCs w:val="16"/>
              </w:rPr>
            </w:pPr>
            <w:r w:rsidRPr="007564FB">
              <w:rPr>
                <w:color w:val="000000"/>
                <w:sz w:val="16"/>
                <w:szCs w:val="16"/>
              </w:rPr>
              <w:t>6.5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318D45E" w14:textId="77777777">
            <w:pPr>
              <w:widowControl/>
              <w:autoSpaceDE/>
              <w:autoSpaceDN/>
              <w:adjustRightInd/>
              <w:jc w:val="right"/>
              <w:rPr>
                <w:color w:val="000000"/>
                <w:sz w:val="16"/>
                <w:szCs w:val="16"/>
              </w:rPr>
            </w:pPr>
            <w:r w:rsidRPr="007564FB">
              <w:rPr>
                <w:color w:val="000000"/>
                <w:sz w:val="16"/>
                <w:szCs w:val="16"/>
              </w:rPr>
              <w:t>117</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A97F51C" w14:textId="77777777">
            <w:pPr>
              <w:widowControl/>
              <w:autoSpaceDE/>
              <w:autoSpaceDN/>
              <w:adjustRightInd/>
              <w:jc w:val="right"/>
              <w:rPr>
                <w:color w:val="000000"/>
                <w:sz w:val="16"/>
                <w:szCs w:val="16"/>
              </w:rPr>
            </w:pPr>
            <w:r w:rsidRPr="007564FB">
              <w:rPr>
                <w:color w:val="000000"/>
                <w:sz w:val="16"/>
                <w:szCs w:val="16"/>
              </w:rPr>
              <w:t xml:space="preserve">$6,318 </w:t>
            </w:r>
          </w:p>
        </w:tc>
      </w:tr>
      <w:tr w:rsidRPr="007564FB" w:rsidR="007564FB" w:rsidTr="007564FB" w14:paraId="70DF2594"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07281BE2" w14:textId="77777777">
            <w:pPr>
              <w:widowControl/>
              <w:autoSpaceDE/>
              <w:autoSpaceDN/>
              <w:adjustRightInd/>
              <w:rPr>
                <w:color w:val="000000"/>
                <w:sz w:val="16"/>
                <w:szCs w:val="16"/>
              </w:rPr>
            </w:pPr>
            <w:r w:rsidRPr="007564FB">
              <w:rPr>
                <w:color w:val="000000"/>
                <w:sz w:val="16"/>
                <w:szCs w:val="16"/>
              </w:rPr>
              <w:t>ASCs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8C25A96" w14:textId="77777777">
            <w:pPr>
              <w:widowControl/>
              <w:autoSpaceDE/>
              <w:autoSpaceDN/>
              <w:adjustRightInd/>
              <w:jc w:val="right"/>
              <w:rPr>
                <w:color w:val="000000"/>
                <w:sz w:val="16"/>
                <w:szCs w:val="16"/>
              </w:rPr>
            </w:pPr>
            <w:r w:rsidRPr="007564FB">
              <w:rPr>
                <w:color w:val="000000"/>
                <w:sz w:val="16"/>
                <w:szCs w:val="16"/>
              </w:rPr>
              <w:t>5,700</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319E9C9"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542A8DD3" w14:textId="77777777">
            <w:pPr>
              <w:widowControl/>
              <w:autoSpaceDE/>
              <w:autoSpaceDN/>
              <w:adjustRightInd/>
              <w:jc w:val="right"/>
              <w:rPr>
                <w:color w:val="000000"/>
                <w:sz w:val="16"/>
                <w:szCs w:val="16"/>
              </w:rPr>
            </w:pPr>
            <w:r w:rsidRPr="007564FB">
              <w:rPr>
                <w:color w:val="000000"/>
                <w:sz w:val="16"/>
                <w:szCs w:val="16"/>
              </w:rPr>
              <w:t>5.5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F8FAE44" w14:textId="77777777">
            <w:pPr>
              <w:widowControl/>
              <w:autoSpaceDE/>
              <w:autoSpaceDN/>
              <w:adjustRightInd/>
              <w:jc w:val="right"/>
              <w:rPr>
                <w:color w:val="000000"/>
                <w:sz w:val="16"/>
                <w:szCs w:val="16"/>
              </w:rPr>
            </w:pPr>
            <w:r w:rsidRPr="007564FB">
              <w:rPr>
                <w:color w:val="000000"/>
                <w:sz w:val="16"/>
                <w:szCs w:val="16"/>
              </w:rPr>
              <w:t>31,350</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61D6602" w14:textId="77777777">
            <w:pPr>
              <w:widowControl/>
              <w:autoSpaceDE/>
              <w:autoSpaceDN/>
              <w:adjustRightInd/>
              <w:jc w:val="right"/>
              <w:rPr>
                <w:color w:val="000000"/>
                <w:sz w:val="16"/>
                <w:szCs w:val="16"/>
              </w:rPr>
            </w:pPr>
            <w:r w:rsidRPr="007564FB">
              <w:rPr>
                <w:color w:val="000000"/>
                <w:sz w:val="16"/>
                <w:szCs w:val="16"/>
              </w:rPr>
              <w:t xml:space="preserve">$2,587,800 </w:t>
            </w:r>
          </w:p>
        </w:tc>
      </w:tr>
      <w:tr w:rsidRPr="007564FB" w:rsidR="007564FB" w:rsidTr="007564FB" w14:paraId="59CC1362"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3BB18A37" w14:textId="77777777">
            <w:pPr>
              <w:widowControl/>
              <w:autoSpaceDE/>
              <w:autoSpaceDN/>
              <w:adjustRightInd/>
              <w:rPr>
                <w:color w:val="000000"/>
                <w:sz w:val="16"/>
                <w:szCs w:val="16"/>
              </w:rPr>
            </w:pPr>
            <w:r w:rsidRPr="007564FB">
              <w:rPr>
                <w:color w:val="000000"/>
                <w:sz w:val="16"/>
                <w:szCs w:val="16"/>
              </w:rPr>
              <w:t>Hospices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51025BE" w14:textId="77777777">
            <w:pPr>
              <w:widowControl/>
              <w:autoSpaceDE/>
              <w:autoSpaceDN/>
              <w:adjustRightInd/>
              <w:jc w:val="right"/>
              <w:rPr>
                <w:color w:val="000000"/>
                <w:sz w:val="16"/>
                <w:szCs w:val="16"/>
              </w:rPr>
            </w:pPr>
            <w:r w:rsidRPr="007564FB">
              <w:rPr>
                <w:color w:val="000000"/>
                <w:sz w:val="16"/>
                <w:szCs w:val="16"/>
              </w:rPr>
              <w:t>4,775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784A19E"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3639220F" w14:textId="77777777">
            <w:pPr>
              <w:widowControl/>
              <w:autoSpaceDE/>
              <w:autoSpaceDN/>
              <w:adjustRightInd/>
              <w:jc w:val="right"/>
              <w:rPr>
                <w:color w:val="000000"/>
                <w:sz w:val="16"/>
                <w:szCs w:val="16"/>
              </w:rPr>
            </w:pPr>
            <w:r w:rsidRPr="007564FB">
              <w:rPr>
                <w:color w:val="000000"/>
                <w:sz w:val="16"/>
                <w:szCs w:val="16"/>
              </w:rPr>
              <w:t>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8DC766F" w14:textId="77777777">
            <w:pPr>
              <w:widowControl/>
              <w:autoSpaceDE/>
              <w:autoSpaceDN/>
              <w:adjustRightInd/>
              <w:jc w:val="right"/>
              <w:rPr>
                <w:color w:val="000000"/>
                <w:sz w:val="16"/>
                <w:szCs w:val="16"/>
              </w:rPr>
            </w:pPr>
            <w:r w:rsidRPr="007564FB">
              <w:rPr>
                <w:color w:val="000000"/>
                <w:sz w:val="16"/>
                <w:szCs w:val="16"/>
              </w:rPr>
              <w:t>23,875</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CB86A1F" w14:textId="77777777">
            <w:pPr>
              <w:widowControl/>
              <w:autoSpaceDE/>
              <w:autoSpaceDN/>
              <w:adjustRightInd/>
              <w:jc w:val="right"/>
              <w:rPr>
                <w:color w:val="000000"/>
                <w:sz w:val="16"/>
                <w:szCs w:val="16"/>
              </w:rPr>
            </w:pPr>
            <w:r w:rsidRPr="007564FB">
              <w:rPr>
                <w:color w:val="000000"/>
                <w:sz w:val="16"/>
                <w:szCs w:val="16"/>
              </w:rPr>
              <w:t xml:space="preserve">$1,504,125 </w:t>
            </w:r>
          </w:p>
        </w:tc>
      </w:tr>
      <w:tr w:rsidRPr="007564FB" w:rsidR="007564FB" w:rsidTr="007564FB" w14:paraId="6DF9DB84"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05107491" w14:textId="77777777">
            <w:pPr>
              <w:widowControl/>
              <w:autoSpaceDE/>
              <w:autoSpaceDN/>
              <w:adjustRightInd/>
              <w:rPr>
                <w:color w:val="000000"/>
                <w:sz w:val="16"/>
                <w:szCs w:val="16"/>
              </w:rPr>
            </w:pPr>
            <w:r w:rsidRPr="007564FB">
              <w:rPr>
                <w:color w:val="000000"/>
                <w:sz w:val="16"/>
                <w:szCs w:val="16"/>
              </w:rPr>
              <w:t>PRTFs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354899C" w14:textId="77777777">
            <w:pPr>
              <w:widowControl/>
              <w:autoSpaceDE/>
              <w:autoSpaceDN/>
              <w:adjustRightInd/>
              <w:jc w:val="right"/>
              <w:rPr>
                <w:color w:val="000000"/>
                <w:sz w:val="16"/>
                <w:szCs w:val="16"/>
              </w:rPr>
            </w:pPr>
            <w:r w:rsidRPr="007564FB">
              <w:rPr>
                <w:color w:val="000000"/>
                <w:sz w:val="16"/>
                <w:szCs w:val="16"/>
              </w:rPr>
              <w:t>366</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3D300295"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5DFF0F5" w14:textId="77777777">
            <w:pPr>
              <w:widowControl/>
              <w:autoSpaceDE/>
              <w:autoSpaceDN/>
              <w:adjustRightInd/>
              <w:jc w:val="right"/>
              <w:rPr>
                <w:color w:val="000000"/>
                <w:sz w:val="16"/>
                <w:szCs w:val="16"/>
              </w:rPr>
            </w:pPr>
            <w:r w:rsidRPr="007564FB">
              <w:rPr>
                <w:color w:val="000000"/>
                <w:sz w:val="16"/>
                <w:szCs w:val="16"/>
              </w:rPr>
              <w:t>8</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B2BD740" w14:textId="77777777">
            <w:pPr>
              <w:widowControl/>
              <w:autoSpaceDE/>
              <w:autoSpaceDN/>
              <w:adjustRightInd/>
              <w:jc w:val="right"/>
              <w:rPr>
                <w:color w:val="000000"/>
                <w:sz w:val="16"/>
                <w:szCs w:val="16"/>
              </w:rPr>
            </w:pPr>
            <w:r w:rsidRPr="007564FB">
              <w:rPr>
                <w:color w:val="000000"/>
                <w:sz w:val="16"/>
                <w:szCs w:val="16"/>
              </w:rPr>
              <w:t>2,928</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BED699F" w14:textId="77777777">
            <w:pPr>
              <w:widowControl/>
              <w:autoSpaceDE/>
              <w:autoSpaceDN/>
              <w:adjustRightInd/>
              <w:jc w:val="right"/>
              <w:rPr>
                <w:color w:val="000000"/>
                <w:sz w:val="16"/>
                <w:szCs w:val="16"/>
              </w:rPr>
            </w:pPr>
            <w:r w:rsidRPr="007564FB">
              <w:rPr>
                <w:color w:val="000000"/>
                <w:sz w:val="16"/>
                <w:szCs w:val="16"/>
              </w:rPr>
              <w:t xml:space="preserve">$202,032 </w:t>
            </w:r>
          </w:p>
        </w:tc>
      </w:tr>
      <w:tr w:rsidRPr="007564FB" w:rsidR="007564FB" w:rsidTr="007564FB" w14:paraId="0962170E"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2567403B" w14:textId="77777777">
            <w:pPr>
              <w:widowControl/>
              <w:autoSpaceDE/>
              <w:autoSpaceDN/>
              <w:adjustRightInd/>
              <w:rPr>
                <w:color w:val="000000"/>
                <w:sz w:val="16"/>
                <w:szCs w:val="16"/>
              </w:rPr>
            </w:pPr>
            <w:r w:rsidRPr="007564FB">
              <w:rPr>
                <w:color w:val="000000"/>
                <w:sz w:val="16"/>
                <w:szCs w:val="16"/>
              </w:rPr>
              <w:t>PACE organizations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0517D2DB" w14:textId="77777777">
            <w:pPr>
              <w:widowControl/>
              <w:autoSpaceDE/>
              <w:autoSpaceDN/>
              <w:adjustRightInd/>
              <w:jc w:val="right"/>
              <w:rPr>
                <w:color w:val="000000"/>
                <w:sz w:val="16"/>
                <w:szCs w:val="16"/>
              </w:rPr>
            </w:pPr>
            <w:r w:rsidRPr="007564FB">
              <w:rPr>
                <w:color w:val="000000"/>
                <w:sz w:val="16"/>
                <w:szCs w:val="16"/>
              </w:rPr>
              <w:t>233</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E00D09B"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004FBB3B" w14:textId="77777777">
            <w:pPr>
              <w:widowControl/>
              <w:autoSpaceDE/>
              <w:autoSpaceDN/>
              <w:adjustRightInd/>
              <w:jc w:val="right"/>
              <w:rPr>
                <w:color w:val="000000"/>
                <w:sz w:val="16"/>
                <w:szCs w:val="16"/>
              </w:rPr>
            </w:pPr>
            <w:r w:rsidRPr="007564FB">
              <w:rPr>
                <w:color w:val="000000"/>
                <w:sz w:val="16"/>
                <w:szCs w:val="16"/>
              </w:rPr>
              <w:t>8.5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0DCE6FB9" w14:textId="77777777">
            <w:pPr>
              <w:widowControl/>
              <w:autoSpaceDE/>
              <w:autoSpaceDN/>
              <w:adjustRightInd/>
              <w:jc w:val="right"/>
              <w:rPr>
                <w:color w:val="000000"/>
                <w:sz w:val="16"/>
                <w:szCs w:val="16"/>
              </w:rPr>
            </w:pPr>
            <w:r w:rsidRPr="007564FB">
              <w:rPr>
                <w:color w:val="000000"/>
                <w:sz w:val="16"/>
                <w:szCs w:val="16"/>
              </w:rPr>
              <w:t>1,981</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3A0C2E8" w14:textId="77777777">
            <w:pPr>
              <w:widowControl/>
              <w:autoSpaceDE/>
              <w:autoSpaceDN/>
              <w:adjustRightInd/>
              <w:jc w:val="right"/>
              <w:rPr>
                <w:color w:val="000000"/>
                <w:sz w:val="16"/>
                <w:szCs w:val="16"/>
              </w:rPr>
            </w:pPr>
            <w:r w:rsidRPr="007564FB">
              <w:rPr>
                <w:color w:val="000000"/>
                <w:sz w:val="16"/>
                <w:szCs w:val="16"/>
              </w:rPr>
              <w:t xml:space="preserve">$134,674 </w:t>
            </w:r>
          </w:p>
        </w:tc>
      </w:tr>
      <w:tr w:rsidRPr="007564FB" w:rsidR="007564FB" w:rsidTr="007564FB" w14:paraId="7C1388D4"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131B38CC" w14:textId="77777777">
            <w:pPr>
              <w:widowControl/>
              <w:autoSpaceDE/>
              <w:autoSpaceDN/>
              <w:adjustRightInd/>
              <w:rPr>
                <w:color w:val="000000"/>
                <w:sz w:val="16"/>
                <w:szCs w:val="16"/>
              </w:rPr>
            </w:pPr>
            <w:r w:rsidRPr="007564FB">
              <w:rPr>
                <w:color w:val="000000"/>
                <w:sz w:val="16"/>
                <w:szCs w:val="16"/>
              </w:rPr>
              <w:t>Non-TJC Accredited Hospitals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165EB33E" w14:textId="77777777">
            <w:pPr>
              <w:widowControl/>
              <w:autoSpaceDE/>
              <w:autoSpaceDN/>
              <w:adjustRightInd/>
              <w:jc w:val="right"/>
              <w:rPr>
                <w:color w:val="000000"/>
                <w:sz w:val="16"/>
                <w:szCs w:val="16"/>
              </w:rPr>
            </w:pPr>
            <w:r w:rsidRPr="007564FB">
              <w:rPr>
                <w:color w:val="000000"/>
                <w:sz w:val="16"/>
                <w:szCs w:val="16"/>
              </w:rPr>
              <w:t>932</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A0F0FCA"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3EDD900D" w14:textId="77777777">
            <w:pPr>
              <w:widowControl/>
              <w:autoSpaceDE/>
              <w:autoSpaceDN/>
              <w:adjustRightInd/>
              <w:jc w:val="right"/>
              <w:rPr>
                <w:color w:val="000000"/>
                <w:sz w:val="16"/>
                <w:szCs w:val="16"/>
              </w:rPr>
            </w:pPr>
            <w:r w:rsidRPr="007564FB">
              <w:rPr>
                <w:color w:val="000000"/>
                <w:sz w:val="16"/>
                <w:szCs w:val="16"/>
              </w:rPr>
              <w:t>29</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54EC0A21" w14:textId="77777777">
            <w:pPr>
              <w:widowControl/>
              <w:autoSpaceDE/>
              <w:autoSpaceDN/>
              <w:adjustRightInd/>
              <w:jc w:val="right"/>
              <w:rPr>
                <w:color w:val="000000"/>
                <w:sz w:val="16"/>
                <w:szCs w:val="16"/>
              </w:rPr>
            </w:pPr>
            <w:r w:rsidRPr="007564FB">
              <w:rPr>
                <w:color w:val="000000"/>
                <w:sz w:val="16"/>
                <w:szCs w:val="16"/>
              </w:rPr>
              <w:t>27,028</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E4D71CC" w14:textId="77777777">
            <w:pPr>
              <w:widowControl/>
              <w:autoSpaceDE/>
              <w:autoSpaceDN/>
              <w:adjustRightInd/>
              <w:jc w:val="right"/>
              <w:rPr>
                <w:color w:val="000000"/>
                <w:sz w:val="16"/>
                <w:szCs w:val="16"/>
              </w:rPr>
            </w:pPr>
            <w:r w:rsidRPr="007564FB">
              <w:rPr>
                <w:color w:val="000000"/>
                <w:sz w:val="16"/>
                <w:szCs w:val="16"/>
              </w:rPr>
              <w:t xml:space="preserve">$2,283,400 </w:t>
            </w:r>
          </w:p>
        </w:tc>
      </w:tr>
      <w:tr w:rsidRPr="007564FB" w:rsidR="007564FB" w:rsidTr="007564FB" w14:paraId="616AED94"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1475389C" w14:textId="77777777">
            <w:pPr>
              <w:widowControl/>
              <w:autoSpaceDE/>
              <w:autoSpaceDN/>
              <w:adjustRightInd/>
              <w:rPr>
                <w:color w:val="000000"/>
                <w:sz w:val="16"/>
                <w:szCs w:val="16"/>
              </w:rPr>
            </w:pPr>
            <w:r w:rsidRPr="007564FB">
              <w:rPr>
                <w:color w:val="000000"/>
                <w:sz w:val="16"/>
                <w:szCs w:val="16"/>
              </w:rPr>
              <w:lastRenderedPageBreak/>
              <w:t>LTC Providers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0097B6E" w14:textId="77777777">
            <w:pPr>
              <w:widowControl/>
              <w:autoSpaceDE/>
              <w:autoSpaceDN/>
              <w:adjustRightInd/>
              <w:jc w:val="right"/>
              <w:rPr>
                <w:color w:val="000000"/>
                <w:sz w:val="16"/>
                <w:szCs w:val="16"/>
              </w:rPr>
            </w:pPr>
            <w:r w:rsidRPr="007564FB">
              <w:rPr>
                <w:color w:val="000000"/>
                <w:sz w:val="16"/>
                <w:szCs w:val="16"/>
              </w:rPr>
              <w:t>15,776</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36D12518"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1088E68F" w14:textId="77777777">
            <w:pPr>
              <w:widowControl/>
              <w:autoSpaceDE/>
              <w:autoSpaceDN/>
              <w:adjustRightInd/>
              <w:jc w:val="right"/>
              <w:rPr>
                <w:color w:val="000000"/>
                <w:sz w:val="16"/>
                <w:szCs w:val="16"/>
              </w:rPr>
            </w:pPr>
            <w:r w:rsidRPr="007564FB">
              <w:rPr>
                <w:color w:val="000000"/>
                <w:sz w:val="16"/>
                <w:szCs w:val="16"/>
              </w:rPr>
              <w:t>15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F01B172" w14:textId="77777777">
            <w:pPr>
              <w:widowControl/>
              <w:autoSpaceDE/>
              <w:autoSpaceDN/>
              <w:adjustRightInd/>
              <w:jc w:val="right"/>
              <w:rPr>
                <w:color w:val="000000"/>
                <w:sz w:val="16"/>
                <w:szCs w:val="16"/>
              </w:rPr>
            </w:pPr>
            <w:r w:rsidRPr="007564FB">
              <w:rPr>
                <w:color w:val="000000"/>
                <w:sz w:val="16"/>
                <w:szCs w:val="16"/>
              </w:rPr>
              <w:t>236,640</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F0156C7" w14:textId="77777777">
            <w:pPr>
              <w:widowControl/>
              <w:autoSpaceDE/>
              <w:autoSpaceDN/>
              <w:adjustRightInd/>
              <w:jc w:val="right"/>
              <w:rPr>
                <w:color w:val="000000"/>
                <w:sz w:val="16"/>
                <w:szCs w:val="16"/>
              </w:rPr>
            </w:pPr>
            <w:r w:rsidRPr="007564FB">
              <w:rPr>
                <w:color w:val="000000"/>
                <w:sz w:val="16"/>
                <w:szCs w:val="16"/>
              </w:rPr>
              <w:t xml:space="preserve">$25,320,480 </w:t>
            </w:r>
          </w:p>
        </w:tc>
      </w:tr>
      <w:tr w:rsidRPr="007564FB" w:rsidR="007564FB" w:rsidTr="007564FB" w14:paraId="4AA5FCF4"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5E292613" w14:textId="77777777">
            <w:pPr>
              <w:widowControl/>
              <w:autoSpaceDE/>
              <w:autoSpaceDN/>
              <w:adjustRightInd/>
              <w:rPr>
                <w:color w:val="000000"/>
                <w:sz w:val="16"/>
                <w:szCs w:val="16"/>
              </w:rPr>
            </w:pPr>
            <w:r w:rsidRPr="007564FB">
              <w:rPr>
                <w:color w:val="000000"/>
                <w:sz w:val="16"/>
                <w:szCs w:val="16"/>
              </w:rPr>
              <w:t>ICF/IIDs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BA6828A" w14:textId="77777777">
            <w:pPr>
              <w:widowControl/>
              <w:autoSpaceDE/>
              <w:autoSpaceDN/>
              <w:adjustRightInd/>
              <w:jc w:val="right"/>
              <w:rPr>
                <w:color w:val="000000"/>
                <w:sz w:val="16"/>
                <w:szCs w:val="16"/>
              </w:rPr>
            </w:pPr>
            <w:r w:rsidRPr="007564FB">
              <w:rPr>
                <w:color w:val="000000"/>
                <w:sz w:val="16"/>
                <w:szCs w:val="16"/>
              </w:rPr>
              <w:t>6,178</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DEAC797"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2F7D594" w14:textId="77777777">
            <w:pPr>
              <w:widowControl/>
              <w:autoSpaceDE/>
              <w:autoSpaceDN/>
              <w:adjustRightInd/>
              <w:jc w:val="right"/>
              <w:rPr>
                <w:color w:val="000000"/>
                <w:sz w:val="16"/>
                <w:szCs w:val="16"/>
              </w:rPr>
            </w:pPr>
            <w:r w:rsidRPr="007564FB">
              <w:rPr>
                <w:color w:val="000000"/>
                <w:sz w:val="16"/>
                <w:szCs w:val="16"/>
              </w:rPr>
              <w:t>7.5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58C973FE" w14:textId="77777777">
            <w:pPr>
              <w:widowControl/>
              <w:autoSpaceDE/>
              <w:autoSpaceDN/>
              <w:adjustRightInd/>
              <w:jc w:val="right"/>
              <w:rPr>
                <w:color w:val="000000"/>
                <w:sz w:val="16"/>
                <w:szCs w:val="16"/>
              </w:rPr>
            </w:pPr>
            <w:r w:rsidRPr="007564FB">
              <w:rPr>
                <w:color w:val="000000"/>
                <w:sz w:val="16"/>
                <w:szCs w:val="16"/>
              </w:rPr>
              <w:t>46,335</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373C053" w14:textId="77777777">
            <w:pPr>
              <w:widowControl/>
              <w:autoSpaceDE/>
              <w:autoSpaceDN/>
              <w:adjustRightInd/>
              <w:jc w:val="right"/>
              <w:rPr>
                <w:color w:val="000000"/>
                <w:sz w:val="16"/>
                <w:szCs w:val="16"/>
              </w:rPr>
            </w:pPr>
            <w:r w:rsidRPr="007564FB">
              <w:rPr>
                <w:color w:val="000000"/>
                <w:sz w:val="16"/>
                <w:szCs w:val="16"/>
              </w:rPr>
              <w:t xml:space="preserve">$3,144,602 </w:t>
            </w:r>
          </w:p>
        </w:tc>
      </w:tr>
      <w:tr w:rsidRPr="007564FB" w:rsidR="007564FB" w:rsidTr="007564FB" w14:paraId="659B38D7"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5CE5FD72" w14:textId="77777777">
            <w:pPr>
              <w:widowControl/>
              <w:autoSpaceDE/>
              <w:autoSpaceDN/>
              <w:adjustRightInd/>
              <w:rPr>
                <w:color w:val="000000"/>
                <w:sz w:val="16"/>
                <w:szCs w:val="16"/>
              </w:rPr>
            </w:pPr>
            <w:r w:rsidRPr="007564FB">
              <w:rPr>
                <w:color w:val="000000"/>
                <w:sz w:val="16"/>
                <w:szCs w:val="16"/>
              </w:rPr>
              <w:t>HHAs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E38F253" w14:textId="77777777">
            <w:pPr>
              <w:widowControl/>
              <w:autoSpaceDE/>
              <w:autoSpaceDN/>
              <w:adjustRightInd/>
              <w:jc w:val="right"/>
              <w:rPr>
                <w:color w:val="000000"/>
                <w:sz w:val="16"/>
                <w:szCs w:val="16"/>
              </w:rPr>
            </w:pPr>
            <w:r w:rsidRPr="007564FB">
              <w:rPr>
                <w:color w:val="000000"/>
                <w:sz w:val="16"/>
                <w:szCs w:val="16"/>
              </w:rPr>
              <w:t>12,158</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9B55A47"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D554702" w14:textId="77777777">
            <w:pPr>
              <w:widowControl/>
              <w:autoSpaceDE/>
              <w:autoSpaceDN/>
              <w:adjustRightInd/>
              <w:jc w:val="right"/>
              <w:rPr>
                <w:color w:val="000000"/>
                <w:sz w:val="16"/>
                <w:szCs w:val="16"/>
              </w:rPr>
            </w:pPr>
            <w:r w:rsidRPr="007564FB">
              <w:rPr>
                <w:color w:val="000000"/>
                <w:sz w:val="16"/>
                <w:szCs w:val="16"/>
              </w:rPr>
              <w:t>11.5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B92032C" w14:textId="77777777">
            <w:pPr>
              <w:widowControl/>
              <w:autoSpaceDE/>
              <w:autoSpaceDN/>
              <w:adjustRightInd/>
              <w:jc w:val="right"/>
              <w:rPr>
                <w:color w:val="000000"/>
                <w:sz w:val="16"/>
                <w:szCs w:val="16"/>
              </w:rPr>
            </w:pPr>
            <w:r w:rsidRPr="007564FB">
              <w:rPr>
                <w:color w:val="000000"/>
                <w:sz w:val="16"/>
                <w:szCs w:val="16"/>
              </w:rPr>
              <w:t>139,817</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B909B1C" w14:textId="77777777">
            <w:pPr>
              <w:widowControl/>
              <w:autoSpaceDE/>
              <w:autoSpaceDN/>
              <w:adjustRightInd/>
              <w:jc w:val="right"/>
              <w:rPr>
                <w:color w:val="000000"/>
                <w:sz w:val="16"/>
                <w:szCs w:val="16"/>
              </w:rPr>
            </w:pPr>
            <w:r w:rsidRPr="007564FB">
              <w:rPr>
                <w:color w:val="000000"/>
                <w:sz w:val="16"/>
                <w:szCs w:val="16"/>
              </w:rPr>
              <w:t xml:space="preserve">$11,294,782 </w:t>
            </w:r>
          </w:p>
        </w:tc>
      </w:tr>
      <w:tr w:rsidRPr="007564FB" w:rsidR="007564FB" w:rsidTr="007564FB" w14:paraId="57A1D67A"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0EE08EBD" w14:textId="77777777">
            <w:pPr>
              <w:widowControl/>
              <w:autoSpaceDE/>
              <w:autoSpaceDN/>
              <w:adjustRightInd/>
              <w:rPr>
                <w:color w:val="000000"/>
                <w:sz w:val="16"/>
                <w:szCs w:val="16"/>
              </w:rPr>
            </w:pPr>
            <w:r w:rsidRPr="007564FB">
              <w:rPr>
                <w:color w:val="000000"/>
                <w:sz w:val="16"/>
                <w:szCs w:val="16"/>
              </w:rPr>
              <w:t>CORFs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57D09B16" w14:textId="77777777">
            <w:pPr>
              <w:widowControl/>
              <w:autoSpaceDE/>
              <w:autoSpaceDN/>
              <w:adjustRightInd/>
              <w:jc w:val="right"/>
              <w:rPr>
                <w:color w:val="000000"/>
                <w:sz w:val="16"/>
                <w:szCs w:val="16"/>
              </w:rPr>
            </w:pPr>
            <w:r w:rsidRPr="007564FB">
              <w:rPr>
                <w:color w:val="000000"/>
                <w:sz w:val="16"/>
                <w:szCs w:val="16"/>
              </w:rPr>
              <w:t>188</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8DA7E32"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12830E2" w14:textId="77777777">
            <w:pPr>
              <w:widowControl/>
              <w:autoSpaceDE/>
              <w:autoSpaceDN/>
              <w:adjustRightInd/>
              <w:jc w:val="right"/>
              <w:rPr>
                <w:color w:val="000000"/>
                <w:sz w:val="16"/>
                <w:szCs w:val="16"/>
              </w:rPr>
            </w:pPr>
            <w:r w:rsidRPr="007564FB">
              <w:rPr>
                <w:color w:val="000000"/>
                <w:sz w:val="16"/>
                <w:szCs w:val="16"/>
              </w:rPr>
              <w:t>7</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DE83D85" w14:textId="77777777">
            <w:pPr>
              <w:widowControl/>
              <w:autoSpaceDE/>
              <w:autoSpaceDN/>
              <w:adjustRightInd/>
              <w:jc w:val="right"/>
              <w:rPr>
                <w:color w:val="000000"/>
                <w:sz w:val="16"/>
                <w:szCs w:val="16"/>
              </w:rPr>
            </w:pPr>
            <w:r w:rsidRPr="007564FB">
              <w:rPr>
                <w:color w:val="000000"/>
                <w:sz w:val="16"/>
                <w:szCs w:val="16"/>
              </w:rPr>
              <w:t>1,316</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18CF50D" w14:textId="77777777">
            <w:pPr>
              <w:widowControl/>
              <w:autoSpaceDE/>
              <w:autoSpaceDN/>
              <w:adjustRightInd/>
              <w:jc w:val="right"/>
              <w:rPr>
                <w:color w:val="000000"/>
                <w:sz w:val="16"/>
                <w:szCs w:val="16"/>
              </w:rPr>
            </w:pPr>
            <w:r w:rsidRPr="007564FB">
              <w:rPr>
                <w:color w:val="000000"/>
                <w:sz w:val="16"/>
                <w:szCs w:val="16"/>
              </w:rPr>
              <w:t xml:space="preserve">$130,472 </w:t>
            </w:r>
          </w:p>
        </w:tc>
      </w:tr>
      <w:tr w:rsidRPr="007564FB" w:rsidR="007564FB" w:rsidTr="007564FB" w14:paraId="34EEDC12"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76ADEF97" w14:textId="77777777">
            <w:pPr>
              <w:widowControl/>
              <w:autoSpaceDE/>
              <w:autoSpaceDN/>
              <w:adjustRightInd/>
              <w:rPr>
                <w:color w:val="000000"/>
                <w:sz w:val="16"/>
                <w:szCs w:val="16"/>
              </w:rPr>
            </w:pPr>
            <w:r w:rsidRPr="007564FB">
              <w:rPr>
                <w:color w:val="000000"/>
                <w:sz w:val="16"/>
                <w:szCs w:val="16"/>
              </w:rPr>
              <w:t>CAHs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09CD7BEE" w14:textId="77777777">
            <w:pPr>
              <w:widowControl/>
              <w:autoSpaceDE/>
              <w:autoSpaceDN/>
              <w:adjustRightInd/>
              <w:jc w:val="right"/>
              <w:rPr>
                <w:color w:val="000000"/>
                <w:sz w:val="16"/>
                <w:szCs w:val="16"/>
              </w:rPr>
            </w:pPr>
            <w:r w:rsidRPr="007564FB">
              <w:rPr>
                <w:color w:val="000000"/>
                <w:sz w:val="16"/>
                <w:szCs w:val="16"/>
              </w:rPr>
              <w:t>1,353</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B18078B"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53E62E2B" w14:textId="77777777">
            <w:pPr>
              <w:widowControl/>
              <w:autoSpaceDE/>
              <w:autoSpaceDN/>
              <w:adjustRightInd/>
              <w:jc w:val="right"/>
              <w:rPr>
                <w:color w:val="000000"/>
                <w:sz w:val="16"/>
                <w:szCs w:val="16"/>
              </w:rPr>
            </w:pPr>
            <w:r w:rsidRPr="007564FB">
              <w:rPr>
                <w:color w:val="000000"/>
                <w:sz w:val="16"/>
                <w:szCs w:val="16"/>
              </w:rPr>
              <w:t>7</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0861D2F" w14:textId="77777777">
            <w:pPr>
              <w:widowControl/>
              <w:autoSpaceDE/>
              <w:autoSpaceDN/>
              <w:adjustRightInd/>
              <w:jc w:val="right"/>
              <w:rPr>
                <w:color w:val="000000"/>
                <w:sz w:val="16"/>
                <w:szCs w:val="16"/>
              </w:rPr>
            </w:pPr>
            <w:r w:rsidRPr="007564FB">
              <w:rPr>
                <w:color w:val="000000"/>
                <w:sz w:val="16"/>
                <w:szCs w:val="16"/>
              </w:rPr>
              <w:t>9,471</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41A6DB0" w14:textId="77777777">
            <w:pPr>
              <w:widowControl/>
              <w:autoSpaceDE/>
              <w:autoSpaceDN/>
              <w:adjustRightInd/>
              <w:jc w:val="right"/>
              <w:rPr>
                <w:color w:val="000000"/>
                <w:sz w:val="16"/>
                <w:szCs w:val="16"/>
              </w:rPr>
            </w:pPr>
            <w:r w:rsidRPr="007564FB">
              <w:rPr>
                <w:color w:val="000000"/>
                <w:sz w:val="16"/>
                <w:szCs w:val="16"/>
              </w:rPr>
              <w:t xml:space="preserve">$997,161 </w:t>
            </w:r>
          </w:p>
        </w:tc>
      </w:tr>
      <w:tr w:rsidRPr="007564FB" w:rsidR="007564FB" w:rsidTr="007564FB" w14:paraId="7DBF6359"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4A7D5E01" w14:textId="77777777">
            <w:pPr>
              <w:widowControl/>
              <w:autoSpaceDE/>
              <w:autoSpaceDN/>
              <w:adjustRightInd/>
              <w:rPr>
                <w:color w:val="000000"/>
                <w:sz w:val="16"/>
                <w:szCs w:val="16"/>
              </w:rPr>
            </w:pPr>
            <w:r w:rsidRPr="007564FB">
              <w:rPr>
                <w:color w:val="000000"/>
                <w:sz w:val="16"/>
                <w:szCs w:val="16"/>
              </w:rPr>
              <w:t>Non- Accredited CAHs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68C206F" w14:textId="77777777">
            <w:pPr>
              <w:widowControl/>
              <w:autoSpaceDE/>
              <w:autoSpaceDN/>
              <w:adjustRightInd/>
              <w:jc w:val="right"/>
              <w:rPr>
                <w:color w:val="000000"/>
                <w:sz w:val="16"/>
                <w:szCs w:val="16"/>
              </w:rPr>
            </w:pPr>
            <w:r w:rsidRPr="007564FB">
              <w:rPr>
                <w:color w:val="000000"/>
                <w:sz w:val="16"/>
                <w:szCs w:val="16"/>
              </w:rPr>
              <w:t>870</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08C51486"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0BB11620" w14:textId="77777777">
            <w:pPr>
              <w:widowControl/>
              <w:autoSpaceDE/>
              <w:autoSpaceDN/>
              <w:adjustRightInd/>
              <w:jc w:val="right"/>
              <w:rPr>
                <w:color w:val="000000"/>
                <w:sz w:val="16"/>
                <w:szCs w:val="16"/>
              </w:rPr>
            </w:pPr>
            <w:r w:rsidRPr="007564FB">
              <w:rPr>
                <w:color w:val="000000"/>
                <w:sz w:val="16"/>
                <w:szCs w:val="16"/>
              </w:rPr>
              <w:t>8</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3AA7B01" w14:textId="77777777">
            <w:pPr>
              <w:widowControl/>
              <w:autoSpaceDE/>
              <w:autoSpaceDN/>
              <w:adjustRightInd/>
              <w:jc w:val="right"/>
              <w:rPr>
                <w:color w:val="000000"/>
                <w:sz w:val="16"/>
                <w:szCs w:val="16"/>
              </w:rPr>
            </w:pPr>
            <w:r w:rsidRPr="007564FB">
              <w:rPr>
                <w:color w:val="000000"/>
                <w:sz w:val="16"/>
                <w:szCs w:val="16"/>
              </w:rPr>
              <w:t>6,960</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5E3DA3BD" w14:textId="77777777">
            <w:pPr>
              <w:widowControl/>
              <w:autoSpaceDE/>
              <w:autoSpaceDN/>
              <w:adjustRightInd/>
              <w:jc w:val="right"/>
              <w:rPr>
                <w:color w:val="000000"/>
                <w:sz w:val="16"/>
                <w:szCs w:val="16"/>
              </w:rPr>
            </w:pPr>
            <w:r w:rsidRPr="007564FB">
              <w:rPr>
                <w:color w:val="000000"/>
                <w:sz w:val="16"/>
                <w:szCs w:val="16"/>
              </w:rPr>
              <w:t xml:space="preserve">$737,760 </w:t>
            </w:r>
          </w:p>
        </w:tc>
      </w:tr>
      <w:tr w:rsidRPr="007564FB" w:rsidR="007564FB" w:rsidTr="007564FB" w14:paraId="64387D0F"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3253376F" w14:textId="77777777">
            <w:pPr>
              <w:widowControl/>
              <w:autoSpaceDE/>
              <w:autoSpaceDN/>
              <w:adjustRightInd/>
              <w:rPr>
                <w:color w:val="000000"/>
                <w:sz w:val="16"/>
                <w:szCs w:val="16"/>
              </w:rPr>
            </w:pPr>
            <w:r w:rsidRPr="007564FB">
              <w:rPr>
                <w:color w:val="000000"/>
                <w:sz w:val="16"/>
                <w:szCs w:val="16"/>
              </w:rPr>
              <w:t>PT OT Organizations*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3D825898" w14:textId="77777777">
            <w:pPr>
              <w:widowControl/>
              <w:autoSpaceDE/>
              <w:autoSpaceDN/>
              <w:adjustRightInd/>
              <w:jc w:val="right"/>
              <w:rPr>
                <w:color w:val="000000"/>
                <w:sz w:val="16"/>
                <w:szCs w:val="16"/>
              </w:rPr>
            </w:pPr>
            <w:r w:rsidRPr="007564FB">
              <w:rPr>
                <w:color w:val="000000"/>
                <w:sz w:val="16"/>
                <w:szCs w:val="16"/>
              </w:rPr>
              <w:t>2,121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C8D8CB2"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D5B5B75" w14:textId="77777777">
            <w:pPr>
              <w:widowControl/>
              <w:autoSpaceDE/>
              <w:autoSpaceDN/>
              <w:adjustRightInd/>
              <w:jc w:val="right"/>
              <w:rPr>
                <w:color w:val="000000"/>
                <w:sz w:val="16"/>
                <w:szCs w:val="16"/>
              </w:rPr>
            </w:pPr>
            <w:r w:rsidRPr="007564FB">
              <w:rPr>
                <w:color w:val="000000"/>
                <w:sz w:val="16"/>
                <w:szCs w:val="16"/>
              </w:rPr>
              <w:t>5.5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4D08CB1" w14:textId="77777777">
            <w:pPr>
              <w:widowControl/>
              <w:autoSpaceDE/>
              <w:autoSpaceDN/>
              <w:adjustRightInd/>
              <w:jc w:val="right"/>
              <w:rPr>
                <w:color w:val="000000"/>
                <w:sz w:val="16"/>
                <w:szCs w:val="16"/>
              </w:rPr>
            </w:pPr>
            <w:r w:rsidRPr="007564FB">
              <w:rPr>
                <w:color w:val="000000"/>
                <w:sz w:val="16"/>
                <w:szCs w:val="16"/>
              </w:rPr>
              <w:t>11,666</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FB23F70" w14:textId="77777777">
            <w:pPr>
              <w:widowControl/>
              <w:autoSpaceDE/>
              <w:autoSpaceDN/>
              <w:adjustRightInd/>
              <w:jc w:val="right"/>
              <w:rPr>
                <w:color w:val="000000"/>
                <w:sz w:val="16"/>
                <w:szCs w:val="16"/>
              </w:rPr>
            </w:pPr>
            <w:r w:rsidRPr="007564FB">
              <w:rPr>
                <w:color w:val="000000"/>
                <w:sz w:val="16"/>
                <w:szCs w:val="16"/>
              </w:rPr>
              <w:t xml:space="preserve">$1,110,344 </w:t>
            </w:r>
          </w:p>
        </w:tc>
      </w:tr>
      <w:tr w:rsidRPr="007564FB" w:rsidR="007564FB" w:rsidTr="007564FB" w14:paraId="445C762B"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66228C54" w14:textId="77777777">
            <w:pPr>
              <w:widowControl/>
              <w:autoSpaceDE/>
              <w:autoSpaceDN/>
              <w:adjustRightInd/>
              <w:rPr>
                <w:color w:val="000000"/>
                <w:sz w:val="16"/>
                <w:szCs w:val="16"/>
              </w:rPr>
            </w:pPr>
            <w:r w:rsidRPr="007564FB">
              <w:rPr>
                <w:color w:val="000000"/>
                <w:sz w:val="16"/>
                <w:szCs w:val="16"/>
              </w:rPr>
              <w:t>CMHCs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566E5139" w14:textId="77777777">
            <w:pPr>
              <w:widowControl/>
              <w:autoSpaceDE/>
              <w:autoSpaceDN/>
              <w:adjustRightInd/>
              <w:jc w:val="right"/>
              <w:rPr>
                <w:color w:val="000000"/>
                <w:sz w:val="16"/>
                <w:szCs w:val="16"/>
              </w:rPr>
            </w:pPr>
            <w:r w:rsidRPr="007564FB">
              <w:rPr>
                <w:color w:val="000000"/>
                <w:sz w:val="16"/>
                <w:szCs w:val="16"/>
              </w:rPr>
              <w:t>161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12EE853"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5F939237" w14:textId="77777777">
            <w:pPr>
              <w:widowControl/>
              <w:autoSpaceDE/>
              <w:autoSpaceDN/>
              <w:adjustRightInd/>
              <w:jc w:val="right"/>
              <w:rPr>
                <w:color w:val="000000"/>
                <w:sz w:val="16"/>
                <w:szCs w:val="16"/>
              </w:rPr>
            </w:pPr>
            <w:r w:rsidRPr="007564FB">
              <w:rPr>
                <w:color w:val="000000"/>
                <w:sz w:val="16"/>
                <w:szCs w:val="16"/>
              </w:rPr>
              <w:t>7</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3B5D2E8F" w14:textId="77777777">
            <w:pPr>
              <w:widowControl/>
              <w:autoSpaceDE/>
              <w:autoSpaceDN/>
              <w:adjustRightInd/>
              <w:jc w:val="right"/>
              <w:rPr>
                <w:color w:val="000000"/>
                <w:sz w:val="16"/>
                <w:szCs w:val="16"/>
              </w:rPr>
            </w:pPr>
            <w:r w:rsidRPr="007564FB">
              <w:rPr>
                <w:color w:val="000000"/>
                <w:sz w:val="16"/>
                <w:szCs w:val="16"/>
              </w:rPr>
              <w:t>1,127</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00CFF0FB" w14:textId="77777777">
            <w:pPr>
              <w:widowControl/>
              <w:autoSpaceDE/>
              <w:autoSpaceDN/>
              <w:adjustRightInd/>
              <w:jc w:val="right"/>
              <w:rPr>
                <w:color w:val="000000"/>
                <w:sz w:val="16"/>
                <w:szCs w:val="16"/>
              </w:rPr>
            </w:pPr>
            <w:r w:rsidRPr="007564FB">
              <w:rPr>
                <w:color w:val="000000"/>
                <w:sz w:val="16"/>
                <w:szCs w:val="16"/>
              </w:rPr>
              <w:t xml:space="preserve">$82,271 </w:t>
            </w:r>
          </w:p>
        </w:tc>
      </w:tr>
      <w:tr w:rsidRPr="007564FB" w:rsidR="007564FB" w:rsidTr="007564FB" w14:paraId="1F464DB9"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2A2E372D" w14:textId="77777777">
            <w:pPr>
              <w:widowControl/>
              <w:autoSpaceDE/>
              <w:autoSpaceDN/>
              <w:adjustRightInd/>
              <w:rPr>
                <w:color w:val="000000"/>
                <w:sz w:val="16"/>
                <w:szCs w:val="16"/>
              </w:rPr>
            </w:pPr>
            <w:r w:rsidRPr="007564FB">
              <w:rPr>
                <w:color w:val="000000"/>
                <w:sz w:val="16"/>
                <w:szCs w:val="16"/>
              </w:rPr>
              <w:t>OPOs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A077956" w14:textId="77777777">
            <w:pPr>
              <w:widowControl/>
              <w:autoSpaceDE/>
              <w:autoSpaceDN/>
              <w:adjustRightInd/>
              <w:jc w:val="right"/>
              <w:rPr>
                <w:color w:val="000000"/>
                <w:sz w:val="16"/>
                <w:szCs w:val="16"/>
              </w:rPr>
            </w:pPr>
            <w:r w:rsidRPr="007564FB">
              <w:rPr>
                <w:color w:val="000000"/>
                <w:sz w:val="16"/>
                <w:szCs w:val="16"/>
              </w:rPr>
              <w:t>58</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1BC6B6BB"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315CD949" w14:textId="77777777">
            <w:pPr>
              <w:widowControl/>
              <w:autoSpaceDE/>
              <w:autoSpaceDN/>
              <w:adjustRightInd/>
              <w:jc w:val="right"/>
              <w:rPr>
                <w:color w:val="000000"/>
                <w:sz w:val="16"/>
                <w:szCs w:val="16"/>
              </w:rPr>
            </w:pPr>
            <w:r w:rsidRPr="007564FB">
              <w:rPr>
                <w:color w:val="000000"/>
                <w:sz w:val="16"/>
                <w:szCs w:val="16"/>
              </w:rPr>
              <w:t>22.5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52088595" w14:textId="77777777">
            <w:pPr>
              <w:widowControl/>
              <w:autoSpaceDE/>
              <w:autoSpaceDN/>
              <w:adjustRightInd/>
              <w:jc w:val="right"/>
              <w:rPr>
                <w:color w:val="000000"/>
                <w:sz w:val="16"/>
                <w:szCs w:val="16"/>
              </w:rPr>
            </w:pPr>
            <w:r w:rsidRPr="007564FB">
              <w:rPr>
                <w:color w:val="000000"/>
                <w:sz w:val="16"/>
                <w:szCs w:val="16"/>
              </w:rPr>
              <w:t>1,305</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BF98A95" w14:textId="77777777">
            <w:pPr>
              <w:widowControl/>
              <w:autoSpaceDE/>
              <w:autoSpaceDN/>
              <w:adjustRightInd/>
              <w:jc w:val="right"/>
              <w:rPr>
                <w:color w:val="000000"/>
                <w:sz w:val="16"/>
                <w:szCs w:val="16"/>
              </w:rPr>
            </w:pPr>
            <w:r w:rsidRPr="007564FB">
              <w:rPr>
                <w:color w:val="000000"/>
                <w:sz w:val="16"/>
                <w:szCs w:val="16"/>
              </w:rPr>
              <w:t xml:space="preserve">$120,611 </w:t>
            </w:r>
          </w:p>
        </w:tc>
      </w:tr>
      <w:tr w:rsidRPr="007564FB" w:rsidR="007564FB" w:rsidTr="007564FB" w14:paraId="058C010F"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672072A5" w14:textId="77777777">
            <w:pPr>
              <w:widowControl/>
              <w:autoSpaceDE/>
              <w:autoSpaceDN/>
              <w:adjustRightInd/>
              <w:rPr>
                <w:color w:val="000000"/>
                <w:sz w:val="16"/>
                <w:szCs w:val="16"/>
              </w:rPr>
            </w:pPr>
            <w:r w:rsidRPr="007564FB">
              <w:rPr>
                <w:color w:val="000000"/>
                <w:sz w:val="16"/>
                <w:szCs w:val="16"/>
              </w:rPr>
              <w:t>RHCs/FQHCs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2DB05DF" w14:textId="77777777">
            <w:pPr>
              <w:widowControl/>
              <w:autoSpaceDE/>
              <w:autoSpaceDN/>
              <w:adjustRightInd/>
              <w:jc w:val="right"/>
              <w:rPr>
                <w:color w:val="000000"/>
                <w:sz w:val="16"/>
                <w:szCs w:val="16"/>
              </w:rPr>
            </w:pPr>
            <w:r w:rsidRPr="007564FB">
              <w:rPr>
                <w:color w:val="000000"/>
                <w:sz w:val="16"/>
                <w:szCs w:val="16"/>
              </w:rPr>
              <w:t>12,034</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077D255D"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70F2318" w14:textId="77777777">
            <w:pPr>
              <w:widowControl/>
              <w:autoSpaceDE/>
              <w:autoSpaceDN/>
              <w:adjustRightInd/>
              <w:jc w:val="right"/>
              <w:rPr>
                <w:color w:val="000000"/>
                <w:sz w:val="16"/>
                <w:szCs w:val="16"/>
              </w:rPr>
            </w:pPr>
            <w:r w:rsidRPr="007564FB">
              <w:rPr>
                <w:color w:val="000000"/>
                <w:sz w:val="16"/>
                <w:szCs w:val="16"/>
              </w:rPr>
              <w:t>7.5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AC24668" w14:textId="77777777">
            <w:pPr>
              <w:widowControl/>
              <w:autoSpaceDE/>
              <w:autoSpaceDN/>
              <w:adjustRightInd/>
              <w:jc w:val="right"/>
              <w:rPr>
                <w:color w:val="000000"/>
                <w:sz w:val="16"/>
                <w:szCs w:val="16"/>
              </w:rPr>
            </w:pPr>
            <w:r w:rsidRPr="007564FB">
              <w:rPr>
                <w:color w:val="000000"/>
                <w:sz w:val="16"/>
                <w:szCs w:val="16"/>
              </w:rPr>
              <w:t>90,255</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1A13D2D5" w14:textId="77777777">
            <w:pPr>
              <w:widowControl/>
              <w:autoSpaceDE/>
              <w:autoSpaceDN/>
              <w:adjustRightInd/>
              <w:jc w:val="right"/>
              <w:rPr>
                <w:color w:val="000000"/>
                <w:sz w:val="16"/>
                <w:szCs w:val="16"/>
              </w:rPr>
            </w:pPr>
            <w:r w:rsidRPr="007564FB">
              <w:rPr>
                <w:color w:val="000000"/>
                <w:sz w:val="16"/>
                <w:szCs w:val="16"/>
              </w:rPr>
              <w:t xml:space="preserve">$7,406,927 </w:t>
            </w:r>
          </w:p>
        </w:tc>
      </w:tr>
      <w:tr w:rsidRPr="007564FB" w:rsidR="007564FB" w:rsidTr="007564FB" w14:paraId="308D0A89"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67116175" w14:textId="77777777">
            <w:pPr>
              <w:widowControl/>
              <w:autoSpaceDE/>
              <w:autoSpaceDN/>
              <w:adjustRightInd/>
              <w:rPr>
                <w:color w:val="000000"/>
                <w:sz w:val="16"/>
                <w:szCs w:val="16"/>
              </w:rPr>
            </w:pPr>
            <w:r w:rsidRPr="007564FB">
              <w:rPr>
                <w:color w:val="000000"/>
                <w:sz w:val="16"/>
                <w:szCs w:val="16"/>
              </w:rPr>
              <w:t>ESRD Facilities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0D4AA82" w14:textId="77777777">
            <w:pPr>
              <w:widowControl/>
              <w:autoSpaceDE/>
              <w:autoSpaceDN/>
              <w:adjustRightInd/>
              <w:jc w:val="right"/>
              <w:rPr>
                <w:color w:val="000000"/>
                <w:sz w:val="16"/>
                <w:szCs w:val="16"/>
              </w:rPr>
            </w:pPr>
            <w:r w:rsidRPr="007564FB">
              <w:rPr>
                <w:color w:val="000000"/>
                <w:sz w:val="16"/>
                <w:szCs w:val="16"/>
              </w:rPr>
              <w:t>6,898</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199E1160" w14:textId="77777777">
            <w:pPr>
              <w:widowControl/>
              <w:autoSpaceDE/>
              <w:autoSpaceDN/>
              <w:adjustRightInd/>
              <w:jc w:val="right"/>
              <w:rPr>
                <w:color w:val="000000"/>
                <w:sz w:val="16"/>
                <w:szCs w:val="16"/>
              </w:rPr>
            </w:pPr>
            <w:r w:rsidRPr="007564FB">
              <w:rPr>
                <w:color w:val="000000"/>
                <w:sz w:val="16"/>
                <w:szCs w:val="16"/>
              </w:rPr>
              <w:t>1</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600D42AD" w14:textId="77777777">
            <w:pPr>
              <w:widowControl/>
              <w:autoSpaceDE/>
              <w:autoSpaceDN/>
              <w:adjustRightInd/>
              <w:jc w:val="right"/>
              <w:rPr>
                <w:color w:val="000000"/>
                <w:sz w:val="16"/>
                <w:szCs w:val="16"/>
              </w:rPr>
            </w:pPr>
            <w:r w:rsidRPr="007564FB">
              <w:rPr>
                <w:color w:val="000000"/>
                <w:sz w:val="16"/>
                <w:szCs w:val="16"/>
              </w:rPr>
              <w:t>3.5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7C3C687" w14:textId="77777777">
            <w:pPr>
              <w:widowControl/>
              <w:autoSpaceDE/>
              <w:autoSpaceDN/>
              <w:adjustRightInd/>
              <w:jc w:val="right"/>
              <w:rPr>
                <w:color w:val="000000"/>
                <w:sz w:val="16"/>
                <w:szCs w:val="16"/>
              </w:rPr>
            </w:pPr>
            <w:r w:rsidRPr="007564FB">
              <w:rPr>
                <w:color w:val="000000"/>
                <w:sz w:val="16"/>
                <w:szCs w:val="16"/>
              </w:rPr>
              <w:t>24,143</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CA42786" w14:textId="77777777">
            <w:pPr>
              <w:widowControl/>
              <w:autoSpaceDE/>
              <w:autoSpaceDN/>
              <w:adjustRightInd/>
              <w:jc w:val="right"/>
              <w:rPr>
                <w:color w:val="000000"/>
                <w:sz w:val="16"/>
                <w:szCs w:val="16"/>
              </w:rPr>
            </w:pPr>
            <w:r w:rsidRPr="007564FB">
              <w:rPr>
                <w:color w:val="000000"/>
                <w:sz w:val="16"/>
                <w:szCs w:val="16"/>
              </w:rPr>
              <w:t xml:space="preserve">$2,983,385 </w:t>
            </w:r>
          </w:p>
        </w:tc>
      </w:tr>
      <w:tr w:rsidRPr="007564FB" w:rsidR="007564FB" w:rsidTr="007564FB" w14:paraId="4BA437C5" w14:textId="77777777">
        <w:trPr>
          <w:trHeight w:val="330"/>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7564FB" w:rsidR="007564FB" w:rsidP="007564FB" w:rsidRDefault="007564FB" w14:paraId="2DD9EEDB" w14:textId="77777777">
            <w:pPr>
              <w:widowControl/>
              <w:autoSpaceDE/>
              <w:autoSpaceDN/>
              <w:adjustRightInd/>
              <w:rPr>
                <w:b/>
                <w:bCs/>
                <w:color w:val="000000"/>
                <w:sz w:val="16"/>
                <w:szCs w:val="16"/>
              </w:rPr>
            </w:pPr>
            <w:r w:rsidRPr="007564FB">
              <w:rPr>
                <w:b/>
                <w:bCs/>
                <w:color w:val="000000"/>
                <w:sz w:val="16"/>
                <w:szCs w:val="16"/>
              </w:rPr>
              <w:t>Totals</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1CAD0D2B" w14:textId="77777777">
            <w:pPr>
              <w:widowControl/>
              <w:autoSpaceDE/>
              <w:autoSpaceDN/>
              <w:adjustRightInd/>
              <w:jc w:val="right"/>
              <w:rPr>
                <w:b/>
                <w:bCs/>
                <w:color w:val="000000"/>
                <w:sz w:val="16"/>
                <w:szCs w:val="16"/>
              </w:rPr>
            </w:pPr>
            <w:r w:rsidRPr="007564FB">
              <w:rPr>
                <w:b/>
                <w:bCs/>
                <w:color w:val="000000"/>
                <w:sz w:val="16"/>
                <w:szCs w:val="16"/>
              </w:rPr>
              <w:t>69,819</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35DEFAA5" w14:textId="77777777">
            <w:pPr>
              <w:widowControl/>
              <w:autoSpaceDE/>
              <w:autoSpaceDN/>
              <w:adjustRightInd/>
              <w:jc w:val="right"/>
              <w:rPr>
                <w:color w:val="000000"/>
                <w:sz w:val="24"/>
              </w:rPr>
            </w:pPr>
            <w:r w:rsidRPr="007564FB">
              <w:rPr>
                <w:color w:val="000000"/>
                <w:sz w:val="24"/>
              </w:rPr>
              <w:t> </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4642657B" w14:textId="77777777">
            <w:pPr>
              <w:widowControl/>
              <w:autoSpaceDE/>
              <w:autoSpaceDN/>
              <w:adjustRightInd/>
              <w:jc w:val="right"/>
              <w:rPr>
                <w:b/>
                <w:bCs/>
                <w:color w:val="000000"/>
                <w:sz w:val="16"/>
                <w:szCs w:val="16"/>
              </w:rPr>
            </w:pPr>
            <w:r w:rsidRPr="007564FB">
              <w:rPr>
                <w:b/>
                <w:bCs/>
                <w:color w:val="000000"/>
                <w:sz w:val="16"/>
                <w:szCs w:val="16"/>
              </w:rPr>
              <w:t>164.5</w:t>
            </w:r>
          </w:p>
        </w:tc>
        <w:tc>
          <w:tcPr>
            <w:tcW w:w="9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7C3BFBD8" w14:textId="77777777">
            <w:pPr>
              <w:widowControl/>
              <w:autoSpaceDE/>
              <w:autoSpaceDN/>
              <w:adjustRightInd/>
              <w:jc w:val="right"/>
              <w:rPr>
                <w:b/>
                <w:bCs/>
                <w:color w:val="000000"/>
                <w:sz w:val="16"/>
                <w:szCs w:val="16"/>
              </w:rPr>
            </w:pPr>
            <w:r w:rsidRPr="007564FB">
              <w:rPr>
                <w:b/>
                <w:bCs/>
                <w:color w:val="000000"/>
                <w:sz w:val="16"/>
                <w:szCs w:val="16"/>
              </w:rPr>
              <w:t>656,313</w:t>
            </w:r>
          </w:p>
        </w:tc>
        <w:tc>
          <w:tcPr>
            <w:tcW w:w="1160" w:type="dxa"/>
            <w:tcBorders>
              <w:top w:val="nil"/>
              <w:left w:val="nil"/>
              <w:bottom w:val="single" w:color="auto" w:sz="8" w:space="0"/>
              <w:right w:val="single" w:color="auto" w:sz="8" w:space="0"/>
            </w:tcBorders>
            <w:shd w:val="clear" w:color="auto" w:fill="auto"/>
            <w:vAlign w:val="center"/>
            <w:hideMark/>
          </w:tcPr>
          <w:p w:rsidRPr="007564FB" w:rsidR="007564FB" w:rsidP="007564FB" w:rsidRDefault="007564FB" w14:paraId="24397758" w14:textId="77777777">
            <w:pPr>
              <w:widowControl/>
              <w:autoSpaceDE/>
              <w:autoSpaceDN/>
              <w:adjustRightInd/>
              <w:jc w:val="right"/>
              <w:rPr>
                <w:b/>
                <w:bCs/>
                <w:color w:val="000000"/>
                <w:sz w:val="16"/>
                <w:szCs w:val="16"/>
              </w:rPr>
            </w:pPr>
            <w:r w:rsidRPr="007564FB">
              <w:rPr>
                <w:b/>
                <w:bCs/>
                <w:color w:val="000000"/>
                <w:sz w:val="16"/>
                <w:szCs w:val="16"/>
              </w:rPr>
              <w:t xml:space="preserve">$60,047,144 </w:t>
            </w:r>
          </w:p>
        </w:tc>
      </w:tr>
    </w:tbl>
    <w:p w:rsidR="007273AF" w:rsidP="007D5FD8" w:rsidRDefault="007273AF" w14:paraId="05682BD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321DA0" w:rsidP="00D55363" w:rsidRDefault="00321DA0" w14:paraId="0866CC3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p>
    <w:p w:rsidR="00321DA0" w:rsidP="00D55363" w:rsidRDefault="00AB24B4" w14:paraId="6AB55682" w14:textId="5892333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u w:val="single"/>
        </w:rPr>
      </w:pPr>
      <w:r>
        <w:rPr>
          <w:sz w:val="24"/>
          <w:u w:val="single"/>
        </w:rPr>
        <w:t>§486.360(e)--</w:t>
      </w:r>
      <w:r w:rsidR="00321DA0">
        <w:rPr>
          <w:sz w:val="24"/>
          <w:u w:val="single"/>
        </w:rPr>
        <w:t>Emergency Agreements with Other OPOs</w:t>
      </w:r>
    </w:p>
    <w:p w:rsidR="00321DA0" w:rsidP="00321DA0" w:rsidRDefault="00321DA0" w14:paraId="49C4B51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5D5645" w:rsidP="00CA6543" w:rsidRDefault="00CA6543" w14:paraId="1A63CA2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CA6543">
        <w:rPr>
          <w:sz w:val="24"/>
        </w:rPr>
        <w:t xml:space="preserve">Section 486.360(e) requires OPOs to develop and maintain mutually agreed upon protocols as required in §486.344(d) that cover the duties and responsibilities of the transplant program, the hospital in which the transplant program is operated and the OPO during an emergency. Section 486.344(d) does not currently require that emergency preparedness be addressed in those protocols.  Thus, we believe that most OPOs do not currently address emergency preparedness in their protocols.  OPOs will only be required to address emergency preparedness with the transplant centers and the hospitals in which they operate.  </w:t>
      </w:r>
    </w:p>
    <w:p w:rsidR="005D5645" w:rsidP="00CA6543" w:rsidRDefault="005D5645" w14:paraId="014E5C9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CA6543" w:rsidP="00CA6543" w:rsidRDefault="00CA6543" w14:paraId="36429EF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CA6543">
        <w:rPr>
          <w:sz w:val="24"/>
        </w:rPr>
        <w:t xml:space="preserve">Since the number of transplant hospitals varies between the </w:t>
      </w:r>
      <w:r w:rsidR="00594C74">
        <w:rPr>
          <w:sz w:val="24"/>
        </w:rPr>
        <w:t>donation services areas (</w:t>
      </w:r>
      <w:r w:rsidRPr="00CA6543">
        <w:rPr>
          <w:sz w:val="24"/>
        </w:rPr>
        <w:t>DSAs</w:t>
      </w:r>
      <w:r w:rsidR="00594C74">
        <w:rPr>
          <w:sz w:val="24"/>
        </w:rPr>
        <w:t>)</w:t>
      </w:r>
      <w:r w:rsidRPr="00CA6543">
        <w:rPr>
          <w:sz w:val="24"/>
        </w:rPr>
        <w:t xml:space="preserve"> and the number of transplant programs in each of those hospitals also varies, we have estimated the burden based on the average number of transplant hospitals for each DSA and the number of transplant programs in those hospitals.  There are about 770 transplant programs and 240 transplant hospitals.  For each OPO’s DSA, there is an average of 4 transplant hospitals (240 transplant hospitals / 58 OPOs) with 3 transplant programs (770 transplant programs/240 transplant hospitals).  Thus, we estimate that each OPO would need to develop protocols for 12 transplant programs (4 transplant hospitals for each DSA x 3 transplant programs in each transp</w:t>
      </w:r>
      <w:bookmarkStart w:name="_GoBack" w:id="0"/>
      <w:bookmarkEnd w:id="0"/>
      <w:r w:rsidRPr="00CA6543">
        <w:rPr>
          <w:sz w:val="24"/>
        </w:rPr>
        <w:t xml:space="preserve">lant hospital).  </w:t>
      </w:r>
    </w:p>
    <w:p w:rsidRPr="00CA6543" w:rsidR="005D5645" w:rsidP="00CA6543" w:rsidRDefault="005D5645" w14:paraId="34DA281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FD2619" w:rsidP="001F2BC0" w:rsidRDefault="00CA6543" w14:paraId="30414ABB" w14:textId="5C80DD8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CA6543">
        <w:rPr>
          <w:sz w:val="24"/>
        </w:rPr>
        <w:tab/>
        <w:t xml:space="preserve">The burden associated with this requirement will be the time and effort necessary to negotiate with each hospital and transplant program, and then draft the  protocols that address each one’s duties and responsibilities during an emergency.  Based on our experience with OPOs, transplant centers, and the hospitals in which they operate, we believe that they have already had to deal with some type of emergency and have a basis for those protocols, especially the types of services that are needed by the waiting list patients and the transplant recipients and the services that each of them can provide during an emergency.  Based on our experience with OPOs, we believe that conducting these negotiations would require the involvement of the OPO’s director, medical director, QAPI </w:t>
      </w:r>
      <w:r w:rsidRPr="00CA6543">
        <w:rPr>
          <w:sz w:val="24"/>
        </w:rPr>
        <w:lastRenderedPageBreak/>
        <w:t xml:space="preserve">director, and an organ procurement coordinator (OPC).  We expect that these individuals would attend an initial meeting and then one individual, probably the QAPI director, would draft the protocols and ensure they are reviewed by all required parties and agreed to. This would require an hour of each individual’s time, except for the QAPI director who would require 2 hours for each transplant program.  Thus, for each transplant program, the OPO would need 5 burden hours.  </w:t>
      </w:r>
    </w:p>
    <w:p w:rsidR="00A55491" w:rsidP="001F2BC0" w:rsidRDefault="00A55491" w14:paraId="53DCC73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FD2619" w:rsidP="001F2BC0" w:rsidRDefault="00FD2619" w14:paraId="57D47129" w14:textId="56BF6D9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 xml:space="preserve">Table </w:t>
      </w:r>
      <w:r w:rsidR="00FC0091">
        <w:rPr>
          <w:sz w:val="24"/>
        </w:rPr>
        <w:t xml:space="preserve">4 </w:t>
      </w:r>
      <w:r>
        <w:rPr>
          <w:sz w:val="24"/>
        </w:rPr>
        <w:t>below lays out the a</w:t>
      </w:r>
      <w:r w:rsidRPr="00110B70">
        <w:rPr>
          <w:sz w:val="24"/>
        </w:rPr>
        <w:t xml:space="preserve">nnual </w:t>
      </w:r>
      <w:r>
        <w:rPr>
          <w:sz w:val="24"/>
        </w:rPr>
        <w:t>b</w:t>
      </w:r>
      <w:r w:rsidRPr="00110B70">
        <w:rPr>
          <w:sz w:val="24"/>
        </w:rPr>
        <w:t xml:space="preserve">urden </w:t>
      </w:r>
      <w:r>
        <w:rPr>
          <w:sz w:val="24"/>
        </w:rPr>
        <w:t>h</w:t>
      </w:r>
      <w:r w:rsidRPr="00110B70">
        <w:rPr>
          <w:sz w:val="24"/>
        </w:rPr>
        <w:t xml:space="preserve">ours and </w:t>
      </w:r>
      <w:r>
        <w:rPr>
          <w:sz w:val="24"/>
        </w:rPr>
        <w:t>c</w:t>
      </w:r>
      <w:r w:rsidRPr="00110B70">
        <w:rPr>
          <w:sz w:val="24"/>
        </w:rPr>
        <w:t xml:space="preserve">ost for </w:t>
      </w:r>
      <w:r>
        <w:rPr>
          <w:sz w:val="24"/>
        </w:rPr>
        <w:t>each OPO</w:t>
      </w:r>
      <w:r w:rsidRPr="00110B70">
        <w:rPr>
          <w:sz w:val="24"/>
        </w:rPr>
        <w:t xml:space="preserve"> to </w:t>
      </w:r>
      <w:r>
        <w:rPr>
          <w:sz w:val="24"/>
        </w:rPr>
        <w:t>comply with §486.360(e).</w:t>
      </w:r>
    </w:p>
    <w:p w:rsidR="00E14F42" w:rsidP="001F2BC0" w:rsidRDefault="00E14F42" w14:paraId="0C06115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E14F42" w:rsidP="002F6AE7" w:rsidRDefault="00E14F42" w14:paraId="5FD49345" w14:textId="08DD1D9E">
      <w:pPr>
        <w:widowControl/>
        <w:autoSpaceDE/>
        <w:autoSpaceDN/>
        <w:adjustRightInd/>
        <w:jc w:val="center"/>
        <w:rPr>
          <w:b/>
          <w:bCs/>
          <w:color w:val="000000"/>
          <w:sz w:val="18"/>
          <w:szCs w:val="18"/>
        </w:rPr>
      </w:pPr>
      <w:r w:rsidRPr="00B06393">
        <w:rPr>
          <w:b/>
          <w:bCs/>
          <w:color w:val="000000"/>
          <w:sz w:val="18"/>
          <w:szCs w:val="18"/>
        </w:rPr>
        <w:t xml:space="preserve">Table </w:t>
      </w:r>
      <w:r w:rsidR="002C000D">
        <w:rPr>
          <w:b/>
          <w:bCs/>
          <w:color w:val="000000"/>
          <w:sz w:val="18"/>
          <w:szCs w:val="18"/>
        </w:rPr>
        <w:t>4</w:t>
      </w:r>
      <w:r w:rsidRPr="00B06393">
        <w:rPr>
          <w:b/>
          <w:bCs/>
          <w:color w:val="000000"/>
          <w:sz w:val="18"/>
          <w:szCs w:val="18"/>
        </w:rPr>
        <w:t>--Burden Hours and Cost Estimates for an OPO</w:t>
      </w:r>
      <w:r>
        <w:rPr>
          <w:b/>
          <w:bCs/>
          <w:color w:val="000000"/>
          <w:sz w:val="18"/>
          <w:szCs w:val="18"/>
        </w:rPr>
        <w:t xml:space="preserve"> </w:t>
      </w:r>
      <w:r w:rsidRPr="00B06393">
        <w:rPr>
          <w:b/>
          <w:bCs/>
          <w:color w:val="000000"/>
          <w:sz w:val="18"/>
          <w:szCs w:val="18"/>
        </w:rPr>
        <w:t xml:space="preserve">to Develop </w:t>
      </w:r>
      <w:r>
        <w:rPr>
          <w:b/>
          <w:bCs/>
          <w:color w:val="000000"/>
          <w:sz w:val="18"/>
          <w:szCs w:val="18"/>
        </w:rPr>
        <w:t>Mutually Agreed upon Protocols</w:t>
      </w:r>
    </w:p>
    <w:p w:rsidR="00E14F42" w:rsidP="002F6AE7" w:rsidRDefault="00E14F42" w14:paraId="79229548" w14:textId="77777777">
      <w:pPr>
        <w:widowControl/>
        <w:autoSpaceDE/>
        <w:autoSpaceDN/>
        <w:adjustRightInd/>
        <w:jc w:val="center"/>
        <w:rPr>
          <w:b/>
          <w:bCs/>
          <w:color w:val="000000"/>
          <w:sz w:val="18"/>
          <w:szCs w:val="18"/>
        </w:rPr>
      </w:pPr>
    </w:p>
    <w:tbl>
      <w:tblPr>
        <w:tblW w:w="0" w:type="auto"/>
        <w:tblInd w:w="445" w:type="dxa"/>
        <w:tblLook w:val="04A0" w:firstRow="1" w:lastRow="0" w:firstColumn="1" w:lastColumn="0" w:noHBand="0" w:noVBand="1"/>
      </w:tblPr>
      <w:tblGrid>
        <w:gridCol w:w="4500"/>
        <w:gridCol w:w="960"/>
        <w:gridCol w:w="960"/>
        <w:gridCol w:w="994"/>
      </w:tblGrid>
      <w:tr w:rsidRPr="001A202D" w:rsidR="001A202D" w:rsidTr="007D5FD8" w14:paraId="2E115F77" w14:textId="77777777">
        <w:trPr>
          <w:trHeight w:val="495"/>
        </w:trPr>
        <w:tc>
          <w:tcPr>
            <w:tcW w:w="45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A202D" w:rsidR="001A202D" w:rsidP="001A202D" w:rsidRDefault="001A202D" w14:paraId="24A55619" w14:textId="77777777">
            <w:pPr>
              <w:widowControl/>
              <w:autoSpaceDE/>
              <w:autoSpaceDN/>
              <w:adjustRightInd/>
              <w:jc w:val="center"/>
              <w:rPr>
                <w:b/>
                <w:bCs/>
                <w:color w:val="000000"/>
                <w:sz w:val="18"/>
                <w:szCs w:val="18"/>
              </w:rPr>
            </w:pPr>
            <w:r w:rsidRPr="001A202D">
              <w:rPr>
                <w:b/>
                <w:bCs/>
                <w:color w:val="000000"/>
                <w:sz w:val="18"/>
                <w:szCs w:val="18"/>
              </w:rPr>
              <w:t>Position</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1A202D" w:rsidR="001A202D" w:rsidP="001A202D" w:rsidRDefault="001A202D" w14:paraId="75E4CB9B" w14:textId="77777777">
            <w:pPr>
              <w:widowControl/>
              <w:autoSpaceDE/>
              <w:autoSpaceDN/>
              <w:adjustRightInd/>
              <w:jc w:val="center"/>
              <w:rPr>
                <w:b/>
                <w:bCs/>
                <w:color w:val="000000"/>
                <w:sz w:val="18"/>
                <w:szCs w:val="18"/>
              </w:rPr>
            </w:pPr>
            <w:r w:rsidRPr="001A202D">
              <w:rPr>
                <w:b/>
                <w:bCs/>
                <w:color w:val="000000"/>
                <w:sz w:val="18"/>
                <w:szCs w:val="18"/>
              </w:rPr>
              <w:t>Hourly Wage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1A202D" w:rsidR="001A202D" w:rsidP="001A202D" w:rsidRDefault="001A202D" w14:paraId="6563E0EF" w14:textId="77777777">
            <w:pPr>
              <w:widowControl/>
              <w:autoSpaceDE/>
              <w:autoSpaceDN/>
              <w:adjustRightInd/>
              <w:jc w:val="center"/>
              <w:rPr>
                <w:b/>
                <w:bCs/>
                <w:color w:val="000000"/>
                <w:sz w:val="18"/>
                <w:szCs w:val="18"/>
              </w:rPr>
            </w:pPr>
            <w:r w:rsidRPr="001A202D">
              <w:rPr>
                <w:b/>
                <w:bCs/>
                <w:color w:val="000000"/>
                <w:sz w:val="18"/>
                <w:szCs w:val="18"/>
              </w:rPr>
              <w:t>Burden Hours</w:t>
            </w:r>
          </w:p>
        </w:tc>
        <w:tc>
          <w:tcPr>
            <w:tcW w:w="994" w:type="dxa"/>
            <w:tcBorders>
              <w:top w:val="single" w:color="auto" w:sz="8" w:space="0"/>
              <w:left w:val="nil"/>
              <w:bottom w:val="single" w:color="auto" w:sz="8" w:space="0"/>
              <w:right w:val="single" w:color="auto" w:sz="8" w:space="0"/>
            </w:tcBorders>
            <w:shd w:val="clear" w:color="auto" w:fill="auto"/>
            <w:vAlign w:val="center"/>
            <w:hideMark/>
          </w:tcPr>
          <w:p w:rsidRPr="001A202D" w:rsidR="001A202D" w:rsidP="001A202D" w:rsidRDefault="001A202D" w14:paraId="43B912C1" w14:textId="77777777">
            <w:pPr>
              <w:widowControl/>
              <w:autoSpaceDE/>
              <w:autoSpaceDN/>
              <w:adjustRightInd/>
              <w:jc w:val="center"/>
              <w:rPr>
                <w:b/>
                <w:bCs/>
                <w:color w:val="000000"/>
                <w:sz w:val="18"/>
                <w:szCs w:val="18"/>
              </w:rPr>
            </w:pPr>
            <w:r w:rsidRPr="001A202D">
              <w:rPr>
                <w:b/>
                <w:bCs/>
                <w:color w:val="000000"/>
                <w:sz w:val="18"/>
                <w:szCs w:val="18"/>
              </w:rPr>
              <w:t>Cost Estimates</w:t>
            </w:r>
          </w:p>
        </w:tc>
      </w:tr>
      <w:tr w:rsidRPr="001A202D" w:rsidR="001A202D" w:rsidTr="007D5FD8" w14:paraId="10A24388"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1A202D" w:rsidR="001A202D" w:rsidP="001A202D" w:rsidRDefault="001A202D" w14:paraId="6B881A8A" w14:textId="77777777">
            <w:pPr>
              <w:widowControl/>
              <w:autoSpaceDE/>
              <w:autoSpaceDN/>
              <w:adjustRightInd/>
              <w:rPr>
                <w:b/>
                <w:bCs/>
                <w:color w:val="000000"/>
                <w:sz w:val="18"/>
                <w:szCs w:val="18"/>
              </w:rPr>
            </w:pPr>
            <w:r w:rsidRPr="001A202D">
              <w:rPr>
                <w:b/>
                <w:bCs/>
                <w:color w:val="000000"/>
                <w:sz w:val="18"/>
                <w:szCs w:val="18"/>
              </w:rPr>
              <w:t xml:space="preserve">Director </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5F6F16D1" w14:textId="77777777">
            <w:pPr>
              <w:widowControl/>
              <w:autoSpaceDE/>
              <w:autoSpaceDN/>
              <w:adjustRightInd/>
              <w:jc w:val="right"/>
              <w:rPr>
                <w:color w:val="000000"/>
                <w:sz w:val="18"/>
                <w:szCs w:val="18"/>
              </w:rPr>
            </w:pPr>
            <w:r w:rsidRPr="001A202D">
              <w:rPr>
                <w:color w:val="000000"/>
                <w:sz w:val="18"/>
                <w:szCs w:val="18"/>
              </w:rPr>
              <w:t xml:space="preserve">$115 </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43CB4557" w14:textId="77777777">
            <w:pPr>
              <w:widowControl/>
              <w:autoSpaceDE/>
              <w:autoSpaceDN/>
              <w:adjustRightInd/>
              <w:jc w:val="right"/>
              <w:rPr>
                <w:color w:val="000000"/>
                <w:sz w:val="18"/>
                <w:szCs w:val="18"/>
              </w:rPr>
            </w:pPr>
            <w:r w:rsidRPr="001A202D">
              <w:rPr>
                <w:color w:val="000000"/>
                <w:sz w:val="18"/>
                <w:szCs w:val="18"/>
              </w:rPr>
              <w:t>1</w:t>
            </w:r>
          </w:p>
        </w:tc>
        <w:tc>
          <w:tcPr>
            <w:tcW w:w="994"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682FE648" w14:textId="77777777">
            <w:pPr>
              <w:widowControl/>
              <w:autoSpaceDE/>
              <w:autoSpaceDN/>
              <w:adjustRightInd/>
              <w:jc w:val="right"/>
              <w:rPr>
                <w:color w:val="000000"/>
                <w:sz w:val="18"/>
                <w:szCs w:val="18"/>
              </w:rPr>
            </w:pPr>
            <w:r w:rsidRPr="001A202D">
              <w:rPr>
                <w:color w:val="000000"/>
                <w:sz w:val="18"/>
                <w:szCs w:val="18"/>
              </w:rPr>
              <w:t xml:space="preserve">$115 </w:t>
            </w:r>
          </w:p>
        </w:tc>
      </w:tr>
      <w:tr w:rsidRPr="001A202D" w:rsidR="001A202D" w:rsidTr="007D5FD8" w14:paraId="4806AA30"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1A202D" w:rsidR="001A202D" w:rsidP="001A202D" w:rsidRDefault="001A202D" w14:paraId="3C05770C" w14:textId="77777777">
            <w:pPr>
              <w:widowControl/>
              <w:autoSpaceDE/>
              <w:autoSpaceDN/>
              <w:adjustRightInd/>
              <w:rPr>
                <w:b/>
                <w:bCs/>
                <w:color w:val="000000"/>
                <w:sz w:val="18"/>
                <w:szCs w:val="18"/>
              </w:rPr>
            </w:pPr>
            <w:r w:rsidRPr="001A202D">
              <w:rPr>
                <w:b/>
                <w:bCs/>
                <w:color w:val="000000"/>
                <w:sz w:val="18"/>
                <w:szCs w:val="18"/>
              </w:rPr>
              <w:t>Medical Director</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38B4DB81" w14:textId="77777777">
            <w:pPr>
              <w:widowControl/>
              <w:autoSpaceDE/>
              <w:autoSpaceDN/>
              <w:adjustRightInd/>
              <w:jc w:val="right"/>
              <w:rPr>
                <w:color w:val="000000"/>
                <w:sz w:val="18"/>
                <w:szCs w:val="18"/>
              </w:rPr>
            </w:pPr>
            <w:r w:rsidRPr="001A202D">
              <w:rPr>
                <w:color w:val="000000"/>
                <w:sz w:val="18"/>
                <w:szCs w:val="18"/>
              </w:rPr>
              <w:t xml:space="preserve">$223 </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0D55BD08" w14:textId="77777777">
            <w:pPr>
              <w:widowControl/>
              <w:autoSpaceDE/>
              <w:autoSpaceDN/>
              <w:adjustRightInd/>
              <w:jc w:val="right"/>
              <w:rPr>
                <w:color w:val="000000"/>
                <w:sz w:val="18"/>
                <w:szCs w:val="18"/>
              </w:rPr>
            </w:pPr>
            <w:r w:rsidRPr="001A202D">
              <w:rPr>
                <w:color w:val="000000"/>
                <w:sz w:val="18"/>
                <w:szCs w:val="18"/>
              </w:rPr>
              <w:t>1</w:t>
            </w:r>
          </w:p>
        </w:tc>
        <w:tc>
          <w:tcPr>
            <w:tcW w:w="994"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2D41953A" w14:textId="77777777">
            <w:pPr>
              <w:widowControl/>
              <w:autoSpaceDE/>
              <w:autoSpaceDN/>
              <w:adjustRightInd/>
              <w:jc w:val="right"/>
              <w:rPr>
                <w:color w:val="000000"/>
                <w:sz w:val="18"/>
                <w:szCs w:val="18"/>
              </w:rPr>
            </w:pPr>
            <w:r w:rsidRPr="001A202D">
              <w:rPr>
                <w:color w:val="000000"/>
                <w:sz w:val="18"/>
                <w:szCs w:val="18"/>
              </w:rPr>
              <w:t xml:space="preserve">$223 </w:t>
            </w:r>
          </w:p>
        </w:tc>
      </w:tr>
      <w:tr w:rsidRPr="001A202D" w:rsidR="001A202D" w:rsidTr="007D5FD8" w14:paraId="71F634DC" w14:textId="77777777">
        <w:trPr>
          <w:trHeight w:val="49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1A202D" w:rsidR="001A202D" w:rsidP="001A202D" w:rsidRDefault="001A202D" w14:paraId="42BBBE4B" w14:textId="77777777">
            <w:pPr>
              <w:widowControl/>
              <w:autoSpaceDE/>
              <w:autoSpaceDN/>
              <w:adjustRightInd/>
              <w:rPr>
                <w:b/>
                <w:bCs/>
                <w:color w:val="000000"/>
                <w:sz w:val="18"/>
                <w:szCs w:val="18"/>
              </w:rPr>
            </w:pPr>
            <w:r w:rsidRPr="001A202D">
              <w:rPr>
                <w:b/>
                <w:bCs/>
                <w:color w:val="000000"/>
                <w:sz w:val="18"/>
                <w:szCs w:val="18"/>
              </w:rPr>
              <w:t>Quality Assessment and Performance Improvement (QAPI) Director</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37800855" w14:textId="77777777">
            <w:pPr>
              <w:widowControl/>
              <w:autoSpaceDE/>
              <w:autoSpaceDN/>
              <w:adjustRightInd/>
              <w:jc w:val="right"/>
              <w:rPr>
                <w:color w:val="000000"/>
                <w:sz w:val="18"/>
                <w:szCs w:val="18"/>
              </w:rPr>
            </w:pPr>
            <w:r w:rsidRPr="001A202D">
              <w:rPr>
                <w:color w:val="000000"/>
                <w:sz w:val="18"/>
                <w:szCs w:val="18"/>
              </w:rPr>
              <w:t xml:space="preserve">$99 </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45CC6A7D" w14:textId="77777777">
            <w:pPr>
              <w:widowControl/>
              <w:autoSpaceDE/>
              <w:autoSpaceDN/>
              <w:adjustRightInd/>
              <w:jc w:val="right"/>
              <w:rPr>
                <w:color w:val="000000"/>
                <w:sz w:val="18"/>
                <w:szCs w:val="18"/>
              </w:rPr>
            </w:pPr>
            <w:r w:rsidRPr="001A202D">
              <w:rPr>
                <w:color w:val="000000"/>
                <w:sz w:val="18"/>
                <w:szCs w:val="18"/>
              </w:rPr>
              <w:t>2</w:t>
            </w:r>
          </w:p>
        </w:tc>
        <w:tc>
          <w:tcPr>
            <w:tcW w:w="994"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4E1E0D6F" w14:textId="77777777">
            <w:pPr>
              <w:widowControl/>
              <w:autoSpaceDE/>
              <w:autoSpaceDN/>
              <w:adjustRightInd/>
              <w:jc w:val="right"/>
              <w:rPr>
                <w:color w:val="000000"/>
                <w:sz w:val="18"/>
                <w:szCs w:val="18"/>
              </w:rPr>
            </w:pPr>
            <w:r w:rsidRPr="001A202D">
              <w:rPr>
                <w:color w:val="000000"/>
                <w:sz w:val="18"/>
                <w:szCs w:val="18"/>
              </w:rPr>
              <w:t xml:space="preserve">$198 </w:t>
            </w:r>
          </w:p>
        </w:tc>
      </w:tr>
      <w:tr w:rsidRPr="001A202D" w:rsidR="001A202D" w:rsidTr="007D5FD8" w14:paraId="5EE199AA"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1A202D" w:rsidR="001A202D" w:rsidP="001A202D" w:rsidRDefault="001A202D" w14:paraId="0D56DE73" w14:textId="77777777">
            <w:pPr>
              <w:widowControl/>
              <w:autoSpaceDE/>
              <w:autoSpaceDN/>
              <w:adjustRightInd/>
              <w:rPr>
                <w:b/>
                <w:bCs/>
                <w:color w:val="000000"/>
                <w:sz w:val="18"/>
                <w:szCs w:val="18"/>
              </w:rPr>
            </w:pPr>
            <w:r w:rsidRPr="001A202D">
              <w:rPr>
                <w:b/>
                <w:bCs/>
                <w:color w:val="000000"/>
                <w:sz w:val="18"/>
                <w:szCs w:val="18"/>
              </w:rPr>
              <w:t xml:space="preserve">Organ Procurement Coordinator (OPC) </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58A0A570" w14:textId="77777777">
            <w:pPr>
              <w:widowControl/>
              <w:autoSpaceDE/>
              <w:autoSpaceDN/>
              <w:adjustRightInd/>
              <w:jc w:val="right"/>
              <w:rPr>
                <w:color w:val="000000"/>
                <w:sz w:val="18"/>
                <w:szCs w:val="18"/>
              </w:rPr>
            </w:pPr>
            <w:r w:rsidRPr="001A202D">
              <w:rPr>
                <w:color w:val="000000"/>
                <w:sz w:val="18"/>
                <w:szCs w:val="18"/>
              </w:rPr>
              <w:t xml:space="preserve">$99 </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25F7945A" w14:textId="77777777">
            <w:pPr>
              <w:widowControl/>
              <w:autoSpaceDE/>
              <w:autoSpaceDN/>
              <w:adjustRightInd/>
              <w:jc w:val="right"/>
              <w:rPr>
                <w:color w:val="000000"/>
                <w:sz w:val="18"/>
                <w:szCs w:val="18"/>
              </w:rPr>
            </w:pPr>
            <w:r w:rsidRPr="001A202D">
              <w:rPr>
                <w:color w:val="000000"/>
                <w:sz w:val="18"/>
                <w:szCs w:val="18"/>
              </w:rPr>
              <w:t>1</w:t>
            </w:r>
          </w:p>
        </w:tc>
        <w:tc>
          <w:tcPr>
            <w:tcW w:w="994"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2603124B" w14:textId="77777777">
            <w:pPr>
              <w:widowControl/>
              <w:autoSpaceDE/>
              <w:autoSpaceDN/>
              <w:adjustRightInd/>
              <w:jc w:val="right"/>
              <w:rPr>
                <w:color w:val="000000"/>
                <w:sz w:val="18"/>
                <w:szCs w:val="18"/>
              </w:rPr>
            </w:pPr>
            <w:r w:rsidRPr="001A202D">
              <w:rPr>
                <w:color w:val="000000"/>
                <w:sz w:val="18"/>
                <w:szCs w:val="18"/>
              </w:rPr>
              <w:t xml:space="preserve">$99 </w:t>
            </w:r>
          </w:p>
        </w:tc>
      </w:tr>
      <w:tr w:rsidRPr="001A202D" w:rsidR="001A202D" w:rsidTr="007D5FD8" w14:paraId="79F25EA2" w14:textId="77777777">
        <w:trPr>
          <w:trHeight w:val="315"/>
        </w:trPr>
        <w:tc>
          <w:tcPr>
            <w:tcW w:w="4500" w:type="dxa"/>
            <w:tcBorders>
              <w:top w:val="nil"/>
              <w:left w:val="single" w:color="auto" w:sz="8" w:space="0"/>
              <w:bottom w:val="single" w:color="auto" w:sz="8" w:space="0"/>
              <w:right w:val="single" w:color="auto" w:sz="8" w:space="0"/>
            </w:tcBorders>
            <w:shd w:val="clear" w:color="auto" w:fill="auto"/>
            <w:vAlign w:val="center"/>
            <w:hideMark/>
          </w:tcPr>
          <w:p w:rsidRPr="001A202D" w:rsidR="001A202D" w:rsidP="001A202D" w:rsidRDefault="001A202D" w14:paraId="0FD10778" w14:textId="77777777">
            <w:pPr>
              <w:widowControl/>
              <w:autoSpaceDE/>
              <w:autoSpaceDN/>
              <w:adjustRightInd/>
              <w:rPr>
                <w:b/>
                <w:bCs/>
                <w:color w:val="000000"/>
                <w:sz w:val="18"/>
                <w:szCs w:val="18"/>
              </w:rPr>
            </w:pPr>
            <w:r w:rsidRPr="001A202D">
              <w:rPr>
                <w:b/>
                <w:bCs/>
                <w:color w:val="000000"/>
                <w:sz w:val="18"/>
                <w:szCs w:val="18"/>
              </w:rPr>
              <w:t>Totals</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611851F8" w14:textId="77777777">
            <w:pPr>
              <w:widowControl/>
              <w:autoSpaceDE/>
              <w:autoSpaceDN/>
              <w:adjustRightInd/>
              <w:jc w:val="right"/>
              <w:rPr>
                <w:color w:val="000000"/>
                <w:sz w:val="18"/>
                <w:szCs w:val="18"/>
              </w:rPr>
            </w:pPr>
            <w:r w:rsidRPr="001A202D">
              <w:rPr>
                <w:color w:val="000000"/>
                <w:sz w:val="18"/>
                <w:szCs w:val="18"/>
              </w:rPr>
              <w:t> </w:t>
            </w:r>
          </w:p>
        </w:tc>
        <w:tc>
          <w:tcPr>
            <w:tcW w:w="960"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7D0D8CF4" w14:textId="77777777">
            <w:pPr>
              <w:widowControl/>
              <w:autoSpaceDE/>
              <w:autoSpaceDN/>
              <w:adjustRightInd/>
              <w:jc w:val="right"/>
              <w:rPr>
                <w:b/>
                <w:bCs/>
                <w:color w:val="000000"/>
                <w:sz w:val="18"/>
                <w:szCs w:val="18"/>
              </w:rPr>
            </w:pPr>
            <w:r w:rsidRPr="001A202D">
              <w:rPr>
                <w:b/>
                <w:bCs/>
                <w:color w:val="000000"/>
                <w:sz w:val="18"/>
                <w:szCs w:val="18"/>
              </w:rPr>
              <w:t>5</w:t>
            </w:r>
          </w:p>
        </w:tc>
        <w:tc>
          <w:tcPr>
            <w:tcW w:w="994" w:type="dxa"/>
            <w:tcBorders>
              <w:top w:val="nil"/>
              <w:left w:val="nil"/>
              <w:bottom w:val="single" w:color="auto" w:sz="8" w:space="0"/>
              <w:right w:val="single" w:color="auto" w:sz="8" w:space="0"/>
            </w:tcBorders>
            <w:shd w:val="clear" w:color="auto" w:fill="auto"/>
            <w:vAlign w:val="center"/>
            <w:hideMark/>
          </w:tcPr>
          <w:p w:rsidRPr="001A202D" w:rsidR="001A202D" w:rsidP="001A202D" w:rsidRDefault="001A202D" w14:paraId="0BE56222" w14:textId="77777777">
            <w:pPr>
              <w:widowControl/>
              <w:autoSpaceDE/>
              <w:autoSpaceDN/>
              <w:adjustRightInd/>
              <w:jc w:val="right"/>
              <w:rPr>
                <w:b/>
                <w:bCs/>
                <w:color w:val="000000"/>
                <w:sz w:val="18"/>
                <w:szCs w:val="18"/>
              </w:rPr>
            </w:pPr>
            <w:r w:rsidRPr="001A202D">
              <w:rPr>
                <w:b/>
                <w:bCs/>
                <w:color w:val="000000"/>
                <w:sz w:val="18"/>
                <w:szCs w:val="18"/>
              </w:rPr>
              <w:t xml:space="preserve">$635 </w:t>
            </w:r>
          </w:p>
        </w:tc>
      </w:tr>
    </w:tbl>
    <w:p w:rsidR="00E14F42" w:rsidP="002F6AE7" w:rsidRDefault="00E14F42" w14:paraId="42D7AE11" w14:textId="77777777">
      <w:pPr>
        <w:widowControl/>
        <w:autoSpaceDE/>
        <w:autoSpaceDN/>
        <w:adjustRightInd/>
        <w:jc w:val="center"/>
        <w:rPr>
          <w:b/>
          <w:bCs/>
          <w:color w:val="000000"/>
          <w:sz w:val="18"/>
          <w:szCs w:val="18"/>
        </w:rPr>
      </w:pPr>
    </w:p>
    <w:p w:rsidR="001F2BC0" w:rsidP="002F6AE7" w:rsidRDefault="001F2BC0" w14:paraId="30D3CF1D" w14:textId="420FAC9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jc w:val="center"/>
        <w:rPr>
          <w:sz w:val="24"/>
        </w:rPr>
      </w:pPr>
    </w:p>
    <w:p w:rsidRPr="00BE392E" w:rsidR="00CA6543" w:rsidP="00B06393" w:rsidRDefault="00CA6543" w14:paraId="48BD5F9B" w14:textId="09DAA453">
      <w:pPr>
        <w:ind w:left="450"/>
        <w:rPr>
          <w:sz w:val="24"/>
        </w:rPr>
      </w:pPr>
      <w:r w:rsidRPr="00BE392E">
        <w:rPr>
          <w:sz w:val="24"/>
        </w:rPr>
        <w:t>As described previously, each OPO would need to develop protocols for 12 transplant programs. Thus, to comply with this requirement, each OPO would require 60 burden hours (5 burden hours x 12 transplant programs) at a cost of $</w:t>
      </w:r>
      <w:r w:rsidR="001D5CC9">
        <w:rPr>
          <w:sz w:val="24"/>
        </w:rPr>
        <w:t>7,620</w:t>
      </w:r>
      <w:r w:rsidRPr="00BE392E">
        <w:rPr>
          <w:sz w:val="24"/>
        </w:rPr>
        <w:t xml:space="preserve"> ($</w:t>
      </w:r>
      <w:r w:rsidR="001D5CC9">
        <w:rPr>
          <w:sz w:val="24"/>
        </w:rPr>
        <w:t>635</w:t>
      </w:r>
      <w:r w:rsidRPr="00BE392E" w:rsidR="001D5CC9">
        <w:rPr>
          <w:sz w:val="24"/>
        </w:rPr>
        <w:t xml:space="preserve"> </w:t>
      </w:r>
      <w:r w:rsidRPr="00BE392E">
        <w:rPr>
          <w:sz w:val="24"/>
        </w:rPr>
        <w:t>for each transplant program x 12 transplant programs).  For all 58 OPOs, we estimate that the total burden to develop these protocols would be 3,480 burden hours (60 burden hours for each OPO x 58 OPOs) at a cost of $</w:t>
      </w:r>
      <w:r w:rsidR="001D5CC9">
        <w:rPr>
          <w:sz w:val="24"/>
        </w:rPr>
        <w:t>441,960</w:t>
      </w:r>
      <w:r w:rsidRPr="00BE392E">
        <w:rPr>
          <w:sz w:val="24"/>
        </w:rPr>
        <w:t xml:space="preserve"> ($</w:t>
      </w:r>
      <w:r w:rsidR="00590BD0">
        <w:rPr>
          <w:sz w:val="24"/>
        </w:rPr>
        <w:t>7,620</w:t>
      </w:r>
      <w:r w:rsidRPr="00BE392E">
        <w:rPr>
          <w:sz w:val="24"/>
        </w:rPr>
        <w:t xml:space="preserve"> for each OPO x 58 OPOs).  </w:t>
      </w:r>
    </w:p>
    <w:p w:rsidR="00CA6543" w:rsidP="003B5F12" w:rsidRDefault="00CA6543" w14:paraId="24098F8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514E5A" w:rsidP="00514E5A" w:rsidRDefault="001F2BC0" w14:paraId="1DD32BAC" w14:textId="23DEB3C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 xml:space="preserve">Based on the analysis above, we estimate that for all providers and suppliers to comply with the ICRs would require </w:t>
      </w:r>
      <w:r w:rsidRPr="009C156F" w:rsidR="009C156F">
        <w:rPr>
          <w:sz w:val="24"/>
        </w:rPr>
        <w:t>1,260,474</w:t>
      </w:r>
      <w:r>
        <w:rPr>
          <w:sz w:val="24"/>
        </w:rPr>
        <w:t xml:space="preserve"> burden hours</w:t>
      </w:r>
      <w:r w:rsidR="00A82B92">
        <w:rPr>
          <w:sz w:val="24"/>
        </w:rPr>
        <w:t xml:space="preserve"> </w:t>
      </w:r>
      <w:r>
        <w:rPr>
          <w:sz w:val="24"/>
        </w:rPr>
        <w:t xml:space="preserve">at a cost of </w:t>
      </w:r>
      <w:r w:rsidR="009C156F">
        <w:rPr>
          <w:sz w:val="24"/>
        </w:rPr>
        <w:t>$</w:t>
      </w:r>
      <w:r w:rsidR="001D5CC9">
        <w:rPr>
          <w:sz w:val="24"/>
        </w:rPr>
        <w:t>122,698,058</w:t>
      </w:r>
      <w:r w:rsidR="00021776">
        <w:rPr>
          <w:sz w:val="24"/>
        </w:rPr>
        <w:t xml:space="preserve">.  </w:t>
      </w:r>
    </w:p>
    <w:p w:rsidR="00590BD0" w:rsidP="00514E5A" w:rsidRDefault="00590BD0" w14:paraId="0C0A981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590BD0" w:rsidP="00590BD0" w:rsidRDefault="00590BD0" w14:paraId="17DD925D" w14:textId="0C7F9C8B">
      <w:pPr>
        <w:widowControl/>
        <w:autoSpaceDE/>
        <w:autoSpaceDN/>
        <w:adjustRightInd/>
        <w:jc w:val="center"/>
        <w:rPr>
          <w:b/>
          <w:bCs/>
          <w:color w:val="000000"/>
          <w:sz w:val="18"/>
          <w:szCs w:val="18"/>
        </w:rPr>
      </w:pPr>
      <w:r w:rsidRPr="00B06393">
        <w:rPr>
          <w:b/>
          <w:bCs/>
          <w:color w:val="000000"/>
          <w:sz w:val="18"/>
          <w:szCs w:val="18"/>
        </w:rPr>
        <w:t xml:space="preserve">Table </w:t>
      </w:r>
      <w:r>
        <w:rPr>
          <w:b/>
          <w:bCs/>
          <w:color w:val="000000"/>
          <w:sz w:val="18"/>
          <w:szCs w:val="18"/>
        </w:rPr>
        <w:t>5</w:t>
      </w:r>
      <w:r w:rsidRPr="00B06393">
        <w:rPr>
          <w:b/>
          <w:bCs/>
          <w:color w:val="000000"/>
          <w:sz w:val="18"/>
          <w:szCs w:val="18"/>
        </w:rPr>
        <w:t xml:space="preserve">--Burden Hours </w:t>
      </w:r>
      <w:r>
        <w:rPr>
          <w:b/>
          <w:bCs/>
          <w:color w:val="000000"/>
          <w:sz w:val="18"/>
          <w:szCs w:val="18"/>
        </w:rPr>
        <w:t>by Section</w:t>
      </w:r>
    </w:p>
    <w:tbl>
      <w:tblPr>
        <w:tblW w:w="0" w:type="auto"/>
        <w:tblInd w:w="-10" w:type="dxa"/>
        <w:tblLook w:val="04A0" w:firstRow="1" w:lastRow="0" w:firstColumn="1" w:lastColumn="0" w:noHBand="0" w:noVBand="1"/>
      </w:tblPr>
      <w:tblGrid>
        <w:gridCol w:w="2208"/>
        <w:gridCol w:w="1088"/>
        <w:gridCol w:w="919"/>
        <w:gridCol w:w="2101"/>
        <w:gridCol w:w="1645"/>
        <w:gridCol w:w="1389"/>
        <w:tblGridChange w:id="1">
          <w:tblGrid>
            <w:gridCol w:w="2208"/>
            <w:gridCol w:w="1088"/>
            <w:gridCol w:w="919"/>
            <w:gridCol w:w="2101"/>
            <w:gridCol w:w="1645"/>
            <w:gridCol w:w="1389"/>
          </w:tblGrid>
        </w:tblGridChange>
      </w:tblGrid>
      <w:tr w:rsidRPr="00590BD0" w:rsidR="0000757D" w:rsidTr="00590BD0" w14:paraId="43CA5735" w14:textId="77777777">
        <w:trPr>
          <w:trHeight w:val="85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590BD0" w:rsidR="00590BD0" w:rsidP="00590BD0" w:rsidRDefault="00590BD0" w14:paraId="74D0E852" w14:textId="77777777">
            <w:pPr>
              <w:widowControl/>
              <w:autoSpaceDE/>
              <w:autoSpaceDN/>
              <w:adjustRightInd/>
              <w:jc w:val="center"/>
              <w:rPr>
                <w:b/>
                <w:bCs/>
                <w:color w:val="000000"/>
                <w:sz w:val="16"/>
                <w:szCs w:val="16"/>
              </w:rPr>
            </w:pPr>
            <w:r w:rsidRPr="00590BD0">
              <w:rPr>
                <w:b/>
                <w:bCs/>
                <w:color w:val="000000"/>
                <w:sz w:val="16"/>
                <w:szCs w:val="16"/>
              </w:rPr>
              <w:t>Requirement</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590BD0" w:rsidR="00590BD0" w:rsidP="00590BD0" w:rsidRDefault="00590BD0" w14:paraId="0D6D8688" w14:textId="77777777">
            <w:pPr>
              <w:widowControl/>
              <w:autoSpaceDE/>
              <w:autoSpaceDN/>
              <w:adjustRightInd/>
              <w:jc w:val="center"/>
              <w:rPr>
                <w:b/>
                <w:bCs/>
                <w:color w:val="000000"/>
                <w:sz w:val="16"/>
                <w:szCs w:val="16"/>
              </w:rPr>
            </w:pPr>
            <w:r w:rsidRPr="00590BD0">
              <w:rPr>
                <w:b/>
                <w:bCs/>
                <w:color w:val="000000"/>
                <w:sz w:val="16"/>
                <w:szCs w:val="16"/>
              </w:rPr>
              <w:t>Respondents</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590BD0" w:rsidR="00590BD0" w:rsidP="00590BD0" w:rsidRDefault="00590BD0" w14:paraId="3DCEC2E2" w14:textId="77777777">
            <w:pPr>
              <w:widowControl/>
              <w:autoSpaceDE/>
              <w:autoSpaceDN/>
              <w:adjustRightInd/>
              <w:jc w:val="center"/>
              <w:rPr>
                <w:b/>
                <w:bCs/>
                <w:color w:val="000000"/>
                <w:sz w:val="16"/>
                <w:szCs w:val="16"/>
              </w:rPr>
            </w:pPr>
            <w:r w:rsidRPr="00590BD0">
              <w:rPr>
                <w:b/>
                <w:bCs/>
                <w:color w:val="000000"/>
                <w:sz w:val="16"/>
                <w:szCs w:val="16"/>
              </w:rPr>
              <w:t>Responses</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590BD0" w:rsidR="00590BD0" w:rsidP="00590BD0" w:rsidRDefault="00590BD0" w14:paraId="401729C6" w14:textId="35FCA8AA">
            <w:pPr>
              <w:widowControl/>
              <w:autoSpaceDE/>
              <w:autoSpaceDN/>
              <w:adjustRightInd/>
              <w:jc w:val="center"/>
              <w:rPr>
                <w:b/>
                <w:bCs/>
                <w:color w:val="000000"/>
                <w:sz w:val="16"/>
                <w:szCs w:val="16"/>
              </w:rPr>
            </w:pPr>
            <w:r w:rsidRPr="00590BD0">
              <w:rPr>
                <w:b/>
                <w:bCs/>
                <w:color w:val="000000"/>
                <w:sz w:val="16"/>
                <w:szCs w:val="16"/>
              </w:rPr>
              <w:t>Burden Hours Per Response</w:t>
            </w:r>
            <w:r w:rsidR="0000757D">
              <w:rPr>
                <w:b/>
                <w:bCs/>
                <w:color w:val="000000"/>
                <w:sz w:val="16"/>
                <w:szCs w:val="16"/>
              </w:rPr>
              <w:t xml:space="preserve"> (Average)</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590BD0" w:rsidR="00590BD0" w:rsidP="00590BD0" w:rsidRDefault="00590BD0" w14:paraId="53AA6A51" w14:textId="77777777">
            <w:pPr>
              <w:widowControl/>
              <w:autoSpaceDE/>
              <w:autoSpaceDN/>
              <w:adjustRightInd/>
              <w:jc w:val="center"/>
              <w:rPr>
                <w:b/>
                <w:bCs/>
                <w:color w:val="000000"/>
                <w:sz w:val="16"/>
                <w:szCs w:val="16"/>
              </w:rPr>
            </w:pPr>
            <w:r w:rsidRPr="00590BD0">
              <w:rPr>
                <w:b/>
                <w:bCs/>
                <w:color w:val="000000"/>
                <w:sz w:val="16"/>
                <w:szCs w:val="16"/>
              </w:rPr>
              <w:t>Total Annual Burden Hours</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590BD0" w:rsidR="00590BD0" w:rsidP="00590BD0" w:rsidRDefault="00590BD0" w14:paraId="4BBD9A04" w14:textId="77777777">
            <w:pPr>
              <w:widowControl/>
              <w:autoSpaceDE/>
              <w:autoSpaceDN/>
              <w:adjustRightInd/>
              <w:jc w:val="center"/>
              <w:rPr>
                <w:b/>
                <w:bCs/>
                <w:color w:val="000000"/>
                <w:sz w:val="16"/>
                <w:szCs w:val="16"/>
              </w:rPr>
            </w:pPr>
            <w:r w:rsidRPr="00590BD0">
              <w:rPr>
                <w:b/>
                <w:bCs/>
                <w:color w:val="000000"/>
                <w:sz w:val="16"/>
                <w:szCs w:val="16"/>
              </w:rPr>
              <w:t>Total Cost Estimate</w:t>
            </w:r>
          </w:p>
        </w:tc>
      </w:tr>
      <w:tr w:rsidRPr="00590BD0" w:rsidR="0000757D" w:rsidTr="00590BD0" w14:paraId="67C9A416"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90BD0" w:rsidR="00590BD0" w:rsidP="00590BD0" w:rsidRDefault="00590BD0" w14:paraId="4480583B" w14:textId="77777777">
            <w:pPr>
              <w:widowControl/>
              <w:autoSpaceDE/>
              <w:autoSpaceDN/>
              <w:adjustRightInd/>
              <w:rPr>
                <w:color w:val="000000"/>
                <w:sz w:val="16"/>
                <w:szCs w:val="16"/>
              </w:rPr>
            </w:pPr>
            <w:r w:rsidRPr="00590BD0">
              <w:rPr>
                <w:color w:val="000000"/>
                <w:sz w:val="16"/>
                <w:szCs w:val="16"/>
              </w:rPr>
              <w:t>Risk Assessment and Planning</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0AC5B052" w14:textId="77777777">
            <w:pPr>
              <w:widowControl/>
              <w:autoSpaceDE/>
              <w:autoSpaceDN/>
              <w:adjustRightInd/>
              <w:jc w:val="right"/>
              <w:rPr>
                <w:color w:val="000000"/>
                <w:sz w:val="16"/>
                <w:szCs w:val="16"/>
              </w:rPr>
            </w:pPr>
            <w:r w:rsidRPr="00590BD0">
              <w:rPr>
                <w:color w:val="000000"/>
                <w:sz w:val="16"/>
                <w:szCs w:val="16"/>
              </w:rPr>
              <w:t>52,242</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5D09E7F2" w14:textId="77777777">
            <w:pPr>
              <w:widowControl/>
              <w:autoSpaceDE/>
              <w:autoSpaceDN/>
              <w:adjustRightInd/>
              <w:jc w:val="right"/>
              <w:rPr>
                <w:color w:val="000000"/>
                <w:sz w:val="16"/>
                <w:szCs w:val="16"/>
              </w:rPr>
            </w:pPr>
            <w:r w:rsidRPr="00590BD0">
              <w:rPr>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6014048E" w14:textId="77777777">
            <w:pPr>
              <w:widowControl/>
              <w:autoSpaceDE/>
              <w:autoSpaceDN/>
              <w:adjustRightInd/>
              <w:jc w:val="right"/>
              <w:rPr>
                <w:color w:val="000000"/>
                <w:sz w:val="16"/>
                <w:szCs w:val="16"/>
              </w:rPr>
            </w:pPr>
            <w:r w:rsidRPr="00590BD0">
              <w:rPr>
                <w:color w:val="000000"/>
                <w:sz w:val="16"/>
                <w:szCs w:val="16"/>
              </w:rPr>
              <w:t>11.5</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7AFFAD06" w14:textId="77777777">
            <w:pPr>
              <w:widowControl/>
              <w:autoSpaceDE/>
              <w:autoSpaceDN/>
              <w:adjustRightInd/>
              <w:jc w:val="right"/>
              <w:rPr>
                <w:color w:val="000000"/>
                <w:sz w:val="16"/>
                <w:szCs w:val="16"/>
              </w:rPr>
            </w:pPr>
            <w:r w:rsidRPr="00590BD0">
              <w:rPr>
                <w:color w:val="000000"/>
                <w:sz w:val="16"/>
                <w:szCs w:val="16"/>
              </w:rPr>
              <w:t>600,681</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3D9DBF88" w14:textId="77777777">
            <w:pPr>
              <w:widowControl/>
              <w:autoSpaceDE/>
              <w:autoSpaceDN/>
              <w:adjustRightInd/>
              <w:jc w:val="right"/>
              <w:rPr>
                <w:color w:val="000000"/>
                <w:sz w:val="16"/>
                <w:szCs w:val="16"/>
              </w:rPr>
            </w:pPr>
            <w:r w:rsidRPr="00590BD0">
              <w:rPr>
                <w:color w:val="000000"/>
                <w:sz w:val="16"/>
                <w:szCs w:val="16"/>
              </w:rPr>
              <w:t xml:space="preserve">$62,208,954 </w:t>
            </w:r>
          </w:p>
        </w:tc>
      </w:tr>
      <w:tr w:rsidRPr="00590BD0" w:rsidR="0000757D" w:rsidTr="00590BD0" w14:paraId="2A964994"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90BD0" w:rsidR="00590BD0" w:rsidP="00590BD0" w:rsidRDefault="00590BD0" w14:paraId="3DA8DE79" w14:textId="77777777">
            <w:pPr>
              <w:widowControl/>
              <w:autoSpaceDE/>
              <w:autoSpaceDN/>
              <w:adjustRightInd/>
              <w:rPr>
                <w:color w:val="000000"/>
                <w:sz w:val="16"/>
                <w:szCs w:val="16"/>
              </w:rPr>
            </w:pPr>
            <w:r w:rsidRPr="00590BD0">
              <w:rPr>
                <w:color w:val="000000"/>
                <w:sz w:val="16"/>
                <w:szCs w:val="16"/>
              </w:rPr>
              <w:t>Training and Testing</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126B92D0" w14:textId="77777777">
            <w:pPr>
              <w:widowControl/>
              <w:autoSpaceDE/>
              <w:autoSpaceDN/>
              <w:adjustRightInd/>
              <w:jc w:val="right"/>
              <w:rPr>
                <w:color w:val="000000"/>
                <w:sz w:val="16"/>
                <w:szCs w:val="16"/>
              </w:rPr>
            </w:pPr>
            <w:r w:rsidRPr="00590BD0">
              <w:rPr>
                <w:color w:val="000000"/>
                <w:sz w:val="16"/>
                <w:szCs w:val="16"/>
              </w:rPr>
              <w:t>69,819</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43EBFAA5" w14:textId="77777777">
            <w:pPr>
              <w:widowControl/>
              <w:autoSpaceDE/>
              <w:autoSpaceDN/>
              <w:adjustRightInd/>
              <w:jc w:val="right"/>
              <w:rPr>
                <w:color w:val="000000"/>
                <w:sz w:val="16"/>
                <w:szCs w:val="16"/>
              </w:rPr>
            </w:pPr>
            <w:r w:rsidRPr="00590BD0">
              <w:rPr>
                <w:color w:val="000000"/>
                <w:sz w:val="16"/>
                <w:szCs w:val="16"/>
              </w:rPr>
              <w:t>1</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4EFB77EA" w14:textId="77777777">
            <w:pPr>
              <w:widowControl/>
              <w:autoSpaceDE/>
              <w:autoSpaceDN/>
              <w:adjustRightInd/>
              <w:jc w:val="right"/>
              <w:rPr>
                <w:color w:val="000000"/>
                <w:sz w:val="16"/>
                <w:szCs w:val="16"/>
              </w:rPr>
            </w:pPr>
            <w:r w:rsidRPr="00590BD0">
              <w:rPr>
                <w:color w:val="000000"/>
                <w:sz w:val="16"/>
                <w:szCs w:val="16"/>
              </w:rPr>
              <w:t>9.4</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20341C09" w14:textId="77777777">
            <w:pPr>
              <w:widowControl/>
              <w:autoSpaceDE/>
              <w:autoSpaceDN/>
              <w:adjustRightInd/>
              <w:jc w:val="right"/>
              <w:rPr>
                <w:color w:val="000000"/>
                <w:sz w:val="16"/>
                <w:szCs w:val="16"/>
              </w:rPr>
            </w:pPr>
            <w:r w:rsidRPr="00590BD0">
              <w:rPr>
                <w:color w:val="000000"/>
                <w:sz w:val="16"/>
                <w:szCs w:val="16"/>
              </w:rPr>
              <w:t>656,313</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0A243873" w14:textId="77777777">
            <w:pPr>
              <w:widowControl/>
              <w:autoSpaceDE/>
              <w:autoSpaceDN/>
              <w:adjustRightInd/>
              <w:jc w:val="right"/>
              <w:rPr>
                <w:color w:val="000000"/>
                <w:sz w:val="16"/>
                <w:szCs w:val="16"/>
              </w:rPr>
            </w:pPr>
            <w:r w:rsidRPr="00590BD0">
              <w:rPr>
                <w:color w:val="000000"/>
                <w:sz w:val="16"/>
                <w:szCs w:val="16"/>
              </w:rPr>
              <w:t xml:space="preserve">$60,047,144 </w:t>
            </w:r>
          </w:p>
        </w:tc>
      </w:tr>
      <w:tr w:rsidRPr="00590BD0" w:rsidR="0000757D" w:rsidTr="00590BD0" w14:paraId="40BC4EA0"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90BD0" w:rsidR="00590BD0" w:rsidP="00590BD0" w:rsidRDefault="00590BD0" w14:paraId="62917646" w14:textId="77777777">
            <w:pPr>
              <w:widowControl/>
              <w:autoSpaceDE/>
              <w:autoSpaceDN/>
              <w:adjustRightInd/>
              <w:rPr>
                <w:color w:val="000000"/>
                <w:sz w:val="16"/>
                <w:szCs w:val="16"/>
              </w:rPr>
            </w:pPr>
            <w:r w:rsidRPr="00590BD0">
              <w:rPr>
                <w:color w:val="000000"/>
                <w:sz w:val="16"/>
                <w:szCs w:val="16"/>
              </w:rPr>
              <w:t>Emergency Agreements with Other OPOs</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01734E86" w14:textId="77777777">
            <w:pPr>
              <w:widowControl/>
              <w:autoSpaceDE/>
              <w:autoSpaceDN/>
              <w:adjustRightInd/>
              <w:jc w:val="right"/>
              <w:rPr>
                <w:color w:val="000000"/>
                <w:sz w:val="16"/>
                <w:szCs w:val="16"/>
              </w:rPr>
            </w:pPr>
            <w:r w:rsidRPr="00590BD0">
              <w:rPr>
                <w:color w:val="000000"/>
                <w:sz w:val="16"/>
                <w:szCs w:val="16"/>
              </w:rPr>
              <w:t>58</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3F981E28" w14:textId="77777777">
            <w:pPr>
              <w:widowControl/>
              <w:autoSpaceDE/>
              <w:autoSpaceDN/>
              <w:adjustRightInd/>
              <w:jc w:val="right"/>
              <w:rPr>
                <w:color w:val="000000"/>
                <w:sz w:val="16"/>
                <w:szCs w:val="16"/>
              </w:rPr>
            </w:pPr>
            <w:r w:rsidRPr="00590BD0">
              <w:rPr>
                <w:color w:val="000000"/>
                <w:sz w:val="16"/>
                <w:szCs w:val="16"/>
              </w:rPr>
              <w:t>12</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49C9B634" w14:textId="77777777">
            <w:pPr>
              <w:widowControl/>
              <w:autoSpaceDE/>
              <w:autoSpaceDN/>
              <w:adjustRightInd/>
              <w:jc w:val="right"/>
              <w:rPr>
                <w:color w:val="000000"/>
                <w:sz w:val="16"/>
                <w:szCs w:val="16"/>
              </w:rPr>
            </w:pPr>
            <w:r w:rsidRPr="00590BD0">
              <w:rPr>
                <w:color w:val="000000"/>
                <w:sz w:val="16"/>
                <w:szCs w:val="16"/>
              </w:rPr>
              <w:t>5.0</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5A5FCDBE" w14:textId="77777777">
            <w:pPr>
              <w:widowControl/>
              <w:autoSpaceDE/>
              <w:autoSpaceDN/>
              <w:adjustRightInd/>
              <w:jc w:val="right"/>
              <w:rPr>
                <w:color w:val="000000"/>
                <w:sz w:val="16"/>
                <w:szCs w:val="16"/>
              </w:rPr>
            </w:pPr>
            <w:r w:rsidRPr="00590BD0">
              <w:rPr>
                <w:color w:val="000000"/>
                <w:sz w:val="16"/>
                <w:szCs w:val="16"/>
              </w:rPr>
              <w:t>3,480</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2864DE99" w14:textId="77777777">
            <w:pPr>
              <w:widowControl/>
              <w:autoSpaceDE/>
              <w:autoSpaceDN/>
              <w:adjustRightInd/>
              <w:jc w:val="right"/>
              <w:rPr>
                <w:color w:val="000000"/>
                <w:sz w:val="16"/>
                <w:szCs w:val="16"/>
              </w:rPr>
            </w:pPr>
            <w:r w:rsidRPr="00590BD0">
              <w:rPr>
                <w:color w:val="000000"/>
                <w:sz w:val="16"/>
                <w:szCs w:val="16"/>
              </w:rPr>
              <w:t xml:space="preserve">$441,960 </w:t>
            </w:r>
          </w:p>
        </w:tc>
      </w:tr>
      <w:tr w:rsidRPr="00590BD0" w:rsidR="0000757D" w:rsidTr="00590BD0" w14:paraId="524B2C12" w14:textId="77777777">
        <w:trPr>
          <w:trHeight w:val="315"/>
        </w:trPr>
        <w:tc>
          <w:tcPr>
            <w:tcW w:w="0" w:type="auto"/>
            <w:tcBorders>
              <w:top w:val="nil"/>
              <w:left w:val="single" w:color="auto" w:sz="8" w:space="0"/>
              <w:bottom w:val="single" w:color="auto" w:sz="8" w:space="0"/>
              <w:right w:val="nil"/>
            </w:tcBorders>
            <w:shd w:val="clear" w:color="auto" w:fill="auto"/>
            <w:vAlign w:val="center"/>
            <w:hideMark/>
          </w:tcPr>
          <w:p w:rsidRPr="00590BD0" w:rsidR="00590BD0" w:rsidP="00590BD0" w:rsidRDefault="00590BD0" w14:paraId="13212F10" w14:textId="77777777">
            <w:pPr>
              <w:widowControl/>
              <w:autoSpaceDE/>
              <w:autoSpaceDN/>
              <w:adjustRightInd/>
              <w:rPr>
                <w:b/>
                <w:bCs/>
                <w:color w:val="000000"/>
                <w:sz w:val="16"/>
                <w:szCs w:val="16"/>
              </w:rPr>
            </w:pPr>
            <w:r w:rsidRPr="00590BD0">
              <w:rPr>
                <w:b/>
                <w:bCs/>
                <w:color w:val="000000"/>
                <w:sz w:val="16"/>
                <w:szCs w:val="16"/>
              </w:rPr>
              <w:t>Totals</w:t>
            </w:r>
          </w:p>
        </w:tc>
        <w:tc>
          <w:tcPr>
            <w:tcW w:w="0" w:type="auto"/>
            <w:tcBorders>
              <w:top w:val="nil"/>
              <w:left w:val="nil"/>
              <w:bottom w:val="single" w:color="auto" w:sz="8" w:space="0"/>
              <w:right w:val="nil"/>
            </w:tcBorders>
            <w:shd w:val="clear" w:color="auto" w:fill="auto"/>
            <w:vAlign w:val="center"/>
            <w:hideMark/>
          </w:tcPr>
          <w:p w:rsidRPr="00590BD0" w:rsidR="00590BD0" w:rsidP="00590BD0" w:rsidRDefault="00590BD0" w14:paraId="7B17319B" w14:textId="77777777">
            <w:pPr>
              <w:widowControl/>
              <w:autoSpaceDE/>
              <w:autoSpaceDN/>
              <w:adjustRightInd/>
              <w:jc w:val="right"/>
              <w:rPr>
                <w:color w:val="000000"/>
                <w:sz w:val="16"/>
                <w:szCs w:val="16"/>
              </w:rPr>
            </w:pPr>
            <w:r w:rsidRPr="00590BD0">
              <w:rPr>
                <w:color w:val="000000"/>
                <w:sz w:val="16"/>
                <w:szCs w:val="16"/>
              </w:rPr>
              <w:t> </w:t>
            </w:r>
          </w:p>
        </w:tc>
        <w:tc>
          <w:tcPr>
            <w:tcW w:w="0" w:type="auto"/>
            <w:tcBorders>
              <w:top w:val="nil"/>
              <w:left w:val="nil"/>
              <w:bottom w:val="single" w:color="auto" w:sz="8" w:space="0"/>
              <w:right w:val="nil"/>
            </w:tcBorders>
            <w:shd w:val="clear" w:color="auto" w:fill="auto"/>
            <w:vAlign w:val="center"/>
            <w:hideMark/>
          </w:tcPr>
          <w:p w:rsidRPr="00590BD0" w:rsidR="00590BD0" w:rsidP="00590BD0" w:rsidRDefault="00590BD0" w14:paraId="43D6FB5F" w14:textId="77777777">
            <w:pPr>
              <w:widowControl/>
              <w:autoSpaceDE/>
              <w:autoSpaceDN/>
              <w:adjustRightInd/>
              <w:jc w:val="right"/>
              <w:rPr>
                <w:color w:val="000000"/>
                <w:sz w:val="16"/>
                <w:szCs w:val="16"/>
              </w:rPr>
            </w:pPr>
            <w:r w:rsidRPr="00590BD0">
              <w:rPr>
                <w:color w:val="000000"/>
                <w:sz w:val="16"/>
                <w:szCs w:val="16"/>
              </w:rPr>
              <w:t> </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2976534A" w14:textId="77777777">
            <w:pPr>
              <w:widowControl/>
              <w:autoSpaceDE/>
              <w:autoSpaceDN/>
              <w:adjustRightInd/>
              <w:jc w:val="right"/>
              <w:rPr>
                <w:color w:val="000000"/>
                <w:sz w:val="16"/>
                <w:szCs w:val="16"/>
              </w:rPr>
            </w:pPr>
            <w:r w:rsidRPr="00590BD0">
              <w:rPr>
                <w:color w:val="000000"/>
                <w:sz w:val="16"/>
                <w:szCs w:val="16"/>
              </w:rPr>
              <w:t> </w:t>
            </w:r>
          </w:p>
        </w:tc>
        <w:tc>
          <w:tcPr>
            <w:tcW w:w="0" w:type="auto"/>
            <w:tcBorders>
              <w:top w:val="nil"/>
              <w:left w:val="nil"/>
              <w:bottom w:val="single" w:color="auto" w:sz="8" w:space="0"/>
              <w:right w:val="single" w:color="auto" w:sz="8" w:space="0"/>
            </w:tcBorders>
            <w:shd w:val="clear" w:color="auto" w:fill="auto"/>
            <w:vAlign w:val="center"/>
            <w:hideMark/>
          </w:tcPr>
          <w:p w:rsidRPr="00590BD0" w:rsidR="00590BD0" w:rsidP="00590BD0" w:rsidRDefault="00590BD0" w14:paraId="3B660750" w14:textId="77777777">
            <w:pPr>
              <w:widowControl/>
              <w:autoSpaceDE/>
              <w:autoSpaceDN/>
              <w:adjustRightInd/>
              <w:jc w:val="right"/>
              <w:rPr>
                <w:b/>
                <w:bCs/>
                <w:color w:val="000000"/>
                <w:sz w:val="16"/>
                <w:szCs w:val="16"/>
              </w:rPr>
            </w:pPr>
            <w:r w:rsidRPr="00590BD0">
              <w:rPr>
                <w:b/>
                <w:bCs/>
                <w:color w:val="000000"/>
                <w:sz w:val="16"/>
                <w:szCs w:val="16"/>
              </w:rPr>
              <w:t>1,260,474</w:t>
            </w:r>
          </w:p>
        </w:tc>
        <w:tc>
          <w:tcPr>
            <w:tcW w:w="0" w:type="auto"/>
            <w:tcBorders>
              <w:top w:val="nil"/>
              <w:left w:val="nil"/>
              <w:bottom w:val="single" w:color="auto" w:sz="8" w:space="0"/>
              <w:right w:val="single" w:color="auto" w:sz="8" w:space="0"/>
            </w:tcBorders>
            <w:shd w:val="clear" w:color="auto" w:fill="auto"/>
            <w:noWrap/>
            <w:vAlign w:val="center"/>
            <w:hideMark/>
          </w:tcPr>
          <w:p w:rsidRPr="00590BD0" w:rsidR="00590BD0" w:rsidP="004D5289" w:rsidRDefault="00590BD0" w14:paraId="54336233" w14:textId="77777777">
            <w:pPr>
              <w:widowControl/>
              <w:autoSpaceDE/>
              <w:autoSpaceDN/>
              <w:adjustRightInd/>
              <w:jc w:val="right"/>
              <w:rPr>
                <w:b/>
                <w:bCs/>
                <w:color w:val="000000"/>
                <w:sz w:val="16"/>
                <w:szCs w:val="16"/>
              </w:rPr>
            </w:pPr>
            <w:r w:rsidRPr="00590BD0">
              <w:rPr>
                <w:b/>
                <w:bCs/>
                <w:color w:val="000000"/>
                <w:sz w:val="16"/>
                <w:szCs w:val="16"/>
              </w:rPr>
              <w:t xml:space="preserve">$122,698,058 </w:t>
            </w:r>
          </w:p>
        </w:tc>
      </w:tr>
    </w:tbl>
    <w:p w:rsidR="00590BD0" w:rsidP="00514E5A" w:rsidRDefault="00590BD0" w14:paraId="72F9D90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514E5A" w:rsidP="00514E5A" w:rsidRDefault="00514E5A" w14:paraId="493F16D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8F1EB4" w:rsidP="00514E5A" w:rsidRDefault="008F1EB4" w14:paraId="145CEAAA" w14:textId="77777777">
      <w:pPr>
        <w:widowControl/>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13.</w:t>
      </w:r>
      <w:r>
        <w:rPr>
          <w:sz w:val="24"/>
        </w:rPr>
        <w:tab/>
      </w:r>
      <w:r>
        <w:rPr>
          <w:sz w:val="24"/>
          <w:u w:val="single"/>
        </w:rPr>
        <w:t>Capital Costs</w:t>
      </w:r>
    </w:p>
    <w:p w:rsidR="00FD55AF" w:rsidP="00FD55AF" w:rsidRDefault="00FD55AF" w14:paraId="4BA32F15" w14:textId="77777777"/>
    <w:p w:rsidRPr="00FD55AF" w:rsidR="00FD55AF" w:rsidP="00FD55AF" w:rsidRDefault="00FD55AF" w14:paraId="4E5222BA" w14:textId="77777777">
      <w:pPr>
        <w:ind w:firstLine="432"/>
        <w:rPr>
          <w:sz w:val="24"/>
        </w:rPr>
      </w:pPr>
      <w:r w:rsidRPr="00FD55AF">
        <w:rPr>
          <w:sz w:val="24"/>
        </w:rPr>
        <w:t xml:space="preserve">There are no capital costs.  </w:t>
      </w:r>
    </w:p>
    <w:p w:rsidRPr="00FD55AF" w:rsidR="008F1EB4" w:rsidRDefault="008F1EB4" w14:paraId="400B1B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51F67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Pr="00361B96" w:rsidR="00361B96" w:rsidP="00361B96" w:rsidRDefault="00361B96" w14:paraId="20CD53F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361B96" w:rsidR="00361B96" w:rsidP="00361B96" w:rsidRDefault="00361B96" w14:paraId="001A39BE" w14:textId="65B41D9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61B96">
        <w:rPr>
          <w:sz w:val="24"/>
        </w:rPr>
        <w:t xml:space="preserve">The Federal government </w:t>
      </w:r>
      <w:r w:rsidR="006A72F5">
        <w:rPr>
          <w:sz w:val="24"/>
        </w:rPr>
        <w:t>will</w:t>
      </w:r>
      <w:r w:rsidRPr="00361B96">
        <w:rPr>
          <w:sz w:val="24"/>
        </w:rPr>
        <w:t xml:space="preserve"> sustain a burden from implementing and enforcing this final rule.  </w:t>
      </w:r>
      <w:r w:rsidR="006A72F5">
        <w:rPr>
          <w:sz w:val="24"/>
        </w:rPr>
        <w:t xml:space="preserve">Specifically, </w:t>
      </w:r>
      <w:r w:rsidRPr="00361B96">
        <w:rPr>
          <w:sz w:val="24"/>
        </w:rPr>
        <w:t xml:space="preserve">CMS </w:t>
      </w:r>
      <w:r w:rsidR="006A72F5">
        <w:rPr>
          <w:sz w:val="24"/>
        </w:rPr>
        <w:t>will</w:t>
      </w:r>
      <w:r w:rsidRPr="00361B96">
        <w:rPr>
          <w:sz w:val="24"/>
        </w:rPr>
        <w:t xml:space="preserve"> need to prepare guidance documents, including interpretative guidelines and </w:t>
      </w:r>
      <w:r w:rsidR="006A72F5">
        <w:rPr>
          <w:sz w:val="24"/>
        </w:rPr>
        <w:t xml:space="preserve">will provide training for surveyors on these new requirements and subsequent interpretative guidelines.  In addition, CMS will </w:t>
      </w:r>
      <w:r w:rsidRPr="004B27DB" w:rsidR="006A72F5">
        <w:rPr>
          <w:sz w:val="24"/>
        </w:rPr>
        <w:t xml:space="preserve">update </w:t>
      </w:r>
      <w:r w:rsidR="006A72F5">
        <w:rPr>
          <w:sz w:val="24"/>
        </w:rPr>
        <w:t>the survey process</w:t>
      </w:r>
      <w:r w:rsidRPr="004B27DB" w:rsidR="006A72F5">
        <w:rPr>
          <w:sz w:val="24"/>
        </w:rPr>
        <w:t xml:space="preserve"> and make IT systems changes.</w:t>
      </w:r>
      <w:r w:rsidR="006A72F5">
        <w:rPr>
          <w:sz w:val="24"/>
        </w:rPr>
        <w:t xml:space="preserve">  We anticipate that the burden to implement these new requirements and conduct surveys following implementation will be minimal beyond the normal labor costs for staff and standard business practices.</w:t>
      </w:r>
    </w:p>
    <w:p w:rsidR="00EA28DE" w:rsidRDefault="00EA28DE" w14:paraId="0925E4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527D0A" w:rsidRDefault="008F1EB4" w14:paraId="0DC737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14:paraId="2EA85B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B64A4" w:rsidP="004B621B" w:rsidRDefault="009C156F" w14:paraId="0BDBF738" w14:textId="49E12F7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Pr>
          <w:sz w:val="24"/>
        </w:rPr>
        <w:t xml:space="preserve">One-time burdens associated with performing risk assessments, and developing emergency preparedness plans and communication plans have been removed. In addition, </w:t>
      </w:r>
      <w:r w:rsidR="006E788B">
        <w:rPr>
          <w:sz w:val="24"/>
        </w:rPr>
        <w:t xml:space="preserve">due to changes </w:t>
      </w:r>
      <w:r w:rsidRPr="009C156F">
        <w:rPr>
          <w:sz w:val="24"/>
        </w:rPr>
        <w:t>finalized in Regulatory Provisions to Promote Program Efficiency, Transparency, and Burden Reduction (0938-AT23) on S</w:t>
      </w:r>
      <w:r w:rsidR="003A51D3">
        <w:rPr>
          <w:sz w:val="24"/>
        </w:rPr>
        <w:t>eptember 30, 2019 (84 FR 51732)</w:t>
      </w:r>
      <w:r w:rsidR="006E788B">
        <w:rPr>
          <w:sz w:val="24"/>
        </w:rPr>
        <w:t>,</w:t>
      </w:r>
      <w:r w:rsidRPr="003A51D3" w:rsidR="003A51D3">
        <w:rPr>
          <w:sz w:val="24"/>
        </w:rPr>
        <w:t xml:space="preserve"> </w:t>
      </w:r>
      <w:r w:rsidR="003A51D3">
        <w:rPr>
          <w:sz w:val="24"/>
        </w:rPr>
        <w:t>burdens associated with reviewing emergency plans</w:t>
      </w:r>
      <w:r w:rsidR="006E788B">
        <w:rPr>
          <w:sz w:val="24"/>
        </w:rPr>
        <w:t>, providing training, and conducting testing exercises have been reduced</w:t>
      </w:r>
      <w:r w:rsidR="00B374DD">
        <w:rPr>
          <w:sz w:val="24"/>
        </w:rPr>
        <w:t xml:space="preserve">. </w:t>
      </w:r>
      <w:r w:rsidRPr="00B374DD" w:rsidR="00B374DD">
        <w:rPr>
          <w:sz w:val="24"/>
        </w:rPr>
        <w:t>We estimate that for all providers and suppliers to comply with the ICRs would require 1,260,474 burden hours at a cost of $</w:t>
      </w:r>
      <w:r w:rsidRPr="00590BD0" w:rsidR="00590BD0">
        <w:rPr>
          <w:sz w:val="24"/>
        </w:rPr>
        <w:t>122,698,058</w:t>
      </w:r>
      <w:r w:rsidRPr="00B374DD" w:rsidR="00B374DD">
        <w:rPr>
          <w:sz w:val="24"/>
        </w:rPr>
        <w:t>.</w:t>
      </w:r>
    </w:p>
    <w:p w:rsidR="008F1EB4" w:rsidRDefault="008F1EB4" w14:paraId="10A7E6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436A2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Pr="00C556FB" w:rsidR="008F1EB4" w:rsidRDefault="008F1EB4" w14:paraId="0F060A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556FB" w:rsidR="00C556FB" w:rsidP="00C556FB" w:rsidRDefault="00C556FB" w14:paraId="75CD661D" w14:textId="77777777">
      <w:pPr>
        <w:ind w:left="450"/>
        <w:rPr>
          <w:sz w:val="24"/>
        </w:rPr>
      </w:pPr>
      <w:r w:rsidRPr="00C556FB">
        <w:rPr>
          <w:sz w:val="24"/>
        </w:rPr>
        <w:t xml:space="preserve">There are no plans to publish the information collected.  </w:t>
      </w:r>
    </w:p>
    <w:p w:rsidRPr="00C556FB" w:rsidR="008F1EB4" w:rsidRDefault="008F1EB4" w14:paraId="63D363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F1EB4" w:rsidRDefault="008F1EB4" w14:paraId="3F8AE8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4F10B6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927DE" w:rsidP="007927DE" w:rsidRDefault="007927DE" w14:paraId="4F3A98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94650">
        <w:rPr>
          <w:sz w:val="24"/>
        </w:rPr>
        <w:t>CMS has no objections to displaying the expiration date for this information collection request. We are requesting a three-year approval, the maximum allowed under the PRA. Please note that this information collection request does not utilize information collection instruments</w:t>
      </w:r>
      <w:r w:rsidR="006E3BED">
        <w:rPr>
          <w:sz w:val="24"/>
        </w:rPr>
        <w:t>, but educational materials and CMS websites that discuss these requirements will include information about the OMB control number and the expiration date of the collection.  S</w:t>
      </w:r>
      <w:r w:rsidRPr="00E94650">
        <w:rPr>
          <w:sz w:val="24"/>
        </w:rPr>
        <w:t>hould CMS develop any supplemental instructions or guidance documents, the documents will contain the OMB control number and the expiration date.</w:t>
      </w:r>
      <w:r w:rsidR="006E3BED">
        <w:rPr>
          <w:sz w:val="24"/>
        </w:rPr>
        <w:t xml:space="preserve">  </w:t>
      </w:r>
    </w:p>
    <w:p w:rsidR="008F1EB4" w:rsidRDefault="008F1EB4" w14:paraId="15EDBD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C8559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C556FB" w:rsidP="00C556FB" w:rsidRDefault="00C556FB" w14:paraId="02D29A84" w14:textId="77777777">
      <w:pPr>
        <w:pStyle w:val="ListParagraph"/>
        <w:ind w:left="450"/>
      </w:pPr>
    </w:p>
    <w:p w:rsidR="00C556FB" w:rsidP="00C556FB" w:rsidRDefault="00C556FB" w14:paraId="647E5E4B" w14:textId="77777777">
      <w:pPr>
        <w:pStyle w:val="ListParagraph"/>
        <w:ind w:left="450"/>
      </w:pPr>
      <w:r>
        <w:t>We have not identified any exceptions.</w:t>
      </w:r>
    </w:p>
    <w:p w:rsidR="000F3AF4" w:rsidRDefault="000F3AF4" w14:paraId="5EF440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FD0FF7">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DBF13" w14:textId="77777777" w:rsidR="005F365D" w:rsidRDefault="005F365D">
      <w:r>
        <w:separator/>
      </w:r>
    </w:p>
  </w:endnote>
  <w:endnote w:type="continuationSeparator" w:id="0">
    <w:p w14:paraId="0BB582DD" w14:textId="77777777" w:rsidR="005F365D" w:rsidRDefault="005F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0EFA5" w14:textId="77777777" w:rsidR="005F365D" w:rsidRDefault="005F365D">
    <w:pPr>
      <w:pStyle w:val="Footer"/>
      <w:jc w:val="center"/>
    </w:pPr>
    <w:r>
      <w:fldChar w:fldCharType="begin"/>
    </w:r>
    <w:r>
      <w:instrText xml:space="preserve"> PAGE   \* MERGEFORMAT </w:instrText>
    </w:r>
    <w:r>
      <w:fldChar w:fldCharType="separate"/>
    </w:r>
    <w:r w:rsidR="00E479E6">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53754" w14:textId="77777777" w:rsidR="005F365D" w:rsidRDefault="005F365D">
      <w:r>
        <w:separator/>
      </w:r>
    </w:p>
  </w:footnote>
  <w:footnote w:type="continuationSeparator" w:id="0">
    <w:p w14:paraId="41D9F366" w14:textId="77777777" w:rsidR="005F365D" w:rsidRDefault="005F3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625B5"/>
    <w:multiLevelType w:val="hybridMultilevel"/>
    <w:tmpl w:val="292E41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228A"/>
    <w:rsid w:val="0000650A"/>
    <w:rsid w:val="0000757D"/>
    <w:rsid w:val="0001179B"/>
    <w:rsid w:val="000174EE"/>
    <w:rsid w:val="00020D74"/>
    <w:rsid w:val="00021776"/>
    <w:rsid w:val="00022F06"/>
    <w:rsid w:val="00031DA9"/>
    <w:rsid w:val="00033CF8"/>
    <w:rsid w:val="00037191"/>
    <w:rsid w:val="00063959"/>
    <w:rsid w:val="000677E9"/>
    <w:rsid w:val="00070F26"/>
    <w:rsid w:val="00072AA0"/>
    <w:rsid w:val="0008269B"/>
    <w:rsid w:val="000A17D1"/>
    <w:rsid w:val="000A450E"/>
    <w:rsid w:val="000A4ECC"/>
    <w:rsid w:val="000B7C3F"/>
    <w:rsid w:val="000D1676"/>
    <w:rsid w:val="000F3AF4"/>
    <w:rsid w:val="001016E4"/>
    <w:rsid w:val="00110B70"/>
    <w:rsid w:val="0013366C"/>
    <w:rsid w:val="001364C4"/>
    <w:rsid w:val="00136E06"/>
    <w:rsid w:val="00142A85"/>
    <w:rsid w:val="00147115"/>
    <w:rsid w:val="00166F56"/>
    <w:rsid w:val="00174A34"/>
    <w:rsid w:val="0017694B"/>
    <w:rsid w:val="001810C9"/>
    <w:rsid w:val="001974EE"/>
    <w:rsid w:val="001A13EB"/>
    <w:rsid w:val="001A202D"/>
    <w:rsid w:val="001A4274"/>
    <w:rsid w:val="001B4BF6"/>
    <w:rsid w:val="001C163C"/>
    <w:rsid w:val="001C5C5B"/>
    <w:rsid w:val="001D5CC9"/>
    <w:rsid w:val="001E4C6D"/>
    <w:rsid w:val="001F1E3F"/>
    <w:rsid w:val="001F2BC0"/>
    <w:rsid w:val="001F3A95"/>
    <w:rsid w:val="001F5A27"/>
    <w:rsid w:val="001F627B"/>
    <w:rsid w:val="002073FA"/>
    <w:rsid w:val="00221065"/>
    <w:rsid w:val="002329DB"/>
    <w:rsid w:val="00233E19"/>
    <w:rsid w:val="00234FD2"/>
    <w:rsid w:val="00247D01"/>
    <w:rsid w:val="00260B06"/>
    <w:rsid w:val="002B75A9"/>
    <w:rsid w:val="002C000D"/>
    <w:rsid w:val="002E0FCE"/>
    <w:rsid w:val="002E2936"/>
    <w:rsid w:val="002E4260"/>
    <w:rsid w:val="002E5556"/>
    <w:rsid w:val="002E7C46"/>
    <w:rsid w:val="002F6AE7"/>
    <w:rsid w:val="002F7BC5"/>
    <w:rsid w:val="0030020F"/>
    <w:rsid w:val="00316DE5"/>
    <w:rsid w:val="00321DA0"/>
    <w:rsid w:val="00345F50"/>
    <w:rsid w:val="00361B96"/>
    <w:rsid w:val="00361F1C"/>
    <w:rsid w:val="00361F93"/>
    <w:rsid w:val="00373305"/>
    <w:rsid w:val="00373370"/>
    <w:rsid w:val="00381CA0"/>
    <w:rsid w:val="003863E6"/>
    <w:rsid w:val="0039061C"/>
    <w:rsid w:val="00391977"/>
    <w:rsid w:val="003A51D3"/>
    <w:rsid w:val="003A7DD5"/>
    <w:rsid w:val="003B46A6"/>
    <w:rsid w:val="003B552F"/>
    <w:rsid w:val="003B5F12"/>
    <w:rsid w:val="003B6F5D"/>
    <w:rsid w:val="003D2981"/>
    <w:rsid w:val="003D2D2E"/>
    <w:rsid w:val="003D3561"/>
    <w:rsid w:val="003D4389"/>
    <w:rsid w:val="003E4A97"/>
    <w:rsid w:val="003E523C"/>
    <w:rsid w:val="003E797B"/>
    <w:rsid w:val="003F3198"/>
    <w:rsid w:val="003F49FB"/>
    <w:rsid w:val="004028D4"/>
    <w:rsid w:val="004172FD"/>
    <w:rsid w:val="00426902"/>
    <w:rsid w:val="0043285D"/>
    <w:rsid w:val="00432A97"/>
    <w:rsid w:val="004438D9"/>
    <w:rsid w:val="00443B34"/>
    <w:rsid w:val="00452CAA"/>
    <w:rsid w:val="0046065A"/>
    <w:rsid w:val="00464356"/>
    <w:rsid w:val="00474E4B"/>
    <w:rsid w:val="00475CB1"/>
    <w:rsid w:val="00475E5A"/>
    <w:rsid w:val="00482368"/>
    <w:rsid w:val="00486618"/>
    <w:rsid w:val="00492E09"/>
    <w:rsid w:val="004953BF"/>
    <w:rsid w:val="004B27DB"/>
    <w:rsid w:val="004B621B"/>
    <w:rsid w:val="004B74A2"/>
    <w:rsid w:val="004C28B8"/>
    <w:rsid w:val="004D2A55"/>
    <w:rsid w:val="004D5289"/>
    <w:rsid w:val="004D6831"/>
    <w:rsid w:val="004E1A54"/>
    <w:rsid w:val="004E1F90"/>
    <w:rsid w:val="004E2104"/>
    <w:rsid w:val="004E5B98"/>
    <w:rsid w:val="00514E5A"/>
    <w:rsid w:val="00520054"/>
    <w:rsid w:val="00527D0A"/>
    <w:rsid w:val="00537562"/>
    <w:rsid w:val="00540999"/>
    <w:rsid w:val="00540D47"/>
    <w:rsid w:val="00542E34"/>
    <w:rsid w:val="0055217A"/>
    <w:rsid w:val="00560E4D"/>
    <w:rsid w:val="00566BFE"/>
    <w:rsid w:val="00582EC6"/>
    <w:rsid w:val="00586BFD"/>
    <w:rsid w:val="00590BD0"/>
    <w:rsid w:val="00590FBB"/>
    <w:rsid w:val="00591E04"/>
    <w:rsid w:val="00593006"/>
    <w:rsid w:val="00593D86"/>
    <w:rsid w:val="00594C74"/>
    <w:rsid w:val="00595F7A"/>
    <w:rsid w:val="00597957"/>
    <w:rsid w:val="005A7E91"/>
    <w:rsid w:val="005B1A10"/>
    <w:rsid w:val="005B6B41"/>
    <w:rsid w:val="005B745C"/>
    <w:rsid w:val="005C1F1F"/>
    <w:rsid w:val="005C5984"/>
    <w:rsid w:val="005C734D"/>
    <w:rsid w:val="005D092C"/>
    <w:rsid w:val="005D5645"/>
    <w:rsid w:val="005E31E8"/>
    <w:rsid w:val="005E58B1"/>
    <w:rsid w:val="005F0F73"/>
    <w:rsid w:val="005F365D"/>
    <w:rsid w:val="005F397E"/>
    <w:rsid w:val="005F6416"/>
    <w:rsid w:val="00610C82"/>
    <w:rsid w:val="0061104B"/>
    <w:rsid w:val="00611AAB"/>
    <w:rsid w:val="0062415B"/>
    <w:rsid w:val="006348AF"/>
    <w:rsid w:val="00676CFE"/>
    <w:rsid w:val="006806BD"/>
    <w:rsid w:val="006834DE"/>
    <w:rsid w:val="0069205B"/>
    <w:rsid w:val="0069712B"/>
    <w:rsid w:val="006A72F5"/>
    <w:rsid w:val="006B3F7B"/>
    <w:rsid w:val="006B6024"/>
    <w:rsid w:val="006B7287"/>
    <w:rsid w:val="006B791F"/>
    <w:rsid w:val="006B79C7"/>
    <w:rsid w:val="006C7C7B"/>
    <w:rsid w:val="006D0064"/>
    <w:rsid w:val="006D279A"/>
    <w:rsid w:val="006E3BED"/>
    <w:rsid w:val="006E788B"/>
    <w:rsid w:val="006F7873"/>
    <w:rsid w:val="007033AC"/>
    <w:rsid w:val="00705F35"/>
    <w:rsid w:val="00710C79"/>
    <w:rsid w:val="007152B6"/>
    <w:rsid w:val="00725EE6"/>
    <w:rsid w:val="007273AF"/>
    <w:rsid w:val="00732A65"/>
    <w:rsid w:val="00734B00"/>
    <w:rsid w:val="007564FB"/>
    <w:rsid w:val="007577C4"/>
    <w:rsid w:val="00782F6F"/>
    <w:rsid w:val="00783E56"/>
    <w:rsid w:val="0078422A"/>
    <w:rsid w:val="00784C12"/>
    <w:rsid w:val="007927DE"/>
    <w:rsid w:val="00792DBE"/>
    <w:rsid w:val="00797377"/>
    <w:rsid w:val="007A3E04"/>
    <w:rsid w:val="007C165F"/>
    <w:rsid w:val="007D2FBE"/>
    <w:rsid w:val="007D5FD8"/>
    <w:rsid w:val="007F056A"/>
    <w:rsid w:val="007F17E1"/>
    <w:rsid w:val="007F21E9"/>
    <w:rsid w:val="0080057B"/>
    <w:rsid w:val="0080082D"/>
    <w:rsid w:val="008241F6"/>
    <w:rsid w:val="00826FA4"/>
    <w:rsid w:val="00853354"/>
    <w:rsid w:val="008546CF"/>
    <w:rsid w:val="00856B19"/>
    <w:rsid w:val="00863BC7"/>
    <w:rsid w:val="00870D59"/>
    <w:rsid w:val="00886E07"/>
    <w:rsid w:val="008968F5"/>
    <w:rsid w:val="008B7F63"/>
    <w:rsid w:val="008C01FA"/>
    <w:rsid w:val="008D7275"/>
    <w:rsid w:val="008E34A0"/>
    <w:rsid w:val="008E4227"/>
    <w:rsid w:val="008F1EB4"/>
    <w:rsid w:val="008F2378"/>
    <w:rsid w:val="008F33A2"/>
    <w:rsid w:val="00917BDA"/>
    <w:rsid w:val="00926FF6"/>
    <w:rsid w:val="00936CF6"/>
    <w:rsid w:val="00937AA8"/>
    <w:rsid w:val="00950E78"/>
    <w:rsid w:val="00953C69"/>
    <w:rsid w:val="00955BF2"/>
    <w:rsid w:val="00963255"/>
    <w:rsid w:val="00993321"/>
    <w:rsid w:val="009942AF"/>
    <w:rsid w:val="009955EF"/>
    <w:rsid w:val="009B4D6B"/>
    <w:rsid w:val="009B50AC"/>
    <w:rsid w:val="009C156F"/>
    <w:rsid w:val="009D6901"/>
    <w:rsid w:val="009F0550"/>
    <w:rsid w:val="009F1249"/>
    <w:rsid w:val="009F3BEE"/>
    <w:rsid w:val="00A0373A"/>
    <w:rsid w:val="00A11B03"/>
    <w:rsid w:val="00A40ED6"/>
    <w:rsid w:val="00A40ED7"/>
    <w:rsid w:val="00A50C70"/>
    <w:rsid w:val="00A55126"/>
    <w:rsid w:val="00A55491"/>
    <w:rsid w:val="00A65EFC"/>
    <w:rsid w:val="00A74693"/>
    <w:rsid w:val="00A76722"/>
    <w:rsid w:val="00A82B92"/>
    <w:rsid w:val="00A9091A"/>
    <w:rsid w:val="00A94A40"/>
    <w:rsid w:val="00A9709C"/>
    <w:rsid w:val="00AA0385"/>
    <w:rsid w:val="00AA1EE1"/>
    <w:rsid w:val="00AA5936"/>
    <w:rsid w:val="00AB0FE2"/>
    <w:rsid w:val="00AB24B4"/>
    <w:rsid w:val="00AC57F3"/>
    <w:rsid w:val="00AC6188"/>
    <w:rsid w:val="00AD49AE"/>
    <w:rsid w:val="00AE58CD"/>
    <w:rsid w:val="00AE5A18"/>
    <w:rsid w:val="00AF7DF3"/>
    <w:rsid w:val="00B027E2"/>
    <w:rsid w:val="00B03B85"/>
    <w:rsid w:val="00B044A9"/>
    <w:rsid w:val="00B06393"/>
    <w:rsid w:val="00B111D4"/>
    <w:rsid w:val="00B12C5D"/>
    <w:rsid w:val="00B1302A"/>
    <w:rsid w:val="00B14B5B"/>
    <w:rsid w:val="00B1742F"/>
    <w:rsid w:val="00B20F9E"/>
    <w:rsid w:val="00B25C3E"/>
    <w:rsid w:val="00B265AF"/>
    <w:rsid w:val="00B31863"/>
    <w:rsid w:val="00B374DD"/>
    <w:rsid w:val="00B60B26"/>
    <w:rsid w:val="00B74923"/>
    <w:rsid w:val="00B7556B"/>
    <w:rsid w:val="00B7557D"/>
    <w:rsid w:val="00BA4753"/>
    <w:rsid w:val="00BB20CA"/>
    <w:rsid w:val="00BB44C2"/>
    <w:rsid w:val="00BB4A4C"/>
    <w:rsid w:val="00BC2BFA"/>
    <w:rsid w:val="00BD75FB"/>
    <w:rsid w:val="00BE1B0E"/>
    <w:rsid w:val="00BE4078"/>
    <w:rsid w:val="00BF1CE1"/>
    <w:rsid w:val="00BF59A9"/>
    <w:rsid w:val="00C0795E"/>
    <w:rsid w:val="00C27EF9"/>
    <w:rsid w:val="00C32BAD"/>
    <w:rsid w:val="00C35509"/>
    <w:rsid w:val="00C4489B"/>
    <w:rsid w:val="00C46B7B"/>
    <w:rsid w:val="00C479B5"/>
    <w:rsid w:val="00C556FB"/>
    <w:rsid w:val="00C5719B"/>
    <w:rsid w:val="00C66F19"/>
    <w:rsid w:val="00C67E31"/>
    <w:rsid w:val="00C74EE8"/>
    <w:rsid w:val="00C8215B"/>
    <w:rsid w:val="00C912F3"/>
    <w:rsid w:val="00CA6543"/>
    <w:rsid w:val="00CA75D9"/>
    <w:rsid w:val="00CC5309"/>
    <w:rsid w:val="00CE0796"/>
    <w:rsid w:val="00CF11E4"/>
    <w:rsid w:val="00CF2409"/>
    <w:rsid w:val="00D04EAB"/>
    <w:rsid w:val="00D075E6"/>
    <w:rsid w:val="00D14B31"/>
    <w:rsid w:val="00D164BA"/>
    <w:rsid w:val="00D24F7E"/>
    <w:rsid w:val="00D30BB5"/>
    <w:rsid w:val="00D55363"/>
    <w:rsid w:val="00D55E6C"/>
    <w:rsid w:val="00D625CC"/>
    <w:rsid w:val="00D66EB8"/>
    <w:rsid w:val="00D704D1"/>
    <w:rsid w:val="00DB523A"/>
    <w:rsid w:val="00DD5D18"/>
    <w:rsid w:val="00DE29FA"/>
    <w:rsid w:val="00DE3D9D"/>
    <w:rsid w:val="00DF3B51"/>
    <w:rsid w:val="00DF5697"/>
    <w:rsid w:val="00E005DA"/>
    <w:rsid w:val="00E10499"/>
    <w:rsid w:val="00E14F42"/>
    <w:rsid w:val="00E20FE1"/>
    <w:rsid w:val="00E21C5F"/>
    <w:rsid w:val="00E223CC"/>
    <w:rsid w:val="00E24FED"/>
    <w:rsid w:val="00E35D25"/>
    <w:rsid w:val="00E37C59"/>
    <w:rsid w:val="00E46B5D"/>
    <w:rsid w:val="00E4726E"/>
    <w:rsid w:val="00E479E6"/>
    <w:rsid w:val="00E512D1"/>
    <w:rsid w:val="00E57811"/>
    <w:rsid w:val="00E73320"/>
    <w:rsid w:val="00E74502"/>
    <w:rsid w:val="00E95815"/>
    <w:rsid w:val="00EA0E27"/>
    <w:rsid w:val="00EA28DE"/>
    <w:rsid w:val="00EB64A4"/>
    <w:rsid w:val="00EC207F"/>
    <w:rsid w:val="00ED0831"/>
    <w:rsid w:val="00ED25AF"/>
    <w:rsid w:val="00EE05D3"/>
    <w:rsid w:val="00EF1982"/>
    <w:rsid w:val="00F003B7"/>
    <w:rsid w:val="00F103E3"/>
    <w:rsid w:val="00F1227C"/>
    <w:rsid w:val="00F2184E"/>
    <w:rsid w:val="00F24AA8"/>
    <w:rsid w:val="00F267BC"/>
    <w:rsid w:val="00F303DC"/>
    <w:rsid w:val="00F32DF8"/>
    <w:rsid w:val="00F33697"/>
    <w:rsid w:val="00F35F07"/>
    <w:rsid w:val="00F407E9"/>
    <w:rsid w:val="00F40CE9"/>
    <w:rsid w:val="00F470C3"/>
    <w:rsid w:val="00F50BD5"/>
    <w:rsid w:val="00F558E4"/>
    <w:rsid w:val="00F560AB"/>
    <w:rsid w:val="00F66BFD"/>
    <w:rsid w:val="00F82C86"/>
    <w:rsid w:val="00F912B7"/>
    <w:rsid w:val="00FB555D"/>
    <w:rsid w:val="00FC0091"/>
    <w:rsid w:val="00FC31C1"/>
    <w:rsid w:val="00FC4154"/>
    <w:rsid w:val="00FD0FF7"/>
    <w:rsid w:val="00FD1135"/>
    <w:rsid w:val="00FD2619"/>
    <w:rsid w:val="00FD55AF"/>
    <w:rsid w:val="00FE0048"/>
    <w:rsid w:val="00FF0421"/>
    <w:rsid w:val="00FF13E7"/>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8E0BBB5"/>
  <w15:chartTrackingRefBased/>
  <w15:docId w15:val="{000ACD27-95AE-40E4-AAF4-069BD4BD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olorfulList-Accent11">
    <w:name w:val="Colorful List - Accent 11"/>
    <w:basedOn w:val="Normal"/>
    <w:uiPriority w:val="99"/>
    <w:rsid w:val="00B7556B"/>
    <w:pPr>
      <w:autoSpaceDE/>
      <w:autoSpaceDN/>
      <w:adjustRightInd/>
      <w:ind w:left="720"/>
    </w:pPr>
    <w:rPr>
      <w:rFonts w:ascii="Courier" w:hAnsi="Courier"/>
      <w:sz w:val="24"/>
      <w:szCs w:val="20"/>
    </w:rPr>
  </w:style>
  <w:style w:type="character" w:customStyle="1" w:styleId="sc">
    <w:name w:val="sc"/>
    <w:uiPriority w:val="99"/>
    <w:rsid w:val="00B7556B"/>
    <w:rPr>
      <w:rFonts w:cs="Times New Roman"/>
    </w:rPr>
  </w:style>
  <w:style w:type="character" w:styleId="HTMLCite">
    <w:name w:val="HTML Cite"/>
    <w:uiPriority w:val="99"/>
    <w:rsid w:val="00B7556B"/>
    <w:rPr>
      <w:rFonts w:cs="Times New Roman"/>
      <w:i/>
      <w:iCs/>
    </w:rPr>
  </w:style>
  <w:style w:type="paragraph" w:styleId="ListParagraph">
    <w:name w:val="List Paragraph"/>
    <w:basedOn w:val="Normal"/>
    <w:uiPriority w:val="34"/>
    <w:qFormat/>
    <w:rsid w:val="00C556FB"/>
    <w:pPr>
      <w:widowControl/>
      <w:autoSpaceDE/>
      <w:autoSpaceDN/>
      <w:adjustRightInd/>
      <w:spacing w:after="200" w:line="276" w:lineRule="auto"/>
      <w:ind w:left="720"/>
      <w:contextualSpacing/>
    </w:pPr>
    <w:rPr>
      <w:rFonts w:eastAsia="Calibri"/>
      <w:snapToGrid w:val="0"/>
      <w:color w:val="000000"/>
      <w:sz w:val="24"/>
    </w:rPr>
  </w:style>
  <w:style w:type="paragraph" w:styleId="BalloonText">
    <w:name w:val="Balloon Text"/>
    <w:basedOn w:val="Normal"/>
    <w:link w:val="BalloonTextChar"/>
    <w:rsid w:val="004B74A2"/>
    <w:rPr>
      <w:rFonts w:ascii="Tahoma" w:hAnsi="Tahoma" w:cs="Tahoma"/>
      <w:sz w:val="16"/>
      <w:szCs w:val="16"/>
    </w:rPr>
  </w:style>
  <w:style w:type="character" w:customStyle="1" w:styleId="BalloonTextChar">
    <w:name w:val="Balloon Text Char"/>
    <w:link w:val="BalloonText"/>
    <w:rsid w:val="004B74A2"/>
    <w:rPr>
      <w:rFonts w:ascii="Tahoma" w:hAnsi="Tahoma" w:cs="Tahoma"/>
      <w:sz w:val="16"/>
      <w:szCs w:val="16"/>
    </w:rPr>
  </w:style>
  <w:style w:type="paragraph" w:styleId="Header">
    <w:name w:val="header"/>
    <w:basedOn w:val="Normal"/>
    <w:link w:val="HeaderChar"/>
    <w:rsid w:val="00CF2409"/>
    <w:pPr>
      <w:tabs>
        <w:tab w:val="center" w:pos="4680"/>
        <w:tab w:val="right" w:pos="9360"/>
      </w:tabs>
    </w:pPr>
  </w:style>
  <w:style w:type="character" w:customStyle="1" w:styleId="HeaderChar">
    <w:name w:val="Header Char"/>
    <w:link w:val="Header"/>
    <w:rsid w:val="00CF2409"/>
    <w:rPr>
      <w:szCs w:val="24"/>
    </w:rPr>
  </w:style>
  <w:style w:type="paragraph" w:styleId="Footer">
    <w:name w:val="footer"/>
    <w:basedOn w:val="Normal"/>
    <w:link w:val="FooterChar"/>
    <w:uiPriority w:val="99"/>
    <w:rsid w:val="00CF2409"/>
    <w:pPr>
      <w:tabs>
        <w:tab w:val="center" w:pos="4680"/>
        <w:tab w:val="right" w:pos="9360"/>
      </w:tabs>
    </w:pPr>
  </w:style>
  <w:style w:type="character" w:customStyle="1" w:styleId="FooterChar">
    <w:name w:val="Footer Char"/>
    <w:link w:val="Footer"/>
    <w:uiPriority w:val="99"/>
    <w:rsid w:val="00CF2409"/>
    <w:rPr>
      <w:szCs w:val="24"/>
    </w:rPr>
  </w:style>
  <w:style w:type="paragraph" w:styleId="Revision">
    <w:name w:val="Revision"/>
    <w:hidden/>
    <w:uiPriority w:val="99"/>
    <w:semiHidden/>
    <w:rsid w:val="003B46A6"/>
    <w:rPr>
      <w:szCs w:val="24"/>
    </w:rPr>
  </w:style>
  <w:style w:type="character" w:styleId="CommentReference">
    <w:name w:val="annotation reference"/>
    <w:rsid w:val="00022F06"/>
    <w:rPr>
      <w:sz w:val="16"/>
      <w:szCs w:val="16"/>
    </w:rPr>
  </w:style>
  <w:style w:type="paragraph" w:styleId="CommentText">
    <w:name w:val="annotation text"/>
    <w:basedOn w:val="Normal"/>
    <w:link w:val="CommentTextChar"/>
    <w:rsid w:val="00022F06"/>
    <w:rPr>
      <w:szCs w:val="20"/>
    </w:rPr>
  </w:style>
  <w:style w:type="character" w:customStyle="1" w:styleId="CommentTextChar">
    <w:name w:val="Comment Text Char"/>
    <w:basedOn w:val="DefaultParagraphFont"/>
    <w:link w:val="CommentText"/>
    <w:rsid w:val="00022F06"/>
  </w:style>
  <w:style w:type="paragraph" w:styleId="CommentSubject">
    <w:name w:val="annotation subject"/>
    <w:basedOn w:val="CommentText"/>
    <w:next w:val="CommentText"/>
    <w:link w:val="CommentSubjectChar"/>
    <w:rsid w:val="00022F06"/>
    <w:rPr>
      <w:b/>
      <w:bCs/>
    </w:rPr>
  </w:style>
  <w:style w:type="character" w:customStyle="1" w:styleId="CommentSubjectChar">
    <w:name w:val="Comment Subject Char"/>
    <w:link w:val="CommentSubject"/>
    <w:rsid w:val="00022F06"/>
    <w:rPr>
      <w:b/>
      <w:bCs/>
    </w:rPr>
  </w:style>
  <w:style w:type="table" w:styleId="TableGrid">
    <w:name w:val="Table Grid"/>
    <w:basedOn w:val="TableNormal"/>
    <w:rsid w:val="002E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0152">
      <w:bodyDiv w:val="1"/>
      <w:marLeft w:val="0"/>
      <w:marRight w:val="0"/>
      <w:marTop w:val="0"/>
      <w:marBottom w:val="0"/>
      <w:divBdr>
        <w:top w:val="none" w:sz="0" w:space="0" w:color="auto"/>
        <w:left w:val="none" w:sz="0" w:space="0" w:color="auto"/>
        <w:bottom w:val="none" w:sz="0" w:space="0" w:color="auto"/>
        <w:right w:val="none" w:sz="0" w:space="0" w:color="auto"/>
      </w:divBdr>
    </w:div>
    <w:div w:id="45491296">
      <w:bodyDiv w:val="1"/>
      <w:marLeft w:val="0"/>
      <w:marRight w:val="0"/>
      <w:marTop w:val="0"/>
      <w:marBottom w:val="0"/>
      <w:divBdr>
        <w:top w:val="none" w:sz="0" w:space="0" w:color="auto"/>
        <w:left w:val="none" w:sz="0" w:space="0" w:color="auto"/>
        <w:bottom w:val="none" w:sz="0" w:space="0" w:color="auto"/>
        <w:right w:val="none" w:sz="0" w:space="0" w:color="auto"/>
      </w:divBdr>
    </w:div>
    <w:div w:id="76832955">
      <w:bodyDiv w:val="1"/>
      <w:marLeft w:val="0"/>
      <w:marRight w:val="0"/>
      <w:marTop w:val="0"/>
      <w:marBottom w:val="0"/>
      <w:divBdr>
        <w:top w:val="none" w:sz="0" w:space="0" w:color="auto"/>
        <w:left w:val="none" w:sz="0" w:space="0" w:color="auto"/>
        <w:bottom w:val="none" w:sz="0" w:space="0" w:color="auto"/>
        <w:right w:val="none" w:sz="0" w:space="0" w:color="auto"/>
      </w:divBdr>
    </w:div>
    <w:div w:id="120614472">
      <w:bodyDiv w:val="1"/>
      <w:marLeft w:val="0"/>
      <w:marRight w:val="0"/>
      <w:marTop w:val="0"/>
      <w:marBottom w:val="0"/>
      <w:divBdr>
        <w:top w:val="none" w:sz="0" w:space="0" w:color="auto"/>
        <w:left w:val="none" w:sz="0" w:space="0" w:color="auto"/>
        <w:bottom w:val="none" w:sz="0" w:space="0" w:color="auto"/>
        <w:right w:val="none" w:sz="0" w:space="0" w:color="auto"/>
      </w:divBdr>
    </w:div>
    <w:div w:id="153424278">
      <w:bodyDiv w:val="1"/>
      <w:marLeft w:val="0"/>
      <w:marRight w:val="0"/>
      <w:marTop w:val="0"/>
      <w:marBottom w:val="0"/>
      <w:divBdr>
        <w:top w:val="none" w:sz="0" w:space="0" w:color="auto"/>
        <w:left w:val="none" w:sz="0" w:space="0" w:color="auto"/>
        <w:bottom w:val="none" w:sz="0" w:space="0" w:color="auto"/>
        <w:right w:val="none" w:sz="0" w:space="0" w:color="auto"/>
      </w:divBdr>
    </w:div>
    <w:div w:id="241961579">
      <w:bodyDiv w:val="1"/>
      <w:marLeft w:val="0"/>
      <w:marRight w:val="0"/>
      <w:marTop w:val="0"/>
      <w:marBottom w:val="0"/>
      <w:divBdr>
        <w:top w:val="none" w:sz="0" w:space="0" w:color="auto"/>
        <w:left w:val="none" w:sz="0" w:space="0" w:color="auto"/>
        <w:bottom w:val="none" w:sz="0" w:space="0" w:color="auto"/>
        <w:right w:val="none" w:sz="0" w:space="0" w:color="auto"/>
      </w:divBdr>
    </w:div>
    <w:div w:id="289674253">
      <w:bodyDiv w:val="1"/>
      <w:marLeft w:val="0"/>
      <w:marRight w:val="0"/>
      <w:marTop w:val="0"/>
      <w:marBottom w:val="0"/>
      <w:divBdr>
        <w:top w:val="none" w:sz="0" w:space="0" w:color="auto"/>
        <w:left w:val="none" w:sz="0" w:space="0" w:color="auto"/>
        <w:bottom w:val="none" w:sz="0" w:space="0" w:color="auto"/>
        <w:right w:val="none" w:sz="0" w:space="0" w:color="auto"/>
      </w:divBdr>
    </w:div>
    <w:div w:id="475493577">
      <w:bodyDiv w:val="1"/>
      <w:marLeft w:val="0"/>
      <w:marRight w:val="0"/>
      <w:marTop w:val="0"/>
      <w:marBottom w:val="0"/>
      <w:divBdr>
        <w:top w:val="none" w:sz="0" w:space="0" w:color="auto"/>
        <w:left w:val="none" w:sz="0" w:space="0" w:color="auto"/>
        <w:bottom w:val="none" w:sz="0" w:space="0" w:color="auto"/>
        <w:right w:val="none" w:sz="0" w:space="0" w:color="auto"/>
      </w:divBdr>
    </w:div>
    <w:div w:id="527958209">
      <w:bodyDiv w:val="1"/>
      <w:marLeft w:val="0"/>
      <w:marRight w:val="0"/>
      <w:marTop w:val="0"/>
      <w:marBottom w:val="0"/>
      <w:divBdr>
        <w:top w:val="none" w:sz="0" w:space="0" w:color="auto"/>
        <w:left w:val="none" w:sz="0" w:space="0" w:color="auto"/>
        <w:bottom w:val="none" w:sz="0" w:space="0" w:color="auto"/>
        <w:right w:val="none" w:sz="0" w:space="0" w:color="auto"/>
      </w:divBdr>
    </w:div>
    <w:div w:id="689986983">
      <w:bodyDiv w:val="1"/>
      <w:marLeft w:val="0"/>
      <w:marRight w:val="0"/>
      <w:marTop w:val="0"/>
      <w:marBottom w:val="0"/>
      <w:divBdr>
        <w:top w:val="none" w:sz="0" w:space="0" w:color="auto"/>
        <w:left w:val="none" w:sz="0" w:space="0" w:color="auto"/>
        <w:bottom w:val="none" w:sz="0" w:space="0" w:color="auto"/>
        <w:right w:val="none" w:sz="0" w:space="0" w:color="auto"/>
      </w:divBdr>
    </w:div>
    <w:div w:id="794712619">
      <w:bodyDiv w:val="1"/>
      <w:marLeft w:val="0"/>
      <w:marRight w:val="0"/>
      <w:marTop w:val="0"/>
      <w:marBottom w:val="0"/>
      <w:divBdr>
        <w:top w:val="none" w:sz="0" w:space="0" w:color="auto"/>
        <w:left w:val="none" w:sz="0" w:space="0" w:color="auto"/>
        <w:bottom w:val="none" w:sz="0" w:space="0" w:color="auto"/>
        <w:right w:val="none" w:sz="0" w:space="0" w:color="auto"/>
      </w:divBdr>
    </w:div>
    <w:div w:id="883059053">
      <w:bodyDiv w:val="1"/>
      <w:marLeft w:val="0"/>
      <w:marRight w:val="0"/>
      <w:marTop w:val="0"/>
      <w:marBottom w:val="0"/>
      <w:divBdr>
        <w:top w:val="none" w:sz="0" w:space="0" w:color="auto"/>
        <w:left w:val="none" w:sz="0" w:space="0" w:color="auto"/>
        <w:bottom w:val="none" w:sz="0" w:space="0" w:color="auto"/>
        <w:right w:val="none" w:sz="0" w:space="0" w:color="auto"/>
      </w:divBdr>
    </w:div>
    <w:div w:id="915475125">
      <w:bodyDiv w:val="1"/>
      <w:marLeft w:val="0"/>
      <w:marRight w:val="0"/>
      <w:marTop w:val="0"/>
      <w:marBottom w:val="0"/>
      <w:divBdr>
        <w:top w:val="none" w:sz="0" w:space="0" w:color="auto"/>
        <w:left w:val="none" w:sz="0" w:space="0" w:color="auto"/>
        <w:bottom w:val="none" w:sz="0" w:space="0" w:color="auto"/>
        <w:right w:val="none" w:sz="0" w:space="0" w:color="auto"/>
      </w:divBdr>
    </w:div>
    <w:div w:id="957876034">
      <w:bodyDiv w:val="1"/>
      <w:marLeft w:val="0"/>
      <w:marRight w:val="0"/>
      <w:marTop w:val="0"/>
      <w:marBottom w:val="0"/>
      <w:divBdr>
        <w:top w:val="none" w:sz="0" w:space="0" w:color="auto"/>
        <w:left w:val="none" w:sz="0" w:space="0" w:color="auto"/>
        <w:bottom w:val="none" w:sz="0" w:space="0" w:color="auto"/>
        <w:right w:val="none" w:sz="0" w:space="0" w:color="auto"/>
      </w:divBdr>
    </w:div>
    <w:div w:id="1023167522">
      <w:bodyDiv w:val="1"/>
      <w:marLeft w:val="0"/>
      <w:marRight w:val="0"/>
      <w:marTop w:val="0"/>
      <w:marBottom w:val="0"/>
      <w:divBdr>
        <w:top w:val="none" w:sz="0" w:space="0" w:color="auto"/>
        <w:left w:val="none" w:sz="0" w:space="0" w:color="auto"/>
        <w:bottom w:val="none" w:sz="0" w:space="0" w:color="auto"/>
        <w:right w:val="none" w:sz="0" w:space="0" w:color="auto"/>
      </w:divBdr>
    </w:div>
    <w:div w:id="1322077625">
      <w:bodyDiv w:val="1"/>
      <w:marLeft w:val="0"/>
      <w:marRight w:val="0"/>
      <w:marTop w:val="0"/>
      <w:marBottom w:val="0"/>
      <w:divBdr>
        <w:top w:val="none" w:sz="0" w:space="0" w:color="auto"/>
        <w:left w:val="none" w:sz="0" w:space="0" w:color="auto"/>
        <w:bottom w:val="none" w:sz="0" w:space="0" w:color="auto"/>
        <w:right w:val="none" w:sz="0" w:space="0" w:color="auto"/>
      </w:divBdr>
    </w:div>
    <w:div w:id="1362822101">
      <w:bodyDiv w:val="1"/>
      <w:marLeft w:val="0"/>
      <w:marRight w:val="0"/>
      <w:marTop w:val="0"/>
      <w:marBottom w:val="0"/>
      <w:divBdr>
        <w:top w:val="none" w:sz="0" w:space="0" w:color="auto"/>
        <w:left w:val="none" w:sz="0" w:space="0" w:color="auto"/>
        <w:bottom w:val="none" w:sz="0" w:space="0" w:color="auto"/>
        <w:right w:val="none" w:sz="0" w:space="0" w:color="auto"/>
      </w:divBdr>
    </w:div>
    <w:div w:id="1376541178">
      <w:bodyDiv w:val="1"/>
      <w:marLeft w:val="0"/>
      <w:marRight w:val="0"/>
      <w:marTop w:val="0"/>
      <w:marBottom w:val="0"/>
      <w:divBdr>
        <w:top w:val="none" w:sz="0" w:space="0" w:color="auto"/>
        <w:left w:val="none" w:sz="0" w:space="0" w:color="auto"/>
        <w:bottom w:val="none" w:sz="0" w:space="0" w:color="auto"/>
        <w:right w:val="none" w:sz="0" w:space="0" w:color="auto"/>
      </w:divBdr>
    </w:div>
    <w:div w:id="1541429857">
      <w:bodyDiv w:val="1"/>
      <w:marLeft w:val="0"/>
      <w:marRight w:val="0"/>
      <w:marTop w:val="0"/>
      <w:marBottom w:val="0"/>
      <w:divBdr>
        <w:top w:val="none" w:sz="0" w:space="0" w:color="auto"/>
        <w:left w:val="none" w:sz="0" w:space="0" w:color="auto"/>
        <w:bottom w:val="none" w:sz="0" w:space="0" w:color="auto"/>
        <w:right w:val="none" w:sz="0" w:space="0" w:color="auto"/>
      </w:divBdr>
    </w:div>
    <w:div w:id="1634363806">
      <w:bodyDiv w:val="1"/>
      <w:marLeft w:val="0"/>
      <w:marRight w:val="0"/>
      <w:marTop w:val="0"/>
      <w:marBottom w:val="0"/>
      <w:divBdr>
        <w:top w:val="none" w:sz="0" w:space="0" w:color="auto"/>
        <w:left w:val="none" w:sz="0" w:space="0" w:color="auto"/>
        <w:bottom w:val="none" w:sz="0" w:space="0" w:color="auto"/>
        <w:right w:val="none" w:sz="0" w:space="0" w:color="auto"/>
      </w:divBdr>
    </w:div>
    <w:div w:id="1646355406">
      <w:bodyDiv w:val="1"/>
      <w:marLeft w:val="0"/>
      <w:marRight w:val="0"/>
      <w:marTop w:val="0"/>
      <w:marBottom w:val="0"/>
      <w:divBdr>
        <w:top w:val="none" w:sz="0" w:space="0" w:color="auto"/>
        <w:left w:val="none" w:sz="0" w:space="0" w:color="auto"/>
        <w:bottom w:val="none" w:sz="0" w:space="0" w:color="auto"/>
        <w:right w:val="none" w:sz="0" w:space="0" w:color="auto"/>
      </w:divBdr>
    </w:div>
    <w:div w:id="1693992946">
      <w:bodyDiv w:val="1"/>
      <w:marLeft w:val="0"/>
      <w:marRight w:val="0"/>
      <w:marTop w:val="0"/>
      <w:marBottom w:val="0"/>
      <w:divBdr>
        <w:top w:val="none" w:sz="0" w:space="0" w:color="auto"/>
        <w:left w:val="none" w:sz="0" w:space="0" w:color="auto"/>
        <w:bottom w:val="none" w:sz="0" w:space="0" w:color="auto"/>
        <w:right w:val="none" w:sz="0" w:space="0" w:color="auto"/>
      </w:divBdr>
    </w:div>
    <w:div w:id="1748115234">
      <w:bodyDiv w:val="1"/>
      <w:marLeft w:val="0"/>
      <w:marRight w:val="0"/>
      <w:marTop w:val="0"/>
      <w:marBottom w:val="0"/>
      <w:divBdr>
        <w:top w:val="none" w:sz="0" w:space="0" w:color="auto"/>
        <w:left w:val="none" w:sz="0" w:space="0" w:color="auto"/>
        <w:bottom w:val="none" w:sz="0" w:space="0" w:color="auto"/>
        <w:right w:val="none" w:sz="0" w:space="0" w:color="auto"/>
      </w:divBdr>
    </w:div>
    <w:div w:id="1896235985">
      <w:bodyDiv w:val="1"/>
      <w:marLeft w:val="0"/>
      <w:marRight w:val="0"/>
      <w:marTop w:val="0"/>
      <w:marBottom w:val="0"/>
      <w:divBdr>
        <w:top w:val="none" w:sz="0" w:space="0" w:color="auto"/>
        <w:left w:val="none" w:sz="0" w:space="0" w:color="auto"/>
        <w:bottom w:val="none" w:sz="0" w:space="0" w:color="auto"/>
        <w:right w:val="none" w:sz="0" w:space="0" w:color="auto"/>
      </w:divBdr>
    </w:div>
    <w:div w:id="1942060201">
      <w:bodyDiv w:val="1"/>
      <w:marLeft w:val="0"/>
      <w:marRight w:val="0"/>
      <w:marTop w:val="0"/>
      <w:marBottom w:val="0"/>
      <w:divBdr>
        <w:top w:val="none" w:sz="0" w:space="0" w:color="auto"/>
        <w:left w:val="none" w:sz="0" w:space="0" w:color="auto"/>
        <w:bottom w:val="none" w:sz="0" w:space="0" w:color="auto"/>
        <w:right w:val="none" w:sz="0" w:space="0" w:color="auto"/>
      </w:divBdr>
    </w:div>
    <w:div w:id="214284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11" ma:contentTypeDescription="Create a new document." ma:contentTypeScope="" ma:versionID="b61baa40dfc9c2a29e51138790b8abbe">
  <xsd:schema xmlns:xsd="http://www.w3.org/2001/XMLSchema" xmlns:xs="http://www.w3.org/2001/XMLSchema" xmlns:p="http://schemas.microsoft.com/office/2006/metadata/properties" xmlns:ns2="a2b5d05b-e785-4026-bcf1-aa182d8efbf4" xmlns:ns3="3975cba8-4a57-496a-aa93-d780dacf11e3" targetNamespace="http://schemas.microsoft.com/office/2006/metadata/properties" ma:root="true" ma:fieldsID="5e9fbd4674a39adae747724edef93f82" ns2:_="" ns3:_="">
    <xsd:import namespace="a2b5d05b-e785-4026-bcf1-aa182d8efbf4"/>
    <xsd:import namespace="3975cba8-4a57-496a-aa93-d780dacf11e3"/>
    <xsd:element name="properties">
      <xsd:complexType>
        <xsd:sequence>
          <xsd:element name="documentManagement">
            <xsd:complexType>
              <xsd:all>
                <xsd:element ref="ns2:Providers_x0020__x0026__x0020_Suppli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F5645-8129-447C-B051-C3B2D58B0D5F}">
  <ds:schemaRefs>
    <ds:schemaRef ds:uri="http://purl.org/dc/terms/"/>
    <ds:schemaRef ds:uri="http://schemas.microsoft.com/office/infopath/2007/PartnerControls"/>
    <ds:schemaRef ds:uri="http://purl.org/dc/dcmitype/"/>
    <ds:schemaRef ds:uri="http://schemas.microsoft.com/office/2006/metadata/properties"/>
    <ds:schemaRef ds:uri="3975cba8-4a57-496a-aa93-d780dacf11e3"/>
    <ds:schemaRef ds:uri="http://schemas.microsoft.com/office/2006/documentManagement/types"/>
    <ds:schemaRef ds:uri="http://schemas.openxmlformats.org/package/2006/metadata/core-properties"/>
    <ds:schemaRef ds:uri="a2b5d05b-e785-4026-bcf1-aa182d8efbf4"/>
    <ds:schemaRef ds:uri="http://www.w3.org/XML/1998/namespace"/>
    <ds:schemaRef ds:uri="http://purl.org/dc/elements/1.1/"/>
  </ds:schemaRefs>
</ds:datastoreItem>
</file>

<file path=customXml/itemProps2.xml><?xml version="1.0" encoding="utf-8"?>
<ds:datastoreItem xmlns:ds="http://schemas.openxmlformats.org/officeDocument/2006/customXml" ds:itemID="{92622B01-9243-4548-A55E-4D2AF2B33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C9DEA-EC0C-4F1D-9696-A90978B9DF5A}">
  <ds:schemaRefs>
    <ds:schemaRef ds:uri="Microsoft.SharePoint.Taxonomy.ContentTypeSync"/>
  </ds:schemaRefs>
</ds:datastoreItem>
</file>

<file path=customXml/itemProps4.xml><?xml version="1.0" encoding="utf-8"?>
<ds:datastoreItem xmlns:ds="http://schemas.openxmlformats.org/officeDocument/2006/customXml" ds:itemID="{73C81CF1-913E-4EAB-A2B4-895D1EB0913A}">
  <ds:schemaRefs>
    <ds:schemaRef ds:uri="http://schemas.microsoft.com/sharepoint/v3/contenttype/forms"/>
  </ds:schemaRefs>
</ds:datastoreItem>
</file>

<file path=customXml/itemProps5.xml><?xml version="1.0" encoding="utf-8"?>
<ds:datastoreItem xmlns:ds="http://schemas.openxmlformats.org/officeDocument/2006/customXml" ds:itemID="{D395CB0C-63DE-44C0-93B7-4381D7C4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4761</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Eric Laib</cp:lastModifiedBy>
  <cp:revision>2</cp:revision>
  <cp:lastPrinted>2016-10-21T20:50:00Z</cp:lastPrinted>
  <dcterms:created xsi:type="dcterms:W3CDTF">2020-01-15T21:42:00Z</dcterms:created>
  <dcterms:modified xsi:type="dcterms:W3CDTF">2020-01-15T21:42:00Z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0x010100D61EF2C577E97F43A6F1E68A7AD4EB13</vt:lpwstr>
  </property>
  <property fmtid="{D5CDD505-2E9C-101B-9397-08002B2CF9AE}" pid="4" name="Commenter Name">
    <vt:lpwstr/>
  </property>
  <property fmtid="{D5CDD505-2E9C-101B-9397-08002B2CF9AE}" pid="5" name="Provider Type">
    <vt:lpwstr/>
  </property>
  <property fmtid="{D5CDD505-2E9C-101B-9397-08002B2CF9AE}" pid="6" name="Issue Code">
    <vt:lpwstr/>
  </property>
  <property fmtid="{D5CDD505-2E9C-101B-9397-08002B2CF9AE}" pid="7" name="_AdHocReviewCycleID">
    <vt:i4>-1733478224</vt:i4>
  </property>
  <property fmtid="{D5CDD505-2E9C-101B-9397-08002B2CF9AE}" pid="8" name="_EmailSubject">
    <vt:lpwstr>CMS-10578 Emergency Preparedness</vt:lpwstr>
  </property>
  <property fmtid="{D5CDD505-2E9C-101B-9397-08002B2CF9AE}" pid="9" name="_AuthorEmail">
    <vt:lpwstr>Eric.Laib2@cms.hhs.gov</vt:lpwstr>
  </property>
  <property fmtid="{D5CDD505-2E9C-101B-9397-08002B2CF9AE}" pid="10" name="_AuthorEmailDisplayName">
    <vt:lpwstr>Laib, Eric C. (CMS/CCSQ)</vt:lpwstr>
  </property>
</Properties>
</file>