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92B" w:rsidRDefault="004530F4" w14:paraId="6B6EA2CB" w14:textId="77777777">
      <w:pPr>
        <w:spacing w:after="5"/>
        <w:ind w:right="2"/>
        <w:jc w:val="center"/>
      </w:pPr>
      <w:r>
        <w:rPr>
          <w:b/>
          <w:sz w:val="32"/>
        </w:rPr>
        <w:t xml:space="preserve">Requests for OMB Review and Approval For </w:t>
      </w:r>
    </w:p>
    <w:p w:rsidR="00D3192B" w:rsidRDefault="004530F4" w14:paraId="0E68267B" w14:textId="77777777">
      <w:pPr>
        <w:spacing w:after="5"/>
        <w:ind w:right="2"/>
        <w:jc w:val="center"/>
      </w:pPr>
      <w:r>
        <w:rPr>
          <w:b/>
          <w:sz w:val="32"/>
        </w:rPr>
        <w:t xml:space="preserve">Office of the National Coordinator for Health Information </w:t>
      </w:r>
    </w:p>
    <w:p w:rsidR="00D3192B" w:rsidRDefault="004530F4" w14:paraId="4C990357" w14:textId="77777777">
      <w:pPr>
        <w:spacing w:after="5"/>
        <w:ind w:right="1"/>
        <w:jc w:val="center"/>
      </w:pPr>
      <w:r>
        <w:rPr>
          <w:b/>
          <w:sz w:val="32"/>
        </w:rPr>
        <w:t xml:space="preserve">Technology   </w:t>
      </w:r>
    </w:p>
    <w:p w:rsidR="00D3192B" w:rsidRDefault="004530F4" w14:paraId="25220576" w14:textId="77777777">
      <w:pPr>
        <w:spacing w:after="5"/>
        <w:ind w:right="1"/>
        <w:jc w:val="center"/>
      </w:pPr>
      <w:r>
        <w:rPr>
          <w:b/>
          <w:sz w:val="32"/>
        </w:rPr>
        <w:t xml:space="preserve">US Core Data for Interoperability New Data Element Submission Form </w:t>
      </w:r>
    </w:p>
    <w:p w:rsidR="00D3192B" w:rsidRDefault="004530F4" w14:paraId="25384614" w14:textId="77777777">
      <w:pPr>
        <w:spacing w:after="0" w:line="259" w:lineRule="auto"/>
        <w:ind w:left="0" w:firstLine="0"/>
      </w:pPr>
      <w:r>
        <w:t xml:space="preserve"> </w:t>
      </w:r>
    </w:p>
    <w:p w:rsidR="00D3192B" w:rsidRDefault="004530F4" w14:paraId="7AE5284E" w14:textId="77777777">
      <w:pPr>
        <w:spacing w:after="0" w:line="259" w:lineRule="auto"/>
        <w:ind w:left="0" w:firstLine="0"/>
      </w:pPr>
      <w:r>
        <w:t xml:space="preserve"> </w:t>
      </w:r>
    </w:p>
    <w:p w:rsidR="00D3192B" w:rsidRDefault="004530F4" w14:paraId="44483DA2" w14:textId="77777777">
      <w:pPr>
        <w:spacing w:after="0" w:line="259" w:lineRule="auto"/>
        <w:ind w:left="0" w:firstLine="0"/>
      </w:pPr>
      <w:r>
        <w:t xml:space="preserve"> </w:t>
      </w:r>
    </w:p>
    <w:p w:rsidR="00D3192B" w:rsidRDefault="004530F4" w14:paraId="22714F16" w14:textId="77777777">
      <w:pPr>
        <w:spacing w:after="0" w:line="259" w:lineRule="auto"/>
        <w:ind w:left="0" w:firstLine="0"/>
      </w:pPr>
      <w:r>
        <w:t xml:space="preserve"> </w:t>
      </w:r>
    </w:p>
    <w:p w:rsidR="00D3192B" w:rsidRDefault="004530F4" w14:paraId="6FF3D3A9" w14:textId="77777777">
      <w:pPr>
        <w:spacing w:after="0" w:line="259" w:lineRule="auto"/>
        <w:ind w:left="0" w:firstLine="0"/>
      </w:pPr>
      <w:r>
        <w:t xml:space="preserve"> </w:t>
      </w:r>
    </w:p>
    <w:p w:rsidR="00D3192B" w:rsidRDefault="004530F4" w14:paraId="780BDDF9" w14:textId="77777777">
      <w:pPr>
        <w:spacing w:after="0" w:line="259" w:lineRule="auto"/>
        <w:ind w:left="0" w:firstLine="0"/>
      </w:pPr>
      <w:r>
        <w:t xml:space="preserve"> </w:t>
      </w:r>
    </w:p>
    <w:p w:rsidR="00D3192B" w:rsidRDefault="004530F4" w14:paraId="7A4F82BA" w14:textId="77777777">
      <w:pPr>
        <w:spacing w:after="0" w:line="259" w:lineRule="auto"/>
        <w:ind w:left="0" w:firstLine="0"/>
      </w:pPr>
      <w:r>
        <w:t xml:space="preserve"> </w:t>
      </w:r>
    </w:p>
    <w:p w:rsidR="00D3192B" w:rsidRDefault="004530F4" w14:paraId="575721B7" w14:textId="77777777">
      <w:pPr>
        <w:spacing w:after="0" w:line="259" w:lineRule="auto"/>
        <w:ind w:left="0" w:firstLine="0"/>
      </w:pPr>
      <w:r>
        <w:t xml:space="preserve"> </w:t>
      </w:r>
    </w:p>
    <w:p w:rsidR="00D3192B" w:rsidRDefault="004530F4" w14:paraId="44B544F8" w14:textId="77777777">
      <w:pPr>
        <w:spacing w:after="0" w:line="259" w:lineRule="auto"/>
        <w:ind w:left="0" w:firstLine="0"/>
      </w:pPr>
      <w:r>
        <w:t xml:space="preserve"> </w:t>
      </w:r>
    </w:p>
    <w:p w:rsidR="00D3192B" w:rsidRDefault="004530F4" w14:paraId="7923AF9D" w14:textId="77777777">
      <w:pPr>
        <w:spacing w:after="0" w:line="259" w:lineRule="auto"/>
        <w:ind w:left="0" w:firstLine="0"/>
      </w:pPr>
      <w:r>
        <w:t xml:space="preserve"> </w:t>
      </w:r>
    </w:p>
    <w:p w:rsidR="00D3192B" w:rsidRDefault="004530F4" w14:paraId="69150BD9" w14:textId="77777777">
      <w:pPr>
        <w:spacing w:after="0" w:line="259" w:lineRule="auto"/>
        <w:ind w:left="0" w:firstLine="0"/>
      </w:pPr>
      <w:r>
        <w:t xml:space="preserve"> </w:t>
      </w:r>
    </w:p>
    <w:p w:rsidR="00D3192B" w:rsidRDefault="004530F4" w14:paraId="677480BC" w14:textId="77777777">
      <w:pPr>
        <w:spacing w:after="0" w:line="259" w:lineRule="auto"/>
        <w:jc w:val="center"/>
      </w:pPr>
      <w:r>
        <w:t xml:space="preserve">Submitted By: </w:t>
      </w:r>
    </w:p>
    <w:p w:rsidR="00D3192B" w:rsidRDefault="004530F4" w14:paraId="7B7BA4A1" w14:textId="77777777">
      <w:pPr>
        <w:spacing w:after="0" w:line="259" w:lineRule="auto"/>
        <w:ind w:right="1"/>
        <w:jc w:val="center"/>
      </w:pPr>
      <w:r>
        <w:t xml:space="preserve">Al Taylor, MD </w:t>
      </w:r>
    </w:p>
    <w:p w:rsidR="00D3192B" w:rsidRDefault="004530F4" w14:paraId="5167A9C0" w14:textId="77777777">
      <w:pPr>
        <w:ind w:left="1023"/>
      </w:pPr>
      <w:r>
        <w:t xml:space="preserve">Office of the National Coordinator for Health Information Technology  </w:t>
      </w:r>
    </w:p>
    <w:p w:rsidR="00D3192B" w:rsidRDefault="004530F4" w14:paraId="10E80EEF" w14:textId="77777777">
      <w:pPr>
        <w:ind w:left="2093"/>
      </w:pPr>
      <w:r>
        <w:t xml:space="preserve">U.S. Department of Health and Human Services </w:t>
      </w:r>
    </w:p>
    <w:p w:rsidR="00D3192B" w:rsidRDefault="004530F4" w14:paraId="319194AE" w14:textId="77777777">
      <w:pPr>
        <w:spacing w:after="0" w:line="259" w:lineRule="auto"/>
        <w:ind w:right="578"/>
        <w:jc w:val="center"/>
      </w:pPr>
      <w:r>
        <w:t xml:space="preserve">Email: albert.taylor@hhs.gov </w:t>
      </w:r>
    </w:p>
    <w:p w:rsidR="00D3192B" w:rsidRDefault="004530F4" w14:paraId="3901B758" w14:textId="77777777">
      <w:pPr>
        <w:spacing w:after="0" w:line="259" w:lineRule="auto"/>
        <w:ind w:right="578"/>
        <w:jc w:val="center"/>
      </w:pPr>
      <w:r>
        <w:t xml:space="preserve">Phone: 202-260-0675 </w:t>
      </w:r>
    </w:p>
    <w:p w:rsidR="00D3192B" w:rsidRDefault="004530F4" w14:paraId="11E38689" w14:textId="77777777">
      <w:pPr>
        <w:spacing w:after="0" w:line="259" w:lineRule="auto"/>
        <w:ind w:left="0" w:firstLine="0"/>
      </w:pPr>
      <w:r>
        <w:t xml:space="preserve"> </w:t>
      </w:r>
    </w:p>
    <w:p w:rsidR="00D3192B" w:rsidRDefault="004530F4" w14:paraId="60ACE7E5" w14:textId="77777777">
      <w:pPr>
        <w:spacing w:after="0" w:line="259" w:lineRule="auto"/>
        <w:ind w:left="0" w:firstLine="0"/>
      </w:pPr>
      <w:r>
        <w:t xml:space="preserve"> </w:t>
      </w:r>
    </w:p>
    <w:p w:rsidR="00D3192B" w:rsidRDefault="004530F4" w14:paraId="644929E2" w14:textId="77777777">
      <w:pPr>
        <w:spacing w:after="0" w:line="259" w:lineRule="auto"/>
        <w:ind w:left="0" w:firstLine="0"/>
      </w:pPr>
      <w:r>
        <w:t xml:space="preserve"> </w:t>
      </w:r>
    </w:p>
    <w:p w:rsidR="00D3192B" w:rsidRDefault="004530F4" w14:paraId="65D8C04E" w14:textId="77777777">
      <w:pPr>
        <w:spacing w:after="0" w:line="259" w:lineRule="auto"/>
        <w:ind w:left="0" w:firstLine="0"/>
      </w:pPr>
      <w:r>
        <w:t xml:space="preserve"> </w:t>
      </w:r>
    </w:p>
    <w:p w:rsidR="00D3192B" w:rsidRDefault="004530F4" w14:paraId="47565E2E" w14:textId="77777777">
      <w:pPr>
        <w:spacing w:after="0" w:line="259" w:lineRule="auto"/>
        <w:ind w:left="0" w:firstLine="0"/>
      </w:pPr>
      <w:r>
        <w:t xml:space="preserve"> </w:t>
      </w:r>
    </w:p>
    <w:p w:rsidR="00D3192B" w:rsidRDefault="004530F4" w14:paraId="5767EF7D" w14:textId="77777777">
      <w:pPr>
        <w:spacing w:after="0" w:line="259" w:lineRule="auto"/>
        <w:ind w:right="2"/>
        <w:jc w:val="center"/>
      </w:pPr>
      <w:r>
        <w:t xml:space="preserve">January 21, 2020 </w:t>
      </w:r>
    </w:p>
    <w:p w:rsidR="00D3192B" w:rsidRDefault="004530F4" w14:paraId="495B7403" w14:textId="77777777">
      <w:pPr>
        <w:spacing w:after="0" w:line="259" w:lineRule="auto"/>
        <w:ind w:left="0" w:firstLine="0"/>
      </w:pPr>
      <w:r>
        <w:t xml:space="preserve"> </w:t>
      </w:r>
    </w:p>
    <w:p w:rsidR="00D3192B" w:rsidRDefault="004530F4" w14:paraId="547E7C9E" w14:textId="77777777">
      <w:pPr>
        <w:spacing w:after="0" w:line="259" w:lineRule="auto"/>
        <w:ind w:left="0" w:firstLine="0"/>
      </w:pPr>
      <w:r>
        <w:t xml:space="preserve"> </w:t>
      </w:r>
    </w:p>
    <w:p w:rsidR="00D3192B" w:rsidRDefault="004530F4" w14:paraId="137F97F6" w14:textId="77777777">
      <w:pPr>
        <w:spacing w:after="0" w:line="259" w:lineRule="auto"/>
        <w:ind w:left="0" w:firstLine="0"/>
      </w:pPr>
      <w:r>
        <w:t xml:space="preserve"> </w:t>
      </w:r>
    </w:p>
    <w:p w:rsidR="00D3192B" w:rsidRDefault="004530F4" w14:paraId="20F574B0" w14:textId="77777777">
      <w:pPr>
        <w:spacing w:after="0" w:line="259" w:lineRule="auto"/>
        <w:ind w:left="0" w:firstLine="0"/>
      </w:pPr>
      <w:r>
        <w:t xml:space="preserve"> </w:t>
      </w:r>
    </w:p>
    <w:p w:rsidR="00D3192B" w:rsidRDefault="004530F4" w14:paraId="038A3FE2" w14:textId="77777777">
      <w:pPr>
        <w:spacing w:after="0" w:line="259" w:lineRule="auto"/>
        <w:ind w:left="0" w:firstLine="0"/>
      </w:pPr>
      <w:r>
        <w:t xml:space="preserve"> </w:t>
      </w:r>
    </w:p>
    <w:p w:rsidR="00D3192B" w:rsidRDefault="004530F4" w14:paraId="69C18090" w14:textId="77777777">
      <w:pPr>
        <w:spacing w:after="0" w:line="259" w:lineRule="auto"/>
        <w:ind w:left="0" w:firstLine="0"/>
      </w:pPr>
      <w:r>
        <w:t xml:space="preserve"> </w:t>
      </w:r>
    </w:p>
    <w:p w:rsidR="00D3192B" w:rsidRDefault="004530F4" w14:paraId="3F6E0EBF" w14:textId="77777777">
      <w:pPr>
        <w:spacing w:after="0" w:line="259" w:lineRule="auto"/>
        <w:ind w:left="0" w:firstLine="0"/>
      </w:pPr>
      <w:r>
        <w:t xml:space="preserve"> </w:t>
      </w:r>
    </w:p>
    <w:p w:rsidR="00D3192B" w:rsidRDefault="004530F4" w14:paraId="7C388794" w14:textId="77777777">
      <w:pPr>
        <w:spacing w:after="0" w:line="259" w:lineRule="auto"/>
        <w:ind w:left="0" w:firstLine="0"/>
      </w:pPr>
      <w:r>
        <w:t xml:space="preserve"> </w:t>
      </w:r>
    </w:p>
    <w:p w:rsidR="00D3192B" w:rsidRDefault="004530F4" w14:paraId="1FB642F0" w14:textId="77777777">
      <w:pPr>
        <w:spacing w:after="0" w:line="259" w:lineRule="auto"/>
        <w:ind w:left="0" w:firstLine="0"/>
      </w:pPr>
      <w:r>
        <w:t xml:space="preserve"> </w:t>
      </w:r>
    </w:p>
    <w:p w:rsidR="00D3192B" w:rsidRDefault="004530F4" w14:paraId="2E32A291" w14:textId="77777777">
      <w:pPr>
        <w:spacing w:after="0" w:line="259" w:lineRule="auto"/>
        <w:ind w:left="0" w:firstLine="0"/>
      </w:pPr>
      <w:r>
        <w:t xml:space="preserve"> </w:t>
      </w:r>
    </w:p>
    <w:p w:rsidR="00D3192B" w:rsidRDefault="004530F4" w14:paraId="6793630C" w14:textId="77777777">
      <w:pPr>
        <w:spacing w:after="0" w:line="259" w:lineRule="auto"/>
        <w:ind w:left="0" w:firstLine="0"/>
      </w:pPr>
      <w:r>
        <w:t xml:space="preserve"> </w:t>
      </w:r>
    </w:p>
    <w:p w:rsidR="00D3192B" w:rsidRDefault="004530F4" w14:paraId="1C4BC36A" w14:textId="77777777">
      <w:pPr>
        <w:spacing w:after="0" w:line="259" w:lineRule="auto"/>
        <w:ind w:left="0" w:firstLine="0"/>
      </w:pPr>
      <w:r>
        <w:t xml:space="preserve"> </w:t>
      </w:r>
    </w:p>
    <w:p w:rsidR="00D3192B" w:rsidRDefault="004530F4" w14:paraId="21947D3F" w14:textId="77777777">
      <w:pPr>
        <w:spacing w:after="0" w:line="259" w:lineRule="auto"/>
        <w:ind w:left="0" w:firstLine="0"/>
      </w:pPr>
      <w:r>
        <w:lastRenderedPageBreak/>
        <w:t xml:space="preserve"> </w:t>
      </w:r>
    </w:p>
    <w:p w:rsidR="00D3192B" w:rsidRDefault="004530F4" w14:paraId="58959527" w14:textId="77777777">
      <w:pPr>
        <w:spacing w:after="0" w:line="259" w:lineRule="auto"/>
        <w:ind w:left="0" w:firstLine="0"/>
      </w:pPr>
      <w:r>
        <w:t xml:space="preserve"> </w:t>
      </w:r>
    </w:p>
    <w:p w:rsidR="00D3192B" w:rsidRDefault="004530F4" w14:paraId="7D87ED01" w14:textId="77777777">
      <w:pPr>
        <w:spacing w:after="0" w:line="259" w:lineRule="auto"/>
        <w:ind w:left="0" w:firstLine="0"/>
      </w:pPr>
      <w:r>
        <w:t xml:space="preserve"> </w:t>
      </w:r>
    </w:p>
    <w:p w:rsidR="00D3192B" w:rsidRDefault="004530F4" w14:paraId="629C3885" w14:textId="77777777">
      <w:pPr>
        <w:spacing w:after="72"/>
        <w:ind w:left="10"/>
      </w:pPr>
      <w:r>
        <w:t xml:space="preserve">Version: 10/09 </w:t>
      </w:r>
    </w:p>
    <w:p w:rsidR="00D3192B" w:rsidRDefault="004530F4" w14:paraId="1E313B95" w14:textId="77777777">
      <w:pPr>
        <w:spacing w:after="5"/>
        <w:jc w:val="center"/>
      </w:pPr>
      <w:r>
        <w:rPr>
          <w:b/>
          <w:sz w:val="32"/>
        </w:rPr>
        <w:t xml:space="preserve">Supporting Statement for  </w:t>
      </w:r>
    </w:p>
    <w:p w:rsidR="00D3192B" w:rsidRDefault="004530F4" w14:paraId="61C780DE" w14:textId="77777777">
      <w:pPr>
        <w:spacing w:after="0" w:line="259" w:lineRule="auto"/>
        <w:ind w:left="703" w:firstLine="0"/>
      </w:pPr>
      <w:r>
        <w:rPr>
          <w:b/>
          <w:sz w:val="32"/>
        </w:rPr>
        <w:t xml:space="preserve">Office of the National Coordinator for Health Information </w:t>
      </w:r>
    </w:p>
    <w:p w:rsidR="00D3192B" w:rsidRDefault="004530F4" w14:paraId="3DA7B843" w14:textId="77777777">
      <w:pPr>
        <w:spacing w:after="5"/>
        <w:jc w:val="center"/>
      </w:pPr>
      <w:r>
        <w:rPr>
          <w:b/>
          <w:sz w:val="32"/>
        </w:rPr>
        <w:t xml:space="preserve">Technology   </w:t>
      </w:r>
    </w:p>
    <w:p w:rsidR="00D3192B" w:rsidRDefault="004530F4" w14:paraId="6654C698" w14:textId="77777777">
      <w:pPr>
        <w:spacing w:after="5"/>
        <w:ind w:right="1"/>
        <w:jc w:val="center"/>
      </w:pPr>
      <w:r>
        <w:rPr>
          <w:b/>
          <w:sz w:val="32"/>
        </w:rPr>
        <w:t>US Core Data for Interoperability (USCDI) New Data Element Submission Form</w:t>
      </w:r>
      <w:r>
        <w:t xml:space="preserve"> </w:t>
      </w:r>
    </w:p>
    <w:p w:rsidR="00D3192B" w:rsidRDefault="004530F4" w14:paraId="5D539068" w14:textId="77777777">
      <w:pPr>
        <w:spacing w:after="0" w:line="259" w:lineRule="auto"/>
        <w:ind w:left="0" w:firstLine="0"/>
      </w:pPr>
      <w:r>
        <w:t xml:space="preserve"> </w:t>
      </w:r>
    </w:p>
    <w:p w:rsidR="00D3192B" w:rsidRDefault="004530F4" w14:paraId="69D7C1CA" w14:textId="77777777">
      <w:pPr>
        <w:spacing w:after="0" w:line="259" w:lineRule="auto"/>
        <w:ind w:left="0" w:firstLine="0"/>
      </w:pPr>
      <w:r>
        <w:t xml:space="preserve"> </w:t>
      </w:r>
    </w:p>
    <w:p w:rsidR="00D3192B" w:rsidRDefault="004530F4" w14:paraId="153264B0" w14:textId="77777777">
      <w:pPr>
        <w:tabs>
          <w:tab w:val="center" w:pos="1354"/>
        </w:tabs>
        <w:spacing w:after="0" w:line="259" w:lineRule="auto"/>
        <w:ind w:left="0" w:firstLine="0"/>
      </w:pPr>
      <w:r>
        <w:rPr>
          <w:b/>
        </w:rPr>
        <w:t xml:space="preserve">A. </w:t>
      </w:r>
      <w:r>
        <w:rPr>
          <w:b/>
        </w:rPr>
        <w:tab/>
        <w:t xml:space="preserve">Justification </w:t>
      </w:r>
    </w:p>
    <w:p w:rsidR="00D3192B" w:rsidRDefault="004530F4" w14:paraId="494D628B" w14:textId="77777777">
      <w:pPr>
        <w:spacing w:after="0" w:line="259" w:lineRule="auto"/>
        <w:ind w:left="0" w:firstLine="0"/>
      </w:pPr>
      <w:r>
        <w:t xml:space="preserve"> </w:t>
      </w:r>
    </w:p>
    <w:p w:rsidR="00D3192B" w:rsidRDefault="004530F4" w14:paraId="38CA4796" w14:textId="77777777">
      <w:pPr>
        <w:numPr>
          <w:ilvl w:val="0"/>
          <w:numId w:val="1"/>
        </w:numPr>
        <w:spacing w:after="3" w:line="255" w:lineRule="auto"/>
        <w:ind w:right="482" w:hanging="360"/>
      </w:pPr>
      <w:r>
        <w:rPr>
          <w:b/>
          <w:u w:val="single" w:color="000000"/>
        </w:rPr>
        <w:t>Circumstances Making the Collection of Information Necessary</w:t>
      </w:r>
      <w:r>
        <w:rPr>
          <w:b/>
        </w:rPr>
        <w:t xml:space="preserve"> </w:t>
      </w:r>
    </w:p>
    <w:p w:rsidR="00D3192B" w:rsidRDefault="004530F4" w14:paraId="43291E35" w14:textId="77777777">
      <w:pPr>
        <w:ind w:left="715"/>
      </w:pPr>
      <w:r>
        <w:t xml:space="preserve">The Office of the National Coordinator for Health Information Technology is seeking the approval for a new information collection request item the “US Core Data for Interoperability (USCDI) New Data Element Submission Form.” </w:t>
      </w:r>
    </w:p>
    <w:p w:rsidR="00D3192B" w:rsidRDefault="004530F4" w14:paraId="1B78B37E" w14:textId="77777777">
      <w:pPr>
        <w:spacing w:after="0" w:line="259" w:lineRule="auto"/>
        <w:ind w:left="720" w:firstLine="0"/>
      </w:pPr>
      <w:r>
        <w:t xml:space="preserve"> </w:t>
      </w:r>
    </w:p>
    <w:p w:rsidR="00A5236D" w:rsidRDefault="004530F4" w14:paraId="01DC7BAC" w14:textId="5257769C">
      <w:pPr>
        <w:ind w:left="715"/>
      </w:pPr>
      <w:r>
        <w:t xml:space="preserve">The </w:t>
      </w:r>
      <w:hyperlink r:id="rId8">
        <w:r>
          <w:rPr>
            <w:color w:val="0562C1"/>
            <w:u w:val="single" w:color="0562C1"/>
          </w:rPr>
          <w:t>U.S. Core Data for Interoperability (USCDI)</w:t>
        </w:r>
      </w:hyperlink>
      <w:hyperlink r:id="rId9">
        <w:r>
          <w:t xml:space="preserve"> </w:t>
        </w:r>
      </w:hyperlink>
      <w:r>
        <w:t>is a standardized set of health data classes and constituent data elements used to support nationwide, interoperable health information exchange. When published, the USCDI will become the required standard data elements set to which all health IT developers must conform to obtain ONC certification.  Th</w:t>
      </w:r>
      <w:r w:rsidR="00A5236D">
        <w:t>e</w:t>
      </w:r>
      <w:r w:rsidR="003279C2">
        <w:t xml:space="preserve"> </w:t>
      </w:r>
      <w:r w:rsidR="00A5236D">
        <w:t>ONC</w:t>
      </w:r>
      <w:r>
        <w:t xml:space="preserve"> certification is required for participation in some federal healthcare payment plans.  </w:t>
      </w:r>
    </w:p>
    <w:p w:rsidR="00A5236D" w:rsidRDefault="00A5236D" w14:paraId="7937D577" w14:textId="77777777">
      <w:pPr>
        <w:ind w:left="715"/>
      </w:pPr>
    </w:p>
    <w:p w:rsidR="00D3192B" w:rsidP="00A5236D" w:rsidRDefault="004530F4" w14:paraId="640B8D38" w14:textId="4DE0A69B">
      <w:r>
        <w:t>In order to insure the USCDI remains current and reflects the needs of the health IT community, ONC has established a predictable, transparent, and collaborative process to solicit broad stakeholder input to expand the USCDI.   Anyone, including ONC staff, staff from other federal agencies, and other stakeholders may submit proposals for new data elements. These contributions will be in the form of public comments through our Health IT Advisory Committee (HITAC) as well as direct public contributions by proposing new data classes and data elements for addition to future versions of this health IT standard. The ONC will evaluate each submission in</w:t>
      </w:r>
      <w:r w:rsidR="00A5236D">
        <w:t xml:space="preserve"> </w:t>
      </w:r>
      <w:r>
        <w:t xml:space="preserve">collaboration with the HITAC and upon approval by the National Coordinator for Health IT, new data classes and data elements from these submissions will be added to the newest version of the USCDI standard for integration into health information technology products such as electronic health records.   </w:t>
      </w:r>
    </w:p>
    <w:p w:rsidR="00D3192B" w:rsidRDefault="004530F4" w14:paraId="2A35778F" w14:textId="77777777">
      <w:pPr>
        <w:spacing w:after="0" w:line="259" w:lineRule="auto"/>
        <w:ind w:left="720" w:firstLine="0"/>
      </w:pPr>
      <w:r>
        <w:t xml:space="preserve"> </w:t>
      </w:r>
    </w:p>
    <w:p w:rsidR="00D3192B" w:rsidRDefault="004530F4" w14:paraId="60388290" w14:textId="77777777">
      <w:pPr>
        <w:spacing w:after="0" w:line="259" w:lineRule="auto"/>
        <w:ind w:left="360" w:firstLine="0"/>
      </w:pPr>
      <w:r>
        <w:t xml:space="preserve"> </w:t>
      </w:r>
    </w:p>
    <w:p w:rsidR="00D3192B" w:rsidRDefault="004530F4" w14:paraId="72F5B171" w14:textId="77777777">
      <w:pPr>
        <w:numPr>
          <w:ilvl w:val="0"/>
          <w:numId w:val="1"/>
        </w:numPr>
        <w:spacing w:after="3" w:line="255" w:lineRule="auto"/>
        <w:ind w:right="482" w:hanging="360"/>
      </w:pPr>
      <w:r>
        <w:rPr>
          <w:b/>
          <w:u w:val="single" w:color="000000"/>
        </w:rPr>
        <w:t>Purpose and Use of Information Collection</w:t>
      </w:r>
      <w:r>
        <w:rPr>
          <w:b/>
        </w:rPr>
        <w:t xml:space="preserve"> </w:t>
      </w:r>
    </w:p>
    <w:p w:rsidR="00D3192B" w:rsidRDefault="004530F4" w14:paraId="56A521CD" w14:textId="77777777">
      <w:pPr>
        <w:ind w:left="715"/>
      </w:pPr>
      <w:r>
        <w:t xml:space="preserve">The information collected from this submission system will: </w:t>
      </w:r>
    </w:p>
    <w:p w:rsidR="00D3192B" w:rsidRDefault="004530F4" w14:paraId="180EA917" w14:textId="77777777">
      <w:pPr>
        <w:numPr>
          <w:ilvl w:val="1"/>
          <w:numId w:val="1"/>
        </w:numPr>
        <w:ind w:hanging="360"/>
      </w:pPr>
      <w:r>
        <w:lastRenderedPageBreak/>
        <w:t xml:space="preserve">Comprise the sum total of the items ONC will evaluate for addition to the next version of the USCDI. </w:t>
      </w:r>
    </w:p>
    <w:p w:rsidR="00D3192B" w:rsidRDefault="004530F4" w14:paraId="05799540" w14:textId="77777777">
      <w:pPr>
        <w:numPr>
          <w:ilvl w:val="1"/>
          <w:numId w:val="1"/>
        </w:numPr>
        <w:ind w:hanging="360"/>
      </w:pPr>
      <w:r>
        <w:t xml:space="preserve">Provide supporting documentation to justify addition of the data elements to the </w:t>
      </w:r>
    </w:p>
    <w:p w:rsidR="00D3192B" w:rsidRDefault="004530F4" w14:paraId="245F6D14" w14:textId="77777777">
      <w:pPr>
        <w:ind w:left="1450"/>
      </w:pPr>
      <w:r>
        <w:t xml:space="preserve">USCDI or, if the documentation does justify addition to the USCDI, to one of </w:t>
      </w:r>
    </w:p>
    <w:p w:rsidR="00D3192B" w:rsidRDefault="004530F4" w14:paraId="7BE84DE9" w14:textId="77777777">
      <w:pPr>
        <w:ind w:left="1450"/>
      </w:pPr>
      <w:r>
        <w:t xml:space="preserve">several levels of candidate data elements for future development and consideration. </w:t>
      </w:r>
    </w:p>
    <w:p w:rsidR="00D3192B" w:rsidRDefault="004530F4" w14:paraId="1A01E5F3" w14:textId="77777777">
      <w:pPr>
        <w:numPr>
          <w:ilvl w:val="1"/>
          <w:numId w:val="1"/>
        </w:numPr>
        <w:ind w:hanging="360"/>
      </w:pPr>
      <w:r>
        <w:t xml:space="preserve">Be publically available for review at any time to provide transparency and predictability in the USCDI expansion process. </w:t>
      </w:r>
    </w:p>
    <w:p w:rsidR="00D3192B" w:rsidRDefault="004530F4" w14:paraId="55DF49F5" w14:textId="77777777">
      <w:pPr>
        <w:numPr>
          <w:ilvl w:val="1"/>
          <w:numId w:val="1"/>
        </w:numPr>
        <w:ind w:hanging="360"/>
      </w:pPr>
      <w:r>
        <w:t xml:space="preserve">Contain information about the submitter to allow direct feedback on ONC’s decisions to add or not add a submission to a future version of the USCDI. </w:t>
      </w:r>
    </w:p>
    <w:p w:rsidR="00D3192B" w:rsidRDefault="004530F4" w14:paraId="72251C0F" w14:textId="77777777">
      <w:pPr>
        <w:spacing w:after="0" w:line="259" w:lineRule="auto"/>
        <w:ind w:left="811" w:firstLine="0"/>
      </w:pPr>
      <w:r>
        <w:t xml:space="preserve"> </w:t>
      </w:r>
    </w:p>
    <w:p w:rsidR="00D3192B" w:rsidRDefault="004530F4" w14:paraId="14B26669" w14:textId="77777777">
      <w:pPr>
        <w:spacing w:after="0" w:line="259" w:lineRule="auto"/>
        <w:ind w:left="0" w:firstLine="0"/>
      </w:pPr>
      <w:r>
        <w:t xml:space="preserve"> </w:t>
      </w:r>
    </w:p>
    <w:p w:rsidR="00D3192B" w:rsidRDefault="004530F4" w14:paraId="1B0F8078" w14:textId="77777777">
      <w:pPr>
        <w:numPr>
          <w:ilvl w:val="0"/>
          <w:numId w:val="1"/>
        </w:numPr>
        <w:spacing w:after="3" w:line="255" w:lineRule="auto"/>
        <w:ind w:right="482" w:hanging="360"/>
      </w:pPr>
      <w:r>
        <w:rPr>
          <w:b/>
          <w:u w:val="single" w:color="000000"/>
        </w:rPr>
        <w:t>Use of Improved Information Technology and Burden Reduction</w:t>
      </w:r>
      <w:r>
        <w:t xml:space="preserve"> </w:t>
      </w:r>
    </w:p>
    <w:p w:rsidR="00D3192B" w:rsidRDefault="004530F4" w14:paraId="3CC04985" w14:textId="77777777">
      <w:pPr>
        <w:spacing w:after="113"/>
        <w:ind w:left="715"/>
      </w:pPr>
      <w:r>
        <w:t xml:space="preserve">Submitters will use this web-based tool designed to be easy-to-use, self-explanatory and self-paced to alleviate burden on the submitters.  It will: </w:t>
      </w:r>
    </w:p>
    <w:p w:rsidR="00D3192B" w:rsidRDefault="004530F4" w14:paraId="37D1498F" w14:textId="77777777">
      <w:pPr>
        <w:numPr>
          <w:ilvl w:val="0"/>
          <w:numId w:val="2"/>
        </w:numPr>
        <w:spacing w:after="112"/>
        <w:ind w:hanging="360"/>
      </w:pPr>
      <w:r>
        <w:t xml:space="preserve">Provide simple instructions that provide instant feedback on the quality of the submission.   </w:t>
      </w:r>
    </w:p>
    <w:p w:rsidR="00D3192B" w:rsidRDefault="004530F4" w14:paraId="72FFCF68" w14:textId="77777777">
      <w:pPr>
        <w:numPr>
          <w:ilvl w:val="0"/>
          <w:numId w:val="2"/>
        </w:numPr>
        <w:spacing w:after="112"/>
        <w:ind w:hanging="360"/>
      </w:pPr>
      <w:r>
        <w:t xml:space="preserve">Have error preventing features such as fixed drop down lists and “check all that apply” lists where appropriate.   </w:t>
      </w:r>
    </w:p>
    <w:p w:rsidR="00D3192B" w:rsidRDefault="004530F4" w14:paraId="5AC4CE87" w14:textId="77777777">
      <w:pPr>
        <w:numPr>
          <w:ilvl w:val="0"/>
          <w:numId w:val="2"/>
        </w:numPr>
        <w:spacing w:after="112"/>
        <w:ind w:hanging="360"/>
      </w:pPr>
      <w:r>
        <w:t xml:space="preserve">Have the ability to attach supporting documents rather than manually enter large blocks of text. </w:t>
      </w:r>
    </w:p>
    <w:p w:rsidR="00D3192B" w:rsidRDefault="004530F4" w14:paraId="4B33F3B9" w14:textId="77777777">
      <w:pPr>
        <w:numPr>
          <w:ilvl w:val="0"/>
          <w:numId w:val="2"/>
        </w:numPr>
        <w:spacing w:after="112"/>
        <w:ind w:hanging="360"/>
      </w:pPr>
      <w:r>
        <w:t xml:space="preserve">Have the ability to save progress and to return to an incomplete submission or edit a completed submission. </w:t>
      </w:r>
    </w:p>
    <w:p w:rsidR="00D3192B" w:rsidRDefault="004530F4" w14:paraId="2319E284" w14:textId="77777777">
      <w:pPr>
        <w:numPr>
          <w:ilvl w:val="0"/>
          <w:numId w:val="2"/>
        </w:numPr>
        <w:spacing w:after="112"/>
        <w:ind w:hanging="360"/>
      </w:pPr>
      <w:r>
        <w:t xml:space="preserve">Have appropriate use of branch and skip logic where to minimize the need to complete irrelevant sections. </w:t>
      </w:r>
    </w:p>
    <w:p w:rsidR="00D3192B" w:rsidRDefault="004530F4" w14:paraId="3313A16B" w14:textId="77777777">
      <w:pPr>
        <w:spacing w:after="0" w:line="259" w:lineRule="auto"/>
        <w:ind w:left="720" w:firstLine="0"/>
      </w:pPr>
      <w:r>
        <w:t xml:space="preserve"> </w:t>
      </w:r>
    </w:p>
    <w:p w:rsidR="00D3192B" w:rsidRDefault="004530F4" w14:paraId="132459F2" w14:textId="77777777">
      <w:pPr>
        <w:numPr>
          <w:ilvl w:val="0"/>
          <w:numId w:val="1"/>
        </w:numPr>
        <w:spacing w:after="3" w:line="255" w:lineRule="auto"/>
        <w:ind w:right="482" w:hanging="360"/>
      </w:pPr>
      <w:r>
        <w:rPr>
          <w:b/>
          <w:u w:val="single" w:color="000000"/>
        </w:rPr>
        <w:t>Efforts to Identify Duplication and Use of Similar Information</w:t>
      </w:r>
      <w:r>
        <w:rPr>
          <w:b/>
        </w:rPr>
        <w:t xml:space="preserve"> </w:t>
      </w:r>
    </w:p>
    <w:p w:rsidR="00D3192B" w:rsidRDefault="004530F4" w14:paraId="749B44BF" w14:textId="77777777">
      <w:pPr>
        <w:ind w:left="715"/>
      </w:pPr>
      <w:r>
        <w:t xml:space="preserve">This is the first time this information has been collected, as the USCDI is a new construct and the process to submit data elements for addition to the USCDI is newly defined.  </w:t>
      </w:r>
    </w:p>
    <w:p w:rsidR="00D3192B" w:rsidRDefault="004530F4" w14:paraId="03A93732" w14:textId="77777777">
      <w:pPr>
        <w:spacing w:after="0" w:line="259" w:lineRule="auto"/>
        <w:ind w:left="720" w:firstLine="0"/>
      </w:pPr>
      <w:r>
        <w:rPr>
          <w:b/>
        </w:rPr>
        <w:t xml:space="preserve"> </w:t>
      </w:r>
    </w:p>
    <w:p w:rsidR="00D3192B" w:rsidRDefault="004530F4" w14:paraId="0DB72A8C" w14:textId="77777777">
      <w:pPr>
        <w:numPr>
          <w:ilvl w:val="0"/>
          <w:numId w:val="1"/>
        </w:numPr>
        <w:spacing w:after="3" w:line="255" w:lineRule="auto"/>
        <w:ind w:right="482" w:hanging="360"/>
      </w:pPr>
      <w:r>
        <w:rPr>
          <w:b/>
          <w:u w:val="single" w:color="000000"/>
        </w:rPr>
        <w:t>Impact on Small Businesses or Other Small Entities</w:t>
      </w:r>
      <w:r>
        <w:t xml:space="preserve"> </w:t>
      </w:r>
    </w:p>
    <w:p w:rsidR="00D3192B" w:rsidRDefault="004530F4" w14:paraId="46E7E4DF" w14:textId="77777777">
      <w:pPr>
        <w:ind w:left="715"/>
      </w:pPr>
      <w:r>
        <w:t xml:space="preserve">This data collection system impacts all entities, including individuals and small businesses, equally.  The information being requested or required has been held to the absolute minimum required for the intended use of the data. </w:t>
      </w:r>
    </w:p>
    <w:p w:rsidR="00D3192B" w:rsidRDefault="004530F4" w14:paraId="494418B3" w14:textId="77777777">
      <w:pPr>
        <w:spacing w:after="0" w:line="259" w:lineRule="auto"/>
        <w:ind w:left="720" w:firstLine="0"/>
      </w:pPr>
      <w:r>
        <w:t xml:space="preserve"> </w:t>
      </w:r>
    </w:p>
    <w:p w:rsidR="00D3192B" w:rsidRDefault="004530F4" w14:paraId="54747520" w14:textId="77777777">
      <w:pPr>
        <w:numPr>
          <w:ilvl w:val="0"/>
          <w:numId w:val="1"/>
        </w:numPr>
        <w:spacing w:after="3" w:line="255" w:lineRule="auto"/>
        <w:ind w:right="482" w:hanging="360"/>
      </w:pPr>
      <w:r>
        <w:rPr>
          <w:b/>
          <w:u w:val="single" w:color="000000"/>
        </w:rPr>
        <w:t>Consequences of Collecting the Information Less Frequent Collection</w:t>
      </w:r>
      <w:r>
        <w:rPr>
          <w:b/>
        </w:rPr>
        <w:t xml:space="preserve"> </w:t>
      </w:r>
    </w:p>
    <w:p w:rsidR="00D3192B" w:rsidRDefault="004530F4" w14:paraId="12BE2E42" w14:textId="77777777">
      <w:pPr>
        <w:ind w:left="715"/>
      </w:pPr>
      <w:r>
        <w:t xml:space="preserve">This system will collect each submission only once, not on an ongoing basis.  However, during ONC’s evaluation process, supplemental information may be submitted if not available at the time of initial submission or if requested by ONC to properly conduct the evaluation. </w:t>
      </w:r>
    </w:p>
    <w:p w:rsidR="00D3192B" w:rsidRDefault="004530F4" w14:paraId="25016774" w14:textId="77777777">
      <w:pPr>
        <w:spacing w:after="0" w:line="259" w:lineRule="auto"/>
        <w:ind w:left="720" w:firstLine="0"/>
      </w:pPr>
      <w:r>
        <w:rPr>
          <w:b/>
        </w:rPr>
        <w:t xml:space="preserve"> </w:t>
      </w:r>
    </w:p>
    <w:p w:rsidR="00D3192B" w:rsidRDefault="004530F4" w14:paraId="41EA9FF0" w14:textId="77777777">
      <w:pPr>
        <w:numPr>
          <w:ilvl w:val="0"/>
          <w:numId w:val="1"/>
        </w:numPr>
        <w:spacing w:after="3" w:line="255" w:lineRule="auto"/>
        <w:ind w:right="482" w:hanging="360"/>
      </w:pPr>
      <w:r>
        <w:rPr>
          <w:b/>
          <w:u w:val="single" w:color="000000"/>
        </w:rPr>
        <w:t>Special Circumstances Relating to the Guidelines of 5 CFR 1320.5</w:t>
      </w:r>
      <w:r>
        <w:rPr>
          <w:b/>
        </w:rPr>
        <w:t xml:space="preserve"> </w:t>
      </w:r>
    </w:p>
    <w:p w:rsidR="00D3192B" w:rsidRDefault="004530F4" w14:paraId="61068903" w14:textId="77777777">
      <w:pPr>
        <w:ind w:left="715"/>
      </w:pPr>
      <w:r>
        <w:t xml:space="preserve">This data collection request is fully consistent with the guidelines. There are no special circumstances required for the collection of information in this data collection. </w:t>
      </w:r>
    </w:p>
    <w:p w:rsidR="00D3192B" w:rsidRDefault="004530F4" w14:paraId="52C3153A" w14:textId="77777777">
      <w:pPr>
        <w:spacing w:after="0" w:line="259" w:lineRule="auto"/>
        <w:ind w:left="360" w:firstLine="0"/>
      </w:pPr>
      <w:r>
        <w:t xml:space="preserve"> </w:t>
      </w:r>
    </w:p>
    <w:p w:rsidR="00D3192B" w:rsidRDefault="004530F4" w14:paraId="21122372" w14:textId="36CC14CC">
      <w:pPr>
        <w:numPr>
          <w:ilvl w:val="0"/>
          <w:numId w:val="1"/>
        </w:numPr>
        <w:spacing w:after="232"/>
        <w:ind w:right="482" w:hanging="360"/>
      </w:pPr>
      <w:r>
        <w:rPr>
          <w:b/>
          <w:u w:val="single" w:color="000000"/>
        </w:rPr>
        <w:t>Comments in Response to the Federal Register Notice/Outside Consultation</w:t>
      </w:r>
      <w:r>
        <w:rPr>
          <w:b/>
        </w:rPr>
        <w:t xml:space="preserve"> </w:t>
      </w:r>
      <w:r>
        <w:t xml:space="preserve">A 60-day Federal Register Notice was published in the </w:t>
      </w:r>
      <w:r>
        <w:rPr>
          <w:i/>
        </w:rPr>
        <w:t xml:space="preserve">Federal Register </w:t>
      </w:r>
      <w:r>
        <w:t xml:space="preserve">on </w:t>
      </w:r>
      <w:r w:rsidR="00D60517">
        <w:t>Tuesday, February 11, 2020, Vol. 85, No. 28, Page 7764. There were no comments received.</w:t>
      </w:r>
      <w:r>
        <w:t xml:space="preserve">  </w:t>
      </w:r>
    </w:p>
    <w:p w:rsidR="00D3192B" w:rsidRDefault="004530F4" w14:paraId="4FE689EE" w14:textId="77777777">
      <w:pPr>
        <w:spacing w:after="237"/>
        <w:ind w:left="715"/>
      </w:pPr>
      <w:r>
        <w:t xml:space="preserve">The Health Information Technology Advisory Committee (HITAC), ONC’s principal advisory body under Federal Advisory Committee Act (FACA), provided recommendations to ONC for the amount and details of information required for these submissions.  Within this letter, Recommendation 9 addresses data elements that should be required.  The HITAC is composed of members of several federal agencies including CDC for public health concerns. </w:t>
      </w:r>
    </w:p>
    <w:p w:rsidR="00D3192B" w:rsidRDefault="004530F4" w14:paraId="5A464E2B" w14:textId="77777777">
      <w:pPr>
        <w:numPr>
          <w:ilvl w:val="0"/>
          <w:numId w:val="1"/>
        </w:numPr>
        <w:spacing w:after="3" w:line="255" w:lineRule="auto"/>
        <w:ind w:right="482" w:hanging="360"/>
      </w:pPr>
      <w:r>
        <w:rPr>
          <w:b/>
          <w:u w:val="single" w:color="000000"/>
        </w:rPr>
        <w:t>Explanation of any Payment/Gift to Respondents</w:t>
      </w:r>
      <w:r>
        <w:rPr>
          <w:b/>
        </w:rPr>
        <w:t xml:space="preserve"> </w:t>
      </w:r>
    </w:p>
    <w:p w:rsidR="00D3192B" w:rsidRDefault="004530F4" w14:paraId="5631B83D" w14:textId="77777777">
      <w:pPr>
        <w:ind w:left="715"/>
      </w:pPr>
      <w:r>
        <w:t xml:space="preserve">There will be no payments or gifts to submitters for their participation in the submission process.  It is voluntary. </w:t>
      </w:r>
    </w:p>
    <w:p w:rsidR="00D3192B" w:rsidRDefault="004530F4" w14:paraId="4C75D639" w14:textId="77777777">
      <w:pPr>
        <w:spacing w:after="108" w:line="259" w:lineRule="auto"/>
        <w:ind w:left="720" w:firstLine="0"/>
      </w:pPr>
      <w:r>
        <w:t xml:space="preserve"> </w:t>
      </w:r>
    </w:p>
    <w:p w:rsidR="00D3192B" w:rsidRDefault="004530F4" w14:paraId="5FA82F48" w14:textId="77777777">
      <w:pPr>
        <w:numPr>
          <w:ilvl w:val="0"/>
          <w:numId w:val="1"/>
        </w:numPr>
        <w:spacing w:after="3" w:line="255" w:lineRule="auto"/>
        <w:ind w:right="482" w:hanging="360"/>
      </w:pPr>
      <w:r>
        <w:rPr>
          <w:b/>
          <w:u w:val="single" w:color="000000"/>
        </w:rPr>
        <w:t>Assurance of Confidentiality Provided to Respondents</w:t>
      </w:r>
      <w:r>
        <w:rPr>
          <w:b/>
        </w:rPr>
        <w:t xml:space="preserve"> </w:t>
      </w:r>
    </w:p>
    <w:p w:rsidR="00D3192B" w:rsidRDefault="004530F4" w14:paraId="522AD08C" w14:textId="77777777">
      <w:pPr>
        <w:ind w:left="715"/>
      </w:pPr>
      <w:r>
        <w:t xml:space="preserve">The submitter’s organization, but not the personal contact information, will be published as part of the submission.  Submitters will be notified that the substance of a submission may reveal some or all of a submitter’s identity, even without the individual identifying characteristics like name, phone number or email address.   </w:t>
      </w:r>
    </w:p>
    <w:p w:rsidR="00D3192B" w:rsidRDefault="004530F4" w14:paraId="4F8F5A35" w14:textId="77777777">
      <w:pPr>
        <w:spacing w:after="0" w:line="259" w:lineRule="auto"/>
        <w:ind w:left="1080" w:firstLine="0"/>
      </w:pPr>
      <w:r>
        <w:t xml:space="preserve"> </w:t>
      </w:r>
    </w:p>
    <w:p w:rsidR="00D3192B" w:rsidRDefault="004530F4" w14:paraId="49848ACE" w14:textId="77777777">
      <w:pPr>
        <w:numPr>
          <w:ilvl w:val="0"/>
          <w:numId w:val="1"/>
        </w:numPr>
        <w:spacing w:after="3" w:line="255" w:lineRule="auto"/>
        <w:ind w:right="482" w:hanging="360"/>
      </w:pPr>
      <w:r>
        <w:rPr>
          <w:b/>
          <w:u w:val="single" w:color="000000"/>
        </w:rPr>
        <w:t>Justification for Sensitive Questions</w:t>
      </w:r>
      <w:r>
        <w:rPr>
          <w:b/>
        </w:rPr>
        <w:t xml:space="preserve"> </w:t>
      </w:r>
    </w:p>
    <w:p w:rsidR="00D3192B" w:rsidRDefault="004530F4" w14:paraId="7CCDDBB8" w14:textId="77777777">
      <w:pPr>
        <w:spacing w:after="110"/>
        <w:ind w:left="715"/>
      </w:pPr>
      <w:r>
        <w:t xml:space="preserve">No questions of a sensitive nature are asked in this data collection.  </w:t>
      </w:r>
    </w:p>
    <w:p w:rsidR="00D3192B" w:rsidRDefault="004530F4" w14:paraId="00732EB7" w14:textId="77777777">
      <w:pPr>
        <w:spacing w:after="0" w:line="259" w:lineRule="auto"/>
        <w:ind w:left="0" w:firstLine="0"/>
      </w:pPr>
      <w:r>
        <w:t xml:space="preserve"> </w:t>
      </w:r>
    </w:p>
    <w:p w:rsidR="00D3192B" w:rsidRDefault="004530F4" w14:paraId="5DD3C22C" w14:textId="77777777">
      <w:pPr>
        <w:numPr>
          <w:ilvl w:val="0"/>
          <w:numId w:val="1"/>
        </w:numPr>
        <w:spacing w:after="3" w:line="255" w:lineRule="auto"/>
        <w:ind w:right="482" w:hanging="360"/>
      </w:pPr>
      <w:r>
        <w:rPr>
          <w:b/>
          <w:u w:val="single" w:color="000000"/>
        </w:rPr>
        <w:t>Estimates of Annualized Hour and Cost Burden</w:t>
      </w:r>
      <w:r>
        <w:rPr>
          <w:b/>
        </w:rPr>
        <w:t xml:space="preserve">  </w:t>
      </w:r>
      <w:r>
        <w:t xml:space="preserve"> </w:t>
      </w:r>
    </w:p>
    <w:p w:rsidR="00D3192B" w:rsidRDefault="004530F4" w14:paraId="1FCD0BD2" w14:textId="7C705557">
      <w:pPr>
        <w:ind w:left="715"/>
      </w:pPr>
      <w:r>
        <w:t xml:space="preserve">We estimate that a new submission with 1-5 individual data elements in a single data class will take 20 minutes to complete.  Submissions with a larger number of data elements or in multiple data classes will take proportionately longer.   </w:t>
      </w:r>
    </w:p>
    <w:p w:rsidR="00D3192B" w:rsidRDefault="004530F4" w14:paraId="184B4392" w14:textId="77777777">
      <w:pPr>
        <w:spacing w:after="0" w:line="259" w:lineRule="auto"/>
        <w:ind w:left="720" w:firstLine="0"/>
      </w:pPr>
      <w:r>
        <w:t xml:space="preserve"> </w:t>
      </w:r>
    </w:p>
    <w:p w:rsidR="00D3192B" w:rsidRDefault="004530F4" w14:paraId="1A6BE812" w14:textId="3BEA35BF">
      <w:pPr>
        <w:ind w:left="715"/>
      </w:pPr>
      <w:r>
        <w:t>The survey was pre-tested with four separate respondents from which we derived the 20</w:t>
      </w:r>
      <w:r w:rsidR="00A5236D">
        <w:t xml:space="preserve"> </w:t>
      </w:r>
      <w:r>
        <w:t xml:space="preserve">minute burden per respondent burden estimate. </w:t>
      </w:r>
    </w:p>
    <w:p w:rsidR="00D3192B" w:rsidRDefault="004530F4" w14:paraId="38B2BE93" w14:textId="77777777">
      <w:pPr>
        <w:spacing w:after="0" w:line="259" w:lineRule="auto"/>
        <w:ind w:left="1800" w:firstLine="0"/>
      </w:pPr>
      <w:r>
        <w:t xml:space="preserve"> </w:t>
      </w:r>
    </w:p>
    <w:p w:rsidR="00D3192B" w:rsidRDefault="004530F4" w14:paraId="3C45E48B" w14:textId="77777777">
      <w:pPr>
        <w:spacing w:after="0" w:line="259" w:lineRule="auto"/>
        <w:ind w:left="806"/>
      </w:pPr>
      <w:r>
        <w:t>Exhibit 1</w:t>
      </w:r>
      <w:r>
        <w:rPr>
          <w:b/>
        </w:rPr>
        <w:t>.</w:t>
      </w:r>
      <w:r>
        <w:t xml:space="preserve">        </w:t>
      </w:r>
      <w:r>
        <w:rPr>
          <w:b/>
        </w:rPr>
        <w:t>Estimated Annualized Burden Hours</w:t>
      </w:r>
      <w:r>
        <w:t xml:space="preserve"> </w:t>
      </w:r>
    </w:p>
    <w:tbl>
      <w:tblPr>
        <w:tblStyle w:val="TableGrid"/>
        <w:tblW w:w="9410" w:type="dxa"/>
        <w:tblInd w:w="850" w:type="dxa"/>
        <w:tblCellMar>
          <w:left w:w="108" w:type="dxa"/>
          <w:right w:w="48" w:type="dxa"/>
        </w:tblCellMar>
        <w:tblLook w:val="04A0" w:firstRow="1" w:lastRow="0" w:firstColumn="1" w:lastColumn="0" w:noHBand="0" w:noVBand="1"/>
      </w:tblPr>
      <w:tblGrid>
        <w:gridCol w:w="1430"/>
        <w:gridCol w:w="1339"/>
        <w:gridCol w:w="1524"/>
        <w:gridCol w:w="1709"/>
        <w:gridCol w:w="2417"/>
        <w:gridCol w:w="991"/>
      </w:tblGrid>
      <w:tr w:rsidR="00D3192B" w14:paraId="6F4171EC" w14:textId="77777777">
        <w:trPr>
          <w:trHeight w:val="859"/>
        </w:trPr>
        <w:tc>
          <w:tcPr>
            <w:tcW w:w="1430" w:type="dxa"/>
            <w:tcBorders>
              <w:top w:val="single" w:color="000000" w:sz="4" w:space="0"/>
              <w:left w:val="single" w:color="000000" w:sz="4" w:space="0"/>
              <w:bottom w:val="single" w:color="000000" w:sz="4" w:space="0"/>
              <w:right w:val="single" w:color="000000" w:sz="4" w:space="0"/>
            </w:tcBorders>
          </w:tcPr>
          <w:p w:rsidR="00D3192B" w:rsidRDefault="004530F4" w14:paraId="605D8BD9" w14:textId="77777777">
            <w:pPr>
              <w:spacing w:after="0" w:line="259" w:lineRule="auto"/>
              <w:ind w:left="0" w:firstLine="0"/>
            </w:pPr>
            <w:r>
              <w:rPr>
                <w:b/>
              </w:rPr>
              <w:t xml:space="preserve">Type of </w:t>
            </w:r>
          </w:p>
          <w:p w:rsidR="00D3192B" w:rsidRDefault="004530F4" w14:paraId="7FCAFE7C" w14:textId="77777777">
            <w:pPr>
              <w:spacing w:after="0" w:line="259" w:lineRule="auto"/>
              <w:ind w:left="0" w:firstLine="0"/>
              <w:jc w:val="both"/>
            </w:pPr>
            <w:r>
              <w:rPr>
                <w:b/>
              </w:rPr>
              <w:t xml:space="preserve">Respondent </w:t>
            </w:r>
          </w:p>
          <w:p w:rsidR="00D3192B" w:rsidRDefault="004530F4" w14:paraId="2991E883" w14:textId="77777777">
            <w:pPr>
              <w:spacing w:after="0" w:line="259" w:lineRule="auto"/>
              <w:ind w:left="0" w:firstLine="0"/>
            </w:pPr>
            <w:r>
              <w:rPr>
                <w:b/>
              </w:rPr>
              <w:t xml:space="preserve"> </w:t>
            </w:r>
          </w:p>
        </w:tc>
        <w:tc>
          <w:tcPr>
            <w:tcW w:w="1339" w:type="dxa"/>
            <w:tcBorders>
              <w:top w:val="single" w:color="000000" w:sz="4" w:space="0"/>
              <w:left w:val="single" w:color="000000" w:sz="4" w:space="0"/>
              <w:bottom w:val="single" w:color="000000" w:sz="4" w:space="0"/>
              <w:right w:val="single" w:color="000000" w:sz="4" w:space="0"/>
            </w:tcBorders>
          </w:tcPr>
          <w:p w:rsidR="00D3192B" w:rsidRDefault="004530F4" w14:paraId="5D91C108" w14:textId="77777777">
            <w:pPr>
              <w:spacing w:after="0" w:line="259" w:lineRule="auto"/>
              <w:ind w:left="0" w:firstLine="0"/>
            </w:pPr>
            <w:r>
              <w:rPr>
                <w:b/>
              </w:rPr>
              <w:t xml:space="preserve">Form </w:t>
            </w:r>
          </w:p>
          <w:p w:rsidR="00D3192B" w:rsidRDefault="004530F4" w14:paraId="3BA728C6" w14:textId="77777777">
            <w:pPr>
              <w:spacing w:after="0" w:line="259" w:lineRule="auto"/>
              <w:ind w:left="0" w:firstLine="0"/>
            </w:pPr>
            <w:r>
              <w:rPr>
                <w:b/>
              </w:rPr>
              <w:t xml:space="preserve">Name </w:t>
            </w:r>
          </w:p>
          <w:p w:rsidR="00D3192B" w:rsidRDefault="004530F4" w14:paraId="16D3F7BE" w14:textId="77777777">
            <w:pPr>
              <w:spacing w:after="0" w:line="259" w:lineRule="auto"/>
              <w:ind w:left="0" w:firstLine="0"/>
            </w:pPr>
            <w:r>
              <w:rPr>
                <w:b/>
              </w:rPr>
              <w:t xml:space="preserve"> </w:t>
            </w:r>
          </w:p>
        </w:tc>
        <w:tc>
          <w:tcPr>
            <w:tcW w:w="1524" w:type="dxa"/>
            <w:tcBorders>
              <w:top w:val="single" w:color="000000" w:sz="4" w:space="0"/>
              <w:left w:val="single" w:color="000000" w:sz="4" w:space="0"/>
              <w:bottom w:val="single" w:color="000000" w:sz="4" w:space="0"/>
              <w:right w:val="single" w:color="000000" w:sz="4" w:space="0"/>
            </w:tcBorders>
          </w:tcPr>
          <w:p w:rsidR="00D3192B" w:rsidRDefault="004530F4" w14:paraId="5CD3F642" w14:textId="77777777">
            <w:pPr>
              <w:spacing w:after="0" w:line="259" w:lineRule="auto"/>
              <w:ind w:left="0" w:firstLine="0"/>
            </w:pPr>
            <w:r>
              <w:rPr>
                <w:b/>
              </w:rPr>
              <w:t xml:space="preserve">No. of </w:t>
            </w:r>
          </w:p>
          <w:p w:rsidR="00D3192B" w:rsidRDefault="004530F4" w14:paraId="4A9B31B2" w14:textId="77777777">
            <w:pPr>
              <w:spacing w:after="0" w:line="259" w:lineRule="auto"/>
              <w:ind w:left="0" w:firstLine="0"/>
              <w:jc w:val="both"/>
            </w:pPr>
            <w:r>
              <w:rPr>
                <w:b/>
              </w:rPr>
              <w:t xml:space="preserve">Respondents </w:t>
            </w:r>
          </w:p>
        </w:tc>
        <w:tc>
          <w:tcPr>
            <w:tcW w:w="1709" w:type="dxa"/>
            <w:tcBorders>
              <w:top w:val="single" w:color="000000" w:sz="4" w:space="0"/>
              <w:left w:val="single" w:color="000000" w:sz="4" w:space="0"/>
              <w:bottom w:val="single" w:color="000000" w:sz="4" w:space="0"/>
              <w:right w:val="single" w:color="000000" w:sz="4" w:space="0"/>
            </w:tcBorders>
          </w:tcPr>
          <w:p w:rsidR="00D3192B" w:rsidRDefault="004530F4" w14:paraId="3ECE4CD6" w14:textId="77777777">
            <w:pPr>
              <w:spacing w:after="0" w:line="259" w:lineRule="auto"/>
              <w:ind w:left="0" w:firstLine="0"/>
            </w:pPr>
            <w:r>
              <w:rPr>
                <w:b/>
              </w:rPr>
              <w:t xml:space="preserve">No. of </w:t>
            </w:r>
          </w:p>
          <w:p w:rsidR="00D3192B" w:rsidRDefault="004530F4" w14:paraId="0B66790C" w14:textId="77777777">
            <w:pPr>
              <w:spacing w:after="0" w:line="259" w:lineRule="auto"/>
              <w:ind w:left="0" w:firstLine="0"/>
              <w:jc w:val="both"/>
            </w:pPr>
            <w:r>
              <w:rPr>
                <w:b/>
              </w:rPr>
              <w:t xml:space="preserve">Responses per </w:t>
            </w:r>
          </w:p>
          <w:p w:rsidR="00D3192B" w:rsidRDefault="004530F4" w14:paraId="753E89E3" w14:textId="77777777">
            <w:pPr>
              <w:spacing w:after="0" w:line="259" w:lineRule="auto"/>
              <w:ind w:left="0" w:firstLine="0"/>
            </w:pPr>
            <w:r>
              <w:rPr>
                <w:b/>
              </w:rPr>
              <w:t xml:space="preserve">Respondent </w:t>
            </w:r>
          </w:p>
        </w:tc>
        <w:tc>
          <w:tcPr>
            <w:tcW w:w="2417" w:type="dxa"/>
            <w:tcBorders>
              <w:top w:val="single" w:color="000000" w:sz="4" w:space="0"/>
              <w:left w:val="single" w:color="000000" w:sz="4" w:space="0"/>
              <w:bottom w:val="single" w:color="000000" w:sz="4" w:space="0"/>
              <w:right w:val="single" w:color="000000" w:sz="4" w:space="0"/>
            </w:tcBorders>
          </w:tcPr>
          <w:p w:rsidR="00D3192B" w:rsidRDefault="004530F4" w14:paraId="7B3CC312" w14:textId="77777777">
            <w:pPr>
              <w:spacing w:after="0" w:line="259" w:lineRule="auto"/>
              <w:ind w:left="0" w:firstLine="0"/>
            </w:pPr>
            <w:r>
              <w:rPr>
                <w:b/>
              </w:rPr>
              <w:t xml:space="preserve">Average Burden per Response (in hours) </w:t>
            </w:r>
          </w:p>
        </w:tc>
        <w:tc>
          <w:tcPr>
            <w:tcW w:w="991" w:type="dxa"/>
            <w:tcBorders>
              <w:top w:val="single" w:color="000000" w:sz="4" w:space="0"/>
              <w:left w:val="single" w:color="000000" w:sz="4" w:space="0"/>
              <w:bottom w:val="single" w:color="000000" w:sz="4" w:space="0"/>
              <w:right w:val="single" w:color="000000" w:sz="4" w:space="0"/>
            </w:tcBorders>
          </w:tcPr>
          <w:p w:rsidR="00D3192B" w:rsidRDefault="004530F4" w14:paraId="6514823F" w14:textId="77777777">
            <w:pPr>
              <w:spacing w:after="0" w:line="259" w:lineRule="auto"/>
              <w:ind w:left="0" w:firstLine="0"/>
            </w:pPr>
            <w:r>
              <w:rPr>
                <w:b/>
              </w:rPr>
              <w:t xml:space="preserve">Total </w:t>
            </w:r>
          </w:p>
          <w:p w:rsidR="00D3192B" w:rsidRDefault="004530F4" w14:paraId="5ED59CB4" w14:textId="77777777">
            <w:pPr>
              <w:spacing w:after="0" w:line="259" w:lineRule="auto"/>
              <w:ind w:left="0" w:firstLine="0"/>
              <w:jc w:val="both"/>
            </w:pPr>
            <w:r>
              <w:rPr>
                <w:b/>
              </w:rPr>
              <w:t xml:space="preserve">Burden </w:t>
            </w:r>
          </w:p>
          <w:p w:rsidR="00D3192B" w:rsidRDefault="004530F4" w14:paraId="43E97BDC" w14:textId="77777777">
            <w:pPr>
              <w:spacing w:after="0" w:line="259" w:lineRule="auto"/>
              <w:ind w:left="0" w:firstLine="0"/>
            </w:pPr>
            <w:r>
              <w:rPr>
                <w:b/>
              </w:rPr>
              <w:t xml:space="preserve">Hours </w:t>
            </w:r>
          </w:p>
        </w:tc>
      </w:tr>
      <w:tr w:rsidR="00D3192B" w14:paraId="31429DD6" w14:textId="77777777">
        <w:trPr>
          <w:trHeight w:val="576"/>
        </w:trPr>
        <w:tc>
          <w:tcPr>
            <w:tcW w:w="1430" w:type="dxa"/>
            <w:tcBorders>
              <w:top w:val="single" w:color="000000" w:sz="4" w:space="0"/>
              <w:left w:val="single" w:color="000000" w:sz="4" w:space="0"/>
              <w:bottom w:val="single" w:color="000000" w:sz="4" w:space="0"/>
              <w:right w:val="single" w:color="000000" w:sz="4" w:space="0"/>
            </w:tcBorders>
          </w:tcPr>
          <w:p w:rsidR="00D3192B" w:rsidRDefault="004530F4" w14:paraId="3CBC641E" w14:textId="77777777">
            <w:pPr>
              <w:spacing w:after="0" w:line="259" w:lineRule="auto"/>
              <w:ind w:left="0" w:firstLine="0"/>
            </w:pPr>
            <w:r>
              <w:t xml:space="preserve">HIT </w:t>
            </w:r>
          </w:p>
          <w:p w:rsidR="00D3192B" w:rsidRDefault="004530F4" w14:paraId="2259B6A1" w14:textId="77777777">
            <w:pPr>
              <w:spacing w:after="0" w:line="259" w:lineRule="auto"/>
              <w:ind w:left="0" w:firstLine="0"/>
            </w:pPr>
            <w:r>
              <w:t xml:space="preserve">Stakeholder </w:t>
            </w:r>
          </w:p>
        </w:tc>
        <w:tc>
          <w:tcPr>
            <w:tcW w:w="1339" w:type="dxa"/>
            <w:tcBorders>
              <w:top w:val="single" w:color="000000" w:sz="4" w:space="0"/>
              <w:left w:val="single" w:color="000000" w:sz="4" w:space="0"/>
              <w:bottom w:val="single" w:color="000000" w:sz="4" w:space="0"/>
              <w:right w:val="single" w:color="000000" w:sz="4" w:space="0"/>
            </w:tcBorders>
          </w:tcPr>
          <w:p w:rsidR="00D3192B" w:rsidRDefault="004530F4" w14:paraId="66C00F42" w14:textId="77777777">
            <w:pPr>
              <w:spacing w:after="0" w:line="259" w:lineRule="auto"/>
              <w:ind w:left="0" w:firstLine="0"/>
            </w:pPr>
            <w:r>
              <w:t xml:space="preserve">USCDI </w:t>
            </w:r>
          </w:p>
          <w:p w:rsidR="00D3192B" w:rsidRDefault="004530F4" w14:paraId="71164FD5" w14:textId="77777777">
            <w:pPr>
              <w:spacing w:after="0" w:line="259" w:lineRule="auto"/>
              <w:ind w:left="0" w:firstLine="0"/>
            </w:pPr>
            <w:r>
              <w:t>Submission</w:t>
            </w:r>
            <w:r>
              <w:rPr>
                <w:b/>
              </w:rPr>
              <w:t xml:space="preserve"> </w:t>
            </w:r>
          </w:p>
        </w:tc>
        <w:tc>
          <w:tcPr>
            <w:tcW w:w="1524" w:type="dxa"/>
            <w:tcBorders>
              <w:top w:val="single" w:color="000000" w:sz="4" w:space="0"/>
              <w:left w:val="single" w:color="000000" w:sz="4" w:space="0"/>
              <w:bottom w:val="single" w:color="000000" w:sz="4" w:space="0"/>
              <w:right w:val="single" w:color="000000" w:sz="4" w:space="0"/>
            </w:tcBorders>
          </w:tcPr>
          <w:p w:rsidR="00D3192B" w:rsidRDefault="004530F4" w14:paraId="00019E10" w14:textId="77777777">
            <w:pPr>
              <w:spacing w:after="0" w:line="259" w:lineRule="auto"/>
              <w:ind w:left="0" w:firstLine="0"/>
            </w:pPr>
            <w:r>
              <w:t xml:space="preserve">100  </w:t>
            </w:r>
            <w:r>
              <w:rPr>
                <w:b/>
              </w:rPr>
              <w:t xml:space="preserve"> </w:t>
            </w:r>
          </w:p>
        </w:tc>
        <w:tc>
          <w:tcPr>
            <w:tcW w:w="1709" w:type="dxa"/>
            <w:tcBorders>
              <w:top w:val="single" w:color="000000" w:sz="4" w:space="0"/>
              <w:left w:val="single" w:color="000000" w:sz="4" w:space="0"/>
              <w:bottom w:val="single" w:color="000000" w:sz="4" w:space="0"/>
              <w:right w:val="single" w:color="000000" w:sz="4" w:space="0"/>
            </w:tcBorders>
          </w:tcPr>
          <w:p w:rsidR="00D3192B" w:rsidRDefault="004530F4" w14:paraId="59196CB4" w14:textId="77777777">
            <w:pPr>
              <w:spacing w:after="0" w:line="259" w:lineRule="auto"/>
              <w:ind w:left="0" w:firstLine="0"/>
            </w:pPr>
            <w:r>
              <w:t>1</w:t>
            </w:r>
            <w:r>
              <w:rPr>
                <w:b/>
              </w:rPr>
              <w:t xml:space="preserve"> </w:t>
            </w:r>
          </w:p>
        </w:tc>
        <w:tc>
          <w:tcPr>
            <w:tcW w:w="2417" w:type="dxa"/>
            <w:tcBorders>
              <w:top w:val="single" w:color="000000" w:sz="4" w:space="0"/>
              <w:left w:val="single" w:color="000000" w:sz="4" w:space="0"/>
              <w:bottom w:val="single" w:color="000000" w:sz="4" w:space="0"/>
              <w:right w:val="single" w:color="000000" w:sz="4" w:space="0"/>
            </w:tcBorders>
          </w:tcPr>
          <w:p w:rsidR="00D3192B" w:rsidP="00D60517" w:rsidRDefault="00D60517" w14:paraId="3F6C2BA1" w14:textId="7166D379">
            <w:pPr>
              <w:spacing w:after="0" w:line="259" w:lineRule="auto"/>
              <w:ind w:left="0" w:firstLine="0"/>
            </w:pPr>
            <w:r>
              <w:t>20/60</w:t>
            </w:r>
          </w:p>
        </w:tc>
        <w:tc>
          <w:tcPr>
            <w:tcW w:w="991" w:type="dxa"/>
            <w:tcBorders>
              <w:top w:val="single" w:color="000000" w:sz="4" w:space="0"/>
              <w:left w:val="single" w:color="000000" w:sz="4" w:space="0"/>
              <w:bottom w:val="single" w:color="000000" w:sz="4" w:space="0"/>
              <w:right w:val="single" w:color="000000" w:sz="4" w:space="0"/>
            </w:tcBorders>
          </w:tcPr>
          <w:p w:rsidR="00D3192B" w:rsidRDefault="004530F4" w14:paraId="33D298F4" w14:textId="77777777">
            <w:pPr>
              <w:spacing w:after="0" w:line="259" w:lineRule="auto"/>
              <w:ind w:left="0" w:firstLine="0"/>
            </w:pPr>
            <w:r>
              <w:t>33</w:t>
            </w:r>
            <w:r>
              <w:rPr>
                <w:b/>
              </w:rPr>
              <w:t xml:space="preserve"> </w:t>
            </w:r>
          </w:p>
        </w:tc>
      </w:tr>
      <w:tr w:rsidR="00D3192B" w14:paraId="373F9544" w14:textId="77777777">
        <w:trPr>
          <w:trHeight w:val="293"/>
        </w:trPr>
        <w:tc>
          <w:tcPr>
            <w:tcW w:w="1430" w:type="dxa"/>
            <w:tcBorders>
              <w:top w:val="single" w:color="000000" w:sz="4" w:space="0"/>
              <w:left w:val="single" w:color="000000" w:sz="4" w:space="0"/>
              <w:bottom w:val="single" w:color="000000" w:sz="4" w:space="0"/>
              <w:right w:val="single" w:color="000000" w:sz="4" w:space="0"/>
            </w:tcBorders>
          </w:tcPr>
          <w:p w:rsidR="00D3192B" w:rsidRDefault="004530F4" w14:paraId="63ADE25F" w14:textId="77777777">
            <w:pPr>
              <w:spacing w:after="0" w:line="259" w:lineRule="auto"/>
              <w:ind w:left="0" w:firstLine="0"/>
            </w:pPr>
            <w:r>
              <w:rPr>
                <w:b/>
              </w:rPr>
              <w:t xml:space="preserve">Total </w:t>
            </w:r>
          </w:p>
        </w:tc>
        <w:tc>
          <w:tcPr>
            <w:tcW w:w="1339" w:type="dxa"/>
            <w:tcBorders>
              <w:top w:val="single" w:color="000000" w:sz="4" w:space="0"/>
              <w:left w:val="single" w:color="000000" w:sz="4" w:space="0"/>
              <w:bottom w:val="single" w:color="000000" w:sz="4" w:space="0"/>
              <w:right w:val="single" w:color="000000" w:sz="4" w:space="0"/>
            </w:tcBorders>
          </w:tcPr>
          <w:p w:rsidR="00D3192B" w:rsidRDefault="004530F4" w14:paraId="20D2493B" w14:textId="77777777">
            <w:pPr>
              <w:spacing w:after="0" w:line="259" w:lineRule="auto"/>
              <w:ind w:left="0" w:firstLine="0"/>
            </w:pPr>
            <w:r>
              <w:t xml:space="preserve"> </w:t>
            </w:r>
          </w:p>
        </w:tc>
        <w:tc>
          <w:tcPr>
            <w:tcW w:w="1524" w:type="dxa"/>
            <w:tcBorders>
              <w:top w:val="single" w:color="000000" w:sz="4" w:space="0"/>
              <w:left w:val="single" w:color="000000" w:sz="4" w:space="0"/>
              <w:bottom w:val="single" w:color="000000" w:sz="4" w:space="0"/>
              <w:right w:val="single" w:color="000000" w:sz="4" w:space="0"/>
            </w:tcBorders>
          </w:tcPr>
          <w:p w:rsidR="00D3192B" w:rsidRDefault="004530F4" w14:paraId="3E50136E" w14:textId="77777777">
            <w:pPr>
              <w:spacing w:after="0" w:line="259" w:lineRule="auto"/>
              <w:ind w:left="0" w:firstLine="0"/>
            </w:pPr>
            <w:r>
              <w:t xml:space="preserve"> </w:t>
            </w:r>
          </w:p>
        </w:tc>
        <w:tc>
          <w:tcPr>
            <w:tcW w:w="1709" w:type="dxa"/>
            <w:tcBorders>
              <w:top w:val="single" w:color="000000" w:sz="4" w:space="0"/>
              <w:left w:val="single" w:color="000000" w:sz="4" w:space="0"/>
              <w:bottom w:val="single" w:color="000000" w:sz="4" w:space="0"/>
              <w:right w:val="single" w:color="000000" w:sz="4" w:space="0"/>
            </w:tcBorders>
          </w:tcPr>
          <w:p w:rsidR="00D3192B" w:rsidRDefault="004530F4" w14:paraId="2106493E" w14:textId="77777777">
            <w:pPr>
              <w:spacing w:after="0" w:line="259" w:lineRule="auto"/>
              <w:ind w:left="0" w:firstLine="0"/>
            </w:pPr>
            <w:r>
              <w:t xml:space="preserve"> </w:t>
            </w:r>
          </w:p>
        </w:tc>
        <w:tc>
          <w:tcPr>
            <w:tcW w:w="2417" w:type="dxa"/>
            <w:tcBorders>
              <w:top w:val="single" w:color="000000" w:sz="4" w:space="0"/>
              <w:left w:val="single" w:color="000000" w:sz="4" w:space="0"/>
              <w:bottom w:val="single" w:color="000000" w:sz="4" w:space="0"/>
              <w:right w:val="single" w:color="000000" w:sz="4" w:space="0"/>
            </w:tcBorders>
          </w:tcPr>
          <w:p w:rsidR="00D3192B" w:rsidRDefault="004530F4" w14:paraId="093480AE" w14:textId="77777777">
            <w:pPr>
              <w:spacing w:after="0" w:line="259" w:lineRule="auto"/>
              <w:ind w:left="0" w:firstLine="0"/>
            </w:pPr>
            <w:r>
              <w:t xml:space="preserve"> </w:t>
            </w:r>
          </w:p>
        </w:tc>
        <w:tc>
          <w:tcPr>
            <w:tcW w:w="991" w:type="dxa"/>
            <w:tcBorders>
              <w:top w:val="single" w:color="000000" w:sz="4" w:space="0"/>
              <w:left w:val="single" w:color="000000" w:sz="4" w:space="0"/>
              <w:bottom w:val="single" w:color="000000" w:sz="4" w:space="0"/>
              <w:right w:val="single" w:color="000000" w:sz="4" w:space="0"/>
            </w:tcBorders>
          </w:tcPr>
          <w:p w:rsidR="00D3192B" w:rsidRDefault="004530F4" w14:paraId="3E394CAE" w14:textId="77777777">
            <w:pPr>
              <w:spacing w:after="0" w:line="259" w:lineRule="auto"/>
              <w:ind w:left="0" w:firstLine="0"/>
            </w:pPr>
            <w:r>
              <w:rPr>
                <w:b/>
              </w:rPr>
              <w:t>33</w:t>
            </w:r>
            <w:r>
              <w:t xml:space="preserve"> </w:t>
            </w:r>
          </w:p>
        </w:tc>
      </w:tr>
    </w:tbl>
    <w:p w:rsidR="00D3192B" w:rsidRDefault="004530F4" w14:paraId="1D4E1451" w14:textId="77777777">
      <w:pPr>
        <w:spacing w:after="0" w:line="259" w:lineRule="auto"/>
        <w:ind w:left="811" w:firstLine="0"/>
      </w:pPr>
      <w:r>
        <w:t xml:space="preserve"> </w:t>
      </w:r>
    </w:p>
    <w:p w:rsidR="00D3192B" w:rsidRDefault="004530F4" w14:paraId="576E2D42" w14:textId="77777777">
      <w:pPr>
        <w:tabs>
          <w:tab w:val="center" w:pos="1286"/>
          <w:tab w:val="center" w:pos="4295"/>
        </w:tabs>
        <w:spacing w:after="0" w:line="259" w:lineRule="auto"/>
        <w:ind w:left="0" w:firstLine="0"/>
      </w:pPr>
      <w:r>
        <w:rPr>
          <w:rFonts w:ascii="Calibri" w:hAnsi="Calibri" w:eastAsia="Calibri" w:cs="Calibri"/>
          <w:sz w:val="22"/>
        </w:rPr>
        <w:tab/>
      </w:r>
      <w:r>
        <w:t xml:space="preserve">Exhibit 2.  </w:t>
      </w:r>
      <w:r>
        <w:tab/>
      </w:r>
      <w:r>
        <w:rPr>
          <w:b/>
        </w:rPr>
        <w:t xml:space="preserve">Estimated Annualized Burden Costs </w:t>
      </w:r>
    </w:p>
    <w:tbl>
      <w:tblPr>
        <w:tblStyle w:val="TableGrid"/>
        <w:tblW w:w="9290" w:type="dxa"/>
        <w:tblInd w:w="811" w:type="dxa"/>
        <w:tblCellMar>
          <w:left w:w="108" w:type="dxa"/>
          <w:right w:w="48" w:type="dxa"/>
        </w:tblCellMar>
        <w:tblLook w:val="04A0" w:firstRow="1" w:lastRow="0" w:firstColumn="1" w:lastColumn="0" w:noHBand="0" w:noVBand="1"/>
      </w:tblPr>
      <w:tblGrid>
        <w:gridCol w:w="2990"/>
        <w:gridCol w:w="2069"/>
        <w:gridCol w:w="1531"/>
        <w:gridCol w:w="2700"/>
      </w:tblGrid>
      <w:tr w:rsidR="00D3192B" w14:paraId="57C9FF67" w14:textId="77777777">
        <w:trPr>
          <w:trHeight w:val="859"/>
        </w:trPr>
        <w:tc>
          <w:tcPr>
            <w:tcW w:w="2990" w:type="dxa"/>
            <w:tcBorders>
              <w:top w:val="single" w:color="000000" w:sz="4" w:space="0"/>
              <w:left w:val="single" w:color="000000" w:sz="4" w:space="0"/>
              <w:bottom w:val="single" w:color="000000" w:sz="4" w:space="0"/>
              <w:right w:val="single" w:color="000000" w:sz="4" w:space="0"/>
            </w:tcBorders>
          </w:tcPr>
          <w:p w:rsidR="00D3192B" w:rsidRDefault="004530F4" w14:paraId="38CB21E8" w14:textId="77777777">
            <w:pPr>
              <w:spacing w:after="0" w:line="259" w:lineRule="auto"/>
              <w:ind w:left="0" w:firstLine="0"/>
            </w:pPr>
            <w:r>
              <w:rPr>
                <w:b/>
              </w:rPr>
              <w:t xml:space="preserve">Type of </w:t>
            </w:r>
          </w:p>
          <w:p w:rsidR="00D3192B" w:rsidRDefault="004530F4" w14:paraId="63E08E75" w14:textId="77777777">
            <w:pPr>
              <w:spacing w:after="0" w:line="259" w:lineRule="auto"/>
              <w:ind w:left="0" w:firstLine="0"/>
            </w:pPr>
            <w:r>
              <w:rPr>
                <w:b/>
              </w:rPr>
              <w:t>Respondent</w:t>
            </w:r>
            <w:r>
              <w:t xml:space="preserve"> </w:t>
            </w:r>
          </w:p>
          <w:p w:rsidR="00D3192B" w:rsidRDefault="004530F4" w14:paraId="38C5FBCA" w14:textId="77777777">
            <w:pPr>
              <w:spacing w:after="0" w:line="259" w:lineRule="auto"/>
              <w:ind w:left="0" w:firstLine="0"/>
            </w:pPr>
            <w:r>
              <w:rPr>
                <w:b/>
              </w:rPr>
              <w:t xml:space="preserve"> </w:t>
            </w:r>
          </w:p>
        </w:tc>
        <w:tc>
          <w:tcPr>
            <w:tcW w:w="2069" w:type="dxa"/>
            <w:tcBorders>
              <w:top w:val="single" w:color="000000" w:sz="4" w:space="0"/>
              <w:left w:val="single" w:color="000000" w:sz="4" w:space="0"/>
              <w:bottom w:val="single" w:color="000000" w:sz="4" w:space="0"/>
              <w:right w:val="single" w:color="000000" w:sz="4" w:space="0"/>
            </w:tcBorders>
          </w:tcPr>
          <w:p w:rsidR="00D3192B" w:rsidRDefault="004530F4" w14:paraId="1E5953B2" w14:textId="77777777">
            <w:pPr>
              <w:spacing w:after="0" w:line="259" w:lineRule="auto"/>
              <w:ind w:left="0" w:firstLine="0"/>
            </w:pPr>
            <w:r>
              <w:rPr>
                <w:b/>
              </w:rPr>
              <w:t xml:space="preserve">Total Burden </w:t>
            </w:r>
          </w:p>
          <w:p w:rsidR="00D3192B" w:rsidRDefault="004530F4" w14:paraId="63EC88F0" w14:textId="77777777">
            <w:pPr>
              <w:spacing w:after="0" w:line="259" w:lineRule="auto"/>
              <w:ind w:left="0" w:firstLine="0"/>
            </w:pPr>
            <w:r>
              <w:rPr>
                <w:b/>
              </w:rPr>
              <w:t>Hours</w:t>
            </w:r>
            <w:r>
              <w:t xml:space="preserve"> </w:t>
            </w:r>
          </w:p>
          <w:p w:rsidR="00D3192B" w:rsidRDefault="004530F4" w14:paraId="044E3EA6" w14:textId="77777777">
            <w:pPr>
              <w:spacing w:after="0" w:line="259" w:lineRule="auto"/>
              <w:ind w:left="0" w:firstLine="0"/>
            </w:pPr>
            <w:r>
              <w:rPr>
                <w:b/>
              </w:rPr>
              <w:t xml:space="preserve"> </w:t>
            </w:r>
          </w:p>
        </w:tc>
        <w:tc>
          <w:tcPr>
            <w:tcW w:w="1531" w:type="dxa"/>
            <w:tcBorders>
              <w:top w:val="single" w:color="000000" w:sz="4" w:space="0"/>
              <w:left w:val="single" w:color="000000" w:sz="4" w:space="0"/>
              <w:bottom w:val="single" w:color="000000" w:sz="4" w:space="0"/>
              <w:right w:val="single" w:color="000000" w:sz="4" w:space="0"/>
            </w:tcBorders>
          </w:tcPr>
          <w:p w:rsidR="00D3192B" w:rsidRDefault="004530F4" w14:paraId="48C62984" w14:textId="77777777">
            <w:pPr>
              <w:spacing w:after="0" w:line="259" w:lineRule="auto"/>
              <w:ind w:left="0" w:firstLine="0"/>
            </w:pPr>
            <w:r>
              <w:rPr>
                <w:b/>
              </w:rPr>
              <w:t xml:space="preserve">Hourly </w:t>
            </w:r>
          </w:p>
          <w:p w:rsidR="00D3192B" w:rsidRDefault="004530F4" w14:paraId="7533842B" w14:textId="77777777">
            <w:pPr>
              <w:spacing w:after="0" w:line="259" w:lineRule="auto"/>
              <w:ind w:left="0" w:firstLine="0"/>
            </w:pPr>
            <w:r>
              <w:rPr>
                <w:b/>
              </w:rPr>
              <w:t>Wage Rate</w:t>
            </w:r>
            <w:r>
              <w:t xml:space="preserve"> </w:t>
            </w:r>
          </w:p>
          <w:p w:rsidR="00D3192B" w:rsidRDefault="004530F4" w14:paraId="54624FF2" w14:textId="77777777">
            <w:pPr>
              <w:spacing w:after="0" w:line="259" w:lineRule="auto"/>
              <w:ind w:left="0" w:firstLine="0"/>
            </w:pPr>
            <w:r>
              <w:rPr>
                <w:b/>
              </w:rPr>
              <w:t xml:space="preserve"> </w:t>
            </w:r>
          </w:p>
        </w:tc>
        <w:tc>
          <w:tcPr>
            <w:tcW w:w="2700" w:type="dxa"/>
            <w:tcBorders>
              <w:top w:val="single" w:color="000000" w:sz="4" w:space="0"/>
              <w:left w:val="single" w:color="000000" w:sz="4" w:space="0"/>
              <w:bottom w:val="single" w:color="000000" w:sz="4" w:space="0"/>
              <w:right w:val="single" w:color="000000" w:sz="4" w:space="0"/>
            </w:tcBorders>
          </w:tcPr>
          <w:p w:rsidR="00D3192B" w:rsidRDefault="004530F4" w14:paraId="5AA1C729" w14:textId="77777777">
            <w:pPr>
              <w:spacing w:after="0" w:line="259" w:lineRule="auto"/>
              <w:ind w:left="0" w:firstLine="0"/>
              <w:jc w:val="both"/>
            </w:pPr>
            <w:r>
              <w:rPr>
                <w:b/>
              </w:rPr>
              <w:t>Total Respondent Costs</w:t>
            </w:r>
            <w:r>
              <w:t xml:space="preserve"> </w:t>
            </w:r>
          </w:p>
          <w:p w:rsidR="00D3192B" w:rsidRDefault="004530F4" w14:paraId="0B625E58" w14:textId="77777777">
            <w:pPr>
              <w:spacing w:after="0" w:line="259" w:lineRule="auto"/>
              <w:ind w:left="0" w:firstLine="0"/>
            </w:pPr>
            <w:r>
              <w:rPr>
                <w:b/>
              </w:rPr>
              <w:t xml:space="preserve"> </w:t>
            </w:r>
          </w:p>
        </w:tc>
      </w:tr>
      <w:tr w:rsidR="00D3192B" w14:paraId="6894AFD7" w14:textId="77777777">
        <w:trPr>
          <w:trHeight w:val="293"/>
        </w:trPr>
        <w:tc>
          <w:tcPr>
            <w:tcW w:w="2990" w:type="dxa"/>
            <w:tcBorders>
              <w:top w:val="single" w:color="000000" w:sz="4" w:space="0"/>
              <w:left w:val="single" w:color="000000" w:sz="4" w:space="0"/>
              <w:bottom w:val="single" w:color="000000" w:sz="4" w:space="0"/>
              <w:right w:val="single" w:color="000000" w:sz="4" w:space="0"/>
            </w:tcBorders>
          </w:tcPr>
          <w:p w:rsidR="00D3192B" w:rsidRDefault="004530F4" w14:paraId="7B57FD6A" w14:textId="77777777">
            <w:pPr>
              <w:spacing w:after="0" w:line="259" w:lineRule="auto"/>
              <w:ind w:left="0" w:firstLine="0"/>
            </w:pPr>
            <w:r>
              <w:t xml:space="preserve">HIT Stakeholder  </w:t>
            </w:r>
          </w:p>
        </w:tc>
        <w:tc>
          <w:tcPr>
            <w:tcW w:w="2069" w:type="dxa"/>
            <w:tcBorders>
              <w:top w:val="single" w:color="000000" w:sz="4" w:space="0"/>
              <w:left w:val="single" w:color="000000" w:sz="4" w:space="0"/>
              <w:bottom w:val="single" w:color="000000" w:sz="4" w:space="0"/>
              <w:right w:val="single" w:color="000000" w:sz="4" w:space="0"/>
            </w:tcBorders>
          </w:tcPr>
          <w:p w:rsidR="00D3192B" w:rsidRDefault="004530F4" w14:paraId="79A1B408" w14:textId="77777777">
            <w:pPr>
              <w:spacing w:after="0" w:line="259" w:lineRule="auto"/>
              <w:ind w:left="0" w:firstLine="0"/>
            </w:pPr>
            <w:r>
              <w:t xml:space="preserve">33 </w:t>
            </w:r>
          </w:p>
        </w:tc>
        <w:tc>
          <w:tcPr>
            <w:tcW w:w="1531" w:type="dxa"/>
            <w:tcBorders>
              <w:top w:val="single" w:color="000000" w:sz="4" w:space="0"/>
              <w:left w:val="single" w:color="000000" w:sz="4" w:space="0"/>
              <w:bottom w:val="single" w:color="000000" w:sz="4" w:space="0"/>
              <w:right w:val="single" w:color="000000" w:sz="4" w:space="0"/>
            </w:tcBorders>
          </w:tcPr>
          <w:p w:rsidR="00D3192B" w:rsidRDefault="004530F4" w14:paraId="4B847FBB" w14:textId="5BD9229D">
            <w:pPr>
              <w:spacing w:after="0" w:line="259" w:lineRule="auto"/>
              <w:ind w:left="0" w:right="60" w:firstLine="0"/>
              <w:jc w:val="right"/>
            </w:pPr>
            <w:r>
              <w:t xml:space="preserve">$100 </w:t>
            </w:r>
            <w:r w:rsidR="003279C2">
              <w:rPr>
                <w:rStyle w:val="FootnoteReference"/>
              </w:rPr>
              <w:footnoteReference w:id="1"/>
            </w:r>
          </w:p>
        </w:tc>
        <w:tc>
          <w:tcPr>
            <w:tcW w:w="2700" w:type="dxa"/>
            <w:tcBorders>
              <w:top w:val="single" w:color="000000" w:sz="4" w:space="0"/>
              <w:left w:val="single" w:color="000000" w:sz="4" w:space="0"/>
              <w:bottom w:val="single" w:color="000000" w:sz="4" w:space="0"/>
              <w:right w:val="single" w:color="000000" w:sz="4" w:space="0"/>
            </w:tcBorders>
          </w:tcPr>
          <w:p w:rsidR="00D3192B" w:rsidRDefault="004530F4" w14:paraId="35250745" w14:textId="77777777">
            <w:pPr>
              <w:spacing w:after="0" w:line="259" w:lineRule="auto"/>
              <w:ind w:left="0" w:right="60" w:firstLine="0"/>
              <w:jc w:val="right"/>
            </w:pPr>
            <w:r>
              <w:t xml:space="preserve">$3,300.00 </w:t>
            </w:r>
          </w:p>
        </w:tc>
      </w:tr>
      <w:tr w:rsidR="00D3192B" w14:paraId="006C36DA" w14:textId="77777777">
        <w:trPr>
          <w:trHeight w:val="449"/>
        </w:trPr>
        <w:tc>
          <w:tcPr>
            <w:tcW w:w="2990" w:type="dxa"/>
            <w:tcBorders>
              <w:top w:val="single" w:color="000000" w:sz="4" w:space="0"/>
              <w:left w:val="single" w:color="000000" w:sz="4" w:space="0"/>
              <w:bottom w:val="single" w:color="000000" w:sz="4" w:space="0"/>
              <w:right w:val="single" w:color="000000" w:sz="4" w:space="0"/>
            </w:tcBorders>
          </w:tcPr>
          <w:p w:rsidR="00D3192B" w:rsidRDefault="004530F4" w14:paraId="2B2AB9C7" w14:textId="77777777">
            <w:pPr>
              <w:spacing w:after="0" w:line="259" w:lineRule="auto"/>
              <w:ind w:left="0" w:firstLine="0"/>
            </w:pPr>
            <w:r>
              <w:rPr>
                <w:b/>
              </w:rPr>
              <w:t xml:space="preserve">Total </w:t>
            </w:r>
          </w:p>
        </w:tc>
        <w:tc>
          <w:tcPr>
            <w:tcW w:w="2069" w:type="dxa"/>
            <w:tcBorders>
              <w:top w:val="single" w:color="000000" w:sz="4" w:space="0"/>
              <w:left w:val="single" w:color="000000" w:sz="4" w:space="0"/>
              <w:bottom w:val="single" w:color="000000" w:sz="4" w:space="0"/>
              <w:right w:val="single" w:color="000000" w:sz="4" w:space="0"/>
            </w:tcBorders>
          </w:tcPr>
          <w:p w:rsidR="00D3192B" w:rsidRDefault="004530F4" w14:paraId="2125C5A3" w14:textId="77777777">
            <w:pPr>
              <w:spacing w:after="0" w:line="259" w:lineRule="auto"/>
              <w:ind w:left="0" w:firstLine="0"/>
            </w:pPr>
            <w:r>
              <w:rPr>
                <w:b/>
              </w:rPr>
              <w:t xml:space="preserve"> </w:t>
            </w:r>
          </w:p>
        </w:tc>
        <w:tc>
          <w:tcPr>
            <w:tcW w:w="1531" w:type="dxa"/>
            <w:tcBorders>
              <w:top w:val="single" w:color="000000" w:sz="4" w:space="0"/>
              <w:left w:val="single" w:color="000000" w:sz="4" w:space="0"/>
              <w:bottom w:val="single" w:color="000000" w:sz="4" w:space="0"/>
              <w:right w:val="single" w:color="000000" w:sz="4" w:space="0"/>
            </w:tcBorders>
          </w:tcPr>
          <w:p w:rsidR="00D3192B" w:rsidRDefault="004530F4" w14:paraId="411BB67C" w14:textId="77777777">
            <w:pPr>
              <w:spacing w:after="0" w:line="259" w:lineRule="auto"/>
              <w:ind w:left="0" w:firstLine="0"/>
              <w:jc w:val="right"/>
            </w:pPr>
            <w:r>
              <w:rPr>
                <w:b/>
              </w:rPr>
              <w:t xml:space="preserve"> </w:t>
            </w:r>
          </w:p>
        </w:tc>
        <w:tc>
          <w:tcPr>
            <w:tcW w:w="2700" w:type="dxa"/>
            <w:tcBorders>
              <w:top w:val="single" w:color="000000" w:sz="4" w:space="0"/>
              <w:left w:val="single" w:color="000000" w:sz="4" w:space="0"/>
              <w:bottom w:val="single" w:color="000000" w:sz="4" w:space="0"/>
              <w:right w:val="single" w:color="000000" w:sz="4" w:space="0"/>
            </w:tcBorders>
          </w:tcPr>
          <w:p w:rsidR="00D3192B" w:rsidRDefault="004530F4" w14:paraId="5F349CB2" w14:textId="77777777">
            <w:pPr>
              <w:spacing w:after="0" w:line="259" w:lineRule="auto"/>
              <w:ind w:left="0" w:right="60" w:firstLine="0"/>
              <w:jc w:val="right"/>
            </w:pPr>
            <w:r>
              <w:rPr>
                <w:b/>
              </w:rPr>
              <w:t xml:space="preserve">$3,300.00 </w:t>
            </w:r>
          </w:p>
        </w:tc>
      </w:tr>
    </w:tbl>
    <w:p w:rsidR="00D3192B" w:rsidRDefault="004530F4" w14:paraId="52810909" w14:textId="77777777">
      <w:pPr>
        <w:spacing w:after="0" w:line="259" w:lineRule="auto"/>
        <w:ind w:left="1080" w:firstLine="0"/>
      </w:pPr>
      <w:r>
        <w:t xml:space="preserve"> </w:t>
      </w:r>
    </w:p>
    <w:p w:rsidR="00D3192B" w:rsidRDefault="004530F4" w14:paraId="3B446ED2" w14:textId="77777777">
      <w:pPr>
        <w:spacing w:after="0" w:line="259" w:lineRule="auto"/>
        <w:ind w:left="360" w:firstLine="0"/>
      </w:pPr>
      <w:r>
        <w:t xml:space="preserve"> </w:t>
      </w:r>
    </w:p>
    <w:p w:rsidR="00D3192B" w:rsidRDefault="004530F4" w14:paraId="4B5C3758" w14:textId="77777777">
      <w:pPr>
        <w:numPr>
          <w:ilvl w:val="0"/>
          <w:numId w:val="1"/>
        </w:numPr>
        <w:spacing w:after="3" w:line="255" w:lineRule="auto"/>
        <w:ind w:right="482" w:hanging="360"/>
      </w:pPr>
      <w:r>
        <w:rPr>
          <w:b/>
          <w:u w:val="single" w:color="000000"/>
        </w:rPr>
        <w:t>Estimates of other Total Annual Cost Burden to Respondents or</w:t>
      </w:r>
      <w:r>
        <w:rPr>
          <w:b/>
        </w:rPr>
        <w:t xml:space="preserve"> </w:t>
      </w:r>
      <w:r>
        <w:rPr>
          <w:b/>
          <w:u w:val="single" w:color="000000"/>
        </w:rPr>
        <w:t>Recordkeepers/Capital Costs</w:t>
      </w:r>
      <w:r>
        <w:rPr>
          <w:b/>
        </w:rPr>
        <w:t xml:space="preserve"> </w:t>
      </w:r>
    </w:p>
    <w:p w:rsidR="00D3192B" w:rsidRDefault="004530F4" w14:paraId="2BC408A1" w14:textId="77777777">
      <w:pPr>
        <w:spacing w:after="113"/>
        <w:ind w:left="715"/>
      </w:pPr>
      <w:r>
        <w:t xml:space="preserve">There are no annualized capital/startup or ongoing operation and maintenance costs involved in collecting the information. </w:t>
      </w:r>
      <w:r>
        <w:rPr>
          <w:sz w:val="20"/>
        </w:rPr>
        <w:t xml:space="preserve"> </w:t>
      </w:r>
    </w:p>
    <w:p w:rsidR="00D3192B" w:rsidRDefault="004530F4" w14:paraId="1A8BE447" w14:textId="77777777">
      <w:pPr>
        <w:spacing w:after="0" w:line="259" w:lineRule="auto"/>
        <w:ind w:left="360" w:firstLine="0"/>
      </w:pPr>
      <w:r>
        <w:t xml:space="preserve"> </w:t>
      </w:r>
    </w:p>
    <w:p w:rsidR="00D3192B" w:rsidRDefault="004530F4" w14:paraId="03C13ED4" w14:textId="77777777">
      <w:pPr>
        <w:numPr>
          <w:ilvl w:val="0"/>
          <w:numId w:val="1"/>
        </w:numPr>
        <w:spacing w:after="3" w:line="255" w:lineRule="auto"/>
        <w:ind w:right="482" w:hanging="360"/>
      </w:pPr>
      <w:r>
        <w:rPr>
          <w:b/>
          <w:u w:val="single" w:color="000000"/>
        </w:rPr>
        <w:t>Annualized Cost to Federal Government</w:t>
      </w:r>
      <w:r>
        <w:rPr>
          <w:b/>
        </w:rPr>
        <w:t xml:space="preserve"> </w:t>
      </w:r>
    </w:p>
    <w:p w:rsidR="00D3192B" w:rsidRDefault="004530F4" w14:paraId="279405FC" w14:textId="77777777">
      <w:pPr>
        <w:spacing w:after="113"/>
        <w:ind w:left="715"/>
      </w:pPr>
      <w:r>
        <w:t xml:space="preserve">The estimated cost to the Federal Government for the </w:t>
      </w:r>
      <w:r>
        <w:rPr>
          <w:i/>
        </w:rPr>
        <w:t xml:space="preserve">USCDI New Data Element Submission System </w:t>
      </w:r>
      <w:r>
        <w:t xml:space="preserve">data collection activities is $150,000 over 2 years or $75,000 annually, based on  </w:t>
      </w:r>
    </w:p>
    <w:p w:rsidR="00D3192B" w:rsidRDefault="004530F4" w14:paraId="74B66C83" w14:textId="77777777">
      <w:pPr>
        <w:numPr>
          <w:ilvl w:val="1"/>
          <w:numId w:val="3"/>
        </w:numPr>
        <w:spacing w:after="112"/>
        <w:ind w:hanging="360"/>
      </w:pPr>
      <w:r>
        <w:t xml:space="preserve">Cost of contract for development and maintenance of the web service that will support the submission system - $15,000, based on 150 hours of contractor development and maintenance time. </w:t>
      </w:r>
    </w:p>
    <w:p w:rsidR="00D3192B" w:rsidRDefault="004530F4" w14:paraId="156DC0DF" w14:textId="77777777">
      <w:pPr>
        <w:numPr>
          <w:ilvl w:val="1"/>
          <w:numId w:val="3"/>
        </w:numPr>
        <w:spacing w:after="112"/>
        <w:ind w:hanging="360"/>
      </w:pPr>
      <w:r>
        <w:t xml:space="preserve">Annual cost of federal hours to manage this web service contract specific to this new data collection process - $10,000 based on 100 hours at $50 per hour. </w:t>
      </w:r>
    </w:p>
    <w:p w:rsidR="00D3192B" w:rsidRDefault="004530F4" w14:paraId="2E8CF86A" w14:textId="77777777">
      <w:pPr>
        <w:numPr>
          <w:ilvl w:val="1"/>
          <w:numId w:val="3"/>
        </w:numPr>
        <w:spacing w:after="112"/>
        <w:ind w:hanging="360"/>
      </w:pPr>
      <w:r>
        <w:t xml:space="preserve">Annual cost of federal (ONC) hours providing research and analysis - $50,000, based on an estimate of 1 hour of analysis per submission at $50 per hour </w:t>
      </w:r>
    </w:p>
    <w:p w:rsidR="00D3192B" w:rsidRDefault="004530F4" w14:paraId="7122C655" w14:textId="77777777">
      <w:pPr>
        <w:spacing w:after="0" w:line="259" w:lineRule="auto"/>
        <w:ind w:left="720" w:firstLine="0"/>
      </w:pPr>
      <w:r>
        <w:t xml:space="preserve"> </w:t>
      </w:r>
    </w:p>
    <w:p w:rsidR="00D3192B" w:rsidRDefault="004530F4" w14:paraId="5E1FA430" w14:textId="77777777">
      <w:pPr>
        <w:numPr>
          <w:ilvl w:val="0"/>
          <w:numId w:val="1"/>
        </w:numPr>
        <w:spacing w:after="3" w:line="255" w:lineRule="auto"/>
        <w:ind w:right="482" w:hanging="360"/>
      </w:pPr>
      <w:r>
        <w:rPr>
          <w:b/>
          <w:u w:val="single" w:color="000000"/>
        </w:rPr>
        <w:t>Explanation for Program Changes or Adjustments</w:t>
      </w:r>
      <w:r>
        <w:rPr>
          <w:b/>
        </w:rPr>
        <w:t xml:space="preserve"> </w:t>
      </w:r>
    </w:p>
    <w:p w:rsidR="00D3192B" w:rsidRDefault="004530F4" w14:paraId="7EEAA245" w14:textId="77777777">
      <w:pPr>
        <w:spacing w:after="110"/>
        <w:ind w:left="715"/>
      </w:pPr>
      <w:r>
        <w:t xml:space="preserve">There are no program changes or adjustments as this is a new data collection. </w:t>
      </w:r>
    </w:p>
    <w:p w:rsidR="00D3192B" w:rsidRDefault="004530F4" w14:paraId="0A60334C" w14:textId="77777777">
      <w:pPr>
        <w:spacing w:after="0" w:line="259" w:lineRule="auto"/>
        <w:ind w:left="0" w:firstLine="0"/>
      </w:pPr>
      <w:r>
        <w:t xml:space="preserve"> </w:t>
      </w:r>
    </w:p>
    <w:p w:rsidR="00D3192B" w:rsidRDefault="004530F4" w14:paraId="279C9266" w14:textId="77777777">
      <w:pPr>
        <w:numPr>
          <w:ilvl w:val="0"/>
          <w:numId w:val="1"/>
        </w:numPr>
        <w:spacing w:after="3" w:line="255" w:lineRule="auto"/>
        <w:ind w:right="482" w:hanging="360"/>
      </w:pPr>
      <w:r>
        <w:rPr>
          <w:b/>
          <w:u w:val="single" w:color="000000"/>
        </w:rPr>
        <w:t>Plans for Tabulation and Publication and Project Time Schedule</w:t>
      </w:r>
      <w:r>
        <w:rPr>
          <w:b/>
        </w:rPr>
        <w:t xml:space="preserve"> </w:t>
      </w:r>
    </w:p>
    <w:p w:rsidR="00D3192B" w:rsidRDefault="004530F4" w14:paraId="3CA917D7" w14:textId="77777777">
      <w:pPr>
        <w:ind w:left="715"/>
      </w:pPr>
      <w:r>
        <w:t xml:space="preserve">The results of these submissions will be public, with the exception of any identifying information that is withheld per consent by the submitter, in tabular or similar form.  Submissions may be archived following the completion of the annual process to evaluate the submissions, but will be available for retrieval and review.  These tables will be used by ONC during the submission evaluation process.  The results of this evaluation process will append these tables to keep information about all phases of the process in one location. </w:t>
      </w:r>
    </w:p>
    <w:p w:rsidR="00D3192B" w:rsidRDefault="004530F4" w14:paraId="3E046334" w14:textId="77777777">
      <w:pPr>
        <w:spacing w:after="0" w:line="259" w:lineRule="auto"/>
        <w:ind w:left="720" w:firstLine="0"/>
      </w:pPr>
      <w:r>
        <w:t xml:space="preserve"> </w:t>
      </w:r>
    </w:p>
    <w:p w:rsidR="00D3192B" w:rsidRDefault="004530F4" w14:paraId="495EA266" w14:textId="77777777">
      <w:pPr>
        <w:ind w:left="715"/>
      </w:pPr>
      <w:r>
        <w:t xml:space="preserve">These submissions and ONC’s subsequent evaluation will inform ONC’s decision to include or exclude these submissions in future versions of USCDI.  Therefore, the submissions will remain public.  This submission and analysis cycle will occur no less frequently than annually and may occur much more frequently, with analysis and feedback occurring shortly after submission. </w:t>
      </w:r>
    </w:p>
    <w:p w:rsidR="00D3192B" w:rsidRDefault="004530F4" w14:paraId="4E88FB18" w14:textId="77777777">
      <w:pPr>
        <w:spacing w:after="0" w:line="259" w:lineRule="auto"/>
        <w:ind w:left="0" w:firstLine="0"/>
      </w:pPr>
      <w:r>
        <w:t xml:space="preserve"> </w:t>
      </w:r>
    </w:p>
    <w:p w:rsidR="00D3192B" w:rsidRDefault="004530F4" w14:paraId="7815B1F7" w14:textId="77777777">
      <w:pPr>
        <w:ind w:left="715"/>
      </w:pPr>
      <w:r>
        <w:t>This submission, evaluation and decision making process is ongoing and is expected to continue indefinitely.</w:t>
      </w:r>
      <w:r>
        <w:rPr>
          <w:b/>
        </w:rPr>
        <w:t xml:space="preserve"> </w:t>
      </w:r>
    </w:p>
    <w:p w:rsidR="00D3192B" w:rsidRDefault="004530F4" w14:paraId="7359404C" w14:textId="77777777">
      <w:pPr>
        <w:spacing w:after="0" w:line="259" w:lineRule="auto"/>
        <w:ind w:left="1080" w:firstLine="0"/>
      </w:pPr>
      <w:r>
        <w:t xml:space="preserve"> </w:t>
      </w:r>
    </w:p>
    <w:p w:rsidR="00D3192B" w:rsidRDefault="004530F4" w14:paraId="42048F48" w14:textId="77777777">
      <w:pPr>
        <w:numPr>
          <w:ilvl w:val="0"/>
          <w:numId w:val="1"/>
        </w:numPr>
        <w:spacing w:after="112"/>
        <w:ind w:right="482" w:hanging="360"/>
      </w:pPr>
      <w:r>
        <w:rPr>
          <w:b/>
          <w:u w:val="single" w:color="000000"/>
        </w:rPr>
        <w:t>Reason(s) Display of OMB Expiration Date is Inappropriate</w:t>
      </w:r>
      <w:r>
        <w:rPr>
          <w:b/>
        </w:rPr>
        <w:t xml:space="preserve"> </w:t>
      </w:r>
      <w:r>
        <w:t xml:space="preserve">All data collection materials will display the OMB expiration date. </w:t>
      </w:r>
    </w:p>
    <w:p w:rsidR="00D3192B" w:rsidRDefault="004530F4" w14:paraId="43F997BF" w14:textId="77777777">
      <w:pPr>
        <w:spacing w:after="0" w:line="259" w:lineRule="auto"/>
        <w:ind w:left="0" w:firstLine="0"/>
      </w:pPr>
      <w:r>
        <w:t xml:space="preserve"> </w:t>
      </w:r>
    </w:p>
    <w:p w:rsidR="00D3192B" w:rsidRDefault="004530F4" w14:paraId="593F4504" w14:textId="77777777">
      <w:pPr>
        <w:numPr>
          <w:ilvl w:val="0"/>
          <w:numId w:val="1"/>
        </w:numPr>
        <w:spacing w:after="3" w:line="255" w:lineRule="auto"/>
        <w:ind w:right="482" w:hanging="360"/>
      </w:pPr>
      <w:r>
        <w:rPr>
          <w:b/>
          <w:u w:val="single" w:color="000000"/>
        </w:rPr>
        <w:t>Exceptions to Certification for Paperwork Reduction Act Submissions</w:t>
      </w:r>
      <w:r>
        <w:rPr>
          <w:b/>
        </w:rPr>
        <w:t xml:space="preserve"> </w:t>
      </w:r>
      <w:r>
        <w:t xml:space="preserve">There are no exceptions to the certification. </w:t>
      </w:r>
    </w:p>
    <w:sectPr w:rsidR="00D3192B">
      <w:footerReference w:type="even" r:id="rId10"/>
      <w:footerReference w:type="default" r:id="rId11"/>
      <w:footerReference w:type="first" r:id="rId12"/>
      <w:pgSz w:w="12240" w:h="15840"/>
      <w:pgMar w:top="1410" w:right="1441" w:bottom="2022" w:left="1440" w:header="720" w:footer="14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04F05" w14:textId="77777777" w:rsidR="00E3695E" w:rsidRDefault="00E3695E">
      <w:pPr>
        <w:spacing w:after="0" w:line="240" w:lineRule="auto"/>
      </w:pPr>
      <w:r>
        <w:separator/>
      </w:r>
    </w:p>
  </w:endnote>
  <w:endnote w:type="continuationSeparator" w:id="0">
    <w:p w14:paraId="78D25D6F" w14:textId="77777777" w:rsidR="00E3695E" w:rsidRDefault="00E36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9FF80" w14:textId="77777777" w:rsidR="00D3192B" w:rsidRDefault="004530F4">
    <w:pPr>
      <w:spacing w:after="24" w:line="259" w:lineRule="auto"/>
      <w:ind w:left="0" w:firstLine="0"/>
    </w:pPr>
    <w:r>
      <w:rPr>
        <w:sz w:val="20"/>
      </w:rPr>
      <w:t xml:space="preserve"> </w:t>
    </w:r>
  </w:p>
  <w:p w14:paraId="179B9C0E" w14:textId="77777777" w:rsidR="00D3192B" w:rsidRDefault="004530F4">
    <w:pPr>
      <w:tabs>
        <w:tab w:val="center" w:pos="4680"/>
      </w:tabs>
      <w:spacing w:after="0" w:line="259" w:lineRule="auto"/>
      <w:ind w:left="0" w:firstLine="0"/>
    </w:pPr>
    <w:r>
      <w:t xml:space="preserve"> </w:t>
    </w:r>
    <w:r>
      <w:tab/>
      <w:t xml:space="preserve">- </w:t>
    </w:r>
    <w:r>
      <w:fldChar w:fldCharType="begin"/>
    </w:r>
    <w:r>
      <w:instrText xml:space="preserve"> PAGE   \* MERGEFORMAT </w:instrText>
    </w:r>
    <w:r>
      <w:fldChar w:fldCharType="separate"/>
    </w:r>
    <w:r>
      <w:t>1</w:t>
    </w:r>
    <w:r>
      <w:fldChar w:fldCharType="end"/>
    </w:r>
    <w: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9ED7C" w14:textId="77777777" w:rsidR="00D3192B" w:rsidRDefault="004530F4">
    <w:pPr>
      <w:spacing w:after="24" w:line="259" w:lineRule="auto"/>
      <w:ind w:left="0" w:firstLine="0"/>
    </w:pPr>
    <w:r>
      <w:rPr>
        <w:sz w:val="20"/>
      </w:rPr>
      <w:t xml:space="preserve"> </w:t>
    </w:r>
  </w:p>
  <w:p w14:paraId="15F8A2F0" w14:textId="4CDC5E62" w:rsidR="00D3192B" w:rsidRDefault="004530F4">
    <w:pPr>
      <w:tabs>
        <w:tab w:val="center" w:pos="4680"/>
      </w:tabs>
      <w:spacing w:after="0" w:line="259" w:lineRule="auto"/>
      <w:ind w:left="0" w:firstLine="0"/>
    </w:pPr>
    <w:r>
      <w:t xml:space="preserve"> </w:t>
    </w:r>
    <w:r>
      <w:tab/>
      <w:t xml:space="preserve">- </w:t>
    </w:r>
    <w:r>
      <w:fldChar w:fldCharType="begin"/>
    </w:r>
    <w:r>
      <w:instrText xml:space="preserve"> PAGE   \* MERGEFORMAT </w:instrText>
    </w:r>
    <w:r>
      <w:fldChar w:fldCharType="separate"/>
    </w:r>
    <w:r w:rsidR="003279C2">
      <w:rPr>
        <w:noProof/>
      </w:rPr>
      <w:t>1</w:t>
    </w:r>
    <w:r>
      <w:fldChar w:fldCharType="end"/>
    </w:r>
    <w: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227A2" w14:textId="77777777" w:rsidR="00D3192B" w:rsidRDefault="004530F4">
    <w:pPr>
      <w:spacing w:after="24" w:line="259" w:lineRule="auto"/>
      <w:ind w:left="0" w:firstLine="0"/>
    </w:pPr>
    <w:r>
      <w:rPr>
        <w:sz w:val="20"/>
      </w:rPr>
      <w:t xml:space="preserve"> </w:t>
    </w:r>
  </w:p>
  <w:p w14:paraId="38E75462" w14:textId="77777777" w:rsidR="00D3192B" w:rsidRDefault="004530F4">
    <w:pPr>
      <w:tabs>
        <w:tab w:val="center" w:pos="4680"/>
      </w:tabs>
      <w:spacing w:after="0" w:line="259" w:lineRule="auto"/>
      <w:ind w:left="0" w:firstLine="0"/>
    </w:pPr>
    <w:r>
      <w:t xml:space="preserve"> </w:t>
    </w:r>
    <w:r>
      <w:tab/>
      <w:t xml:space="preserve">- </w:t>
    </w:r>
    <w:r>
      <w:fldChar w:fldCharType="begin"/>
    </w:r>
    <w:r>
      <w:instrText xml:space="preserve"> PAGE   \* MERGEFORMAT </w:instrText>
    </w:r>
    <w:r>
      <w:fldChar w:fldCharType="separate"/>
    </w:r>
    <w:r>
      <w:t>1</w:t>
    </w:r>
    <w:r>
      <w:fldChar w:fldCharType="end"/>
    </w:r>
    <w: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45CB6" w14:textId="77777777" w:rsidR="00E3695E" w:rsidRDefault="00E3695E">
      <w:pPr>
        <w:spacing w:after="0" w:line="240" w:lineRule="auto"/>
      </w:pPr>
      <w:r>
        <w:separator/>
      </w:r>
    </w:p>
  </w:footnote>
  <w:footnote w:type="continuationSeparator" w:id="0">
    <w:p w14:paraId="574863C1" w14:textId="77777777" w:rsidR="00E3695E" w:rsidRDefault="00E3695E">
      <w:pPr>
        <w:spacing w:after="0" w:line="240" w:lineRule="auto"/>
      </w:pPr>
      <w:r>
        <w:continuationSeparator/>
      </w:r>
    </w:p>
  </w:footnote>
  <w:footnote w:id="1">
    <w:p w14:paraId="3411C06C" w14:textId="41E956ED" w:rsidR="003279C2" w:rsidRDefault="003279C2">
      <w:pPr>
        <w:pStyle w:val="FootnoteText"/>
      </w:pPr>
      <w:r>
        <w:rPr>
          <w:rStyle w:val="FootnoteReference"/>
        </w:rPr>
        <w:footnoteRef/>
      </w:r>
      <w:r>
        <w:t xml:space="preserve"> </w:t>
      </w:r>
      <w:r w:rsidRPr="003279C2">
        <w:t>Based on Computer and Information Systems Managers BLS employee category plus overhead and benefits (</w:t>
      </w:r>
      <w:hyperlink r:id="rId1" w:history="1">
        <w:r w:rsidRPr="003279C2">
          <w:rPr>
            <w:rStyle w:val="Hyperlink"/>
          </w:rPr>
          <w:t>https://www.bls.gov/ooh/management/computer-and-informa</w:t>
        </w:r>
        <w:bookmarkStart w:id="0" w:name="_GoBack"/>
        <w:bookmarkEnd w:id="0"/>
        <w:r w:rsidRPr="003279C2">
          <w:rPr>
            <w:rStyle w:val="Hyperlink"/>
          </w:rPr>
          <w:t>t</w:t>
        </w:r>
        <w:r w:rsidRPr="003279C2">
          <w:rPr>
            <w:rStyle w:val="Hyperlink"/>
          </w:rPr>
          <w:t>ion-systems-managers.htm</w:t>
        </w:r>
      </w:hyperlink>
      <w:r w:rsidRPr="003279C2">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86020"/>
    <w:multiLevelType w:val="hybridMultilevel"/>
    <w:tmpl w:val="DBE0D2C8"/>
    <w:lvl w:ilvl="0" w:tplc="C29A085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A2947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5CFAF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7EFD0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3CB38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38D1F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F6EFE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3852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8AB5F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EFF16E9"/>
    <w:multiLevelType w:val="hybridMultilevel"/>
    <w:tmpl w:val="5F7C954A"/>
    <w:lvl w:ilvl="0" w:tplc="AC723DFE">
      <w:start w:val="1"/>
      <w:numFmt w:val="decimal"/>
      <w:lvlText w:val="%1."/>
      <w:lvlJc w:val="left"/>
      <w:pPr>
        <w:ind w:left="10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4F8749A">
      <w:start w:val="1"/>
      <w:numFmt w:val="decimal"/>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205CE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7E70B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70E60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28E28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40CC4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202BB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CC683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09C3CA7"/>
    <w:multiLevelType w:val="hybridMultilevel"/>
    <w:tmpl w:val="2E2E054C"/>
    <w:lvl w:ilvl="0" w:tplc="A75E6B3A">
      <w:start w:val="1"/>
      <w:numFmt w:val="lowerLetter"/>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9E20F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5A586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6C3D6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AC62C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ECFA8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96868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C4646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A06EA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92B"/>
    <w:rsid w:val="000076FE"/>
    <w:rsid w:val="000D0A0C"/>
    <w:rsid w:val="003279C2"/>
    <w:rsid w:val="004530F4"/>
    <w:rsid w:val="0094464C"/>
    <w:rsid w:val="00A5236D"/>
    <w:rsid w:val="00D3192B"/>
    <w:rsid w:val="00D60517"/>
    <w:rsid w:val="00E36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BC575"/>
  <w15:docId w15:val="{8F9B50C7-3281-4830-BCCB-913EC89B8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52" w:lineRule="auto"/>
      <w:ind w:left="11"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4530F4"/>
    <w:rPr>
      <w:sz w:val="16"/>
      <w:szCs w:val="16"/>
    </w:rPr>
  </w:style>
  <w:style w:type="paragraph" w:styleId="CommentText">
    <w:name w:val="annotation text"/>
    <w:basedOn w:val="Normal"/>
    <w:link w:val="CommentTextChar"/>
    <w:uiPriority w:val="99"/>
    <w:semiHidden/>
    <w:unhideWhenUsed/>
    <w:rsid w:val="004530F4"/>
    <w:pPr>
      <w:spacing w:line="240" w:lineRule="auto"/>
    </w:pPr>
    <w:rPr>
      <w:sz w:val="20"/>
      <w:szCs w:val="20"/>
    </w:rPr>
  </w:style>
  <w:style w:type="character" w:customStyle="1" w:styleId="CommentTextChar">
    <w:name w:val="Comment Text Char"/>
    <w:basedOn w:val="DefaultParagraphFont"/>
    <w:link w:val="CommentText"/>
    <w:uiPriority w:val="99"/>
    <w:semiHidden/>
    <w:rsid w:val="004530F4"/>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530F4"/>
    <w:rPr>
      <w:b/>
      <w:bCs/>
    </w:rPr>
  </w:style>
  <w:style w:type="character" w:customStyle="1" w:styleId="CommentSubjectChar">
    <w:name w:val="Comment Subject Char"/>
    <w:basedOn w:val="CommentTextChar"/>
    <w:link w:val="CommentSubject"/>
    <w:uiPriority w:val="99"/>
    <w:semiHidden/>
    <w:rsid w:val="004530F4"/>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4530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0F4"/>
    <w:rPr>
      <w:rFonts w:ascii="Segoe UI" w:eastAsia="Times New Roman" w:hAnsi="Segoe UI" w:cs="Segoe UI"/>
      <w:color w:val="000000"/>
      <w:sz w:val="18"/>
      <w:szCs w:val="18"/>
    </w:rPr>
  </w:style>
  <w:style w:type="paragraph" w:styleId="FootnoteText">
    <w:name w:val="footnote text"/>
    <w:basedOn w:val="Normal"/>
    <w:link w:val="FootnoteTextChar"/>
    <w:uiPriority w:val="99"/>
    <w:semiHidden/>
    <w:unhideWhenUsed/>
    <w:rsid w:val="003279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9C2"/>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3279C2"/>
    <w:rPr>
      <w:vertAlign w:val="superscript"/>
    </w:rPr>
  </w:style>
  <w:style w:type="character" w:styleId="Hyperlink">
    <w:name w:val="Hyperlink"/>
    <w:basedOn w:val="DefaultParagraphFont"/>
    <w:uiPriority w:val="99"/>
    <w:unhideWhenUsed/>
    <w:rsid w:val="003279C2"/>
    <w:rPr>
      <w:color w:val="0563C1" w:themeColor="hyperlink"/>
      <w:u w:val="single"/>
    </w:rPr>
  </w:style>
  <w:style w:type="character" w:styleId="FollowedHyperlink">
    <w:name w:val="FollowedHyperlink"/>
    <w:basedOn w:val="DefaultParagraphFont"/>
    <w:uiPriority w:val="99"/>
    <w:semiHidden/>
    <w:unhideWhenUsed/>
    <w:rsid w:val="003279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healthit.gov/uscd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ealthit.gov/uscdi"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oh/management/computer-and-information-systems-manag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5E973-3CAD-4D7A-A010-57571B1CF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1451</Words>
  <Characters>8274</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HHS/ITIO</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subject/>
  <dc:creator>CMS</dc:creator>
  <cp:keywords/>
  <cp:lastModifiedBy>Henry, Jawanna (OS/ONC)</cp:lastModifiedBy>
  <cp:revision>2</cp:revision>
  <dcterms:created xsi:type="dcterms:W3CDTF">2020-07-14T18:35:00Z</dcterms:created>
  <dcterms:modified xsi:type="dcterms:W3CDTF">2020-07-14T18:35:00Z</dcterms:modified>
</cp:coreProperties>
</file>