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E1882" w:rsidR="005B5BCC" w:rsidP="005B5BCC" w:rsidRDefault="005B5BCC" w14:paraId="1B96B99B" w14:textId="77777777">
      <w:pPr>
        <w:pStyle w:val="Title"/>
        <w:spacing w:before="0" w:after="0"/>
        <w:contextualSpacing/>
        <w:rPr>
          <w:color w:val="000000" w:themeColor="text1"/>
        </w:rPr>
      </w:pPr>
      <w:r w:rsidRPr="00FE1882">
        <w:rPr>
          <w:color w:val="000000" w:themeColor="text1"/>
        </w:rPr>
        <w:t>SUPPORTING STATEMENT</w:t>
      </w:r>
    </w:p>
    <w:p w:rsidRPr="00FE1882" w:rsidR="005B5BCC" w:rsidP="005B5BCC" w:rsidRDefault="005B5BCC" w14:paraId="005B3692" w14:textId="77777777">
      <w:pPr>
        <w:pStyle w:val="Title"/>
        <w:spacing w:before="0" w:after="0"/>
        <w:contextualSpacing/>
        <w:rPr>
          <w:color w:val="000000" w:themeColor="text1"/>
        </w:rPr>
      </w:pPr>
      <w:r w:rsidRPr="00FE1882">
        <w:rPr>
          <w:color w:val="000000" w:themeColor="text1"/>
        </w:rPr>
        <w:t>FOR PAPERWORK REDUCTION ACT SUBMISSION</w:t>
      </w:r>
    </w:p>
    <w:p w:rsidRPr="00FE1882" w:rsidR="005B5BCC" w:rsidP="005B5BCC" w:rsidRDefault="005B5BCC" w14:paraId="4649288D" w14:textId="77777777">
      <w:pPr>
        <w:spacing w:after="0"/>
        <w:contextualSpacing/>
        <w:jc w:val="center"/>
        <w:rPr>
          <w:b/>
          <w:color w:val="000000" w:themeColor="text1"/>
        </w:rPr>
      </w:pPr>
      <w:r>
        <w:rPr>
          <w:b/>
          <w:color w:val="000000" w:themeColor="text1"/>
        </w:rPr>
        <w:t>State Plan for Independent Living</w:t>
      </w:r>
    </w:p>
    <w:p w:rsidRPr="00FE1882" w:rsidR="005B5BCC" w:rsidP="005B5BCC" w:rsidRDefault="005B5BCC" w14:paraId="7FA574D3" w14:textId="77777777">
      <w:pPr>
        <w:spacing w:after="0"/>
        <w:contextualSpacing/>
        <w:jc w:val="center"/>
        <w:rPr>
          <w:b/>
          <w:color w:val="000000" w:themeColor="text1"/>
        </w:rPr>
      </w:pPr>
      <w:r w:rsidRPr="00FE1882">
        <w:rPr>
          <w:b/>
          <w:color w:val="000000" w:themeColor="text1"/>
        </w:rPr>
        <w:t>OMB Number: 0985-</w:t>
      </w:r>
      <w:r w:rsidRPr="00D5025A">
        <w:rPr>
          <w:b/>
          <w:color w:val="000000" w:themeColor="text1"/>
        </w:rPr>
        <w:t>0044</w:t>
      </w:r>
    </w:p>
    <w:p w:rsidRPr="00FE1882" w:rsidR="005B5BCC" w:rsidP="005B5BCC" w:rsidRDefault="005B5BCC" w14:paraId="097FB572" w14:textId="77777777">
      <w:pPr>
        <w:spacing w:after="0"/>
        <w:contextualSpacing/>
        <w:jc w:val="center"/>
        <w:rPr>
          <w:color w:val="000000" w:themeColor="text1"/>
        </w:rPr>
      </w:pPr>
    </w:p>
    <w:p w:rsidRPr="00FE1882" w:rsidR="005B5BCC" w:rsidP="005B5BCC" w:rsidRDefault="005B5BCC" w14:paraId="03609462" w14:textId="77777777">
      <w:pPr>
        <w:pStyle w:val="Heading1"/>
        <w:numPr>
          <w:ilvl w:val="0"/>
          <w:numId w:val="2"/>
        </w:numPr>
        <w:spacing w:after="0"/>
        <w:contextualSpacing/>
        <w:rPr>
          <w:rFonts w:cs="Times New Roman"/>
          <w:color w:val="000000" w:themeColor="text1"/>
          <w:sz w:val="24"/>
          <w:szCs w:val="24"/>
        </w:rPr>
      </w:pPr>
      <w:r w:rsidRPr="00FE1882">
        <w:rPr>
          <w:rFonts w:cs="Times New Roman"/>
          <w:color w:val="000000" w:themeColor="text1"/>
          <w:sz w:val="24"/>
          <w:szCs w:val="24"/>
        </w:rPr>
        <w:t>Justification</w:t>
      </w:r>
    </w:p>
    <w:p w:rsidRPr="00FE1882" w:rsidR="005B5BCC" w:rsidP="005B5BCC" w:rsidRDefault="005B5BCC" w14:paraId="2B292F65" w14:textId="77777777">
      <w:pPr>
        <w:pStyle w:val="Heading1"/>
        <w:numPr>
          <w:ilvl w:val="0"/>
          <w:numId w:val="0"/>
        </w:numPr>
        <w:spacing w:after="0"/>
        <w:contextualSpacing/>
        <w:rPr>
          <w:rFonts w:cs="Times New Roman"/>
          <w:color w:val="000000" w:themeColor="text1"/>
          <w:sz w:val="24"/>
          <w:szCs w:val="24"/>
        </w:rPr>
      </w:pPr>
      <w:r w:rsidRPr="00FE1882">
        <w:rPr>
          <w:rFonts w:cs="Times New Roman"/>
          <w:color w:val="000000" w:themeColor="text1"/>
          <w:sz w:val="24"/>
          <w:szCs w:val="24"/>
        </w:rPr>
        <w:t xml:space="preserve"> </w:t>
      </w:r>
    </w:p>
    <w:p w:rsidRPr="00FE1882" w:rsidR="005B5BCC" w:rsidP="005B5BCC" w:rsidRDefault="005B5BCC" w14:paraId="660C0D95" w14:textId="77777777">
      <w:pPr>
        <w:pStyle w:val="ListParagraph"/>
        <w:numPr>
          <w:ilvl w:val="0"/>
          <w:numId w:val="1"/>
        </w:numPr>
        <w:spacing w:before="0" w:after="0"/>
        <w:ind w:left="0"/>
        <w:contextualSpacing/>
        <w:rPr>
          <w:b/>
          <w:color w:val="000000" w:themeColor="text1"/>
        </w:rPr>
      </w:pPr>
      <w:r w:rsidRPr="00FE1882">
        <w:rPr>
          <w:b/>
          <w:color w:val="000000" w:themeColor="text1"/>
        </w:rPr>
        <w:t xml:space="preserve">Circumstances Making the Collection of Information Necessary </w:t>
      </w:r>
    </w:p>
    <w:p w:rsidRPr="00FE1882" w:rsidR="005B5BCC" w:rsidP="005B5BCC" w:rsidRDefault="005B5BCC" w14:paraId="7771E970" w14:textId="77777777">
      <w:pPr>
        <w:pStyle w:val="ListParagraph"/>
        <w:spacing w:before="0" w:after="0"/>
        <w:ind w:left="0"/>
        <w:contextualSpacing/>
        <w:rPr>
          <w:b/>
          <w:color w:val="000000" w:themeColor="text1"/>
        </w:rPr>
      </w:pPr>
    </w:p>
    <w:p w:rsidRPr="00FE1882" w:rsidR="005B5BCC" w:rsidP="005B5BCC" w:rsidRDefault="005B5BCC" w14:paraId="6815657F" w14:textId="77777777">
      <w:pPr>
        <w:pStyle w:val="ListParagraph"/>
        <w:spacing w:before="0" w:after="0"/>
        <w:ind w:left="0"/>
        <w:contextualSpacing/>
        <w:rPr>
          <w:color w:val="000000" w:themeColor="text1"/>
        </w:rPr>
      </w:pPr>
      <w:r w:rsidRPr="00FE1882">
        <w:rPr>
          <w:color w:val="000000" w:themeColor="text1"/>
        </w:rPr>
        <w:t>In compliance with 44 U.S.C. § 3507,</w:t>
      </w:r>
      <w:r>
        <w:rPr>
          <w:color w:val="000000" w:themeColor="text1"/>
        </w:rPr>
        <w:t xml:space="preserve"> the Administration for Community Living</w:t>
      </w:r>
      <w:r w:rsidRPr="00FE1882">
        <w:rPr>
          <w:color w:val="000000" w:themeColor="text1"/>
        </w:rPr>
        <w:t xml:space="preserve"> </w:t>
      </w:r>
      <w:r>
        <w:rPr>
          <w:color w:val="000000" w:themeColor="text1"/>
        </w:rPr>
        <w:t>(</w:t>
      </w:r>
      <w:r w:rsidRPr="00FE1882">
        <w:rPr>
          <w:color w:val="000000" w:themeColor="text1"/>
        </w:rPr>
        <w:t>ACL</w:t>
      </w:r>
      <w:r>
        <w:rPr>
          <w:color w:val="000000" w:themeColor="text1"/>
        </w:rPr>
        <w:t>)</w:t>
      </w:r>
      <w:r w:rsidRPr="00FE1882">
        <w:rPr>
          <w:color w:val="000000" w:themeColor="text1"/>
        </w:rPr>
        <w:t xml:space="preserve"> has submitted the following proposed collection of information to OMB for review and clearance. </w:t>
      </w:r>
      <w:r w:rsidRPr="004232EC">
        <w:t>Legal authority for the State Plan for Independent Living</w:t>
      </w:r>
      <w:r>
        <w:t xml:space="preserve"> (SPIL)</w:t>
      </w:r>
      <w:r w:rsidRPr="004232EC">
        <w:t xml:space="preserve"> is contained in Chapter 1 of Title VII of the Rehabilitation Act of 1973, as amended by the Workforce Innovation and Opportunity Act</w:t>
      </w:r>
      <w:r>
        <w:t xml:space="preserve"> (WIOA)</w:t>
      </w:r>
      <w:r w:rsidRPr="004232EC">
        <w:t xml:space="preserve"> ([the Act], P.L. 113-128). Section 704 of the Rehabilitation Act requires that, to be eligible to receive financial assistance under Chapter 1, “a State shall submit to the Department, and obtain approval of, a State plan containing such provisions as the Department may require.” </w:t>
      </w:r>
      <w:r>
        <w:t>ACL</w:t>
      </w:r>
      <w:r w:rsidRPr="004232EC">
        <w:t xml:space="preserve"> approval of the SPIL is required for states to receive federal funding for both the Independent Living Services State grants and Centers for Independent Living </w:t>
      </w:r>
      <w:r>
        <w:t xml:space="preserve">(CIL) </w:t>
      </w:r>
      <w:r w:rsidRPr="004232EC">
        <w:t xml:space="preserve">programs.  Federal statute and regulations require the collection of this </w:t>
      </w:r>
      <w:r>
        <w:t xml:space="preserve">information at least every three years and as often as </w:t>
      </w:r>
      <w:r w:rsidRPr="005003F6">
        <w:t>necessary to reflect an</w:t>
      </w:r>
      <w:r>
        <w:t xml:space="preserve">y material change in State law, </w:t>
      </w:r>
      <w:r w:rsidRPr="005003F6">
        <w:t>organization, policy, or agency operations that affects the administration of the</w:t>
      </w:r>
      <w:r>
        <w:t xml:space="preserve"> SPIL.</w:t>
      </w:r>
    </w:p>
    <w:p w:rsidRPr="00FE1882" w:rsidR="005B5BCC" w:rsidP="005B5BCC" w:rsidRDefault="005B5BCC" w14:paraId="17E3A410" w14:textId="77777777">
      <w:pPr>
        <w:pStyle w:val="ListParagraph"/>
        <w:spacing w:before="0" w:after="0"/>
        <w:ind w:left="0"/>
        <w:contextualSpacing/>
        <w:rPr>
          <w:color w:val="000000" w:themeColor="text1"/>
        </w:rPr>
      </w:pPr>
    </w:p>
    <w:p w:rsidR="00527011" w:rsidP="00EF44FB" w:rsidRDefault="005B5BCC" w14:paraId="14AA566A" w14:textId="674801AF">
      <w:pPr>
        <w:pStyle w:val="ListParagraph"/>
        <w:tabs>
          <w:tab w:val="left" w:pos="1800"/>
        </w:tabs>
        <w:spacing w:before="0" w:after="0"/>
        <w:ind w:left="0"/>
        <w:contextualSpacing/>
        <w:rPr>
          <w:color w:val="000000" w:themeColor="text1"/>
        </w:rPr>
      </w:pPr>
      <w:r w:rsidRPr="00FE1882">
        <w:rPr>
          <w:color w:val="000000" w:themeColor="text1"/>
        </w:rPr>
        <w:t>This collection of information is an extension</w:t>
      </w:r>
      <w:r w:rsidR="00527011">
        <w:rPr>
          <w:color w:val="000000" w:themeColor="text1"/>
        </w:rPr>
        <w:t xml:space="preserve"> with changes. </w:t>
      </w:r>
      <w:proofErr w:type="gramStart"/>
      <w:r w:rsidR="00527011">
        <w:rPr>
          <w:color w:val="000000" w:themeColor="text1"/>
        </w:rPr>
        <w:t>The changes reflect</w:t>
      </w:r>
      <w:r w:rsidR="00BB413C">
        <w:rPr>
          <w:color w:val="000000" w:themeColor="text1"/>
        </w:rPr>
        <w:t xml:space="preserve"> the core services that WIOA requires, explain the state matching requirement and specify how to include the state match in the financial plan, include legal basis and certifications and DSE assurances and SILC assurances, include a chart for the financial plan and a chart for the existing centers that specifies service areas and oversight, and include a signatures section.</w:t>
      </w:r>
      <w:proofErr w:type="gramEnd"/>
    </w:p>
    <w:p w:rsidR="00EF44FB" w:rsidP="00EF44FB" w:rsidRDefault="00EF44FB" w14:paraId="4CB912F8" w14:textId="37448EDF">
      <w:pPr>
        <w:pStyle w:val="ListParagraph"/>
        <w:tabs>
          <w:tab w:val="left" w:pos="1800"/>
        </w:tabs>
        <w:spacing w:before="0" w:after="0"/>
        <w:ind w:left="0"/>
        <w:contextualSpacing/>
        <w:rPr>
          <w:color w:val="000000" w:themeColor="text1"/>
        </w:rPr>
      </w:pPr>
    </w:p>
    <w:p w:rsidRPr="00FE1882" w:rsidR="00EF44FB" w:rsidP="00EF44FB" w:rsidRDefault="00EF44FB" w14:paraId="5C29DF59" w14:textId="43FE58E9">
      <w:pPr>
        <w:pStyle w:val="ListParagraph"/>
        <w:tabs>
          <w:tab w:val="left" w:pos="1800"/>
        </w:tabs>
        <w:spacing w:before="0" w:after="0"/>
        <w:ind w:left="0"/>
        <w:contextualSpacing/>
        <w:rPr>
          <w:color w:val="000000" w:themeColor="text1"/>
        </w:rPr>
      </w:pPr>
    </w:p>
    <w:p w:rsidRPr="00FE1882" w:rsidR="005B5BCC" w:rsidP="005B5BCC" w:rsidRDefault="005B5BCC" w14:paraId="5C41D43C" w14:textId="73E96ACB">
      <w:pPr>
        <w:pStyle w:val="ListParagraph"/>
        <w:spacing w:before="0" w:after="0"/>
        <w:ind w:left="0"/>
        <w:contextualSpacing/>
        <w:rPr>
          <w:color w:val="000000" w:themeColor="text1"/>
        </w:rPr>
      </w:pPr>
    </w:p>
    <w:p w:rsidRPr="00FE1882" w:rsidR="005B5BCC" w:rsidP="005B5BCC" w:rsidRDefault="005B5BCC" w14:paraId="6477D8B6" w14:textId="77777777">
      <w:pPr>
        <w:pStyle w:val="ListParagraph"/>
        <w:numPr>
          <w:ilvl w:val="0"/>
          <w:numId w:val="1"/>
        </w:numPr>
        <w:spacing w:before="0" w:after="0"/>
        <w:ind w:left="0"/>
        <w:contextualSpacing/>
        <w:rPr>
          <w:b/>
          <w:color w:val="000000" w:themeColor="text1"/>
        </w:rPr>
      </w:pPr>
      <w:r w:rsidRPr="00FE1882">
        <w:rPr>
          <w:b/>
          <w:color w:val="000000" w:themeColor="text1"/>
        </w:rPr>
        <w:t>Purpose and Use of the Information Collection</w:t>
      </w:r>
    </w:p>
    <w:p w:rsidRPr="00FE1882" w:rsidR="005B5BCC" w:rsidP="005B5BCC" w:rsidRDefault="005B5BCC" w14:paraId="64C1B2EE" w14:textId="77777777">
      <w:pPr>
        <w:pStyle w:val="ListParagraph"/>
        <w:spacing w:before="0" w:after="0"/>
        <w:ind w:left="0"/>
        <w:contextualSpacing/>
        <w:rPr>
          <w:b/>
          <w:color w:val="000000" w:themeColor="text1"/>
        </w:rPr>
      </w:pPr>
    </w:p>
    <w:p w:rsidR="005B5BCC" w:rsidP="005B5BCC" w:rsidRDefault="005B5BCC" w14:paraId="75FA351E" w14:textId="154DC9EF">
      <w:pPr>
        <w:pStyle w:val="ListParagraph"/>
        <w:spacing w:before="0" w:after="0"/>
        <w:ind w:left="0"/>
        <w:contextualSpacing/>
        <w:rPr>
          <w:b/>
          <w:color w:val="000000" w:themeColor="text1"/>
        </w:rPr>
      </w:pPr>
      <w:r w:rsidRPr="00A61CBC">
        <w:rPr>
          <w:color w:val="000000" w:themeColor="text1"/>
        </w:rPr>
        <w:t xml:space="preserve">The </w:t>
      </w:r>
      <w:proofErr w:type="gramStart"/>
      <w:r w:rsidRPr="00A61CBC">
        <w:rPr>
          <w:color w:val="000000" w:themeColor="text1"/>
        </w:rPr>
        <w:t xml:space="preserve">SPIL is jointly developed by the chairperson of the Statewide Independent Living Council </w:t>
      </w:r>
      <w:r>
        <w:rPr>
          <w:color w:val="000000" w:themeColor="text1"/>
        </w:rPr>
        <w:t xml:space="preserve">(SILC) </w:t>
      </w:r>
      <w:r w:rsidRPr="00A61CBC">
        <w:rPr>
          <w:color w:val="000000" w:themeColor="text1"/>
        </w:rPr>
        <w:t>and the directors of the</w:t>
      </w:r>
      <w:r>
        <w:rPr>
          <w:color w:val="000000" w:themeColor="text1"/>
        </w:rPr>
        <w:t xml:space="preserve"> CILs and the </w:t>
      </w:r>
      <w:r w:rsidRPr="00A61CBC" w:rsidR="003062BB">
        <w:rPr>
          <w:color w:val="000000" w:themeColor="text1"/>
        </w:rPr>
        <w:t>designated State entity</w:t>
      </w:r>
      <w:r w:rsidR="003062BB">
        <w:rPr>
          <w:color w:val="000000" w:themeColor="text1"/>
        </w:rPr>
        <w:t xml:space="preserve"> (</w:t>
      </w:r>
      <w:r>
        <w:rPr>
          <w:color w:val="000000" w:themeColor="text1"/>
        </w:rPr>
        <w:t>DSE</w:t>
      </w:r>
      <w:r w:rsidR="003062BB">
        <w:rPr>
          <w:color w:val="000000" w:themeColor="text1"/>
        </w:rPr>
        <w:t>)</w:t>
      </w:r>
      <w:r w:rsidRPr="00A61CBC">
        <w:rPr>
          <w:color w:val="000000" w:themeColor="text1"/>
        </w:rPr>
        <w:t xml:space="preserve"> in the State</w:t>
      </w:r>
      <w:proofErr w:type="gramEnd"/>
      <w:r w:rsidRPr="00A61CBC">
        <w:rPr>
          <w:color w:val="000000" w:themeColor="text1"/>
        </w:rPr>
        <w:t>, after receiving public input from individuals throughout the State</w:t>
      </w:r>
      <w:r w:rsidR="001B5C57">
        <w:rPr>
          <w:color w:val="000000" w:themeColor="text1"/>
        </w:rPr>
        <w:t>.</w:t>
      </w:r>
      <w:r w:rsidRPr="00A61CBC">
        <w:rPr>
          <w:color w:val="000000" w:themeColor="text1"/>
        </w:rPr>
        <w:t xml:space="preserve"> ACL reviews the SPIL for compliance with the Rehabilitation Act and </w:t>
      </w:r>
      <w:r>
        <w:rPr>
          <w:color w:val="000000" w:themeColor="text1"/>
        </w:rPr>
        <w:t>45 CFR part 1329 and approves the SPIL</w:t>
      </w:r>
      <w:r w:rsidRPr="00A61CBC">
        <w:rPr>
          <w:color w:val="000000" w:themeColor="text1"/>
        </w:rPr>
        <w:t xml:space="preserve">. </w:t>
      </w:r>
      <w:r>
        <w:rPr>
          <w:color w:val="000000" w:themeColor="text1"/>
        </w:rPr>
        <w:t>It</w:t>
      </w:r>
      <w:r w:rsidRPr="00A61CBC">
        <w:rPr>
          <w:color w:val="000000" w:themeColor="text1"/>
        </w:rPr>
        <w:t xml:space="preserve"> also serves </w:t>
      </w:r>
      <w:r w:rsidR="001B5C57">
        <w:rPr>
          <w:color w:val="000000" w:themeColor="text1"/>
        </w:rPr>
        <w:t xml:space="preserve">statewide </w:t>
      </w:r>
      <w:r w:rsidRPr="00A61CBC">
        <w:rPr>
          <w:color w:val="000000" w:themeColor="text1"/>
        </w:rPr>
        <w:t>as a primary planning document for continuous monitoring of technical assistance to the state independent living programs to ensure planning</w:t>
      </w:r>
      <w:r w:rsidR="001B5C57">
        <w:rPr>
          <w:color w:val="000000" w:themeColor="text1"/>
        </w:rPr>
        <w:t>;</w:t>
      </w:r>
      <w:r w:rsidRPr="00A61CBC">
        <w:rPr>
          <w:color w:val="000000" w:themeColor="text1"/>
        </w:rPr>
        <w:t xml:space="preserve"> financial support and coordination</w:t>
      </w:r>
      <w:r w:rsidR="001B5C57">
        <w:rPr>
          <w:color w:val="000000" w:themeColor="text1"/>
        </w:rPr>
        <w:t>;</w:t>
      </w:r>
      <w:r w:rsidRPr="00A61CBC">
        <w:rPr>
          <w:color w:val="000000" w:themeColor="text1"/>
        </w:rPr>
        <w:t xml:space="preserve"> and other assistance </w:t>
      </w:r>
      <w:r w:rsidRPr="00A61CBC" w:rsidR="00EF44FB">
        <w:rPr>
          <w:color w:val="000000" w:themeColor="text1"/>
        </w:rPr>
        <w:t xml:space="preserve">to </w:t>
      </w:r>
      <w:r w:rsidR="00EF44FB">
        <w:rPr>
          <w:color w:val="000000" w:themeColor="text1"/>
        </w:rPr>
        <w:t>facilitate</w:t>
      </w:r>
      <w:r w:rsidRPr="00A61CBC">
        <w:rPr>
          <w:color w:val="000000" w:themeColor="text1"/>
        </w:rPr>
        <w:t xml:space="preserve"> independent living services.</w:t>
      </w:r>
    </w:p>
    <w:p w:rsidR="00E22D6E" w:rsidP="00E22D6E" w:rsidRDefault="00E22D6E" w14:paraId="7FD07925" w14:textId="77777777">
      <w:pPr>
        <w:pStyle w:val="ListParagraph"/>
        <w:spacing w:before="0" w:after="0"/>
        <w:ind w:left="0"/>
        <w:contextualSpacing/>
        <w:rPr>
          <w:b/>
          <w:color w:val="000000" w:themeColor="text1"/>
        </w:rPr>
      </w:pPr>
    </w:p>
    <w:p w:rsidRPr="00FE1882" w:rsidR="005B5BCC" w:rsidP="005B5BCC" w:rsidRDefault="005B5BCC" w14:paraId="6AEC6474" w14:textId="26C8C8EA">
      <w:pPr>
        <w:pStyle w:val="ListParagraph"/>
        <w:numPr>
          <w:ilvl w:val="0"/>
          <w:numId w:val="1"/>
        </w:numPr>
        <w:spacing w:before="0" w:after="0"/>
        <w:ind w:left="0"/>
        <w:contextualSpacing/>
        <w:rPr>
          <w:b/>
          <w:color w:val="000000" w:themeColor="text1"/>
        </w:rPr>
      </w:pPr>
      <w:r w:rsidRPr="00FE1882">
        <w:rPr>
          <w:b/>
          <w:color w:val="000000" w:themeColor="text1"/>
        </w:rPr>
        <w:t xml:space="preserve">Use of Improved Information Technology and Burden Reduction </w:t>
      </w:r>
    </w:p>
    <w:p w:rsidR="005B5BCC" w:rsidP="005B5BCC" w:rsidRDefault="005B5BCC" w14:paraId="09D6AD6E" w14:textId="77777777">
      <w:pPr>
        <w:pStyle w:val="ListParagraph"/>
        <w:spacing w:before="0" w:after="0"/>
        <w:ind w:left="0"/>
        <w:contextualSpacing/>
        <w:rPr>
          <w:b/>
          <w:color w:val="000000" w:themeColor="text1"/>
        </w:rPr>
      </w:pPr>
    </w:p>
    <w:p w:rsidR="005B5BCC" w:rsidP="005B5BCC" w:rsidRDefault="005B5BCC" w14:paraId="0BC80F09" w14:textId="70A43A83">
      <w:pPr>
        <w:pStyle w:val="ListParagraph"/>
        <w:spacing w:before="0" w:after="0"/>
        <w:ind w:left="0"/>
        <w:contextualSpacing/>
        <w:rPr>
          <w:color w:val="000000" w:themeColor="text1"/>
        </w:rPr>
      </w:pPr>
      <w:r>
        <w:rPr>
          <w:color w:val="000000" w:themeColor="text1"/>
        </w:rPr>
        <w:t xml:space="preserve">SPILs </w:t>
      </w:r>
      <w:proofErr w:type="gramStart"/>
      <w:r>
        <w:rPr>
          <w:color w:val="000000" w:themeColor="text1"/>
        </w:rPr>
        <w:t>are submitted</w:t>
      </w:r>
      <w:proofErr w:type="gramEnd"/>
      <w:r>
        <w:rPr>
          <w:color w:val="000000" w:themeColor="text1"/>
        </w:rPr>
        <w:t xml:space="preserve"> electronically through ACL</w:t>
      </w:r>
      <w:r w:rsidR="003062BB">
        <w:rPr>
          <w:color w:val="000000" w:themeColor="text1"/>
        </w:rPr>
        <w:t xml:space="preserve"> </w:t>
      </w:r>
      <w:r>
        <w:rPr>
          <w:color w:val="000000" w:themeColor="text1"/>
        </w:rPr>
        <w:t xml:space="preserve">Reporting because it complies with the Americans with Disabilities Act and section 508 of the Rehabilitation Act, minimizes the time and effort that submission involves, and presents SPILs in a format that ILA can readily evaluate. </w:t>
      </w:r>
      <w:r w:rsidRPr="00C4230B">
        <w:rPr>
          <w:color w:val="000000" w:themeColor="text1"/>
          <w:u w:val="single"/>
        </w:rPr>
        <w:t>See</w:t>
      </w:r>
      <w:r>
        <w:rPr>
          <w:color w:val="000000" w:themeColor="text1"/>
        </w:rPr>
        <w:t xml:space="preserve"> 29 U.S.C. § 101(a</w:t>
      </w:r>
      <w:proofErr w:type="gramStart"/>
      <w:r>
        <w:rPr>
          <w:color w:val="000000" w:themeColor="text1"/>
        </w:rPr>
        <w:t>)(</w:t>
      </w:r>
      <w:proofErr w:type="gramEnd"/>
      <w:r>
        <w:rPr>
          <w:color w:val="000000" w:themeColor="text1"/>
        </w:rPr>
        <w:t xml:space="preserve">1)(A); </w:t>
      </w:r>
      <w:r w:rsidRPr="00C4230B">
        <w:rPr>
          <w:color w:val="000000" w:themeColor="text1"/>
          <w:u w:val="single"/>
        </w:rPr>
        <w:t>see</w:t>
      </w:r>
      <w:r>
        <w:rPr>
          <w:color w:val="000000" w:themeColor="text1"/>
        </w:rPr>
        <w:t xml:space="preserve"> </w:t>
      </w:r>
      <w:r w:rsidRPr="00C4230B">
        <w:rPr>
          <w:color w:val="000000" w:themeColor="text1"/>
        </w:rPr>
        <w:t>45 CFR</w:t>
      </w:r>
      <w:r>
        <w:rPr>
          <w:color w:val="000000" w:themeColor="text1"/>
        </w:rPr>
        <w:t xml:space="preserve"> §</w:t>
      </w:r>
      <w:r w:rsidRPr="00C4230B">
        <w:rPr>
          <w:color w:val="000000" w:themeColor="text1"/>
        </w:rPr>
        <w:t xml:space="preserve"> 1329.17</w:t>
      </w:r>
      <w:r>
        <w:rPr>
          <w:color w:val="000000" w:themeColor="text1"/>
        </w:rPr>
        <w:t>.</w:t>
      </w:r>
    </w:p>
    <w:p w:rsidRPr="00EF44FB" w:rsidR="00EF44FB" w:rsidP="002E6FDF" w:rsidRDefault="00EF44FB" w14:paraId="3FAE94C5" w14:textId="77777777">
      <w:pPr>
        <w:spacing w:after="0"/>
        <w:contextualSpacing/>
        <w:rPr>
          <w:b/>
          <w:color w:val="000000" w:themeColor="text1"/>
        </w:rPr>
      </w:pPr>
    </w:p>
    <w:p w:rsidRPr="00FE1882" w:rsidR="005B5BCC" w:rsidP="005B5BCC" w:rsidRDefault="005B5BCC" w14:paraId="27E24331" w14:textId="0D16D323">
      <w:pPr>
        <w:pStyle w:val="ListParagraph"/>
        <w:numPr>
          <w:ilvl w:val="0"/>
          <w:numId w:val="1"/>
        </w:numPr>
        <w:spacing w:before="0" w:after="0"/>
        <w:ind w:left="0"/>
        <w:contextualSpacing/>
        <w:rPr>
          <w:b/>
          <w:color w:val="000000" w:themeColor="text1"/>
        </w:rPr>
      </w:pPr>
      <w:r w:rsidRPr="00FE1882">
        <w:rPr>
          <w:b/>
          <w:color w:val="000000" w:themeColor="text1"/>
        </w:rPr>
        <w:t xml:space="preserve">Efforts to Identify Duplication and Use of Similar Information </w:t>
      </w:r>
    </w:p>
    <w:p w:rsidRPr="00FE1882" w:rsidR="005B5BCC" w:rsidP="005B5BCC" w:rsidRDefault="005B5BCC" w14:paraId="2E3877A2" w14:textId="77777777">
      <w:pPr>
        <w:pStyle w:val="ListParagraph"/>
        <w:spacing w:before="0" w:after="0"/>
        <w:ind w:left="0"/>
        <w:contextualSpacing/>
        <w:rPr>
          <w:color w:val="000000" w:themeColor="text1"/>
        </w:rPr>
      </w:pPr>
    </w:p>
    <w:p w:rsidRPr="00FE1882" w:rsidR="005B5BCC" w:rsidP="005B5BCC" w:rsidRDefault="005B5BCC" w14:paraId="47524A9B" w14:textId="77777777">
      <w:pPr>
        <w:pStyle w:val="ListParagraph"/>
        <w:spacing w:before="0" w:after="0"/>
        <w:ind w:left="0"/>
        <w:contextualSpacing/>
        <w:rPr>
          <w:color w:val="000000" w:themeColor="text1"/>
        </w:rPr>
      </w:pPr>
      <w:r w:rsidRPr="00FE1882">
        <w:rPr>
          <w:color w:val="000000" w:themeColor="text1"/>
        </w:rPr>
        <w:t>The data that is necessary for the purpose described in Item 2, above, is not available through other data collection</w:t>
      </w:r>
      <w:r>
        <w:rPr>
          <w:color w:val="000000" w:themeColor="text1"/>
        </w:rPr>
        <w:t>s</w:t>
      </w:r>
      <w:r w:rsidRPr="00FE1882">
        <w:rPr>
          <w:color w:val="000000" w:themeColor="text1"/>
        </w:rPr>
        <w:t>.</w:t>
      </w:r>
    </w:p>
    <w:p w:rsidRPr="00FE1882" w:rsidR="005B5BCC" w:rsidP="005B5BCC" w:rsidRDefault="005B5BCC" w14:paraId="3B050476" w14:textId="77777777">
      <w:pPr>
        <w:pStyle w:val="ListParagraph"/>
        <w:spacing w:before="0" w:after="0"/>
        <w:ind w:left="0"/>
        <w:contextualSpacing/>
        <w:rPr>
          <w:color w:val="000000" w:themeColor="text1"/>
        </w:rPr>
      </w:pPr>
    </w:p>
    <w:p w:rsidRPr="00FE1882" w:rsidR="005B5BCC" w:rsidP="005B5BCC" w:rsidRDefault="005B5BCC" w14:paraId="4A88E8C6" w14:textId="77777777">
      <w:pPr>
        <w:pStyle w:val="ListParagraph"/>
        <w:numPr>
          <w:ilvl w:val="0"/>
          <w:numId w:val="1"/>
        </w:numPr>
        <w:spacing w:before="0" w:after="0"/>
        <w:ind w:left="0"/>
        <w:contextualSpacing/>
        <w:rPr>
          <w:b/>
          <w:color w:val="000000" w:themeColor="text1"/>
        </w:rPr>
      </w:pPr>
      <w:r w:rsidRPr="00FE1882">
        <w:rPr>
          <w:b/>
          <w:color w:val="000000" w:themeColor="text1"/>
        </w:rPr>
        <w:t xml:space="preserve">Impact on Small Businesses or Other Small Entities </w:t>
      </w:r>
    </w:p>
    <w:p w:rsidRPr="00FE1882" w:rsidR="005B5BCC" w:rsidP="005B5BCC" w:rsidRDefault="005B5BCC" w14:paraId="0156DFD5" w14:textId="77777777">
      <w:pPr>
        <w:pStyle w:val="ListParagraph"/>
        <w:spacing w:before="0" w:after="0"/>
        <w:ind w:left="0"/>
        <w:contextualSpacing/>
        <w:rPr>
          <w:color w:val="000000" w:themeColor="text1"/>
        </w:rPr>
      </w:pPr>
    </w:p>
    <w:p w:rsidRPr="00FE1882" w:rsidR="005B5BCC" w:rsidP="005B5BCC" w:rsidRDefault="005B5BCC" w14:paraId="7CD59111" w14:textId="77777777">
      <w:pPr>
        <w:pStyle w:val="ListParagraph"/>
        <w:spacing w:before="0" w:after="0"/>
        <w:ind w:left="0"/>
        <w:contextualSpacing/>
        <w:rPr>
          <w:color w:val="000000" w:themeColor="text1"/>
        </w:rPr>
      </w:pPr>
      <w:r w:rsidRPr="00FE1882">
        <w:rPr>
          <w:color w:val="000000" w:themeColor="text1"/>
        </w:rPr>
        <w:t>Not applicable.</w:t>
      </w:r>
    </w:p>
    <w:p w:rsidRPr="00FE1882" w:rsidR="005B5BCC" w:rsidP="005B5BCC" w:rsidRDefault="005B5BCC" w14:paraId="282B3D34" w14:textId="77777777">
      <w:pPr>
        <w:pStyle w:val="ListParagraph"/>
        <w:spacing w:before="0" w:after="0"/>
        <w:ind w:left="0"/>
        <w:contextualSpacing/>
        <w:rPr>
          <w:color w:val="000000" w:themeColor="text1"/>
        </w:rPr>
      </w:pPr>
    </w:p>
    <w:p w:rsidRPr="00FE1882" w:rsidR="005B5BCC" w:rsidP="005B5BCC" w:rsidRDefault="005B5BCC" w14:paraId="1DD7B4DB" w14:textId="77777777">
      <w:pPr>
        <w:pStyle w:val="ListParagraph"/>
        <w:numPr>
          <w:ilvl w:val="0"/>
          <w:numId w:val="1"/>
        </w:numPr>
        <w:spacing w:before="0" w:after="0"/>
        <w:ind w:left="0"/>
        <w:contextualSpacing/>
        <w:rPr>
          <w:b/>
          <w:color w:val="000000" w:themeColor="text1"/>
        </w:rPr>
      </w:pPr>
      <w:r w:rsidRPr="00FE1882">
        <w:rPr>
          <w:b/>
          <w:color w:val="000000" w:themeColor="text1"/>
        </w:rPr>
        <w:t xml:space="preserve">Consequences of Collecting the Information Less Frequently </w:t>
      </w:r>
    </w:p>
    <w:p w:rsidR="005B5BCC" w:rsidP="005B5BCC" w:rsidRDefault="005B5BCC" w14:paraId="7741FB8A" w14:textId="77777777">
      <w:pPr>
        <w:pStyle w:val="ListParagraph"/>
        <w:spacing w:before="0" w:after="0"/>
        <w:ind w:left="0"/>
        <w:contextualSpacing/>
        <w:rPr>
          <w:color w:val="000000" w:themeColor="text1"/>
        </w:rPr>
      </w:pPr>
    </w:p>
    <w:p w:rsidR="005B5BCC" w:rsidP="005B5BCC" w:rsidRDefault="005B5BCC" w14:paraId="395BD000" w14:textId="77777777">
      <w:pPr>
        <w:pStyle w:val="ListParagraph"/>
        <w:spacing w:before="0" w:after="0"/>
        <w:ind w:left="0"/>
        <w:contextualSpacing/>
        <w:rPr>
          <w:color w:val="000000" w:themeColor="text1"/>
        </w:rPr>
      </w:pPr>
      <w:r>
        <w:rPr>
          <w:color w:val="000000" w:themeColor="text1"/>
        </w:rPr>
        <w:t xml:space="preserve">The regulations that implement the Rehabilitation Act require states to update their SPILs at least every three years and as often as material changes in state law, organization, policy, or agency operations affect administration of the SPILs. State laws </w:t>
      </w:r>
      <w:proofErr w:type="gramStart"/>
      <w:r>
        <w:rPr>
          <w:color w:val="000000" w:themeColor="text1"/>
        </w:rPr>
        <w:t>can be passed or revised annually,</w:t>
      </w:r>
      <w:proofErr w:type="gramEnd"/>
      <w:r>
        <w:rPr>
          <w:color w:val="000000" w:themeColor="text1"/>
        </w:rPr>
        <w:t xml:space="preserve"> and organization, policy, and agency operations can materially change more often. Therefore, annual revision of SPILs is often necessary.</w:t>
      </w:r>
    </w:p>
    <w:p w:rsidRPr="00FE1882" w:rsidR="005B5BCC" w:rsidP="005B5BCC" w:rsidRDefault="005B5BCC" w14:paraId="12475503" w14:textId="77777777">
      <w:pPr>
        <w:pStyle w:val="ListParagraph"/>
        <w:spacing w:before="0" w:after="0"/>
        <w:ind w:left="0"/>
        <w:contextualSpacing/>
        <w:rPr>
          <w:color w:val="000000" w:themeColor="text1"/>
        </w:rPr>
      </w:pPr>
    </w:p>
    <w:p w:rsidRPr="00FE1882" w:rsidR="005B5BCC" w:rsidP="005B5BCC" w:rsidRDefault="005B5BCC" w14:paraId="559512BB" w14:textId="77777777">
      <w:pPr>
        <w:pStyle w:val="ListParagraph"/>
        <w:numPr>
          <w:ilvl w:val="0"/>
          <w:numId w:val="1"/>
        </w:numPr>
        <w:spacing w:before="0" w:after="0"/>
        <w:ind w:left="0"/>
        <w:contextualSpacing/>
        <w:rPr>
          <w:b/>
          <w:color w:val="000000" w:themeColor="text1"/>
        </w:rPr>
      </w:pPr>
      <w:r w:rsidRPr="00FE1882">
        <w:rPr>
          <w:b/>
          <w:color w:val="000000" w:themeColor="text1"/>
        </w:rPr>
        <w:t xml:space="preserve">Special Circumstances Relating to the Guidelines of 5 CFR 1320.5 </w:t>
      </w:r>
    </w:p>
    <w:p w:rsidRPr="00FE1882" w:rsidR="005B5BCC" w:rsidP="005B5BCC" w:rsidRDefault="005B5BCC" w14:paraId="52FC6414" w14:textId="77777777">
      <w:pPr>
        <w:pStyle w:val="ListParagraph"/>
        <w:spacing w:before="0" w:after="0"/>
        <w:ind w:left="0"/>
        <w:contextualSpacing/>
        <w:rPr>
          <w:b/>
          <w:color w:val="000000" w:themeColor="text1"/>
        </w:rPr>
      </w:pPr>
    </w:p>
    <w:p w:rsidRPr="00FE1882" w:rsidR="005B5BCC" w:rsidP="005B5BCC" w:rsidRDefault="005B5BCC" w14:paraId="37982C6E" w14:textId="77777777">
      <w:pPr>
        <w:pStyle w:val="ListParagraph"/>
        <w:spacing w:before="0" w:after="0"/>
        <w:ind w:left="0"/>
        <w:contextualSpacing/>
        <w:rPr>
          <w:b/>
          <w:color w:val="000000" w:themeColor="text1"/>
        </w:rPr>
      </w:pPr>
      <w:r w:rsidRPr="00FE1882">
        <w:rPr>
          <w:color w:val="000000" w:themeColor="text1"/>
        </w:rPr>
        <w:t>None of the listed provisions applies to this information collection.</w:t>
      </w:r>
    </w:p>
    <w:p w:rsidRPr="00FE1882" w:rsidR="005B5BCC" w:rsidP="005B5BCC" w:rsidRDefault="005B5BCC" w14:paraId="63ED57A4" w14:textId="77777777">
      <w:pPr>
        <w:tabs>
          <w:tab w:val="left" w:pos="-720"/>
          <w:tab w:val="left" w:pos="1247"/>
        </w:tabs>
        <w:suppressAutoHyphens/>
        <w:spacing w:after="0"/>
        <w:contextualSpacing/>
        <w:rPr>
          <w:color w:val="000000" w:themeColor="text1"/>
        </w:rPr>
      </w:pPr>
    </w:p>
    <w:p w:rsidRPr="00FE1882" w:rsidR="005B5BCC" w:rsidP="005B5BCC" w:rsidRDefault="005B5BCC" w14:paraId="23482D0F" w14:textId="77777777">
      <w:pPr>
        <w:pStyle w:val="ListParagraph"/>
        <w:numPr>
          <w:ilvl w:val="0"/>
          <w:numId w:val="1"/>
        </w:numPr>
        <w:spacing w:before="0" w:after="0"/>
        <w:ind w:left="0"/>
        <w:contextualSpacing/>
        <w:rPr>
          <w:b/>
          <w:color w:val="000000" w:themeColor="text1"/>
        </w:rPr>
      </w:pPr>
      <w:r w:rsidRPr="00FE1882">
        <w:rPr>
          <w:b/>
          <w:color w:val="000000" w:themeColor="text1"/>
        </w:rPr>
        <w:t xml:space="preserve">Comments in Response to the Federal Register Notice and Efforts to Consult Outside the Agency </w:t>
      </w:r>
    </w:p>
    <w:p w:rsidRPr="00FE1882" w:rsidR="005B5BCC" w:rsidP="005B5BCC" w:rsidRDefault="005B5BCC" w14:paraId="22F5634E" w14:textId="77777777">
      <w:pPr>
        <w:spacing w:after="0"/>
        <w:contextualSpacing/>
        <w:rPr>
          <w:b/>
          <w:color w:val="000000" w:themeColor="text1"/>
          <w:u w:val="single"/>
        </w:rPr>
      </w:pPr>
      <w:r w:rsidRPr="00FE1882">
        <w:rPr>
          <w:b/>
          <w:color w:val="000000" w:themeColor="text1"/>
          <w:u w:val="single"/>
        </w:rPr>
        <w:t>Response to Comments</w:t>
      </w:r>
    </w:p>
    <w:p w:rsidRPr="00FE1882" w:rsidR="005B5BCC" w:rsidP="005B5BCC" w:rsidRDefault="005B5BCC" w14:paraId="3AEF6C6C" w14:textId="77777777">
      <w:pPr>
        <w:spacing w:after="0"/>
        <w:contextualSpacing/>
        <w:rPr>
          <w:color w:val="000000" w:themeColor="text1"/>
        </w:rPr>
      </w:pPr>
    </w:p>
    <w:p w:rsidR="005B5BCC" w:rsidP="005B5BCC" w:rsidRDefault="005B5BCC" w14:paraId="0E1F30D9" w14:textId="732DABA9">
      <w:pPr>
        <w:spacing w:after="0"/>
        <w:contextualSpacing/>
        <w:rPr>
          <w:color w:val="000000" w:themeColor="text1"/>
        </w:rPr>
      </w:pPr>
      <w:r w:rsidRPr="00FE1882">
        <w:rPr>
          <w:color w:val="000000" w:themeColor="text1"/>
        </w:rPr>
        <w:t>A 60-day notice publis</w:t>
      </w:r>
      <w:r w:rsidR="00E22D6E">
        <w:rPr>
          <w:color w:val="000000" w:themeColor="text1"/>
        </w:rPr>
        <w:t xml:space="preserve">hed in the </w:t>
      </w:r>
      <w:r w:rsidRPr="00C66D18" w:rsidR="00E22D6E">
        <w:rPr>
          <w:color w:val="000000" w:themeColor="text1"/>
        </w:rPr>
        <w:t xml:space="preserve">FR in Vol. </w:t>
      </w:r>
      <w:r w:rsidRPr="00C66D18" w:rsidR="00C66D18">
        <w:rPr>
          <w:color w:val="000000" w:themeColor="text1"/>
        </w:rPr>
        <w:t xml:space="preserve">84 </w:t>
      </w:r>
      <w:r w:rsidRPr="00C66D18">
        <w:rPr>
          <w:color w:val="000000" w:themeColor="text1"/>
        </w:rPr>
        <w:t xml:space="preserve">No. </w:t>
      </w:r>
      <w:r w:rsidRPr="00905625" w:rsidR="00C66D18">
        <w:rPr>
          <w:color w:val="333333"/>
        </w:rPr>
        <w:t>2019-17172</w:t>
      </w:r>
      <w:r w:rsidRPr="00C66D18">
        <w:rPr>
          <w:color w:val="000000" w:themeColor="text1"/>
        </w:rPr>
        <w:t xml:space="preserve">, pages </w:t>
      </w:r>
      <w:r w:rsidRPr="00C66D18" w:rsidR="00C66D18">
        <w:rPr>
          <w:color w:val="000000" w:themeColor="text1"/>
        </w:rPr>
        <w:t xml:space="preserve">39854–39855 </w:t>
      </w:r>
      <w:r w:rsidRPr="00C66D18">
        <w:rPr>
          <w:color w:val="000000" w:themeColor="text1"/>
        </w:rPr>
        <w:t>on</w:t>
      </w:r>
      <w:r w:rsidRPr="00FE1882">
        <w:rPr>
          <w:color w:val="000000" w:themeColor="text1"/>
        </w:rPr>
        <w:t xml:space="preserve"> </w:t>
      </w:r>
      <w:r w:rsidR="009E44AE">
        <w:rPr>
          <w:color w:val="000000" w:themeColor="text1"/>
        </w:rPr>
        <w:t>August 12</w:t>
      </w:r>
      <w:r w:rsidRPr="00FE1882">
        <w:rPr>
          <w:color w:val="000000" w:themeColor="text1"/>
        </w:rPr>
        <w:t xml:space="preserve">, </w:t>
      </w:r>
      <w:r w:rsidRPr="00FE1882" w:rsidR="009E44AE">
        <w:rPr>
          <w:color w:val="000000" w:themeColor="text1"/>
        </w:rPr>
        <w:t>201</w:t>
      </w:r>
      <w:r w:rsidR="009E44AE">
        <w:rPr>
          <w:color w:val="000000" w:themeColor="text1"/>
        </w:rPr>
        <w:t>9</w:t>
      </w:r>
      <w:r w:rsidRPr="00FE1882">
        <w:rPr>
          <w:color w:val="000000" w:themeColor="text1"/>
        </w:rPr>
        <w:t xml:space="preserve">. </w:t>
      </w:r>
      <w:r w:rsidR="000B7EBA">
        <w:rPr>
          <w:color w:val="000000" w:themeColor="text1"/>
        </w:rPr>
        <w:t>See the attached chart of comments.</w:t>
      </w:r>
      <w:r w:rsidR="00EF44FB">
        <w:rPr>
          <w:color w:val="000000" w:themeColor="text1"/>
        </w:rPr>
        <w:t xml:space="preserve"> </w:t>
      </w:r>
      <w:r w:rsidR="00E22D6E">
        <w:rPr>
          <w:color w:val="000000" w:themeColor="text1"/>
        </w:rPr>
        <w:t xml:space="preserve">A 30-day notice published in </w:t>
      </w:r>
      <w:r w:rsidR="00905625">
        <w:rPr>
          <w:color w:val="000000" w:themeColor="text1"/>
        </w:rPr>
        <w:t xml:space="preserve">Vol. 85 No. </w:t>
      </w:r>
      <w:r w:rsidRPr="00905625" w:rsidR="00905625">
        <w:rPr>
          <w:color w:val="000000" w:themeColor="text1"/>
        </w:rPr>
        <w:t>2020-02497</w:t>
      </w:r>
      <w:r w:rsidR="00905625">
        <w:rPr>
          <w:color w:val="000000" w:themeColor="text1"/>
        </w:rPr>
        <w:t xml:space="preserve"> page 7310 on February 7, 2020. </w:t>
      </w:r>
    </w:p>
    <w:p w:rsidRPr="00FE1882" w:rsidR="005B5BCC" w:rsidP="005B5BCC" w:rsidRDefault="005B5BCC" w14:paraId="5DA19E7E" w14:textId="77777777">
      <w:pPr>
        <w:spacing w:after="0"/>
        <w:contextualSpacing/>
        <w:rPr>
          <w:color w:val="000000" w:themeColor="text1"/>
        </w:rPr>
      </w:pPr>
    </w:p>
    <w:p w:rsidRPr="00FE1882" w:rsidR="005B5BCC" w:rsidP="005B5BCC" w:rsidRDefault="005B5BCC" w14:paraId="1C4A2151" w14:textId="77777777">
      <w:pPr>
        <w:spacing w:after="0"/>
        <w:contextualSpacing/>
        <w:rPr>
          <w:b/>
          <w:color w:val="000000" w:themeColor="text1"/>
          <w:u w:val="single"/>
        </w:rPr>
      </w:pPr>
      <w:r w:rsidRPr="00FE1882">
        <w:rPr>
          <w:b/>
          <w:color w:val="000000" w:themeColor="text1"/>
          <w:u w:val="single"/>
        </w:rPr>
        <w:t>External Consultation</w:t>
      </w:r>
    </w:p>
    <w:p w:rsidR="005B5BCC" w:rsidP="005B5BCC" w:rsidRDefault="005B5BCC" w14:paraId="62ECD639" w14:textId="77777777">
      <w:pPr>
        <w:spacing w:after="0"/>
        <w:contextualSpacing/>
        <w:rPr>
          <w:color w:val="000000" w:themeColor="text1"/>
        </w:rPr>
      </w:pPr>
    </w:p>
    <w:p w:rsidRPr="00FE1882" w:rsidR="005B5BCC" w:rsidP="005B5BCC" w:rsidRDefault="002C221C" w14:paraId="32E33295" w14:textId="71A6F33C">
      <w:pPr>
        <w:spacing w:after="0"/>
        <w:contextualSpacing/>
        <w:rPr>
          <w:color w:val="000000" w:themeColor="text1"/>
        </w:rPr>
      </w:pPr>
      <w:r>
        <w:rPr>
          <w:color w:val="000000" w:themeColor="text1"/>
        </w:rPr>
        <w:t>ACL received input from the technical assistance provider</w:t>
      </w:r>
      <w:r w:rsidR="005878E1">
        <w:rPr>
          <w:color w:val="000000" w:themeColor="text1"/>
        </w:rPr>
        <w:t xml:space="preserve"> and from the public.</w:t>
      </w:r>
    </w:p>
    <w:p w:rsidRPr="00FE1882" w:rsidR="005B5BCC" w:rsidP="005B5BCC" w:rsidRDefault="005B5BCC" w14:paraId="51184ADB" w14:textId="77777777">
      <w:pPr>
        <w:spacing w:after="0"/>
        <w:contextualSpacing/>
        <w:rPr>
          <w:color w:val="000000" w:themeColor="text1"/>
        </w:rPr>
      </w:pPr>
    </w:p>
    <w:p w:rsidRPr="00FE1882" w:rsidR="005B5BCC" w:rsidP="005B5BCC" w:rsidRDefault="005B5BCC" w14:paraId="2BFC8D66" w14:textId="77777777">
      <w:pPr>
        <w:pStyle w:val="ListParagraph"/>
        <w:numPr>
          <w:ilvl w:val="0"/>
          <w:numId w:val="1"/>
        </w:numPr>
        <w:spacing w:before="0" w:after="0"/>
        <w:ind w:left="0"/>
        <w:contextualSpacing/>
        <w:rPr>
          <w:b/>
          <w:color w:val="000000" w:themeColor="text1"/>
        </w:rPr>
      </w:pPr>
      <w:r w:rsidRPr="00FE1882">
        <w:rPr>
          <w:b/>
          <w:color w:val="000000" w:themeColor="text1"/>
        </w:rPr>
        <w:t xml:space="preserve">Explanation of Any Payment or Gift to Respondents </w:t>
      </w:r>
    </w:p>
    <w:p w:rsidRPr="00FE1882" w:rsidR="005B5BCC" w:rsidP="005B5BCC" w:rsidRDefault="005B5BCC" w14:paraId="12C953BB" w14:textId="77777777">
      <w:pPr>
        <w:pStyle w:val="ListParagraph"/>
        <w:spacing w:before="0" w:after="0"/>
        <w:ind w:left="0"/>
        <w:contextualSpacing/>
        <w:rPr>
          <w:color w:val="000000" w:themeColor="text1"/>
        </w:rPr>
      </w:pPr>
    </w:p>
    <w:p w:rsidRPr="00FE1882" w:rsidR="005B5BCC" w:rsidP="005B5BCC" w:rsidRDefault="005B5BCC" w14:paraId="509DDFF6" w14:textId="77777777">
      <w:pPr>
        <w:pStyle w:val="ListParagraph"/>
        <w:spacing w:before="0" w:after="0"/>
        <w:ind w:left="0"/>
        <w:contextualSpacing/>
        <w:rPr>
          <w:color w:val="000000" w:themeColor="text1"/>
        </w:rPr>
      </w:pPr>
      <w:r w:rsidRPr="00FE1882">
        <w:rPr>
          <w:color w:val="000000" w:themeColor="text1"/>
        </w:rPr>
        <w:t>Not applicable.</w:t>
      </w:r>
    </w:p>
    <w:p w:rsidRPr="00FE1882" w:rsidR="005B5BCC" w:rsidP="005B5BCC" w:rsidRDefault="005B5BCC" w14:paraId="53A5AE97" w14:textId="77777777">
      <w:pPr>
        <w:pStyle w:val="ListParagraph"/>
        <w:spacing w:before="0" w:after="0"/>
        <w:ind w:left="0"/>
        <w:contextualSpacing/>
        <w:rPr>
          <w:color w:val="000000" w:themeColor="text1"/>
        </w:rPr>
      </w:pPr>
    </w:p>
    <w:p w:rsidRPr="00FE1882" w:rsidR="005B5BCC" w:rsidP="005B5BCC" w:rsidRDefault="005B5BCC" w14:paraId="1627C8F9" w14:textId="77777777">
      <w:pPr>
        <w:pStyle w:val="ListParagraph"/>
        <w:numPr>
          <w:ilvl w:val="0"/>
          <w:numId w:val="1"/>
        </w:numPr>
        <w:spacing w:before="0" w:after="0"/>
        <w:ind w:left="0"/>
        <w:contextualSpacing/>
        <w:rPr>
          <w:b/>
          <w:color w:val="000000" w:themeColor="text1"/>
        </w:rPr>
      </w:pPr>
      <w:r w:rsidRPr="00FE1882">
        <w:rPr>
          <w:rFonts w:eastAsiaTheme="minorEastAsia"/>
          <w:b/>
          <w:color w:val="000000" w:themeColor="text1"/>
          <w:kern w:val="24"/>
        </w:rPr>
        <w:t>Assurance of Confidentiality Provided to Respondents</w:t>
      </w:r>
    </w:p>
    <w:p w:rsidRPr="00FE1882" w:rsidR="005B5BCC" w:rsidP="005B5BCC" w:rsidRDefault="005B5BCC" w14:paraId="0F55C470" w14:textId="77777777">
      <w:pPr>
        <w:pStyle w:val="ListParagraph"/>
        <w:spacing w:before="0" w:after="0"/>
        <w:ind w:left="0"/>
        <w:contextualSpacing/>
        <w:rPr>
          <w:b/>
          <w:color w:val="000000" w:themeColor="text1"/>
        </w:rPr>
      </w:pPr>
    </w:p>
    <w:p w:rsidRPr="00FE1882" w:rsidR="005B5BCC" w:rsidP="005B5BCC" w:rsidRDefault="005B5BCC" w14:paraId="685DB734" w14:textId="38401E31">
      <w:pPr>
        <w:pStyle w:val="ListParagraph"/>
        <w:spacing w:before="0" w:after="0"/>
        <w:ind w:left="0"/>
        <w:contextualSpacing/>
        <w:rPr>
          <w:color w:val="000000" w:themeColor="text1"/>
        </w:rPr>
      </w:pPr>
      <w:r w:rsidRPr="00FE1882">
        <w:rPr>
          <w:color w:val="000000" w:themeColor="text1"/>
        </w:rPr>
        <w:t>The</w:t>
      </w:r>
      <w:r w:rsidR="00D16079">
        <w:rPr>
          <w:color w:val="000000" w:themeColor="text1"/>
        </w:rPr>
        <w:t xml:space="preserve">re are no assurances of </w:t>
      </w:r>
      <w:r w:rsidRPr="00FE1882">
        <w:rPr>
          <w:color w:val="000000" w:themeColor="text1"/>
        </w:rPr>
        <w:t xml:space="preserve">confidentiality. </w:t>
      </w:r>
    </w:p>
    <w:p w:rsidRPr="00FE1882" w:rsidR="005B5BCC" w:rsidP="005B5BCC" w:rsidRDefault="005B5BCC" w14:paraId="6E4A40C5" w14:textId="77777777">
      <w:pPr>
        <w:pStyle w:val="ListParagraph"/>
        <w:spacing w:before="0" w:after="0"/>
        <w:ind w:left="0"/>
        <w:contextualSpacing/>
        <w:rPr>
          <w:color w:val="000000" w:themeColor="text1"/>
        </w:rPr>
      </w:pPr>
    </w:p>
    <w:p w:rsidRPr="00FE1882" w:rsidR="005B5BCC" w:rsidP="005B5BCC" w:rsidRDefault="005B5BCC" w14:paraId="31A3C193" w14:textId="77777777">
      <w:pPr>
        <w:pStyle w:val="ListParagraph"/>
        <w:numPr>
          <w:ilvl w:val="0"/>
          <w:numId w:val="1"/>
        </w:numPr>
        <w:spacing w:before="0" w:after="0"/>
        <w:ind w:left="0"/>
        <w:contextualSpacing/>
        <w:rPr>
          <w:b/>
          <w:color w:val="000000" w:themeColor="text1"/>
        </w:rPr>
      </w:pPr>
      <w:r w:rsidRPr="00FE1882">
        <w:rPr>
          <w:rFonts w:eastAsiaTheme="minorEastAsia"/>
          <w:b/>
          <w:color w:val="000000" w:themeColor="text1"/>
          <w:kern w:val="24"/>
        </w:rPr>
        <w:t>Justification for Sensitive Questions</w:t>
      </w:r>
    </w:p>
    <w:p w:rsidRPr="00FE1882" w:rsidR="005B5BCC" w:rsidP="005B5BCC" w:rsidRDefault="005B5BCC" w14:paraId="7245EF8D" w14:textId="77777777">
      <w:pPr>
        <w:spacing w:after="0"/>
        <w:contextualSpacing/>
        <w:rPr>
          <w:b/>
          <w:color w:val="000000" w:themeColor="text1"/>
        </w:rPr>
      </w:pPr>
    </w:p>
    <w:p w:rsidRPr="00FE1882" w:rsidR="005B5BCC" w:rsidP="005B5BCC" w:rsidRDefault="005B5BCC" w14:paraId="0003FB8C" w14:textId="2CCE496C">
      <w:pPr>
        <w:spacing w:after="0"/>
        <w:contextualSpacing/>
        <w:rPr>
          <w:color w:val="000000" w:themeColor="text1"/>
        </w:rPr>
      </w:pPr>
      <w:r w:rsidRPr="00FE1882">
        <w:rPr>
          <w:color w:val="000000" w:themeColor="text1"/>
        </w:rPr>
        <w:t xml:space="preserve">Not </w:t>
      </w:r>
      <w:r w:rsidR="00C66D18">
        <w:rPr>
          <w:color w:val="000000" w:themeColor="text1"/>
        </w:rPr>
        <w:t>a</w:t>
      </w:r>
      <w:r w:rsidRPr="00FE1882" w:rsidR="00C66D18">
        <w:rPr>
          <w:color w:val="000000" w:themeColor="text1"/>
        </w:rPr>
        <w:t>pplicable</w:t>
      </w:r>
      <w:r w:rsidRPr="00FE1882">
        <w:rPr>
          <w:color w:val="000000" w:themeColor="text1"/>
        </w:rPr>
        <w:t>.</w:t>
      </w:r>
    </w:p>
    <w:p w:rsidRPr="00FE1882" w:rsidR="005B5BCC" w:rsidP="005B5BCC" w:rsidRDefault="005B5BCC" w14:paraId="33D5DF22" w14:textId="77777777">
      <w:pPr>
        <w:pStyle w:val="ListParagraph"/>
        <w:spacing w:before="0" w:after="0"/>
        <w:ind w:left="0"/>
        <w:contextualSpacing/>
        <w:rPr>
          <w:color w:val="000000" w:themeColor="text1"/>
        </w:rPr>
      </w:pPr>
    </w:p>
    <w:p w:rsidRPr="00FE1882" w:rsidR="005B5BCC" w:rsidP="005B5BCC" w:rsidRDefault="005B5BCC" w14:paraId="2EDDFAD0" w14:textId="77777777">
      <w:pPr>
        <w:pStyle w:val="ListParagraph"/>
        <w:numPr>
          <w:ilvl w:val="0"/>
          <w:numId w:val="1"/>
        </w:numPr>
        <w:spacing w:before="0" w:after="0"/>
        <w:ind w:left="0"/>
        <w:contextualSpacing/>
        <w:rPr>
          <w:rStyle w:val="a"/>
          <w:b/>
          <w:color w:val="000000" w:themeColor="text1"/>
        </w:rPr>
      </w:pPr>
      <w:r w:rsidRPr="00FE1882">
        <w:rPr>
          <w:rFonts w:eastAsiaTheme="minorEastAsia"/>
          <w:b/>
          <w:color w:val="000000" w:themeColor="text1"/>
          <w:kern w:val="24"/>
        </w:rPr>
        <w:lastRenderedPageBreak/>
        <w:t>Estimates of Annualized Burden Hours and Costs</w:t>
      </w:r>
    </w:p>
    <w:p w:rsidRPr="00FE1882" w:rsidR="005B5BCC" w:rsidP="005B5BCC" w:rsidRDefault="005B5BCC" w14:paraId="14EBCE9A" w14:textId="77777777">
      <w:pPr>
        <w:pStyle w:val="ListParagraph"/>
        <w:spacing w:before="0" w:after="0"/>
        <w:ind w:left="0"/>
        <w:contextualSpacing/>
        <w:rPr>
          <w:rStyle w:val="a"/>
          <w:color w:val="000000" w:themeColor="text1"/>
        </w:rPr>
      </w:pPr>
    </w:p>
    <w:p w:rsidR="005B5BCC" w:rsidP="005B5BCC" w:rsidRDefault="005B5BCC" w14:paraId="35619B49" w14:textId="7872D9DB">
      <w:pPr>
        <w:pStyle w:val="ListParagraph"/>
        <w:spacing w:before="0" w:after="0"/>
        <w:ind w:left="0"/>
        <w:contextualSpacing/>
        <w:rPr>
          <w:rStyle w:val="a"/>
          <w:color w:val="000000" w:themeColor="text1"/>
        </w:rPr>
      </w:pPr>
      <w:r w:rsidRPr="00FE1882">
        <w:rPr>
          <w:rStyle w:val="a"/>
          <w:color w:val="000000" w:themeColor="text1"/>
        </w:rPr>
        <w:t xml:space="preserve">ACL estimates the burden of this collection of information as follows: </w:t>
      </w:r>
      <w:r w:rsidRPr="00CA4743">
        <w:rPr>
          <w:color w:val="000000" w:themeColor="text1"/>
        </w:rPr>
        <w:t>56</w:t>
      </w:r>
      <w:r>
        <w:rPr>
          <w:color w:val="000000" w:themeColor="text1"/>
        </w:rPr>
        <w:t xml:space="preserve"> SILCs</w:t>
      </w:r>
      <w:r w:rsidRPr="00CA4743">
        <w:rPr>
          <w:color w:val="000000" w:themeColor="text1"/>
        </w:rPr>
        <w:t xml:space="preserve"> </w:t>
      </w:r>
      <w:r>
        <w:rPr>
          <w:color w:val="000000" w:themeColor="text1"/>
        </w:rPr>
        <w:t>lead drafting or updating SPILs, and most SILCs will do so annually</w:t>
      </w:r>
      <w:r w:rsidR="00D16079">
        <w:rPr>
          <w:color w:val="000000" w:themeColor="text1"/>
        </w:rPr>
        <w:t xml:space="preserve">. It will take </w:t>
      </w:r>
      <w:r>
        <w:rPr>
          <w:color w:val="000000" w:themeColor="text1"/>
        </w:rPr>
        <w:t>60 hours for each state to update its</w:t>
      </w:r>
      <w:r w:rsidRPr="00CA4743">
        <w:rPr>
          <w:color w:val="000000" w:themeColor="text1"/>
        </w:rPr>
        <w:t xml:space="preserve"> SPIL</w:t>
      </w:r>
      <w:r w:rsidR="00C66D18">
        <w:rPr>
          <w:color w:val="000000" w:themeColor="text1"/>
        </w:rPr>
        <w:t>,</w:t>
      </w:r>
      <w:r w:rsidRPr="00CA4743">
        <w:rPr>
          <w:color w:val="000000" w:themeColor="text1"/>
        </w:rPr>
        <w:t xml:space="preserve"> for a total of 3,360 hours. This estimate </w:t>
      </w:r>
      <w:proofErr w:type="gramStart"/>
      <w:r w:rsidRPr="00CA4743">
        <w:rPr>
          <w:color w:val="000000" w:themeColor="text1"/>
        </w:rPr>
        <w:t>is based</w:t>
      </w:r>
      <w:proofErr w:type="gramEnd"/>
      <w:r w:rsidRPr="00CA4743">
        <w:rPr>
          <w:color w:val="000000" w:themeColor="text1"/>
        </w:rPr>
        <w:t xml:space="preserve"> on amounts of time that</w:t>
      </w:r>
      <w:r>
        <w:rPr>
          <w:color w:val="000000" w:themeColor="text1"/>
        </w:rPr>
        <w:t xml:space="preserve"> SILCs</w:t>
      </w:r>
      <w:r w:rsidR="00D16079">
        <w:rPr>
          <w:color w:val="000000" w:themeColor="text1"/>
        </w:rPr>
        <w:t xml:space="preserve">, CILs and DSEs have reported. </w:t>
      </w:r>
      <w:r w:rsidRPr="00CA4743">
        <w:rPr>
          <w:color w:val="000000" w:themeColor="text1"/>
        </w:rPr>
        <w:t xml:space="preserve">ACL is not requesting any change in the data States are required to submit. </w:t>
      </w:r>
    </w:p>
    <w:p w:rsidRPr="00FE1882" w:rsidR="005B5BCC" w:rsidP="005B5BCC" w:rsidRDefault="005B5BCC" w14:paraId="7C8F1D97" w14:textId="77777777">
      <w:pPr>
        <w:pStyle w:val="ListParagraph"/>
        <w:spacing w:before="0" w:after="0"/>
        <w:ind w:left="0"/>
        <w:contextualSpacing/>
        <w:rPr>
          <w:rStyle w:val="a"/>
          <w:color w:val="000000" w:themeColor="text1"/>
        </w:rPr>
      </w:pPr>
    </w:p>
    <w:tbl>
      <w:tblPr>
        <w:tblW w:w="8460" w:type="dxa"/>
        <w:tblInd w:w="43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2134"/>
        <w:gridCol w:w="1530"/>
        <w:gridCol w:w="1710"/>
        <w:gridCol w:w="1440"/>
        <w:gridCol w:w="1646"/>
      </w:tblGrid>
      <w:tr w:rsidRPr="00FE1882" w:rsidR="005B5BCC" w:rsidTr="00D16079" w14:paraId="4B38EE03" w14:textId="77777777">
        <w:trPr>
          <w:cantSplit/>
          <w:tblHeader/>
        </w:trPr>
        <w:tc>
          <w:tcPr>
            <w:tcW w:w="2134" w:type="dxa"/>
            <w:vAlign w:val="bottom"/>
          </w:tcPr>
          <w:p w:rsidRPr="00FE1882" w:rsidR="005B5BCC" w:rsidP="003B538C" w:rsidRDefault="005B5BCC" w14:paraId="196F18CA" w14:textId="77777777">
            <w:pPr>
              <w:pStyle w:val="SL-FlLftSgl"/>
              <w:keepNext/>
              <w:keepLines/>
              <w:spacing w:line="240" w:lineRule="auto"/>
              <w:contextualSpacing/>
              <w:jc w:val="center"/>
              <w:rPr>
                <w:b/>
                <w:color w:val="000000" w:themeColor="text1"/>
                <w:sz w:val="24"/>
                <w:szCs w:val="24"/>
              </w:rPr>
            </w:pPr>
            <w:r w:rsidRPr="00FE1882">
              <w:rPr>
                <w:b/>
                <w:color w:val="000000" w:themeColor="text1"/>
                <w:sz w:val="24"/>
                <w:szCs w:val="24"/>
              </w:rPr>
              <w:t>Respondent/Data collection activity</w:t>
            </w:r>
          </w:p>
        </w:tc>
        <w:tc>
          <w:tcPr>
            <w:tcW w:w="1530" w:type="dxa"/>
            <w:vAlign w:val="bottom"/>
          </w:tcPr>
          <w:p w:rsidRPr="00FE1882" w:rsidR="005B5BCC" w:rsidP="003B538C" w:rsidRDefault="005B5BCC" w14:paraId="5616C10B" w14:textId="77777777">
            <w:pPr>
              <w:pStyle w:val="SL-FlLftSgl"/>
              <w:keepNext/>
              <w:keepLines/>
              <w:spacing w:line="240" w:lineRule="auto"/>
              <w:contextualSpacing/>
              <w:jc w:val="center"/>
              <w:rPr>
                <w:b/>
                <w:color w:val="000000" w:themeColor="text1"/>
                <w:sz w:val="24"/>
                <w:szCs w:val="24"/>
              </w:rPr>
            </w:pPr>
            <w:r w:rsidRPr="00FE1882">
              <w:rPr>
                <w:b/>
                <w:color w:val="000000" w:themeColor="text1"/>
                <w:sz w:val="24"/>
                <w:szCs w:val="24"/>
              </w:rPr>
              <w:t>Number of respondents</w:t>
            </w:r>
          </w:p>
        </w:tc>
        <w:tc>
          <w:tcPr>
            <w:tcW w:w="1710" w:type="dxa"/>
            <w:vAlign w:val="bottom"/>
          </w:tcPr>
          <w:p w:rsidRPr="00FE1882" w:rsidR="005B5BCC" w:rsidP="003B538C" w:rsidRDefault="005B5BCC" w14:paraId="41F89DA9" w14:textId="77777777">
            <w:pPr>
              <w:pStyle w:val="SL-FlLftSgl"/>
              <w:keepNext/>
              <w:keepLines/>
              <w:spacing w:line="240" w:lineRule="auto"/>
              <w:contextualSpacing/>
              <w:jc w:val="center"/>
              <w:rPr>
                <w:b/>
                <w:color w:val="000000" w:themeColor="text1"/>
                <w:sz w:val="24"/>
                <w:szCs w:val="24"/>
              </w:rPr>
            </w:pPr>
            <w:r w:rsidRPr="00FE1882">
              <w:rPr>
                <w:b/>
                <w:color w:val="000000" w:themeColor="text1"/>
                <w:sz w:val="24"/>
                <w:szCs w:val="24"/>
              </w:rPr>
              <w:t>Responses per respondent</w:t>
            </w:r>
          </w:p>
        </w:tc>
        <w:tc>
          <w:tcPr>
            <w:tcW w:w="1440" w:type="dxa"/>
            <w:vAlign w:val="bottom"/>
          </w:tcPr>
          <w:p w:rsidRPr="00FE1882" w:rsidR="005B5BCC" w:rsidP="003B538C" w:rsidRDefault="005B5BCC" w14:paraId="79C52DFD" w14:textId="77777777">
            <w:pPr>
              <w:pStyle w:val="SL-FlLftSgl"/>
              <w:keepNext/>
              <w:keepLines/>
              <w:spacing w:line="240" w:lineRule="auto"/>
              <w:contextualSpacing/>
              <w:jc w:val="center"/>
              <w:rPr>
                <w:b/>
                <w:color w:val="000000" w:themeColor="text1"/>
                <w:sz w:val="24"/>
                <w:szCs w:val="24"/>
              </w:rPr>
            </w:pPr>
            <w:r w:rsidRPr="00FE1882">
              <w:rPr>
                <w:b/>
                <w:color w:val="000000" w:themeColor="text1"/>
                <w:sz w:val="24"/>
                <w:szCs w:val="24"/>
              </w:rPr>
              <w:t>Hours per response</w:t>
            </w:r>
          </w:p>
        </w:tc>
        <w:tc>
          <w:tcPr>
            <w:tcW w:w="1646" w:type="dxa"/>
            <w:vAlign w:val="bottom"/>
          </w:tcPr>
          <w:p w:rsidRPr="00FE1882" w:rsidR="005B5BCC" w:rsidP="003B538C" w:rsidRDefault="005B5BCC" w14:paraId="1C823BB2" w14:textId="77777777">
            <w:pPr>
              <w:pStyle w:val="SL-FlLftSgl"/>
              <w:keepNext/>
              <w:keepLines/>
              <w:spacing w:line="240" w:lineRule="auto"/>
              <w:contextualSpacing/>
              <w:jc w:val="center"/>
              <w:rPr>
                <w:b/>
                <w:color w:val="000000" w:themeColor="text1"/>
                <w:sz w:val="24"/>
                <w:szCs w:val="24"/>
              </w:rPr>
            </w:pPr>
            <w:r w:rsidRPr="00FE1882">
              <w:rPr>
                <w:b/>
                <w:color w:val="000000" w:themeColor="text1"/>
                <w:sz w:val="24"/>
                <w:szCs w:val="24"/>
              </w:rPr>
              <w:t>Total Annual burden hours</w:t>
            </w:r>
          </w:p>
        </w:tc>
      </w:tr>
      <w:tr w:rsidRPr="00FE1882" w:rsidR="005B5BCC" w:rsidTr="00D16079" w14:paraId="0FC5C267" w14:textId="77777777">
        <w:trPr>
          <w:cantSplit/>
        </w:trPr>
        <w:tc>
          <w:tcPr>
            <w:tcW w:w="2134" w:type="dxa"/>
          </w:tcPr>
          <w:p w:rsidRPr="00A14FCA" w:rsidR="005B5BCC" w:rsidP="003B538C" w:rsidRDefault="005B5BCC" w14:paraId="620FB477" w14:textId="77777777">
            <w:pPr>
              <w:pStyle w:val="SL-FlLftSgl"/>
              <w:keepNext/>
              <w:keepLines/>
              <w:spacing w:line="240" w:lineRule="auto"/>
              <w:contextualSpacing/>
              <w:jc w:val="left"/>
              <w:rPr>
                <w:rFonts w:ascii="Times" w:hAnsi="Times"/>
                <w:color w:val="000000" w:themeColor="text1"/>
                <w:sz w:val="24"/>
              </w:rPr>
            </w:pPr>
            <w:r>
              <w:rPr>
                <w:rFonts w:ascii="Times" w:hAnsi="Times"/>
                <w:color w:val="000000" w:themeColor="text1"/>
                <w:sz w:val="24"/>
              </w:rPr>
              <w:t>SILCs</w:t>
            </w:r>
          </w:p>
        </w:tc>
        <w:tc>
          <w:tcPr>
            <w:tcW w:w="1530" w:type="dxa"/>
            <w:vAlign w:val="center"/>
          </w:tcPr>
          <w:p w:rsidRPr="00FE1882" w:rsidR="005B5BCC" w:rsidP="003B538C" w:rsidRDefault="005B5BCC" w14:paraId="0F8B2F19" w14:textId="77777777">
            <w:pPr>
              <w:pStyle w:val="SL-FlLftSgl"/>
              <w:keepNext/>
              <w:keepLines/>
              <w:tabs>
                <w:tab w:val="decimal" w:pos="792"/>
              </w:tabs>
              <w:spacing w:line="240" w:lineRule="auto"/>
              <w:contextualSpacing/>
              <w:rPr>
                <w:color w:val="000000" w:themeColor="text1"/>
                <w:sz w:val="24"/>
                <w:szCs w:val="24"/>
              </w:rPr>
            </w:pPr>
            <w:r>
              <w:rPr>
                <w:color w:val="000000" w:themeColor="text1"/>
                <w:sz w:val="24"/>
                <w:szCs w:val="24"/>
              </w:rPr>
              <w:t>56</w:t>
            </w:r>
          </w:p>
        </w:tc>
        <w:tc>
          <w:tcPr>
            <w:tcW w:w="1710" w:type="dxa"/>
            <w:vAlign w:val="center"/>
          </w:tcPr>
          <w:p w:rsidRPr="00FE1882" w:rsidR="005B5BCC" w:rsidP="003B538C" w:rsidRDefault="005B5BCC" w14:paraId="699A7AD7" w14:textId="77777777">
            <w:pPr>
              <w:pStyle w:val="SL-FlLftSgl"/>
              <w:keepNext/>
              <w:keepLines/>
              <w:tabs>
                <w:tab w:val="decimal" w:pos="576"/>
              </w:tabs>
              <w:spacing w:line="240" w:lineRule="auto"/>
              <w:contextualSpacing/>
              <w:rPr>
                <w:color w:val="000000" w:themeColor="text1"/>
                <w:sz w:val="24"/>
                <w:szCs w:val="24"/>
              </w:rPr>
            </w:pPr>
            <w:r w:rsidRPr="00FE1882">
              <w:rPr>
                <w:color w:val="000000" w:themeColor="text1"/>
                <w:sz w:val="24"/>
                <w:szCs w:val="24"/>
              </w:rPr>
              <w:t>1</w:t>
            </w:r>
          </w:p>
        </w:tc>
        <w:tc>
          <w:tcPr>
            <w:tcW w:w="1440" w:type="dxa"/>
            <w:vAlign w:val="center"/>
          </w:tcPr>
          <w:p w:rsidRPr="00FE1882" w:rsidR="005B5BCC" w:rsidP="003B538C" w:rsidRDefault="00FA1D35" w14:paraId="6667831D" w14:textId="0F910977">
            <w:pPr>
              <w:pStyle w:val="SL-FlLftSgl"/>
              <w:keepNext/>
              <w:keepLines/>
              <w:tabs>
                <w:tab w:val="decimal" w:pos="504"/>
              </w:tabs>
              <w:spacing w:line="240" w:lineRule="auto"/>
              <w:contextualSpacing/>
              <w:rPr>
                <w:color w:val="000000" w:themeColor="text1"/>
                <w:sz w:val="24"/>
                <w:szCs w:val="24"/>
              </w:rPr>
            </w:pPr>
            <w:r>
              <w:rPr>
                <w:color w:val="000000" w:themeColor="text1"/>
                <w:sz w:val="24"/>
                <w:szCs w:val="24"/>
              </w:rPr>
              <w:t>6</w:t>
            </w:r>
            <w:r w:rsidR="005B5BCC">
              <w:rPr>
                <w:color w:val="000000" w:themeColor="text1"/>
                <w:sz w:val="24"/>
                <w:szCs w:val="24"/>
              </w:rPr>
              <w:t>0</w:t>
            </w:r>
          </w:p>
        </w:tc>
        <w:tc>
          <w:tcPr>
            <w:tcW w:w="1646" w:type="dxa"/>
            <w:vAlign w:val="center"/>
          </w:tcPr>
          <w:p w:rsidRPr="00FE1882" w:rsidR="005B5BCC" w:rsidP="003B538C" w:rsidRDefault="005B5BCC" w14:paraId="2C1DD6CA" w14:textId="77777777">
            <w:pPr>
              <w:pStyle w:val="SL-FlLftSgl"/>
              <w:keepNext/>
              <w:keepLines/>
              <w:tabs>
                <w:tab w:val="decimal" w:pos="720"/>
              </w:tabs>
              <w:spacing w:line="240" w:lineRule="auto"/>
              <w:contextualSpacing/>
              <w:rPr>
                <w:color w:val="000000" w:themeColor="text1"/>
                <w:sz w:val="24"/>
                <w:szCs w:val="24"/>
              </w:rPr>
            </w:pPr>
            <w:r>
              <w:rPr>
                <w:color w:val="000000" w:themeColor="text1"/>
                <w:sz w:val="24"/>
                <w:szCs w:val="24"/>
              </w:rPr>
              <w:t>3,360</w:t>
            </w:r>
          </w:p>
        </w:tc>
      </w:tr>
    </w:tbl>
    <w:p w:rsidR="005B5BCC" w:rsidP="005B5BCC" w:rsidRDefault="005B5BCC" w14:paraId="30BF93AE" w14:textId="77777777">
      <w:pPr>
        <w:spacing w:after="0"/>
        <w:contextualSpacing/>
        <w:rPr>
          <w:color w:val="000000" w:themeColor="text1"/>
        </w:rPr>
      </w:pPr>
    </w:p>
    <w:p w:rsidR="00E5193E" w:rsidP="005B5BCC" w:rsidRDefault="005B5BCC" w14:paraId="382D6E3C" w14:textId="4ECB0F8D">
      <w:pPr>
        <w:spacing w:after="0"/>
        <w:contextualSpacing/>
        <w:rPr>
          <w:color w:val="000000" w:themeColor="text1"/>
        </w:rPr>
      </w:pPr>
      <w:proofErr w:type="gramStart"/>
      <w:r>
        <w:rPr>
          <w:color w:val="000000" w:themeColor="text1"/>
        </w:rPr>
        <w:t>SPIL drafting and revision is led by SILC members who do not receive salaries from SILCs</w:t>
      </w:r>
      <w:proofErr w:type="gramEnd"/>
      <w:r>
        <w:rPr>
          <w:color w:val="000000" w:themeColor="text1"/>
        </w:rPr>
        <w:t xml:space="preserve">. ILA estimates that, of this 60-hour estimate, the SILC will probably spend approximately 20 hours leading the process and drafting the SPIL, </w:t>
      </w:r>
      <w:r w:rsidR="00D16079">
        <w:rPr>
          <w:color w:val="000000" w:themeColor="text1"/>
        </w:rPr>
        <w:t xml:space="preserve">while </w:t>
      </w:r>
      <w:r>
        <w:rPr>
          <w:color w:val="000000" w:themeColor="text1"/>
        </w:rPr>
        <w:t xml:space="preserve">the DSE and CILs will spend a total of approximately 40 hours providing input. </w:t>
      </w:r>
      <w:r w:rsidR="00E5193E">
        <w:rPr>
          <w:color w:val="000000" w:themeColor="text1"/>
        </w:rPr>
        <w:t xml:space="preserve">Forty </w:t>
      </w:r>
      <w:r>
        <w:rPr>
          <w:color w:val="000000" w:themeColor="text1"/>
        </w:rPr>
        <w:t xml:space="preserve">hours per state multiplied by 56 states is 2,240 hours. This estimate </w:t>
      </w:r>
      <w:proofErr w:type="gramStart"/>
      <w:r>
        <w:rPr>
          <w:color w:val="000000" w:themeColor="text1"/>
        </w:rPr>
        <w:t>is based</w:t>
      </w:r>
      <w:proofErr w:type="gramEnd"/>
      <w:r>
        <w:rPr>
          <w:color w:val="000000" w:themeColor="text1"/>
        </w:rPr>
        <w:t xml:space="preserve"> </w:t>
      </w:r>
      <w:r w:rsidR="001B22F5">
        <w:rPr>
          <w:color w:val="000000" w:themeColor="text1"/>
        </w:rPr>
        <w:t>on the amount of time CILs and DSEs used to track service and demographic</w:t>
      </w:r>
      <w:r w:rsidR="00E5193E">
        <w:rPr>
          <w:color w:val="000000" w:themeColor="text1"/>
        </w:rPr>
        <w:t xml:space="preserve"> data about </w:t>
      </w:r>
      <w:r w:rsidR="001B22F5">
        <w:rPr>
          <w:color w:val="000000" w:themeColor="text1"/>
        </w:rPr>
        <w:t>their</w:t>
      </w:r>
      <w:r w:rsidR="00E5193E">
        <w:rPr>
          <w:color w:val="000000" w:themeColor="text1"/>
        </w:rPr>
        <w:t xml:space="preserve"> consumers.  </w:t>
      </w:r>
    </w:p>
    <w:p w:rsidR="00E5193E" w:rsidP="005B5BCC" w:rsidRDefault="00E5193E" w14:paraId="7FCABB2F" w14:textId="77777777">
      <w:pPr>
        <w:spacing w:after="0"/>
        <w:contextualSpacing/>
        <w:rPr>
          <w:color w:val="000000" w:themeColor="text1"/>
        </w:rPr>
      </w:pPr>
    </w:p>
    <w:p w:rsidR="005B5BCC" w:rsidP="005B5BCC" w:rsidRDefault="005B5BCC" w14:paraId="40913EC5" w14:textId="2424C5BC">
      <w:pPr>
        <w:spacing w:after="0"/>
        <w:contextualSpacing/>
        <w:rPr>
          <w:color w:val="000000" w:themeColor="text1"/>
        </w:rPr>
      </w:pPr>
      <w:r>
        <w:rPr>
          <w:color w:val="000000" w:themeColor="text1"/>
        </w:rPr>
        <w:t xml:space="preserve">Estimating the salaries of DSE and CIL staff who participate in SPIL development </w:t>
      </w:r>
      <w:proofErr w:type="gramStart"/>
      <w:r>
        <w:rPr>
          <w:color w:val="000000" w:themeColor="text1"/>
        </w:rPr>
        <w:t>on the basis of</w:t>
      </w:r>
      <w:proofErr w:type="gramEnd"/>
      <w:r>
        <w:rPr>
          <w:color w:val="000000" w:themeColor="text1"/>
        </w:rPr>
        <w:t xml:space="preserve"> the median salary for social workers—which, according to the Bureau of Labor Statistics, is </w:t>
      </w:r>
      <w:r w:rsidR="001B22F5">
        <w:rPr>
          <w:rStyle w:val="FootnoteReference"/>
          <w:color w:val="000000" w:themeColor="text1"/>
        </w:rPr>
        <w:footnoteReference w:id="1"/>
      </w:r>
      <w:r>
        <w:rPr>
          <w:color w:val="000000" w:themeColor="text1"/>
        </w:rPr>
        <w:t>$</w:t>
      </w:r>
      <w:r w:rsidR="00EA7163">
        <w:rPr>
          <w:color w:val="000000" w:themeColor="text1"/>
        </w:rPr>
        <w:t>31</w:t>
      </w:r>
      <w:r>
        <w:rPr>
          <w:color w:val="000000" w:themeColor="text1"/>
        </w:rPr>
        <w:t>.</w:t>
      </w:r>
      <w:r w:rsidR="00EA7163">
        <w:rPr>
          <w:color w:val="000000" w:themeColor="text1"/>
        </w:rPr>
        <w:t xml:space="preserve">41 </w:t>
      </w:r>
      <w:r>
        <w:rPr>
          <w:color w:val="000000" w:themeColor="text1"/>
        </w:rPr>
        <w:t>per hour—results in an estimated salary cost of $</w:t>
      </w:r>
      <w:r w:rsidR="00EA7163">
        <w:rPr>
          <w:color w:val="000000" w:themeColor="text1"/>
        </w:rPr>
        <w:t>70</w:t>
      </w:r>
      <w:r>
        <w:rPr>
          <w:color w:val="000000" w:themeColor="text1"/>
        </w:rPr>
        <w:t>,</w:t>
      </w:r>
      <w:r w:rsidR="00EA7163">
        <w:rPr>
          <w:color w:val="000000" w:themeColor="text1"/>
        </w:rPr>
        <w:t>358</w:t>
      </w:r>
      <w:r>
        <w:rPr>
          <w:color w:val="000000" w:themeColor="text1"/>
        </w:rPr>
        <w:t>.</w:t>
      </w:r>
      <w:r w:rsidR="00EA7163">
        <w:rPr>
          <w:color w:val="000000" w:themeColor="text1"/>
        </w:rPr>
        <w:t xml:space="preserve">40 </w:t>
      </w:r>
      <w:r>
        <w:rPr>
          <w:color w:val="000000" w:themeColor="text1"/>
        </w:rPr>
        <w:t>for the 2,240 hours of work. Multiplying this total amount of salary costs by two—to account for benefits and overhead—results in $</w:t>
      </w:r>
      <w:r w:rsidR="00EA7163">
        <w:rPr>
          <w:color w:val="000000" w:themeColor="text1"/>
        </w:rPr>
        <w:t>140,716</w:t>
      </w:r>
      <w:r>
        <w:rPr>
          <w:color w:val="000000" w:themeColor="text1"/>
        </w:rPr>
        <w:t>.</w:t>
      </w:r>
      <w:r w:rsidR="00EA7163">
        <w:rPr>
          <w:color w:val="000000" w:themeColor="text1"/>
        </w:rPr>
        <w:t>80</w:t>
      </w:r>
      <w:r>
        <w:rPr>
          <w:color w:val="000000" w:themeColor="text1"/>
        </w:rPr>
        <w:t>.</w:t>
      </w:r>
    </w:p>
    <w:p w:rsidRPr="00FE1882" w:rsidR="00F35C72" w:rsidP="005B5BCC" w:rsidRDefault="00F35C72" w14:paraId="5E961982" w14:textId="77777777">
      <w:pPr>
        <w:spacing w:after="0"/>
        <w:contextualSpacing/>
        <w:rPr>
          <w:color w:val="000000" w:themeColor="text1"/>
        </w:rPr>
      </w:pPr>
    </w:p>
    <w:tbl>
      <w:tblPr>
        <w:tblStyle w:val="TableGrid"/>
        <w:tblW w:w="9203" w:type="dxa"/>
        <w:tblInd w:w="85" w:type="dxa"/>
        <w:tblLayout w:type="fixed"/>
        <w:tblLook w:val="04A0" w:firstRow="1" w:lastRow="0" w:firstColumn="1" w:lastColumn="0" w:noHBand="0" w:noVBand="1"/>
      </w:tblPr>
      <w:tblGrid>
        <w:gridCol w:w="2340"/>
        <w:gridCol w:w="3443"/>
        <w:gridCol w:w="1890"/>
        <w:gridCol w:w="1530"/>
      </w:tblGrid>
      <w:tr w:rsidRPr="00FE1882" w:rsidR="00F35C72" w:rsidTr="00014D67" w14:paraId="11CE5BF7" w14:textId="77777777">
        <w:tc>
          <w:tcPr>
            <w:tcW w:w="2340" w:type="dxa"/>
          </w:tcPr>
          <w:p w:rsidRPr="00FE1882" w:rsidR="00F35C72" w:rsidP="00014D67" w:rsidRDefault="00F35C72" w14:paraId="02F8693A" w14:textId="77777777">
            <w:pPr>
              <w:pStyle w:val="ListParagraph"/>
              <w:spacing w:before="0" w:after="0"/>
              <w:ind w:left="0"/>
              <w:contextualSpacing/>
              <w:jc w:val="center"/>
              <w:rPr>
                <w:rStyle w:val="a"/>
                <w:color w:val="000000" w:themeColor="text1"/>
              </w:rPr>
            </w:pPr>
            <w:r w:rsidRPr="00FE1882">
              <w:rPr>
                <w:b/>
                <w:color w:val="000000" w:themeColor="text1"/>
              </w:rPr>
              <w:t>Respondent/Data collection activity</w:t>
            </w:r>
          </w:p>
        </w:tc>
        <w:tc>
          <w:tcPr>
            <w:tcW w:w="3443" w:type="dxa"/>
          </w:tcPr>
          <w:p w:rsidRPr="00FE1882" w:rsidR="00F35C72" w:rsidP="00014D67" w:rsidRDefault="00F35C72" w14:paraId="0EE9928A" w14:textId="77777777">
            <w:pPr>
              <w:pStyle w:val="ListParagraph"/>
              <w:spacing w:before="0" w:after="0"/>
              <w:ind w:left="0"/>
              <w:contextualSpacing/>
              <w:jc w:val="center"/>
              <w:rPr>
                <w:b/>
                <w:color w:val="000000" w:themeColor="text1"/>
              </w:rPr>
            </w:pPr>
            <w:r w:rsidRPr="00FE1882">
              <w:rPr>
                <w:b/>
                <w:color w:val="000000" w:themeColor="text1"/>
              </w:rPr>
              <w:t>Total Annual Burden Hours</w:t>
            </w:r>
          </w:p>
        </w:tc>
        <w:tc>
          <w:tcPr>
            <w:tcW w:w="1890" w:type="dxa"/>
          </w:tcPr>
          <w:p w:rsidRPr="00FE1882" w:rsidR="00F35C72" w:rsidP="00014D67" w:rsidRDefault="00F35C72" w14:paraId="31A78204" w14:textId="77777777">
            <w:pPr>
              <w:pStyle w:val="ListParagraph"/>
              <w:spacing w:before="0" w:after="0"/>
              <w:ind w:left="0"/>
              <w:contextualSpacing/>
              <w:jc w:val="center"/>
              <w:rPr>
                <w:b/>
                <w:color w:val="000000" w:themeColor="text1"/>
              </w:rPr>
            </w:pPr>
            <w:r w:rsidRPr="00FE1882">
              <w:rPr>
                <w:b/>
                <w:color w:val="000000" w:themeColor="text1"/>
              </w:rPr>
              <w:t>Average Cost Per Hour</w:t>
            </w:r>
          </w:p>
        </w:tc>
        <w:tc>
          <w:tcPr>
            <w:tcW w:w="1530" w:type="dxa"/>
          </w:tcPr>
          <w:p w:rsidRPr="00FE1882" w:rsidR="00F35C72" w:rsidP="00014D67" w:rsidRDefault="00F35C72" w14:paraId="0233A1AF" w14:textId="77777777">
            <w:pPr>
              <w:pStyle w:val="ListParagraph"/>
              <w:spacing w:before="0" w:after="0"/>
              <w:ind w:left="0"/>
              <w:contextualSpacing/>
              <w:jc w:val="center"/>
              <w:rPr>
                <w:b/>
                <w:color w:val="000000" w:themeColor="text1"/>
              </w:rPr>
            </w:pPr>
            <w:r w:rsidRPr="00FE1882">
              <w:rPr>
                <w:b/>
                <w:color w:val="000000" w:themeColor="text1"/>
              </w:rPr>
              <w:t>Total Cost</w:t>
            </w:r>
          </w:p>
        </w:tc>
      </w:tr>
      <w:tr w:rsidRPr="00FE1882" w:rsidR="00F35C72" w:rsidTr="00014D67" w14:paraId="1A96BAE1" w14:textId="77777777">
        <w:tc>
          <w:tcPr>
            <w:tcW w:w="2340" w:type="dxa"/>
          </w:tcPr>
          <w:p w:rsidRPr="00FE1882" w:rsidR="00F35C72" w:rsidP="00014D67" w:rsidRDefault="00F35C72" w14:paraId="34AADEB6" w14:textId="77777777">
            <w:pPr>
              <w:pStyle w:val="ListParagraph"/>
              <w:spacing w:before="0" w:after="0"/>
              <w:ind w:left="0"/>
              <w:contextualSpacing/>
              <w:rPr>
                <w:color w:val="000000" w:themeColor="text1"/>
              </w:rPr>
            </w:pPr>
            <w:r>
              <w:rPr>
                <w:color w:val="000000" w:themeColor="text1"/>
              </w:rPr>
              <w:t>SILC</w:t>
            </w:r>
            <w:r w:rsidRPr="00FE1882">
              <w:rPr>
                <w:color w:val="000000" w:themeColor="text1"/>
              </w:rPr>
              <w:t>s</w:t>
            </w:r>
          </w:p>
        </w:tc>
        <w:tc>
          <w:tcPr>
            <w:tcW w:w="3443" w:type="dxa"/>
          </w:tcPr>
          <w:p w:rsidRPr="00FE1882" w:rsidR="00F35C72" w:rsidP="00014D67" w:rsidRDefault="00F35C72" w14:paraId="1A2EBDA4" w14:textId="77777777">
            <w:pPr>
              <w:pStyle w:val="ListParagraph"/>
              <w:spacing w:before="0" w:after="0"/>
              <w:ind w:left="0"/>
              <w:contextualSpacing/>
              <w:rPr>
                <w:color w:val="000000" w:themeColor="text1"/>
              </w:rPr>
            </w:pPr>
            <w:r>
              <w:rPr>
                <w:color w:val="000000" w:themeColor="text1"/>
              </w:rPr>
              <w:t>3,360 (2,240 of which has salary, benefits, and overhead cost)</w:t>
            </w:r>
          </w:p>
        </w:tc>
        <w:tc>
          <w:tcPr>
            <w:tcW w:w="1890" w:type="dxa"/>
          </w:tcPr>
          <w:p w:rsidRPr="00FE1882" w:rsidR="00F35C72" w:rsidP="00EA7163" w:rsidRDefault="00F35C72" w14:paraId="0E2E0809" w14:textId="0D3ED8A7">
            <w:pPr>
              <w:pStyle w:val="ListParagraph"/>
              <w:spacing w:before="0" w:after="0"/>
              <w:ind w:left="0"/>
              <w:contextualSpacing/>
              <w:rPr>
                <w:color w:val="000000" w:themeColor="text1"/>
              </w:rPr>
            </w:pPr>
            <w:r>
              <w:rPr>
                <w:color w:val="000000" w:themeColor="text1"/>
              </w:rPr>
              <w:t>$</w:t>
            </w:r>
            <w:r w:rsidR="00ED6BDE">
              <w:rPr>
                <w:color w:val="000000" w:themeColor="text1"/>
              </w:rPr>
              <w:t>6</w:t>
            </w:r>
            <w:r w:rsidR="00EA7163">
              <w:rPr>
                <w:color w:val="000000" w:themeColor="text1"/>
              </w:rPr>
              <w:t>2</w:t>
            </w:r>
            <w:r>
              <w:rPr>
                <w:color w:val="000000" w:themeColor="text1"/>
              </w:rPr>
              <w:t>.</w:t>
            </w:r>
            <w:r w:rsidR="00ED6BDE">
              <w:rPr>
                <w:color w:val="000000" w:themeColor="text1"/>
              </w:rPr>
              <w:t>8</w:t>
            </w:r>
            <w:r w:rsidR="00EA7163">
              <w:rPr>
                <w:color w:val="000000" w:themeColor="text1"/>
              </w:rPr>
              <w:t>2</w:t>
            </w:r>
          </w:p>
        </w:tc>
        <w:tc>
          <w:tcPr>
            <w:tcW w:w="1530" w:type="dxa"/>
          </w:tcPr>
          <w:p w:rsidRPr="00FE1882" w:rsidR="00F35C72" w:rsidP="00EA7163" w:rsidRDefault="00F35C72" w14:paraId="16F6F160" w14:textId="38FA5420">
            <w:pPr>
              <w:pStyle w:val="ListParagraph"/>
              <w:spacing w:before="0" w:after="0"/>
              <w:ind w:left="0"/>
              <w:contextualSpacing/>
              <w:rPr>
                <w:color w:val="000000" w:themeColor="text1"/>
              </w:rPr>
            </w:pPr>
            <w:r>
              <w:rPr>
                <w:color w:val="000000" w:themeColor="text1"/>
              </w:rPr>
              <w:t>$</w:t>
            </w:r>
            <w:r w:rsidR="00EA7163">
              <w:rPr>
                <w:color w:val="000000" w:themeColor="text1"/>
              </w:rPr>
              <w:t>140</w:t>
            </w:r>
            <w:r>
              <w:rPr>
                <w:color w:val="000000" w:themeColor="text1"/>
              </w:rPr>
              <w:t>,</w:t>
            </w:r>
            <w:r w:rsidR="00EA7163">
              <w:rPr>
                <w:color w:val="000000" w:themeColor="text1"/>
              </w:rPr>
              <w:t>716</w:t>
            </w:r>
            <w:r>
              <w:rPr>
                <w:color w:val="000000" w:themeColor="text1"/>
              </w:rPr>
              <w:t>.</w:t>
            </w:r>
            <w:r w:rsidR="00EA7163">
              <w:rPr>
                <w:color w:val="000000" w:themeColor="text1"/>
              </w:rPr>
              <w:t>8</w:t>
            </w:r>
            <w:r w:rsidR="00ED6BDE">
              <w:rPr>
                <w:color w:val="000000" w:themeColor="text1"/>
              </w:rPr>
              <w:t>0</w:t>
            </w:r>
          </w:p>
        </w:tc>
      </w:tr>
    </w:tbl>
    <w:p w:rsidRPr="001B22F5" w:rsidR="001B22F5" w:rsidP="001B22F5" w:rsidRDefault="001B22F5" w14:paraId="20653DAB" w14:textId="77777777">
      <w:pPr>
        <w:pStyle w:val="ListParagraph"/>
        <w:spacing w:before="0" w:after="0"/>
        <w:ind w:left="0"/>
        <w:contextualSpacing/>
        <w:rPr>
          <w:b/>
          <w:color w:val="000000" w:themeColor="text1"/>
        </w:rPr>
      </w:pPr>
    </w:p>
    <w:p w:rsidRPr="00FE1882" w:rsidR="005B5BCC" w:rsidP="005B5BCC" w:rsidRDefault="005B5BCC" w14:paraId="2BBE5C0E" w14:textId="39CD9F4E">
      <w:pPr>
        <w:pStyle w:val="ListParagraph"/>
        <w:numPr>
          <w:ilvl w:val="0"/>
          <w:numId w:val="1"/>
        </w:numPr>
        <w:spacing w:before="0" w:after="0"/>
        <w:ind w:left="0"/>
        <w:contextualSpacing/>
        <w:rPr>
          <w:rStyle w:val="a"/>
          <w:b/>
          <w:color w:val="000000" w:themeColor="text1"/>
        </w:rPr>
      </w:pPr>
      <w:r w:rsidRPr="00FE1882">
        <w:rPr>
          <w:rFonts w:eastAsiaTheme="minorEastAsia"/>
          <w:b/>
          <w:color w:val="000000" w:themeColor="text1"/>
          <w:kern w:val="24"/>
        </w:rPr>
        <w:t>Estimates of Other Total Annual Cost Burden to Respondents and Record Keepers</w:t>
      </w:r>
    </w:p>
    <w:p w:rsidRPr="00FE1882" w:rsidR="005B5BCC" w:rsidP="005B5BCC" w:rsidRDefault="005B5BCC" w14:paraId="40DE435A" w14:textId="77777777">
      <w:pPr>
        <w:pStyle w:val="ListParagraph"/>
        <w:spacing w:before="0" w:after="0"/>
        <w:ind w:left="0"/>
        <w:contextualSpacing/>
        <w:rPr>
          <w:color w:val="000000" w:themeColor="text1"/>
        </w:rPr>
      </w:pPr>
    </w:p>
    <w:p w:rsidRPr="00FE1882" w:rsidR="005B5BCC" w:rsidP="005B5BCC" w:rsidRDefault="005B5BCC" w14:paraId="29CAAB5D" w14:textId="77777777">
      <w:pPr>
        <w:pStyle w:val="ListParagraph"/>
        <w:spacing w:before="0" w:after="0"/>
        <w:ind w:left="0"/>
        <w:contextualSpacing/>
        <w:rPr>
          <w:color w:val="000000" w:themeColor="text1"/>
        </w:rPr>
      </w:pPr>
      <w:r w:rsidRPr="00FE1882">
        <w:rPr>
          <w:color w:val="000000" w:themeColor="text1"/>
        </w:rPr>
        <w:t>No additional capital or other costs are incurred by respondents other than those specified in this question.</w:t>
      </w:r>
    </w:p>
    <w:p w:rsidRPr="00D16079" w:rsidR="00D16079" w:rsidP="00D16079" w:rsidRDefault="00D16079" w14:paraId="22BA8587" w14:textId="77777777">
      <w:pPr>
        <w:pStyle w:val="ListParagraph"/>
        <w:spacing w:before="0" w:after="0"/>
        <w:ind w:left="0"/>
        <w:contextualSpacing/>
        <w:rPr>
          <w:b/>
          <w:color w:val="000000" w:themeColor="text1"/>
        </w:rPr>
      </w:pPr>
    </w:p>
    <w:p w:rsidRPr="00FE1882" w:rsidR="005B5BCC" w:rsidP="005B5BCC" w:rsidRDefault="005B5BCC" w14:paraId="7051F39C" w14:textId="194FBAB6">
      <w:pPr>
        <w:pStyle w:val="ListParagraph"/>
        <w:numPr>
          <w:ilvl w:val="0"/>
          <w:numId w:val="1"/>
        </w:numPr>
        <w:spacing w:before="0" w:after="0"/>
        <w:ind w:left="0"/>
        <w:contextualSpacing/>
        <w:rPr>
          <w:rStyle w:val="a"/>
          <w:b/>
          <w:color w:val="000000" w:themeColor="text1"/>
        </w:rPr>
      </w:pPr>
      <w:r w:rsidRPr="00FE1882">
        <w:rPr>
          <w:rFonts w:eastAsiaTheme="minorEastAsia"/>
          <w:b/>
          <w:color w:val="000000" w:themeColor="text1"/>
          <w:kern w:val="24"/>
        </w:rPr>
        <w:t>Annualized Cost to the Federal Government</w:t>
      </w:r>
    </w:p>
    <w:p w:rsidR="005B5BCC" w:rsidP="005B5BCC" w:rsidRDefault="005B5BCC" w14:paraId="12FB9166" w14:textId="77777777">
      <w:pPr>
        <w:pStyle w:val="ListParagraph"/>
        <w:spacing w:before="0" w:after="0"/>
        <w:ind w:left="0"/>
        <w:contextualSpacing/>
        <w:rPr>
          <w:rStyle w:val="a"/>
          <w:color w:val="000000" w:themeColor="text1"/>
        </w:rPr>
      </w:pPr>
    </w:p>
    <w:p w:rsidR="00F141E7" w:rsidP="005B5BCC" w:rsidRDefault="005B5BCC" w14:paraId="2ED7F35F" w14:textId="177A0402">
      <w:pPr>
        <w:pStyle w:val="ListParagraph"/>
        <w:spacing w:before="0" w:after="0"/>
        <w:ind w:left="0"/>
        <w:contextualSpacing/>
        <w:rPr>
          <w:rStyle w:val="a"/>
          <w:color w:val="000000" w:themeColor="text1"/>
        </w:rPr>
      </w:pPr>
      <w:r>
        <w:rPr>
          <w:rStyle w:val="a"/>
          <w:color w:val="000000" w:themeColor="text1"/>
        </w:rPr>
        <w:t>Each SPIL takes approximately four hours to review and approve, and there are 56 SPILs, so ACL will spend approximately 224 hours reviewing these SPILs. ACL staff members who will review these</w:t>
      </w:r>
      <w:r w:rsidR="00F35C72">
        <w:rPr>
          <w:rStyle w:val="a"/>
          <w:color w:val="000000" w:themeColor="text1"/>
        </w:rPr>
        <w:t xml:space="preserve"> SPILs will be general schedule Grades GS-11, GS-12 and GS-13. </w:t>
      </w:r>
      <w:r>
        <w:rPr>
          <w:rStyle w:val="a"/>
          <w:color w:val="000000" w:themeColor="text1"/>
        </w:rPr>
        <w:t xml:space="preserve"> </w:t>
      </w:r>
    </w:p>
    <w:p w:rsidR="00F35C72" w:rsidP="005B5BCC" w:rsidRDefault="00F35C72" w14:paraId="3EF88D14" w14:textId="77777777">
      <w:pPr>
        <w:pStyle w:val="ListParagraph"/>
        <w:spacing w:before="0" w:after="0"/>
        <w:ind w:left="0"/>
        <w:contextualSpacing/>
        <w:rPr>
          <w:rStyle w:val="a"/>
          <w:color w:val="000000" w:themeColor="text1"/>
        </w:rPr>
      </w:pPr>
    </w:p>
    <w:p w:rsidR="00F141E7" w:rsidP="005B5BCC" w:rsidRDefault="005B5BCC" w14:paraId="28404D69" w14:textId="27CA213F">
      <w:pPr>
        <w:pStyle w:val="ListParagraph"/>
        <w:spacing w:before="0" w:after="0"/>
        <w:ind w:left="0"/>
        <w:contextualSpacing/>
        <w:rPr>
          <w:rStyle w:val="a"/>
          <w:color w:val="000000" w:themeColor="text1"/>
        </w:rPr>
      </w:pPr>
      <w:r>
        <w:rPr>
          <w:rStyle w:val="a"/>
          <w:color w:val="000000" w:themeColor="text1"/>
        </w:rPr>
        <w:lastRenderedPageBreak/>
        <w:t xml:space="preserve">Therefore, the median salary of a reviewer </w:t>
      </w:r>
      <w:proofErr w:type="gramStart"/>
      <w:r>
        <w:rPr>
          <w:rStyle w:val="a"/>
          <w:color w:val="000000" w:themeColor="text1"/>
        </w:rPr>
        <w:t>is estimated</w:t>
      </w:r>
      <w:proofErr w:type="gramEnd"/>
      <w:r>
        <w:rPr>
          <w:rStyle w:val="a"/>
          <w:color w:val="000000" w:themeColor="text1"/>
        </w:rPr>
        <w:t xml:space="preserve"> as $</w:t>
      </w:r>
      <w:r w:rsidR="002923B8">
        <w:rPr>
          <w:rStyle w:val="a"/>
          <w:color w:val="000000" w:themeColor="text1"/>
        </w:rPr>
        <w:t>45</w:t>
      </w:r>
      <w:r>
        <w:rPr>
          <w:rStyle w:val="a"/>
          <w:color w:val="000000" w:themeColor="text1"/>
        </w:rPr>
        <w:t>.</w:t>
      </w:r>
      <w:r w:rsidR="002923B8">
        <w:rPr>
          <w:rStyle w:val="a"/>
          <w:color w:val="000000" w:themeColor="text1"/>
        </w:rPr>
        <w:t>29</w:t>
      </w:r>
      <w:r w:rsidR="002C221C">
        <w:rPr>
          <w:rStyle w:val="FootnoteReference"/>
          <w:color w:val="000000" w:themeColor="text1"/>
        </w:rPr>
        <w:footnoteReference w:id="2"/>
      </w:r>
      <w:r w:rsidR="002923B8">
        <w:rPr>
          <w:rStyle w:val="a"/>
          <w:color w:val="000000" w:themeColor="text1"/>
        </w:rPr>
        <w:t xml:space="preserve"> </w:t>
      </w:r>
      <w:r>
        <w:rPr>
          <w:rStyle w:val="a"/>
          <w:color w:val="000000" w:themeColor="text1"/>
        </w:rPr>
        <w:t>per hour, which is the salary of a GS-12, step 5 in the Washington, DC area. This median hourly salary multiplied by the 224-hour estimate of the total review time is $</w:t>
      </w:r>
      <w:r w:rsidR="002923B8">
        <w:rPr>
          <w:rStyle w:val="a"/>
          <w:color w:val="000000" w:themeColor="text1"/>
        </w:rPr>
        <w:t>10</w:t>
      </w:r>
      <w:r>
        <w:rPr>
          <w:rStyle w:val="a"/>
          <w:color w:val="000000" w:themeColor="text1"/>
        </w:rPr>
        <w:t>,</w:t>
      </w:r>
      <w:r w:rsidR="002923B8">
        <w:rPr>
          <w:rStyle w:val="a"/>
          <w:color w:val="000000" w:themeColor="text1"/>
        </w:rPr>
        <w:t>144</w:t>
      </w:r>
      <w:r>
        <w:rPr>
          <w:rStyle w:val="a"/>
          <w:color w:val="000000" w:themeColor="text1"/>
        </w:rPr>
        <w:t>.</w:t>
      </w:r>
      <w:r w:rsidR="002923B8">
        <w:rPr>
          <w:rStyle w:val="a"/>
          <w:color w:val="000000" w:themeColor="text1"/>
        </w:rPr>
        <w:t>96</w:t>
      </w:r>
      <w:r>
        <w:rPr>
          <w:rStyle w:val="a"/>
          <w:color w:val="000000" w:themeColor="text1"/>
        </w:rPr>
        <w:t xml:space="preserve">. </w:t>
      </w:r>
    </w:p>
    <w:p w:rsidR="00F141E7" w:rsidP="005B5BCC" w:rsidRDefault="00F141E7" w14:paraId="5F2C9A20" w14:textId="77777777">
      <w:pPr>
        <w:pStyle w:val="ListParagraph"/>
        <w:spacing w:before="0" w:after="0"/>
        <w:ind w:left="0"/>
        <w:contextualSpacing/>
        <w:rPr>
          <w:rStyle w:val="a"/>
          <w:color w:val="000000" w:themeColor="text1"/>
        </w:rPr>
      </w:pPr>
    </w:p>
    <w:p w:rsidR="005B5BCC" w:rsidP="005B5BCC" w:rsidRDefault="005B5BCC" w14:paraId="5805B4EB" w14:textId="6A65F6D1">
      <w:pPr>
        <w:pStyle w:val="ListParagraph"/>
        <w:spacing w:before="0" w:after="0"/>
        <w:ind w:left="0"/>
        <w:contextualSpacing/>
        <w:rPr>
          <w:rStyle w:val="a"/>
          <w:color w:val="000000" w:themeColor="text1"/>
        </w:rPr>
      </w:pPr>
      <w:r>
        <w:rPr>
          <w:rStyle w:val="a"/>
          <w:color w:val="000000" w:themeColor="text1"/>
        </w:rPr>
        <w:t>Multiplying this $</w:t>
      </w:r>
      <w:r w:rsidR="002923B8">
        <w:rPr>
          <w:rStyle w:val="a"/>
          <w:color w:val="000000" w:themeColor="text1"/>
        </w:rPr>
        <w:t>10</w:t>
      </w:r>
      <w:r>
        <w:rPr>
          <w:rStyle w:val="a"/>
          <w:color w:val="000000" w:themeColor="text1"/>
        </w:rPr>
        <w:t>,</w:t>
      </w:r>
      <w:r w:rsidR="002923B8">
        <w:rPr>
          <w:rStyle w:val="a"/>
          <w:color w:val="000000" w:themeColor="text1"/>
        </w:rPr>
        <w:t>144</w:t>
      </w:r>
      <w:r>
        <w:rPr>
          <w:rStyle w:val="a"/>
          <w:color w:val="000000" w:themeColor="text1"/>
        </w:rPr>
        <w:t>.</w:t>
      </w:r>
      <w:r w:rsidR="002923B8">
        <w:rPr>
          <w:rStyle w:val="a"/>
          <w:color w:val="000000" w:themeColor="text1"/>
        </w:rPr>
        <w:t xml:space="preserve">96 </w:t>
      </w:r>
      <w:r>
        <w:rPr>
          <w:rStyle w:val="a"/>
          <w:color w:val="000000" w:themeColor="text1"/>
        </w:rPr>
        <w:t xml:space="preserve">by two—to account for salaries and benefits—results in an estimated </w:t>
      </w:r>
      <w:r w:rsidR="000B7AEE">
        <w:rPr>
          <w:rStyle w:val="a"/>
          <w:color w:val="000000" w:themeColor="text1"/>
        </w:rPr>
        <w:t>total of $</w:t>
      </w:r>
      <w:r w:rsidR="002923B8">
        <w:rPr>
          <w:rStyle w:val="a"/>
          <w:color w:val="000000" w:themeColor="text1"/>
        </w:rPr>
        <w:t>20</w:t>
      </w:r>
      <w:r w:rsidR="000B7AEE">
        <w:rPr>
          <w:rStyle w:val="a"/>
          <w:color w:val="000000" w:themeColor="text1"/>
        </w:rPr>
        <w:t>,</w:t>
      </w:r>
      <w:r w:rsidR="002923B8">
        <w:rPr>
          <w:rStyle w:val="a"/>
          <w:color w:val="000000" w:themeColor="text1"/>
        </w:rPr>
        <w:t>289</w:t>
      </w:r>
      <w:r w:rsidR="000B7AEE">
        <w:rPr>
          <w:rStyle w:val="a"/>
          <w:color w:val="000000" w:themeColor="text1"/>
        </w:rPr>
        <w:t>.</w:t>
      </w:r>
      <w:r w:rsidR="002923B8">
        <w:rPr>
          <w:rStyle w:val="a"/>
          <w:color w:val="000000" w:themeColor="text1"/>
        </w:rPr>
        <w:t xml:space="preserve">92 </w:t>
      </w:r>
      <w:r w:rsidR="000B7AEE">
        <w:rPr>
          <w:rStyle w:val="a"/>
          <w:color w:val="000000" w:themeColor="text1"/>
        </w:rPr>
        <w:t>cost to the Federal Government.</w:t>
      </w:r>
    </w:p>
    <w:p w:rsidRPr="00FE1882" w:rsidR="005B5BCC" w:rsidP="005B5BCC" w:rsidRDefault="005B5BCC" w14:paraId="6DFA846B" w14:textId="77777777">
      <w:pPr>
        <w:pStyle w:val="ListParagraph"/>
        <w:spacing w:before="0" w:after="0"/>
        <w:ind w:left="0"/>
        <w:contextualSpacing/>
        <w:rPr>
          <w:rStyle w:val="a"/>
          <w:color w:val="000000" w:themeColor="text1"/>
        </w:rPr>
      </w:pPr>
    </w:p>
    <w:p w:rsidRPr="00FE1882" w:rsidR="005B5BCC" w:rsidP="005B5BCC" w:rsidRDefault="005B5BCC" w14:paraId="3EB6F009" w14:textId="77777777">
      <w:pPr>
        <w:pStyle w:val="ListParagraph"/>
        <w:numPr>
          <w:ilvl w:val="0"/>
          <w:numId w:val="1"/>
        </w:numPr>
        <w:spacing w:before="0" w:after="0"/>
        <w:ind w:left="0"/>
        <w:contextualSpacing/>
        <w:rPr>
          <w:b/>
          <w:color w:val="000000" w:themeColor="text1"/>
        </w:rPr>
      </w:pPr>
      <w:r w:rsidRPr="00FE1882">
        <w:rPr>
          <w:rFonts w:eastAsiaTheme="minorEastAsia"/>
          <w:b/>
          <w:color w:val="000000" w:themeColor="text1"/>
          <w:kern w:val="24"/>
        </w:rPr>
        <w:t>Explanation for Program Changes or Adjustments</w:t>
      </w:r>
    </w:p>
    <w:p w:rsidRPr="00FE1882" w:rsidR="005B5BCC" w:rsidP="005B5BCC" w:rsidRDefault="005B5BCC" w14:paraId="0B236A28" w14:textId="77777777">
      <w:pPr>
        <w:pStyle w:val="ListParagraph"/>
        <w:spacing w:before="0" w:after="0"/>
        <w:ind w:left="0"/>
        <w:contextualSpacing/>
        <w:rPr>
          <w:color w:val="000000" w:themeColor="text1"/>
        </w:rPr>
      </w:pPr>
    </w:p>
    <w:p w:rsidRPr="00FE1882" w:rsidR="005B5BCC" w:rsidP="005B5BCC" w:rsidRDefault="00F141E7" w14:paraId="68AC2EAF" w14:textId="173954EE">
      <w:pPr>
        <w:pStyle w:val="ListParagraph"/>
        <w:spacing w:before="0" w:after="0"/>
        <w:ind w:left="0"/>
        <w:contextualSpacing/>
        <w:rPr>
          <w:color w:val="000000" w:themeColor="text1"/>
        </w:rPr>
      </w:pPr>
      <w:r>
        <w:rPr>
          <w:color w:val="000000" w:themeColor="text1"/>
        </w:rPr>
        <w:t xml:space="preserve">There are no </w:t>
      </w:r>
      <w:r w:rsidR="00F6113F">
        <w:rPr>
          <w:color w:val="000000" w:themeColor="text1"/>
        </w:rPr>
        <w:t xml:space="preserve">program changes or adjustments to the annual burden and respondent totals for this IC. Revisions to language regarding SPIL provisions are the only </w:t>
      </w:r>
      <w:bookmarkStart w:name="_GoBack" w:id="0"/>
      <w:bookmarkEnd w:id="0"/>
      <w:r w:rsidR="00F6113F">
        <w:rPr>
          <w:color w:val="000000" w:themeColor="text1"/>
        </w:rPr>
        <w:t xml:space="preserve">revision updates to this IC.  </w:t>
      </w:r>
    </w:p>
    <w:p w:rsidRPr="00FE1882" w:rsidR="005B5BCC" w:rsidP="005B5BCC" w:rsidRDefault="005B5BCC" w14:paraId="3087EB95" w14:textId="77777777">
      <w:pPr>
        <w:pStyle w:val="ListParagraph"/>
        <w:spacing w:before="0" w:after="0"/>
        <w:ind w:left="0"/>
        <w:contextualSpacing/>
        <w:rPr>
          <w:color w:val="000000" w:themeColor="text1"/>
        </w:rPr>
      </w:pPr>
    </w:p>
    <w:p w:rsidRPr="00FE1882" w:rsidR="005B5BCC" w:rsidP="005B5BCC" w:rsidRDefault="005B5BCC" w14:paraId="69657E34" w14:textId="77777777">
      <w:pPr>
        <w:pStyle w:val="ListParagraph"/>
        <w:numPr>
          <w:ilvl w:val="0"/>
          <w:numId w:val="1"/>
        </w:numPr>
        <w:spacing w:before="0" w:after="0"/>
        <w:ind w:left="0"/>
        <w:contextualSpacing/>
        <w:rPr>
          <w:rStyle w:val="a"/>
          <w:b/>
          <w:color w:val="000000" w:themeColor="text1"/>
        </w:rPr>
      </w:pPr>
      <w:r w:rsidRPr="00FE1882">
        <w:rPr>
          <w:b/>
          <w:color w:val="000000" w:themeColor="text1"/>
        </w:rPr>
        <w:t>Plans for Tabulation and Publication and Project Time Schedule</w:t>
      </w:r>
    </w:p>
    <w:p w:rsidRPr="00FE1882" w:rsidR="005B5BCC" w:rsidP="005B5BCC" w:rsidRDefault="005B5BCC" w14:paraId="75A7913D" w14:textId="77777777">
      <w:pPr>
        <w:pStyle w:val="ListParagraph"/>
        <w:spacing w:before="0" w:after="0"/>
        <w:ind w:left="0"/>
        <w:contextualSpacing/>
        <w:rPr>
          <w:rStyle w:val="a"/>
          <w:color w:val="000000" w:themeColor="text1"/>
        </w:rPr>
      </w:pPr>
    </w:p>
    <w:p w:rsidRPr="00FE1882" w:rsidR="005B5BCC" w:rsidP="005B5BCC" w:rsidRDefault="005B5BCC" w14:paraId="387BD722" w14:textId="77777777">
      <w:pPr>
        <w:pStyle w:val="ListParagraph"/>
        <w:spacing w:before="0" w:after="0"/>
        <w:ind w:left="0"/>
        <w:contextualSpacing/>
        <w:rPr>
          <w:rStyle w:val="a"/>
          <w:color w:val="000000" w:themeColor="text1"/>
        </w:rPr>
      </w:pPr>
      <w:r>
        <w:rPr>
          <w:rStyle w:val="a"/>
          <w:color w:val="000000" w:themeColor="text1"/>
        </w:rPr>
        <w:t xml:space="preserve">SPILs </w:t>
      </w:r>
      <w:proofErr w:type="gramStart"/>
      <w:r>
        <w:rPr>
          <w:rStyle w:val="a"/>
          <w:color w:val="000000" w:themeColor="text1"/>
        </w:rPr>
        <w:t>will be made</w:t>
      </w:r>
      <w:proofErr w:type="gramEnd"/>
      <w:r>
        <w:rPr>
          <w:rStyle w:val="a"/>
          <w:color w:val="000000" w:themeColor="text1"/>
        </w:rPr>
        <w:t xml:space="preserve"> available to the public upon request.</w:t>
      </w:r>
    </w:p>
    <w:p w:rsidRPr="00FE1882" w:rsidR="005B5BCC" w:rsidP="005B5BCC" w:rsidRDefault="005B5BCC" w14:paraId="01F90481" w14:textId="77777777">
      <w:pPr>
        <w:pStyle w:val="ListParagraph"/>
        <w:spacing w:before="0" w:after="0"/>
        <w:ind w:left="0"/>
        <w:contextualSpacing/>
        <w:rPr>
          <w:rStyle w:val="a"/>
          <w:color w:val="000000" w:themeColor="text1"/>
        </w:rPr>
      </w:pPr>
    </w:p>
    <w:p w:rsidRPr="00FE1882" w:rsidR="005B5BCC" w:rsidP="005B5BCC" w:rsidRDefault="005B5BCC" w14:paraId="492E7179" w14:textId="77777777">
      <w:pPr>
        <w:pStyle w:val="ListParagraph"/>
        <w:numPr>
          <w:ilvl w:val="0"/>
          <w:numId w:val="1"/>
        </w:numPr>
        <w:spacing w:before="0" w:after="0"/>
        <w:ind w:left="0"/>
        <w:contextualSpacing/>
        <w:rPr>
          <w:rStyle w:val="a"/>
          <w:b/>
          <w:color w:val="000000" w:themeColor="text1"/>
        </w:rPr>
      </w:pPr>
      <w:r w:rsidRPr="00FE1882">
        <w:rPr>
          <w:rStyle w:val="a"/>
          <w:b/>
          <w:color w:val="000000" w:themeColor="text1"/>
        </w:rPr>
        <w:t xml:space="preserve">If seeking approval </w:t>
      </w:r>
      <w:proofErr w:type="gramStart"/>
      <w:r w:rsidRPr="00FE1882">
        <w:rPr>
          <w:rStyle w:val="a"/>
          <w:b/>
          <w:color w:val="000000" w:themeColor="text1"/>
        </w:rPr>
        <w:t>to not display</w:t>
      </w:r>
      <w:proofErr w:type="gramEnd"/>
      <w:r w:rsidRPr="00FE1882">
        <w:rPr>
          <w:rStyle w:val="a"/>
          <w:b/>
          <w:color w:val="000000" w:themeColor="text1"/>
        </w:rPr>
        <w:t xml:space="preserve"> the expiration date for OMB approval of the information collection, explain the reasons that display would be inappropriate.</w:t>
      </w:r>
    </w:p>
    <w:p w:rsidRPr="00FE1882" w:rsidR="005B5BCC" w:rsidP="005B5BCC" w:rsidRDefault="005B5BCC" w14:paraId="15C41A09" w14:textId="77777777">
      <w:pPr>
        <w:pStyle w:val="ListParagraph"/>
        <w:spacing w:before="0" w:after="0"/>
        <w:ind w:left="0"/>
        <w:contextualSpacing/>
        <w:rPr>
          <w:rStyle w:val="a"/>
          <w:color w:val="000000" w:themeColor="text1"/>
        </w:rPr>
      </w:pPr>
    </w:p>
    <w:p w:rsidRPr="00FE1882" w:rsidR="005B5BCC" w:rsidP="005B5BCC" w:rsidRDefault="005B5BCC" w14:paraId="1F27850B" w14:textId="77777777">
      <w:pPr>
        <w:pStyle w:val="ListParagraph"/>
        <w:spacing w:before="0" w:after="0"/>
        <w:ind w:left="0"/>
        <w:contextualSpacing/>
        <w:rPr>
          <w:rStyle w:val="a"/>
          <w:color w:val="000000" w:themeColor="text1"/>
        </w:rPr>
      </w:pPr>
      <w:r w:rsidRPr="00FE1882">
        <w:rPr>
          <w:rStyle w:val="a"/>
          <w:color w:val="000000" w:themeColor="text1"/>
        </w:rPr>
        <w:t xml:space="preserve">The OMB expiration date </w:t>
      </w:r>
      <w:proofErr w:type="gramStart"/>
      <w:r w:rsidRPr="00FE1882">
        <w:rPr>
          <w:rStyle w:val="a"/>
          <w:color w:val="000000" w:themeColor="text1"/>
        </w:rPr>
        <w:t>will be displayed</w:t>
      </w:r>
      <w:proofErr w:type="gramEnd"/>
      <w:r w:rsidRPr="00FE1882">
        <w:rPr>
          <w:rStyle w:val="a"/>
          <w:color w:val="000000" w:themeColor="text1"/>
        </w:rPr>
        <w:t>.</w:t>
      </w:r>
    </w:p>
    <w:p w:rsidRPr="00FE1882" w:rsidR="005B5BCC" w:rsidP="005B5BCC" w:rsidRDefault="005B5BCC" w14:paraId="4A27AC32" w14:textId="77777777">
      <w:pPr>
        <w:pStyle w:val="ListParagraph"/>
        <w:spacing w:before="0" w:after="0"/>
        <w:ind w:left="0"/>
        <w:contextualSpacing/>
        <w:rPr>
          <w:rStyle w:val="a"/>
          <w:color w:val="000000" w:themeColor="text1"/>
        </w:rPr>
      </w:pPr>
    </w:p>
    <w:p w:rsidRPr="00FE1882" w:rsidR="005B5BCC" w:rsidP="005B5BCC" w:rsidRDefault="005B5BCC" w14:paraId="6F05D2A7" w14:textId="77777777">
      <w:pPr>
        <w:pStyle w:val="ListParagraph"/>
        <w:numPr>
          <w:ilvl w:val="0"/>
          <w:numId w:val="1"/>
        </w:numPr>
        <w:spacing w:before="0" w:after="0"/>
        <w:ind w:left="0"/>
        <w:contextualSpacing/>
        <w:rPr>
          <w:rStyle w:val="a"/>
          <w:b/>
          <w:color w:val="000000" w:themeColor="text1"/>
        </w:rPr>
      </w:pPr>
      <w:r w:rsidRPr="00FE1882">
        <w:rPr>
          <w:rFonts w:eastAsiaTheme="minorEastAsia"/>
          <w:b/>
          <w:color w:val="000000" w:themeColor="text1"/>
          <w:kern w:val="24"/>
        </w:rPr>
        <w:t>Exceptions to Certification for Paperwork Reduction Act Submissions</w:t>
      </w:r>
    </w:p>
    <w:p w:rsidRPr="00FE1882" w:rsidR="005B5BCC" w:rsidP="005B5BCC" w:rsidRDefault="005B5BCC" w14:paraId="4D6F3E5D" w14:textId="77777777">
      <w:pPr>
        <w:pStyle w:val="ListParagraph"/>
        <w:spacing w:before="0" w:after="0"/>
        <w:ind w:left="0"/>
        <w:contextualSpacing/>
        <w:rPr>
          <w:rStyle w:val="a"/>
          <w:b/>
          <w:color w:val="000000" w:themeColor="text1"/>
        </w:rPr>
      </w:pPr>
    </w:p>
    <w:p w:rsidRPr="00FE1882" w:rsidR="005B5BCC" w:rsidP="005B5BCC" w:rsidRDefault="005B5BCC" w14:paraId="3FB84CA1" w14:textId="77777777">
      <w:pPr>
        <w:pStyle w:val="ListParagraph"/>
        <w:spacing w:before="0" w:after="0"/>
        <w:ind w:left="0"/>
        <w:contextualSpacing/>
        <w:rPr>
          <w:rStyle w:val="a"/>
          <w:b/>
          <w:color w:val="000000" w:themeColor="text1"/>
        </w:rPr>
      </w:pPr>
      <w:r w:rsidRPr="00FE1882">
        <w:rPr>
          <w:rStyle w:val="a"/>
          <w:b/>
          <w:color w:val="000000" w:themeColor="text1"/>
        </w:rPr>
        <w:t>Explain each exception to the certification statement identified in the Certification of Paperwork Reduction Act.</w:t>
      </w:r>
    </w:p>
    <w:p w:rsidRPr="00FE1882" w:rsidR="005B5BCC" w:rsidP="005B5BCC" w:rsidRDefault="005B5BCC" w14:paraId="1C6083F9" w14:textId="77777777">
      <w:pPr>
        <w:pStyle w:val="ListParagraph"/>
        <w:spacing w:before="0" w:after="0"/>
        <w:ind w:left="0"/>
        <w:contextualSpacing/>
        <w:rPr>
          <w:color w:val="000000" w:themeColor="text1"/>
        </w:rPr>
      </w:pPr>
    </w:p>
    <w:p w:rsidR="00D16079" w:rsidP="000B7AEE" w:rsidRDefault="005B5BCC" w14:paraId="35C79F42" w14:textId="180E834C">
      <w:pPr>
        <w:pStyle w:val="ListParagraph"/>
        <w:spacing w:before="0" w:after="0"/>
        <w:ind w:left="0"/>
        <w:contextualSpacing/>
        <w:rPr>
          <w:rFonts w:ascii="Tahoma" w:hAnsi="Tahoma" w:cs="Tahoma"/>
          <w:sz w:val="16"/>
          <w:szCs w:val="16"/>
        </w:rPr>
      </w:pPr>
      <w:r w:rsidRPr="00FE1882">
        <w:rPr>
          <w:color w:val="000000" w:themeColor="text1"/>
        </w:rPr>
        <w:t>There are no exceptions</w:t>
      </w:r>
      <w:r>
        <w:rPr>
          <w:color w:val="000000" w:themeColor="text1"/>
        </w:rPr>
        <w:t xml:space="preserve"> to the certification statement.</w:t>
      </w:r>
    </w:p>
    <w:p w:rsidR="00D16079" w:rsidP="00D16079" w:rsidRDefault="00D16079" w14:paraId="7835616B" w14:textId="77777777">
      <w:pPr>
        <w:pStyle w:val="CommentText"/>
        <w:rPr>
          <w:rFonts w:ascii="Tahoma" w:hAnsi="Tahoma" w:cs="Tahoma"/>
          <w:sz w:val="16"/>
          <w:szCs w:val="16"/>
        </w:rPr>
      </w:pPr>
    </w:p>
    <w:p w:rsidR="00D16079" w:rsidP="00D16079" w:rsidRDefault="00D16079" w14:paraId="5986EBDB" w14:textId="77777777">
      <w:pPr>
        <w:pStyle w:val="CommentText"/>
        <w:rPr>
          <w:rFonts w:ascii="Tahoma" w:hAnsi="Tahoma" w:cs="Tahoma"/>
          <w:sz w:val="16"/>
          <w:szCs w:val="16"/>
        </w:rPr>
      </w:pPr>
    </w:p>
    <w:p w:rsidRPr="005B5BCC" w:rsidR="00D16079" w:rsidP="005B5BCC" w:rsidRDefault="00D16079" w14:paraId="5AE7F9FF" w14:textId="77777777">
      <w:pPr>
        <w:pStyle w:val="ListParagraph"/>
        <w:spacing w:before="0" w:after="0"/>
        <w:ind w:left="0"/>
        <w:contextualSpacing/>
        <w:rPr>
          <w:color w:val="000000" w:themeColor="text1"/>
        </w:rPr>
      </w:pPr>
    </w:p>
    <w:sectPr w:rsidRPr="005B5BCC" w:rsidR="00D16079" w:rsidSect="009F3D96">
      <w:footerReference w:type="default" r:id="rId8"/>
      <w:endnotePr>
        <w:numFmt w:val="decimal"/>
      </w:endnotePr>
      <w:pgSz w:w="12240" w:h="15840" w:code="1"/>
      <w:pgMar w:top="1440" w:right="1440" w:bottom="1440" w:left="1440" w:header="576" w:footer="706"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B93DF3" w14:textId="77777777" w:rsidR="003171FE" w:rsidRDefault="003171FE">
      <w:pPr>
        <w:spacing w:after="0"/>
      </w:pPr>
      <w:r>
        <w:separator/>
      </w:r>
    </w:p>
  </w:endnote>
  <w:endnote w:type="continuationSeparator" w:id="0">
    <w:p w14:paraId="757447F1" w14:textId="77777777" w:rsidR="003171FE" w:rsidRDefault="003171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4600E" w14:textId="77777777" w:rsidR="00D45419" w:rsidRDefault="005B5BCC">
    <w:pPr>
      <w:tabs>
        <w:tab w:val="left" w:pos="0"/>
      </w:tabs>
      <w:suppressAutoHyphens/>
    </w:pPr>
    <w:r>
      <w:rPr>
        <w:noProof/>
      </w:rPr>
      <mc:AlternateContent>
        <mc:Choice Requires="wps">
          <w:drawing>
            <wp:anchor distT="0" distB="0" distL="114300" distR="114300" simplePos="0" relativeHeight="251659264" behindDoc="1" locked="0" layoutInCell="0" allowOverlap="1" wp14:anchorId="089CB812" wp14:editId="7F4E3206">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5E205D0" w14:textId="38515426" w:rsidR="00D45419" w:rsidRDefault="005B5BCC" w:rsidP="00431228">
                          <w:pPr>
                            <w:tabs>
                              <w:tab w:val="center" w:pos="4650"/>
                            </w:tabs>
                            <w:suppressAutoHyphens/>
                            <w:jc w:val="center"/>
                          </w:pPr>
                          <w:r>
                            <w:fldChar w:fldCharType="begin"/>
                          </w:r>
                          <w:r>
                            <w:instrText>page \* arabic</w:instrText>
                          </w:r>
                          <w:r>
                            <w:fldChar w:fldCharType="separate"/>
                          </w:r>
                          <w:r w:rsidR="00F6113F">
                            <w:rPr>
                              <w:noProof/>
                            </w:rPr>
                            <w:t>4</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9CB812" id="Rectangle 1" o:spid="_x0000_s1026" style="position:absolute;margin-left:1.5pt;margin-top:12pt;width:465pt;height:1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14:paraId="75E205D0" w14:textId="38515426" w:rsidR="00D45419" w:rsidRDefault="005B5BCC" w:rsidP="00431228">
                    <w:pPr>
                      <w:tabs>
                        <w:tab w:val="center" w:pos="4650"/>
                      </w:tabs>
                      <w:suppressAutoHyphens/>
                      <w:jc w:val="center"/>
                    </w:pPr>
                    <w:r>
                      <w:fldChar w:fldCharType="begin"/>
                    </w:r>
                    <w:r>
                      <w:instrText>page \* arabic</w:instrText>
                    </w:r>
                    <w:r>
                      <w:fldChar w:fldCharType="separate"/>
                    </w:r>
                    <w:r w:rsidR="00F6113F">
                      <w:rPr>
                        <w:noProof/>
                      </w:rPr>
                      <w:t>4</w:t>
                    </w:r>
                    <w:r>
                      <w:rPr>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266D51" w14:textId="77777777" w:rsidR="003171FE" w:rsidRDefault="003171FE">
      <w:pPr>
        <w:spacing w:after="0"/>
      </w:pPr>
      <w:r>
        <w:separator/>
      </w:r>
    </w:p>
  </w:footnote>
  <w:footnote w:type="continuationSeparator" w:id="0">
    <w:p w14:paraId="33A588A7" w14:textId="77777777" w:rsidR="003171FE" w:rsidRDefault="003171FE">
      <w:pPr>
        <w:spacing w:after="0"/>
      </w:pPr>
      <w:r>
        <w:continuationSeparator/>
      </w:r>
    </w:p>
  </w:footnote>
  <w:footnote w:id="1">
    <w:p w14:paraId="5440F615" w14:textId="49C3140D" w:rsidR="001B22F5" w:rsidRPr="001B22F5" w:rsidRDefault="001B22F5" w:rsidP="001B22F5">
      <w:pPr>
        <w:pStyle w:val="FootnoteText"/>
        <w:rPr>
          <w:sz w:val="18"/>
          <w:szCs w:val="18"/>
        </w:rPr>
      </w:pPr>
      <w:r>
        <w:rPr>
          <w:rStyle w:val="FootnoteReference"/>
        </w:rPr>
        <w:footnoteRef/>
      </w:r>
      <w:r>
        <w:t xml:space="preserve"> </w:t>
      </w:r>
      <w:r w:rsidRPr="001B22F5">
        <w:rPr>
          <w:sz w:val="18"/>
          <w:szCs w:val="18"/>
        </w:rPr>
        <w:t>The Hourly Wage Rate of $</w:t>
      </w:r>
      <w:r w:rsidR="00ED6BDE">
        <w:rPr>
          <w:sz w:val="18"/>
          <w:szCs w:val="18"/>
        </w:rPr>
        <w:t>31</w:t>
      </w:r>
      <w:r w:rsidR="00F35C72">
        <w:rPr>
          <w:sz w:val="18"/>
          <w:szCs w:val="18"/>
        </w:rPr>
        <w:t>.</w:t>
      </w:r>
      <w:r w:rsidR="00ED6BDE">
        <w:rPr>
          <w:sz w:val="18"/>
          <w:szCs w:val="18"/>
        </w:rPr>
        <w:t>41</w:t>
      </w:r>
      <w:r w:rsidR="00ED6BDE" w:rsidRPr="001B22F5">
        <w:rPr>
          <w:sz w:val="18"/>
          <w:szCs w:val="18"/>
        </w:rPr>
        <w:t xml:space="preserve"> </w:t>
      </w:r>
      <w:r w:rsidRPr="001B22F5">
        <w:rPr>
          <w:sz w:val="18"/>
          <w:szCs w:val="18"/>
        </w:rPr>
        <w:t xml:space="preserve">per hour </w:t>
      </w:r>
      <w:proofErr w:type="gramStart"/>
      <w:r w:rsidRPr="001B22F5">
        <w:rPr>
          <w:sz w:val="18"/>
          <w:szCs w:val="18"/>
        </w:rPr>
        <w:t>is derived</w:t>
      </w:r>
      <w:proofErr w:type="gramEnd"/>
      <w:r w:rsidRPr="001B22F5">
        <w:rPr>
          <w:sz w:val="18"/>
          <w:szCs w:val="18"/>
        </w:rPr>
        <w:t xml:space="preserve"> from the Bureau of Labor Statistics </w:t>
      </w:r>
      <w:r w:rsidR="00ED6BDE" w:rsidRPr="001B22F5">
        <w:rPr>
          <w:sz w:val="18"/>
          <w:szCs w:val="18"/>
        </w:rPr>
        <w:t>201</w:t>
      </w:r>
      <w:r w:rsidR="00ED6BDE">
        <w:rPr>
          <w:sz w:val="18"/>
          <w:szCs w:val="18"/>
        </w:rPr>
        <w:t>8</w:t>
      </w:r>
      <w:r w:rsidR="00ED6BDE" w:rsidRPr="001B22F5">
        <w:rPr>
          <w:sz w:val="18"/>
          <w:szCs w:val="18"/>
        </w:rPr>
        <w:t xml:space="preserve"> </w:t>
      </w:r>
      <w:r w:rsidRPr="001B22F5">
        <w:rPr>
          <w:sz w:val="18"/>
          <w:szCs w:val="18"/>
        </w:rPr>
        <w:t>Occupational Employment and Wages Estimates median hourly wage for Social and Community Service Managers. Hourly wage of $</w:t>
      </w:r>
      <w:r w:rsidR="00ED6BDE">
        <w:rPr>
          <w:sz w:val="18"/>
          <w:szCs w:val="18"/>
        </w:rPr>
        <w:t>31</w:t>
      </w:r>
      <w:r>
        <w:rPr>
          <w:sz w:val="18"/>
          <w:szCs w:val="18"/>
        </w:rPr>
        <w:t>.</w:t>
      </w:r>
      <w:r w:rsidR="00ED6BDE">
        <w:rPr>
          <w:sz w:val="18"/>
          <w:szCs w:val="18"/>
        </w:rPr>
        <w:t>41</w:t>
      </w:r>
      <w:r w:rsidRPr="001B22F5">
        <w:rPr>
          <w:sz w:val="18"/>
          <w:szCs w:val="18"/>
        </w:rPr>
        <w:t>, plus a factor of 100% ($</w:t>
      </w:r>
      <w:r>
        <w:rPr>
          <w:sz w:val="18"/>
          <w:szCs w:val="18"/>
        </w:rPr>
        <w:t>23.07</w:t>
      </w:r>
      <w:r w:rsidRPr="001B22F5">
        <w:rPr>
          <w:sz w:val="18"/>
          <w:szCs w:val="18"/>
        </w:rPr>
        <w:t>) to account for benefits and overhead. Link: https://www.bls.gov/oes/current/oes119151.htm</w:t>
      </w:r>
    </w:p>
    <w:p w14:paraId="67264EC6" w14:textId="41B312D7" w:rsidR="001B22F5" w:rsidRDefault="001B22F5">
      <w:pPr>
        <w:pStyle w:val="FootnoteText"/>
      </w:pPr>
    </w:p>
  </w:footnote>
  <w:footnote w:id="2">
    <w:p w14:paraId="628BE6A9" w14:textId="40B09561" w:rsidR="002C221C" w:rsidRDefault="002C221C">
      <w:pPr>
        <w:pStyle w:val="FootnoteText"/>
      </w:pPr>
      <w:r>
        <w:rPr>
          <w:rStyle w:val="FootnoteReference"/>
        </w:rPr>
        <w:footnoteRef/>
      </w:r>
      <w:r>
        <w:t xml:space="preserve"> </w:t>
      </w:r>
      <w:r w:rsidRPr="00F35C72">
        <w:rPr>
          <w:sz w:val="16"/>
          <w:szCs w:val="16"/>
        </w:rPr>
        <w:t>Federal staff costs based on 201</w:t>
      </w:r>
      <w:r>
        <w:rPr>
          <w:sz w:val="16"/>
          <w:szCs w:val="16"/>
        </w:rPr>
        <w:t>9</w:t>
      </w:r>
      <w:r w:rsidRPr="00F35C72">
        <w:rPr>
          <w:sz w:val="16"/>
          <w:szCs w:val="16"/>
        </w:rPr>
        <w:t xml:space="preserve"> hourly wage rate of $4</w:t>
      </w:r>
      <w:r>
        <w:rPr>
          <w:sz w:val="16"/>
          <w:szCs w:val="16"/>
        </w:rPr>
        <w:t>5</w:t>
      </w:r>
      <w:r w:rsidRPr="00F35C72">
        <w:rPr>
          <w:sz w:val="16"/>
          <w:szCs w:val="16"/>
        </w:rPr>
        <w:t>.2</w:t>
      </w:r>
      <w:r>
        <w:rPr>
          <w:sz w:val="16"/>
          <w:szCs w:val="16"/>
        </w:rPr>
        <w:t>9</w:t>
      </w:r>
      <w:r w:rsidRPr="00F35C72">
        <w:rPr>
          <w:sz w:val="16"/>
          <w:szCs w:val="16"/>
        </w:rPr>
        <w:t xml:space="preserve"> for a Project Officer median salaries for </w:t>
      </w:r>
      <w:r>
        <w:rPr>
          <w:sz w:val="16"/>
          <w:szCs w:val="16"/>
        </w:rPr>
        <w:t xml:space="preserve">a </w:t>
      </w:r>
      <w:r w:rsidRPr="00F35C72">
        <w:rPr>
          <w:sz w:val="16"/>
          <w:szCs w:val="16"/>
        </w:rPr>
        <w:t>GS-11, 12, and 13</w:t>
      </w:r>
      <w:r>
        <w:rPr>
          <w:sz w:val="16"/>
          <w:szCs w:val="16"/>
        </w:rPr>
        <w:t xml:space="preserve">; </w:t>
      </w:r>
      <w:r w:rsidRPr="00F35C72">
        <w:rPr>
          <w:sz w:val="16"/>
          <w:szCs w:val="16"/>
        </w:rPr>
        <w:t>plus a factor of 100% ($4</w:t>
      </w:r>
      <w:r>
        <w:rPr>
          <w:sz w:val="16"/>
          <w:szCs w:val="16"/>
        </w:rPr>
        <w:t>5</w:t>
      </w:r>
      <w:r w:rsidRPr="00F35C72">
        <w:rPr>
          <w:sz w:val="16"/>
          <w:szCs w:val="16"/>
        </w:rPr>
        <w:t>.2</w:t>
      </w:r>
      <w:r>
        <w:rPr>
          <w:sz w:val="16"/>
          <w:szCs w:val="16"/>
        </w:rPr>
        <w:t>9</w:t>
      </w:r>
      <w:r w:rsidRPr="00F35C72">
        <w:rPr>
          <w:sz w:val="16"/>
          <w:szCs w:val="16"/>
        </w:rPr>
        <w:t xml:space="preserve">) to account for benefits and overhead.. </w:t>
      </w:r>
      <w:r w:rsidRPr="002C221C">
        <w:rPr>
          <w:sz w:val="16"/>
          <w:szCs w:val="16"/>
        </w:rPr>
        <w:t>https://www.opm.gov/policy-data-oversight/pay-leave/salaries-wages/salary-tables/pdf/2019/DCB_h.pdf</w:t>
      </w:r>
      <w:r w:rsidRPr="00F35C72">
        <w:rPr>
          <w:rStyle w:val="Hyperlink"/>
          <w:sz w:val="16"/>
          <w:szCs w:val="16"/>
        </w:rPr>
        <w:t xml:space="preserve">. </w:t>
      </w:r>
      <w:r w:rsidRPr="00F35C72">
        <w:rPr>
          <w:sz w:val="16"/>
          <w:szCs w:val="16"/>
        </w:rPr>
        <w:t xml:space="preserve">Accessed </w:t>
      </w:r>
      <w:r>
        <w:rPr>
          <w:sz w:val="16"/>
          <w:szCs w:val="16"/>
        </w:rPr>
        <w:t>September</w:t>
      </w:r>
      <w:r w:rsidRPr="00F35C72">
        <w:rPr>
          <w:sz w:val="16"/>
          <w:szCs w:val="16"/>
        </w:rPr>
        <w:t xml:space="preserve"> </w:t>
      </w:r>
      <w:r>
        <w:rPr>
          <w:sz w:val="16"/>
          <w:szCs w:val="16"/>
        </w:rPr>
        <w:t>16</w:t>
      </w:r>
      <w:r w:rsidRPr="00F35C72">
        <w:rPr>
          <w:sz w:val="16"/>
          <w:szCs w:val="16"/>
        </w:rPr>
        <w:t>, 201</w:t>
      </w:r>
      <w:r>
        <w:rPr>
          <w:sz w:val="16"/>
          <w:szCs w:val="16"/>
        </w:rPr>
        <w:t>9</w:t>
      </w:r>
      <w:r w:rsidRPr="00F35C72">
        <w:rPr>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3962CC"/>
    <w:multiLevelType w:val="hybridMultilevel"/>
    <w:tmpl w:val="26169178"/>
    <w:lvl w:ilvl="0" w:tplc="3E163EC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F3332F"/>
    <w:multiLevelType w:val="hybridMultilevel"/>
    <w:tmpl w:val="0D18A776"/>
    <w:lvl w:ilvl="0" w:tplc="796C9964">
      <w:start w:val="1"/>
      <w:numFmt w:val="upp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BCC"/>
    <w:rsid w:val="000B7AEE"/>
    <w:rsid w:val="000B7EBA"/>
    <w:rsid w:val="001B22F5"/>
    <w:rsid w:val="001B5C57"/>
    <w:rsid w:val="002923B8"/>
    <w:rsid w:val="002C221C"/>
    <w:rsid w:val="002E519D"/>
    <w:rsid w:val="002E6FDF"/>
    <w:rsid w:val="00305BEF"/>
    <w:rsid w:val="003062BB"/>
    <w:rsid w:val="003171FE"/>
    <w:rsid w:val="003D3031"/>
    <w:rsid w:val="00410A65"/>
    <w:rsid w:val="00472CF9"/>
    <w:rsid w:val="00527011"/>
    <w:rsid w:val="0053511F"/>
    <w:rsid w:val="00575B3B"/>
    <w:rsid w:val="005878E1"/>
    <w:rsid w:val="005B5BCC"/>
    <w:rsid w:val="005C4CF6"/>
    <w:rsid w:val="005E79D9"/>
    <w:rsid w:val="00665FDA"/>
    <w:rsid w:val="006A4AB3"/>
    <w:rsid w:val="007F146C"/>
    <w:rsid w:val="008972B2"/>
    <w:rsid w:val="008C4327"/>
    <w:rsid w:val="008E7467"/>
    <w:rsid w:val="00905625"/>
    <w:rsid w:val="00936D3E"/>
    <w:rsid w:val="0097184C"/>
    <w:rsid w:val="009D4A68"/>
    <w:rsid w:val="009E44AE"/>
    <w:rsid w:val="009E5E0E"/>
    <w:rsid w:val="00A127B3"/>
    <w:rsid w:val="00BB413C"/>
    <w:rsid w:val="00BE37CD"/>
    <w:rsid w:val="00C12940"/>
    <w:rsid w:val="00C46DD1"/>
    <w:rsid w:val="00C66D18"/>
    <w:rsid w:val="00CD6FA4"/>
    <w:rsid w:val="00D16079"/>
    <w:rsid w:val="00E06EEA"/>
    <w:rsid w:val="00E22D6E"/>
    <w:rsid w:val="00E5193E"/>
    <w:rsid w:val="00EA7163"/>
    <w:rsid w:val="00ED6BDE"/>
    <w:rsid w:val="00EF05A8"/>
    <w:rsid w:val="00EF44FB"/>
    <w:rsid w:val="00F141E7"/>
    <w:rsid w:val="00F35C72"/>
    <w:rsid w:val="00F6113F"/>
    <w:rsid w:val="00FA1D35"/>
    <w:rsid w:val="00FA4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F1E2A"/>
  <w15:docId w15:val="{FFF4D197-6C8E-4C27-AD44-E9D9263CC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BCC"/>
    <w:pPr>
      <w:spacing w:after="12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B5BCC"/>
    <w:pPr>
      <w:keepNext/>
      <w:widowControl w:val="0"/>
      <w:numPr>
        <w:ilvl w:val="12"/>
      </w:numPr>
      <w:ind w:left="360" w:hanging="360"/>
      <w:outlineLvl w:val="0"/>
    </w:pPr>
    <w:rPr>
      <w:rFonts w:cs="Arial"/>
      <w:b/>
      <w:snapToGrid w:val="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5BCC"/>
    <w:rPr>
      <w:rFonts w:ascii="Times New Roman" w:eastAsia="Times New Roman" w:hAnsi="Times New Roman" w:cs="Arial"/>
      <w:b/>
      <w:snapToGrid w:val="0"/>
      <w:sz w:val="28"/>
      <w:szCs w:val="20"/>
    </w:rPr>
  </w:style>
  <w:style w:type="character" w:customStyle="1" w:styleId="a">
    <w:name w:val="À"/>
    <w:uiPriority w:val="99"/>
    <w:rsid w:val="005B5BCC"/>
    <w:rPr>
      <w:rFonts w:cs="Times New Roman"/>
    </w:rPr>
  </w:style>
  <w:style w:type="paragraph" w:styleId="Title">
    <w:name w:val="Title"/>
    <w:basedOn w:val="Normal"/>
    <w:next w:val="Normal"/>
    <w:link w:val="TitleChar"/>
    <w:qFormat/>
    <w:rsid w:val="005B5BCC"/>
    <w:pPr>
      <w:spacing w:before="120" w:after="240"/>
      <w:jc w:val="center"/>
      <w:outlineLvl w:val="0"/>
    </w:pPr>
    <w:rPr>
      <w:b/>
      <w:bCs/>
      <w:kern w:val="28"/>
    </w:rPr>
  </w:style>
  <w:style w:type="character" w:customStyle="1" w:styleId="TitleChar">
    <w:name w:val="Title Char"/>
    <w:basedOn w:val="DefaultParagraphFont"/>
    <w:link w:val="Title"/>
    <w:rsid w:val="005B5BCC"/>
    <w:rPr>
      <w:rFonts w:ascii="Times New Roman" w:eastAsia="Times New Roman" w:hAnsi="Times New Roman" w:cs="Times New Roman"/>
      <w:b/>
      <w:bCs/>
      <w:kern w:val="28"/>
      <w:sz w:val="24"/>
      <w:szCs w:val="24"/>
    </w:rPr>
  </w:style>
  <w:style w:type="character" w:styleId="CommentReference">
    <w:name w:val="annotation reference"/>
    <w:uiPriority w:val="99"/>
    <w:rsid w:val="005B5BCC"/>
    <w:rPr>
      <w:rFonts w:cs="Times New Roman"/>
      <w:sz w:val="16"/>
      <w:szCs w:val="16"/>
    </w:rPr>
  </w:style>
  <w:style w:type="paragraph" w:styleId="CommentText">
    <w:name w:val="annotation text"/>
    <w:basedOn w:val="Normal"/>
    <w:link w:val="CommentTextChar"/>
    <w:uiPriority w:val="99"/>
    <w:rsid w:val="005B5BCC"/>
    <w:rPr>
      <w:sz w:val="20"/>
    </w:rPr>
  </w:style>
  <w:style w:type="character" w:customStyle="1" w:styleId="CommentTextChar">
    <w:name w:val="Comment Text Char"/>
    <w:basedOn w:val="DefaultParagraphFont"/>
    <w:link w:val="CommentText"/>
    <w:uiPriority w:val="99"/>
    <w:rsid w:val="005B5BCC"/>
    <w:rPr>
      <w:rFonts w:ascii="Times New Roman" w:eastAsia="Times New Roman" w:hAnsi="Times New Roman" w:cs="Times New Roman"/>
      <w:sz w:val="20"/>
      <w:szCs w:val="24"/>
    </w:rPr>
  </w:style>
  <w:style w:type="table" w:styleId="TableGrid">
    <w:name w:val="Table Grid"/>
    <w:basedOn w:val="TableNormal"/>
    <w:uiPriority w:val="99"/>
    <w:rsid w:val="005B5B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5BCC"/>
    <w:pPr>
      <w:spacing w:before="120"/>
      <w:ind w:left="720"/>
    </w:pPr>
  </w:style>
  <w:style w:type="paragraph" w:customStyle="1" w:styleId="SL-FlLftSgl">
    <w:name w:val="SL-Fl Lft Sgl"/>
    <w:rsid w:val="005B5BCC"/>
    <w:pPr>
      <w:spacing w:after="0" w:line="240" w:lineRule="atLeast"/>
      <w:jc w:val="both"/>
    </w:pPr>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5B5BC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5BCC"/>
    <w:rPr>
      <w:rFonts w:ascii="Segoe UI" w:eastAsia="Times New Roman" w:hAnsi="Segoe UI" w:cs="Segoe UI"/>
      <w:sz w:val="18"/>
      <w:szCs w:val="18"/>
    </w:rPr>
  </w:style>
  <w:style w:type="character" w:styleId="Hyperlink">
    <w:name w:val="Hyperlink"/>
    <w:uiPriority w:val="99"/>
    <w:rsid w:val="00D16079"/>
    <w:rPr>
      <w:color w:val="0000FF"/>
      <w:u w:val="single"/>
    </w:rPr>
  </w:style>
  <w:style w:type="paragraph" w:styleId="FootnoteText">
    <w:name w:val="footnote text"/>
    <w:basedOn w:val="Normal"/>
    <w:link w:val="FootnoteTextChar"/>
    <w:uiPriority w:val="99"/>
    <w:semiHidden/>
    <w:unhideWhenUsed/>
    <w:rsid w:val="00D16079"/>
    <w:pPr>
      <w:spacing w:after="0"/>
    </w:pPr>
    <w:rPr>
      <w:sz w:val="20"/>
      <w:szCs w:val="20"/>
    </w:rPr>
  </w:style>
  <w:style w:type="character" w:customStyle="1" w:styleId="FootnoteTextChar">
    <w:name w:val="Footnote Text Char"/>
    <w:basedOn w:val="DefaultParagraphFont"/>
    <w:link w:val="FootnoteText"/>
    <w:uiPriority w:val="99"/>
    <w:semiHidden/>
    <w:rsid w:val="00D16079"/>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16079"/>
    <w:rPr>
      <w:vertAlign w:val="superscript"/>
    </w:rPr>
  </w:style>
  <w:style w:type="paragraph" w:styleId="CommentSubject">
    <w:name w:val="annotation subject"/>
    <w:basedOn w:val="CommentText"/>
    <w:next w:val="CommentText"/>
    <w:link w:val="CommentSubjectChar"/>
    <w:uiPriority w:val="99"/>
    <w:semiHidden/>
    <w:unhideWhenUsed/>
    <w:rsid w:val="008E7467"/>
    <w:rPr>
      <w:b/>
      <w:bCs/>
      <w:szCs w:val="20"/>
    </w:rPr>
  </w:style>
  <w:style w:type="character" w:customStyle="1" w:styleId="CommentSubjectChar">
    <w:name w:val="Comment Subject Char"/>
    <w:basedOn w:val="CommentTextChar"/>
    <w:link w:val="CommentSubject"/>
    <w:uiPriority w:val="99"/>
    <w:semiHidden/>
    <w:rsid w:val="008E746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43AD6-24F7-4623-AE87-C9694EEBF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1159</Words>
  <Characters>6608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Nye, Peter (ACL)</dc:creator>
  <cp:keywords/>
  <dc:description/>
  <cp:lastModifiedBy>Washington, Tomakie (ACL)</cp:lastModifiedBy>
  <cp:revision>4</cp:revision>
  <dcterms:created xsi:type="dcterms:W3CDTF">2020-02-07T16:35:00Z</dcterms:created>
  <dcterms:modified xsi:type="dcterms:W3CDTF">2020-02-07T16:56:00Z</dcterms:modified>
</cp:coreProperties>
</file>