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40FC4" w:rsidR="00CE0F72" w:rsidP="00A40FC4" w:rsidRDefault="00CE0F72" w14:paraId="15FA6776" w14:textId="77777777">
      <w:pPr>
        <w:jc w:val="center"/>
        <w:rPr>
          <w:b/>
          <w:bCs/>
        </w:rPr>
      </w:pPr>
      <w:r w:rsidRPr="00A40FC4">
        <w:rPr>
          <w:b/>
          <w:bCs/>
        </w:rPr>
        <w:t xml:space="preserve">SUPPORTING STATEMENT  </w:t>
      </w:r>
    </w:p>
    <w:p w:rsidR="001C6CEA" w:rsidRDefault="00991357" w14:paraId="425FD091" w14:textId="77777777">
      <w:pPr>
        <w:tabs>
          <w:tab w:val="left" w:pos="-1440"/>
          <w:tab w:val="left" w:pos="-720"/>
          <w:tab w:val="left" w:pos="28"/>
          <w:tab w:val="left" w:pos="547"/>
          <w:tab w:val="left" w:pos="1065"/>
          <w:tab w:val="left" w:pos="1584"/>
        </w:tabs>
        <w:jc w:val="center"/>
        <w:rPr>
          <w:b/>
          <w:bCs/>
        </w:rPr>
      </w:pPr>
      <w:r w:rsidRPr="00A40FC4">
        <w:rPr>
          <w:b/>
          <w:bCs/>
        </w:rPr>
        <w:t>BENEFIT APPEALS REPORT</w:t>
      </w:r>
      <w:r w:rsidRPr="00A40FC4" w:rsidR="00CB5F0F">
        <w:rPr>
          <w:b/>
          <w:bCs/>
        </w:rPr>
        <w:t xml:space="preserve"> </w:t>
      </w:r>
    </w:p>
    <w:p w:rsidR="00991357" w:rsidRDefault="00CB5F0F" w14:paraId="70D11514" w14:textId="77777777">
      <w:pPr>
        <w:tabs>
          <w:tab w:val="left" w:pos="-1440"/>
          <w:tab w:val="left" w:pos="-720"/>
          <w:tab w:val="left" w:pos="28"/>
          <w:tab w:val="left" w:pos="547"/>
          <w:tab w:val="left" w:pos="1065"/>
          <w:tab w:val="left" w:pos="1584"/>
        </w:tabs>
        <w:jc w:val="center"/>
        <w:rPr>
          <w:b/>
          <w:bCs/>
        </w:rPr>
      </w:pPr>
      <w:r w:rsidRPr="00A40FC4">
        <w:rPr>
          <w:b/>
          <w:bCs/>
        </w:rPr>
        <w:t xml:space="preserve">OMB </w:t>
      </w:r>
      <w:r w:rsidR="001C6CEA">
        <w:rPr>
          <w:b/>
          <w:bCs/>
        </w:rPr>
        <w:t xml:space="preserve">Control No. </w:t>
      </w:r>
      <w:r w:rsidRPr="00A40FC4">
        <w:rPr>
          <w:b/>
          <w:bCs/>
        </w:rPr>
        <w:t>1205-0172</w:t>
      </w:r>
    </w:p>
    <w:p w:rsidR="009C511C" w:rsidRDefault="009C511C" w14:paraId="20228845" w14:textId="77777777">
      <w:pPr>
        <w:tabs>
          <w:tab w:val="left" w:pos="-1440"/>
          <w:tab w:val="left" w:pos="-720"/>
          <w:tab w:val="left" w:pos="28"/>
          <w:tab w:val="left" w:pos="547"/>
          <w:tab w:val="left" w:pos="1065"/>
          <w:tab w:val="left" w:pos="1584"/>
        </w:tabs>
        <w:jc w:val="center"/>
        <w:rPr>
          <w:b/>
          <w:bCs/>
        </w:rPr>
      </w:pPr>
    </w:p>
    <w:p w:rsidRPr="009F1599" w:rsidR="009C511C" w:rsidP="009F1599" w:rsidRDefault="009C511C" w14:paraId="67D27709" w14:textId="03D5DBC4">
      <w:pPr>
        <w:tabs>
          <w:tab w:val="left" w:pos="-1440"/>
          <w:tab w:val="left" w:pos="-720"/>
          <w:tab w:val="left" w:pos="28"/>
          <w:tab w:val="left" w:pos="547"/>
          <w:tab w:val="left" w:pos="1065"/>
          <w:tab w:val="left" w:pos="1584"/>
        </w:tabs>
        <w:rPr>
          <w:bCs/>
        </w:rPr>
      </w:pPr>
      <w:r w:rsidRPr="009C511C">
        <w:rPr>
          <w:bCs/>
        </w:rPr>
        <w:t>The Department of Labor</w:t>
      </w:r>
      <w:r w:rsidR="00626CD2">
        <w:rPr>
          <w:bCs/>
        </w:rPr>
        <w:t xml:space="preserve"> (Department)</w:t>
      </w:r>
      <w:r w:rsidRPr="009C511C">
        <w:rPr>
          <w:bCs/>
        </w:rPr>
        <w:t xml:space="preserve">, Employment and Training Administration (ETA) is </w:t>
      </w:r>
      <w:r>
        <w:rPr>
          <w:bCs/>
        </w:rPr>
        <w:t>submitting</w:t>
      </w:r>
      <w:r w:rsidRPr="009C511C">
        <w:rPr>
          <w:bCs/>
        </w:rPr>
        <w:t xml:space="preserve"> </w:t>
      </w:r>
      <w:r w:rsidRPr="009C511C" w:rsidR="00527317">
        <w:rPr>
          <w:bCs/>
        </w:rPr>
        <w:t>a</w:t>
      </w:r>
      <w:r w:rsidR="00527317">
        <w:rPr>
          <w:bCs/>
        </w:rPr>
        <w:t xml:space="preserve"> revision</w:t>
      </w:r>
      <w:r w:rsidRPr="009C511C">
        <w:rPr>
          <w:bCs/>
        </w:rPr>
        <w:t xml:space="preserve"> </w:t>
      </w:r>
      <w:r>
        <w:rPr>
          <w:bCs/>
        </w:rPr>
        <w:t xml:space="preserve">of a currently approved collection </w:t>
      </w:r>
      <w:r w:rsidRPr="009C511C">
        <w:rPr>
          <w:bCs/>
        </w:rPr>
        <w:t>for ETA</w:t>
      </w:r>
      <w:r w:rsidR="009F1599">
        <w:rPr>
          <w:bCs/>
        </w:rPr>
        <w:t xml:space="preserve">, </w:t>
      </w:r>
      <w:r w:rsidRPr="00A40FC4" w:rsidR="009F1599">
        <w:t>Benefit Appeals Report</w:t>
      </w:r>
      <w:r w:rsidR="001C2380">
        <w:t>,</w:t>
      </w:r>
      <w:r w:rsidR="00492B2A">
        <w:t xml:space="preserve"> under OMB control number 1205-0172</w:t>
      </w:r>
      <w:r w:rsidRPr="009C511C">
        <w:rPr>
          <w:bCs/>
        </w:rPr>
        <w:t xml:space="preserve">. </w:t>
      </w:r>
    </w:p>
    <w:p w:rsidRPr="00A40FC4" w:rsidR="00991357" w:rsidRDefault="00991357" w14:paraId="102D8869" w14:textId="77777777">
      <w:pPr>
        <w:tabs>
          <w:tab w:val="left" w:pos="-1440"/>
          <w:tab w:val="left" w:pos="-720"/>
          <w:tab w:val="left" w:pos="28"/>
          <w:tab w:val="left" w:pos="547"/>
          <w:tab w:val="left" w:pos="1065"/>
          <w:tab w:val="left" w:pos="1584"/>
        </w:tabs>
      </w:pPr>
    </w:p>
    <w:p w:rsidR="00991357" w:rsidRDefault="00991357" w14:paraId="3DD6EC73" w14:textId="77777777">
      <w:pPr>
        <w:tabs>
          <w:tab w:val="left" w:pos="-1440"/>
          <w:tab w:val="left" w:pos="-720"/>
          <w:tab w:val="left" w:pos="28"/>
          <w:tab w:val="left" w:pos="547"/>
          <w:tab w:val="left" w:pos="1065"/>
          <w:tab w:val="left" w:pos="1584"/>
        </w:tabs>
        <w:rPr>
          <w:b/>
          <w:bCs/>
        </w:rPr>
      </w:pPr>
      <w:r w:rsidRPr="00A40FC4">
        <w:rPr>
          <w:b/>
          <w:bCs/>
        </w:rPr>
        <w:t>A.</w:t>
      </w:r>
      <w:r w:rsidRPr="00A40FC4">
        <w:rPr>
          <w:b/>
          <w:bCs/>
        </w:rPr>
        <w:tab/>
        <w:t>JUSTIFICATION</w:t>
      </w:r>
    </w:p>
    <w:p w:rsidRPr="00A40FC4" w:rsidR="001C6CEA" w:rsidRDefault="001C6CEA" w14:paraId="7939DC7A" w14:textId="77777777">
      <w:pPr>
        <w:tabs>
          <w:tab w:val="left" w:pos="-1440"/>
          <w:tab w:val="left" w:pos="-720"/>
          <w:tab w:val="left" w:pos="28"/>
          <w:tab w:val="left" w:pos="547"/>
          <w:tab w:val="left" w:pos="1065"/>
          <w:tab w:val="left" w:pos="1584"/>
        </w:tabs>
      </w:pPr>
    </w:p>
    <w:p w:rsidRPr="00B84907" w:rsidR="00991357" w:rsidRDefault="00B62E58" w14:paraId="3BCC3952" w14:textId="77777777">
      <w:pPr>
        <w:tabs>
          <w:tab w:val="left" w:pos="-1440"/>
          <w:tab w:val="left" w:pos="-720"/>
          <w:tab w:val="left" w:pos="28"/>
          <w:tab w:val="left" w:pos="547"/>
          <w:tab w:val="left" w:pos="1065"/>
          <w:tab w:val="left" w:pos="1584"/>
        </w:tabs>
        <w:jc w:val="both"/>
        <w:rPr>
          <w:i/>
        </w:rPr>
      </w:pPr>
      <w:r w:rsidRPr="00B62E58">
        <w:t>1.</w:t>
      </w:r>
      <w:r w:rsidRPr="00B62E58">
        <w:tab/>
      </w:r>
      <w:r w:rsidRPr="00B84907">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2038D" w:rsidRDefault="0002038D" w14:paraId="24BFC227" w14:textId="77777777">
      <w:pPr>
        <w:tabs>
          <w:tab w:val="left" w:pos="-1440"/>
          <w:tab w:val="left" w:pos="-720"/>
          <w:tab w:val="left" w:pos="28"/>
          <w:tab w:val="left" w:pos="547"/>
          <w:tab w:val="left" w:pos="1065"/>
          <w:tab w:val="left" w:pos="1584"/>
        </w:tabs>
        <w:jc w:val="both"/>
      </w:pPr>
    </w:p>
    <w:p w:rsidRPr="00A40FC4" w:rsidR="00991357" w:rsidRDefault="00991357" w14:paraId="6B8810F5" w14:textId="3BBC6669">
      <w:pPr>
        <w:tabs>
          <w:tab w:val="left" w:pos="-1440"/>
          <w:tab w:val="left" w:pos="-720"/>
          <w:tab w:val="left" w:pos="28"/>
          <w:tab w:val="left" w:pos="547"/>
          <w:tab w:val="left" w:pos="1065"/>
          <w:tab w:val="left" w:pos="1584"/>
        </w:tabs>
        <w:jc w:val="both"/>
      </w:pPr>
      <w:r w:rsidRPr="00A40FC4">
        <w:t xml:space="preserve">The ETA 5130, Benefit Appeals </w:t>
      </w:r>
      <w:r w:rsidRPr="00A40FC4" w:rsidR="00A3794C">
        <w:t>R</w:t>
      </w:r>
      <w:r w:rsidRPr="00A40FC4">
        <w:t>eport, contains information on the number of appeals and the resultant decisions classified by program, appeal level, cases filed and disposed of (workload flow), and decisions by level, appellant and issue.  The data on this form are used to monitor the benefit appeals process in the state workforce agencies (SWAs).</w:t>
      </w:r>
      <w:r w:rsidR="00A0637B">
        <w:t xml:space="preserve">  T</w:t>
      </w:r>
      <w:r w:rsidRPr="00A0637B" w:rsidR="00A0637B">
        <w:t xml:space="preserve">he authority to collect this information is covered under the Social Security Act </w:t>
      </w:r>
      <w:r w:rsidR="00A0637B">
        <w:t>U</w:t>
      </w:r>
      <w:r w:rsidR="00B5097F">
        <w:t>.</w:t>
      </w:r>
      <w:r w:rsidR="00A0637B">
        <w:t>S</w:t>
      </w:r>
      <w:r w:rsidR="00B5097F">
        <w:t>.</w:t>
      </w:r>
      <w:r w:rsidR="00A0637B">
        <w:t xml:space="preserve">C </w:t>
      </w:r>
      <w:r w:rsidRPr="00A0637B" w:rsidR="00A0637B">
        <w:t xml:space="preserve">42 </w:t>
      </w:r>
      <w:r w:rsidRPr="00A0637B" w:rsidR="00A0637B">
        <w:rPr>
          <w:color w:val="222222"/>
          <w:shd w:val="clear" w:color="auto" w:fill="FFFFFF"/>
        </w:rPr>
        <w:t>§ 503(a)(6).</w:t>
      </w:r>
    </w:p>
    <w:p w:rsidRPr="00A40FC4" w:rsidR="00991357" w:rsidRDefault="00991357" w14:paraId="5DFF6915" w14:textId="77777777">
      <w:pPr>
        <w:tabs>
          <w:tab w:val="left" w:pos="-1440"/>
          <w:tab w:val="left" w:pos="-720"/>
          <w:tab w:val="left" w:pos="28"/>
          <w:tab w:val="left" w:pos="547"/>
          <w:tab w:val="left" w:pos="1065"/>
          <w:tab w:val="left" w:pos="1584"/>
        </w:tabs>
        <w:jc w:val="both"/>
      </w:pPr>
    </w:p>
    <w:p w:rsidRPr="00A40FC4" w:rsidR="00991357" w:rsidRDefault="006A520B" w14:paraId="2A6F41FE" w14:textId="77777777">
      <w:pPr>
        <w:tabs>
          <w:tab w:val="left" w:pos="-1440"/>
          <w:tab w:val="left" w:pos="-720"/>
          <w:tab w:val="left" w:pos="28"/>
          <w:tab w:val="left" w:pos="547"/>
          <w:tab w:val="left" w:pos="1065"/>
          <w:tab w:val="left" w:pos="1584"/>
        </w:tabs>
        <w:jc w:val="both"/>
      </w:pPr>
      <w:r>
        <w:t xml:space="preserve">Section A. </w:t>
      </w:r>
      <w:r w:rsidRPr="00A40FC4" w:rsidR="00991357">
        <w:t>Single Claimant and Multi-Claimant Appeals Case</w:t>
      </w:r>
      <w:r w:rsidR="001C6CEA">
        <w:t xml:space="preserve"> Decisions by Program and Other </w:t>
      </w:r>
      <w:r w:rsidRPr="00A40FC4" w:rsidR="00991357">
        <w:t xml:space="preserve">Dispositions.  This is basic workload count by level of decision and </w:t>
      </w:r>
      <w:r>
        <w:t xml:space="preserve">program.  These are the figures </w:t>
      </w:r>
      <w:r w:rsidRPr="00A40FC4" w:rsidR="00991357">
        <w:t>used to determine administrative funding.</w:t>
      </w:r>
      <w:r w:rsidR="00C25429">
        <w:t xml:space="preserve">  </w:t>
      </w:r>
      <w:r w:rsidRPr="00A40FC4" w:rsidR="00991357">
        <w:t xml:space="preserve">It also shows how many cases were disposed of other than by decision.  Sudden fluctuations in this figure alert the Office of </w:t>
      </w:r>
      <w:r w:rsidRPr="00A40FC4" w:rsidR="00056098">
        <w:t xml:space="preserve">Unemployment Insurance (OUI) </w:t>
      </w:r>
      <w:r w:rsidRPr="00A40FC4" w:rsidR="00991357">
        <w:t>to possible administrative problems.</w:t>
      </w:r>
    </w:p>
    <w:p w:rsidRPr="00A40FC4" w:rsidR="00991357" w:rsidRDefault="00991357" w14:paraId="09436E51" w14:textId="77777777">
      <w:pPr>
        <w:tabs>
          <w:tab w:val="left" w:pos="-1440"/>
          <w:tab w:val="left" w:pos="-720"/>
          <w:tab w:val="left" w:pos="28"/>
          <w:tab w:val="left" w:pos="547"/>
          <w:tab w:val="left" w:pos="1065"/>
          <w:tab w:val="left" w:pos="1584"/>
        </w:tabs>
        <w:jc w:val="both"/>
      </w:pPr>
    </w:p>
    <w:p w:rsidRPr="00A40FC4" w:rsidR="00991357" w:rsidRDefault="00991357" w14:paraId="7AEBC003" w14:textId="77777777">
      <w:pPr>
        <w:tabs>
          <w:tab w:val="left" w:pos="-1440"/>
          <w:tab w:val="left" w:pos="-720"/>
          <w:tab w:val="left" w:pos="28"/>
          <w:tab w:val="left" w:pos="547"/>
          <w:tab w:val="left" w:pos="1065"/>
          <w:tab w:val="left" w:pos="1584"/>
        </w:tabs>
        <w:jc w:val="both"/>
      </w:pPr>
      <w:r w:rsidRPr="00A40FC4">
        <w:t>Section B.  Claimants Involved in State Unemployment Insurance (UI) Appeals Cases by Status of Appeals.  This shows the flow of the workload.  By watching the relationship among "filed during</w:t>
      </w:r>
      <w:r w:rsidRPr="00A40FC4" w:rsidR="00A3794C">
        <w:t>,</w:t>
      </w:r>
      <w:r w:rsidRPr="00A40FC4">
        <w:t>" "disposed of during</w:t>
      </w:r>
      <w:r w:rsidRPr="00A40FC4" w:rsidR="00A3794C">
        <w:t>,</w:t>
      </w:r>
      <w:r w:rsidRPr="00A40FC4">
        <w:t xml:space="preserve">" the potential for a backlog problem can be identified in time to provide technical assistance.  This is why monthly data </w:t>
      </w:r>
      <w:r w:rsidRPr="00A40FC4" w:rsidR="00A3794C">
        <w:t>are</w:t>
      </w:r>
      <w:r w:rsidRPr="00A40FC4">
        <w:t xml:space="preserve"> crucial.  A quarterly report would not allow a pattern to be identified for at least two quarters.  By then the backlog could require even more </w:t>
      </w:r>
      <w:r w:rsidR="00E66F0D">
        <w:t>remedial</w:t>
      </w:r>
      <w:r w:rsidR="00C25429">
        <w:t xml:space="preserve"> action</w:t>
      </w:r>
      <w:r w:rsidRPr="00A40FC4">
        <w:t>, take longer to undo and have more of a potential for lawsuits, which charge that appeals decisions are untimely.  Two to three monthly reports would identify any change in performance.</w:t>
      </w:r>
    </w:p>
    <w:p w:rsidRPr="00A40FC4" w:rsidR="00991357" w:rsidRDefault="00991357" w14:paraId="413221D6" w14:textId="77777777">
      <w:pPr>
        <w:tabs>
          <w:tab w:val="left" w:pos="-1440"/>
          <w:tab w:val="left" w:pos="-720"/>
          <w:tab w:val="left" w:pos="28"/>
          <w:tab w:val="left" w:pos="547"/>
          <w:tab w:val="left" w:pos="1065"/>
          <w:tab w:val="left" w:pos="1584"/>
        </w:tabs>
        <w:jc w:val="both"/>
      </w:pPr>
    </w:p>
    <w:p w:rsidRPr="00A40FC4" w:rsidR="00991357" w:rsidRDefault="00991357" w14:paraId="3B48D434" w14:textId="77777777">
      <w:pPr>
        <w:tabs>
          <w:tab w:val="left" w:pos="-1440"/>
          <w:tab w:val="left" w:pos="-720"/>
          <w:tab w:val="left" w:pos="28"/>
          <w:tab w:val="left" w:pos="547"/>
          <w:tab w:val="left" w:pos="1065"/>
          <w:tab w:val="left" w:pos="1584"/>
        </w:tabs>
        <w:jc w:val="both"/>
      </w:pPr>
      <w:r w:rsidRPr="00A40FC4">
        <w:t>Section C.  State UI Appeals Decisions by Type of Appellant.  This shows if there are high rates of reversals that could indicate problems in the way decisions are made at the lower level.  This could mean higher workload levels and, therefore, higher administrative costs.  This section also indicates which party is the appellant and would show patterns in the types of decisions made.</w:t>
      </w:r>
    </w:p>
    <w:p w:rsidRPr="00A40FC4" w:rsidR="00991357" w:rsidRDefault="00991357" w14:paraId="740190F9" w14:textId="77777777">
      <w:pPr>
        <w:tabs>
          <w:tab w:val="left" w:pos="-1440"/>
          <w:tab w:val="left" w:pos="-720"/>
          <w:tab w:val="left" w:pos="28"/>
          <w:tab w:val="left" w:pos="547"/>
          <w:tab w:val="left" w:pos="1065"/>
          <w:tab w:val="left" w:pos="1584"/>
        </w:tabs>
        <w:jc w:val="both"/>
      </w:pPr>
    </w:p>
    <w:p w:rsidRPr="00A40FC4" w:rsidR="00991357" w:rsidRDefault="00991357" w14:paraId="7B23A899" w14:textId="77777777">
      <w:pPr>
        <w:tabs>
          <w:tab w:val="left" w:pos="-1440"/>
          <w:tab w:val="left" w:pos="-720"/>
          <w:tab w:val="left" w:pos="28"/>
          <w:tab w:val="left" w:pos="547"/>
          <w:tab w:val="left" w:pos="1065"/>
          <w:tab w:val="left" w:pos="1584"/>
        </w:tabs>
        <w:jc w:val="both"/>
      </w:pPr>
      <w:r w:rsidRPr="00A40FC4">
        <w:t>Section D.  Number of Lower Authority State UI Appeals Decisions by Issue.  This shows which issue was involved in the cases appealed.  The data indicate patterns of decisions that can result in higher workload and therefore higher costs to the Federal government.</w:t>
      </w:r>
    </w:p>
    <w:p w:rsidR="00285411" w:rsidRDefault="00285411" w14:paraId="2207F76F" w14:textId="77777777">
      <w:pPr>
        <w:tabs>
          <w:tab w:val="left" w:pos="-1440"/>
          <w:tab w:val="left" w:pos="-720"/>
          <w:tab w:val="left" w:pos="28"/>
          <w:tab w:val="left" w:pos="547"/>
          <w:tab w:val="left" w:pos="1065"/>
          <w:tab w:val="left" w:pos="1584"/>
        </w:tabs>
        <w:jc w:val="both"/>
      </w:pPr>
    </w:p>
    <w:p w:rsidR="00991357" w:rsidRDefault="00991357" w14:paraId="26AC2EEC" w14:textId="77777777">
      <w:pPr>
        <w:tabs>
          <w:tab w:val="left" w:pos="-1440"/>
          <w:tab w:val="left" w:pos="-720"/>
          <w:tab w:val="left" w:pos="28"/>
          <w:tab w:val="left" w:pos="547"/>
          <w:tab w:val="left" w:pos="1065"/>
          <w:tab w:val="left" w:pos="1584"/>
        </w:tabs>
        <w:jc w:val="both"/>
      </w:pPr>
      <w:r w:rsidRPr="00A40FC4">
        <w:t>This collection is authorized under the Social Security Act, Section 303(a)</w:t>
      </w:r>
      <w:r w:rsidRPr="00A40FC4" w:rsidR="00056098">
        <w:t>(</w:t>
      </w:r>
      <w:r w:rsidRPr="00A40FC4">
        <w:t>6).</w:t>
      </w:r>
    </w:p>
    <w:p w:rsidRPr="00A40FC4" w:rsidR="00B62E58" w:rsidRDefault="00B62E58" w14:paraId="3690E628" w14:textId="77777777">
      <w:pPr>
        <w:tabs>
          <w:tab w:val="left" w:pos="-1440"/>
          <w:tab w:val="left" w:pos="-720"/>
          <w:tab w:val="left" w:pos="28"/>
          <w:tab w:val="left" w:pos="547"/>
          <w:tab w:val="left" w:pos="1065"/>
          <w:tab w:val="left" w:pos="1584"/>
        </w:tabs>
        <w:jc w:val="both"/>
      </w:pPr>
    </w:p>
    <w:p w:rsidR="00991357" w:rsidRDefault="00B62E58" w14:paraId="6FDA5EE0" w14:textId="77777777">
      <w:pPr>
        <w:tabs>
          <w:tab w:val="left" w:pos="-1440"/>
          <w:tab w:val="left" w:pos="-720"/>
          <w:tab w:val="left" w:pos="28"/>
          <w:tab w:val="left" w:pos="547"/>
          <w:tab w:val="left" w:pos="1065"/>
          <w:tab w:val="left" w:pos="1584"/>
        </w:tabs>
        <w:jc w:val="both"/>
        <w:rPr>
          <w:i/>
        </w:rPr>
      </w:pPr>
      <w:r w:rsidRPr="00B62E58">
        <w:t>2.</w:t>
      </w:r>
      <w:r w:rsidRPr="00B62E58">
        <w:tab/>
      </w:r>
      <w:r w:rsidRPr="00B84907">
        <w:rPr>
          <w:i/>
        </w:rPr>
        <w:t>Indicate how, by whom, and for what purpose the information is to be used.  Except for a new collection, indicate the actual use the agency has made of the information received from the current collection.</w:t>
      </w:r>
    </w:p>
    <w:p w:rsidRPr="00B84907" w:rsidR="001C6CEA" w:rsidRDefault="001C6CEA" w14:paraId="2776A91E" w14:textId="77777777">
      <w:pPr>
        <w:tabs>
          <w:tab w:val="left" w:pos="-1440"/>
          <w:tab w:val="left" w:pos="-720"/>
          <w:tab w:val="left" w:pos="28"/>
          <w:tab w:val="left" w:pos="547"/>
          <w:tab w:val="left" w:pos="1065"/>
          <w:tab w:val="left" w:pos="1584"/>
        </w:tabs>
        <w:jc w:val="both"/>
        <w:rPr>
          <w:i/>
        </w:rPr>
      </w:pPr>
    </w:p>
    <w:p w:rsidRPr="00A40FC4" w:rsidR="00991357" w:rsidRDefault="00991357" w14:paraId="0E42B38D" w14:textId="77777777">
      <w:pPr>
        <w:tabs>
          <w:tab w:val="left" w:pos="-1440"/>
          <w:tab w:val="left" w:pos="-720"/>
          <w:tab w:val="left" w:pos="28"/>
          <w:tab w:val="left" w:pos="547"/>
          <w:tab w:val="left" w:pos="1065"/>
          <w:tab w:val="left" w:pos="1584"/>
        </w:tabs>
        <w:jc w:val="both"/>
      </w:pPr>
      <w:r w:rsidRPr="00A40FC4">
        <w:t>Th</w:t>
      </w:r>
      <w:r w:rsidRPr="00A40FC4" w:rsidR="00A3794C">
        <w:t>ese</w:t>
      </w:r>
      <w:r w:rsidRPr="00A40FC4">
        <w:t xml:space="preserve"> data </w:t>
      </w:r>
      <w:r w:rsidRPr="00A40FC4" w:rsidR="00A3794C">
        <w:t>are</w:t>
      </w:r>
      <w:r w:rsidRPr="00A40FC4">
        <w:t xml:space="preserve"> used by both the Regional and National Office </w:t>
      </w:r>
      <w:r w:rsidRPr="00A40FC4" w:rsidR="00056098">
        <w:t>OUI</w:t>
      </w:r>
      <w:r w:rsidRPr="00A40FC4">
        <w:t xml:space="preserve"> staff to monitor </w:t>
      </w:r>
      <w:r w:rsidRPr="00A40FC4" w:rsidR="00A3794C">
        <w:t>state</w:t>
      </w:r>
      <w:r w:rsidRPr="00A40FC4">
        <w:t xml:space="preserve"> appeals processes and to develop plans for remedial action.  The report is also needed for workload budgeting figures.</w:t>
      </w:r>
    </w:p>
    <w:p w:rsidR="00E66F0D" w:rsidRDefault="00E66F0D" w14:paraId="2FEEDEEC" w14:textId="77777777">
      <w:pPr>
        <w:tabs>
          <w:tab w:val="left" w:pos="-1440"/>
          <w:tab w:val="left" w:pos="-720"/>
          <w:tab w:val="left" w:pos="28"/>
          <w:tab w:val="left" w:pos="547"/>
          <w:tab w:val="left" w:pos="1065"/>
          <w:tab w:val="left" w:pos="1584"/>
        </w:tabs>
        <w:jc w:val="both"/>
      </w:pPr>
    </w:p>
    <w:p w:rsidRPr="00A40FC4" w:rsidR="00991357" w:rsidRDefault="00991357" w14:paraId="79EACE23" w14:textId="77777777">
      <w:pPr>
        <w:tabs>
          <w:tab w:val="left" w:pos="-1440"/>
          <w:tab w:val="left" w:pos="-720"/>
          <w:tab w:val="left" w:pos="28"/>
          <w:tab w:val="left" w:pos="547"/>
          <w:tab w:val="left" w:pos="1065"/>
          <w:tab w:val="left" w:pos="1584"/>
        </w:tabs>
        <w:jc w:val="both"/>
      </w:pPr>
      <w:r w:rsidRPr="00A40FC4">
        <w:t xml:space="preserve">If this information were not available, problems that arise might not be discovered </w:t>
      </w:r>
      <w:r w:rsidR="00E66F0D">
        <w:t xml:space="preserve">in a timely manner, leaving the </w:t>
      </w:r>
      <w:r w:rsidRPr="00A40FC4">
        <w:t>only solutions available</w:t>
      </w:r>
      <w:r w:rsidR="00E66F0D">
        <w:t xml:space="preserve"> to be those efforts that are </w:t>
      </w:r>
      <w:r w:rsidRPr="00A40FC4">
        <w:t>very time</w:t>
      </w:r>
      <w:r w:rsidR="00E66F0D">
        <w:t>-</w:t>
      </w:r>
      <w:r w:rsidRPr="00A40FC4">
        <w:t>consuming and costl</w:t>
      </w:r>
      <w:r w:rsidR="00E66F0D">
        <w:t xml:space="preserve">y.  The inability to discover problems in a timely manner might also increase the chances of </w:t>
      </w:r>
      <w:r w:rsidRPr="00A40FC4">
        <w:t xml:space="preserve">the </w:t>
      </w:r>
      <w:r w:rsidRPr="00A40FC4" w:rsidR="00A3794C">
        <w:t xml:space="preserve">state </w:t>
      </w:r>
      <w:r w:rsidR="00E66F0D">
        <w:t xml:space="preserve">being </w:t>
      </w:r>
      <w:r w:rsidRPr="00A40FC4">
        <w:t>open to lawsuits concerning due process and prompt payment of benefits.</w:t>
      </w:r>
    </w:p>
    <w:p w:rsidRPr="00A40FC4" w:rsidR="00991357" w:rsidRDefault="00991357" w14:paraId="3FF2FCB7" w14:textId="77777777">
      <w:pPr>
        <w:tabs>
          <w:tab w:val="left" w:pos="-1440"/>
          <w:tab w:val="left" w:pos="-720"/>
          <w:tab w:val="left" w:pos="28"/>
          <w:tab w:val="left" w:pos="547"/>
          <w:tab w:val="left" w:pos="1065"/>
          <w:tab w:val="left" w:pos="1584"/>
        </w:tabs>
        <w:jc w:val="both"/>
      </w:pPr>
    </w:p>
    <w:p w:rsidRPr="00A40FC4" w:rsidR="00991357" w:rsidRDefault="00991357" w14:paraId="67D5D6D0" w14:textId="77777777">
      <w:pPr>
        <w:tabs>
          <w:tab w:val="left" w:pos="-1440"/>
          <w:tab w:val="left" w:pos="-720"/>
          <w:tab w:val="left" w:pos="28"/>
          <w:tab w:val="left" w:pos="547"/>
          <w:tab w:val="left" w:pos="1065"/>
          <w:tab w:val="left" w:pos="1584"/>
        </w:tabs>
        <w:jc w:val="both"/>
      </w:pPr>
      <w:r w:rsidRPr="00A40FC4">
        <w:t xml:space="preserve">Again, monthly data allow </w:t>
      </w:r>
      <w:r w:rsidRPr="00A40FC4" w:rsidR="00056098">
        <w:t>OUI</w:t>
      </w:r>
      <w:r w:rsidRPr="00A40FC4">
        <w:t xml:space="preserve"> to identify changes in performance early and to offer assistance, if necessary, before a problem gets out</w:t>
      </w:r>
      <w:r w:rsidRPr="00A40FC4" w:rsidR="00A3794C">
        <w:t>-</w:t>
      </w:r>
      <w:r w:rsidRPr="00A40FC4">
        <w:t>of</w:t>
      </w:r>
      <w:r w:rsidRPr="00A40FC4" w:rsidR="00A3794C">
        <w:t>-</w:t>
      </w:r>
      <w:r w:rsidRPr="00A40FC4">
        <w:t>hand.</w:t>
      </w:r>
    </w:p>
    <w:p w:rsidRPr="00A40FC4" w:rsidR="00991357" w:rsidRDefault="00991357" w14:paraId="119EDDB4" w14:textId="77777777">
      <w:pPr>
        <w:tabs>
          <w:tab w:val="left" w:pos="-1440"/>
          <w:tab w:val="left" w:pos="-720"/>
          <w:tab w:val="left" w:pos="28"/>
          <w:tab w:val="left" w:pos="547"/>
          <w:tab w:val="left" w:pos="1065"/>
          <w:tab w:val="left" w:pos="1584"/>
        </w:tabs>
        <w:jc w:val="both"/>
      </w:pPr>
    </w:p>
    <w:p w:rsidRPr="00985C2B" w:rsidR="00B62E58" w:rsidP="00B62E58" w:rsidRDefault="00B62E58" w14:paraId="16AC0AB3" w14:textId="77777777">
      <w:pPr>
        <w:rPr>
          <w:i/>
        </w:rPr>
      </w:pPr>
      <w:r w:rsidRPr="00DC10BE">
        <w:t>3.</w:t>
      </w:r>
      <w:r w:rsidRPr="00DC10BE">
        <w:tab/>
      </w:r>
      <w:r w:rsidRPr="00985C2B">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40FC4" w:rsidR="00991357" w:rsidRDefault="00991357" w14:paraId="6123335E" w14:textId="77777777">
      <w:pPr>
        <w:tabs>
          <w:tab w:val="left" w:pos="-1440"/>
          <w:tab w:val="left" w:pos="-720"/>
          <w:tab w:val="left" w:pos="28"/>
          <w:tab w:val="left" w:pos="547"/>
          <w:tab w:val="left" w:pos="1065"/>
          <w:tab w:val="left" w:pos="1584"/>
        </w:tabs>
        <w:jc w:val="both"/>
      </w:pPr>
    </w:p>
    <w:p w:rsidRPr="00A40FC4" w:rsidR="00991357" w:rsidRDefault="00C668E4" w14:paraId="1E767BC9" w14:textId="77777777">
      <w:pPr>
        <w:tabs>
          <w:tab w:val="left" w:pos="-1440"/>
          <w:tab w:val="left" w:pos="-720"/>
          <w:tab w:val="left" w:pos="28"/>
          <w:tab w:val="left" w:pos="547"/>
          <w:tab w:val="left" w:pos="1065"/>
          <w:tab w:val="left" w:pos="1584"/>
        </w:tabs>
        <w:jc w:val="both"/>
      </w:pPr>
      <w:r>
        <w:t>Most</w:t>
      </w:r>
      <w:r w:rsidRPr="00A40FC4">
        <w:t xml:space="preserve"> </w:t>
      </w:r>
      <w:r w:rsidRPr="00A40FC4" w:rsidR="003F560E">
        <w:t>s</w:t>
      </w:r>
      <w:r w:rsidRPr="00A40FC4" w:rsidR="00991357">
        <w:t xml:space="preserve">tates have automated their appeals record keeping, data collection, and tracking processes. </w:t>
      </w:r>
      <w:r>
        <w:t xml:space="preserve"> </w:t>
      </w:r>
      <w:r w:rsidRPr="00A40FC4" w:rsidR="00991357">
        <w:t xml:space="preserve">As with most UI reports, this </w:t>
      </w:r>
      <w:r w:rsidRPr="00A40FC4" w:rsidR="00A3794C">
        <w:t xml:space="preserve">report </w:t>
      </w:r>
      <w:r w:rsidRPr="00A40FC4" w:rsidR="00991357">
        <w:t xml:space="preserve">is part of an electronic reporting system through which </w:t>
      </w:r>
      <w:r w:rsidRPr="00A40FC4" w:rsidR="00A3794C">
        <w:t>states</w:t>
      </w:r>
      <w:r w:rsidRPr="00A40FC4" w:rsidR="00991357">
        <w:t xml:space="preserve"> enter and transmi</w:t>
      </w:r>
      <w:r w:rsidRPr="00A40FC4" w:rsidR="00A3794C">
        <w:t xml:space="preserve">t data to the National Office. </w:t>
      </w:r>
      <w:r w:rsidRPr="00A40FC4" w:rsidR="00991357">
        <w:t xml:space="preserve">States have the option of creating a file on their own computer system and uploading it to the UI system to eliminate </w:t>
      </w:r>
      <w:r w:rsidRPr="00A40FC4" w:rsidR="00A3794C">
        <w:t>manual data entry</w:t>
      </w:r>
      <w:r w:rsidRPr="00A40FC4" w:rsidR="00991357">
        <w:t xml:space="preserve"> and the potential for errors</w:t>
      </w:r>
      <w:r w:rsidR="00B96E5B">
        <w:t>.</w:t>
      </w:r>
    </w:p>
    <w:p w:rsidRPr="00A40FC4" w:rsidR="00991357" w:rsidRDefault="00991357" w14:paraId="4277914E" w14:textId="77777777">
      <w:pPr>
        <w:tabs>
          <w:tab w:val="left" w:pos="-1440"/>
          <w:tab w:val="left" w:pos="-720"/>
          <w:tab w:val="left" w:pos="28"/>
          <w:tab w:val="left" w:pos="547"/>
          <w:tab w:val="left" w:pos="1065"/>
          <w:tab w:val="left" w:pos="1584"/>
        </w:tabs>
        <w:jc w:val="both"/>
      </w:pPr>
    </w:p>
    <w:p w:rsidRPr="00A40FC4" w:rsidR="00991357" w:rsidRDefault="00B62E58" w14:paraId="000E3B86" w14:textId="77777777">
      <w:pPr>
        <w:tabs>
          <w:tab w:val="left" w:pos="-1440"/>
          <w:tab w:val="left" w:pos="-720"/>
          <w:tab w:val="left" w:pos="28"/>
          <w:tab w:val="left" w:pos="547"/>
          <w:tab w:val="left" w:pos="1065"/>
          <w:tab w:val="left" w:pos="1584"/>
        </w:tabs>
        <w:jc w:val="both"/>
      </w:pPr>
      <w:r w:rsidRPr="00B62E58">
        <w:t>4.</w:t>
      </w:r>
      <w:r w:rsidRPr="00B62E58">
        <w:tab/>
      </w:r>
      <w:r w:rsidRPr="00B84907">
        <w:rPr>
          <w:i/>
        </w:rPr>
        <w:t>Describe efforts to identify duplication. Show specifically why any similar information already available cannot be used or modified for use for the purposes described in Item 2 above.</w:t>
      </w:r>
    </w:p>
    <w:p w:rsidR="0002038D" w:rsidRDefault="0002038D" w14:paraId="3D0E4385" w14:textId="77777777">
      <w:pPr>
        <w:tabs>
          <w:tab w:val="left" w:pos="-1440"/>
          <w:tab w:val="left" w:pos="-720"/>
          <w:tab w:val="left" w:pos="28"/>
          <w:tab w:val="left" w:pos="547"/>
          <w:tab w:val="left" w:pos="1065"/>
          <w:tab w:val="left" w:pos="1584"/>
        </w:tabs>
        <w:jc w:val="both"/>
      </w:pPr>
    </w:p>
    <w:p w:rsidRPr="00A40FC4" w:rsidR="00991357" w:rsidRDefault="00991357" w14:paraId="674115DD" w14:textId="77777777">
      <w:pPr>
        <w:tabs>
          <w:tab w:val="left" w:pos="-1440"/>
          <w:tab w:val="left" w:pos="-720"/>
          <w:tab w:val="left" w:pos="28"/>
          <w:tab w:val="left" w:pos="547"/>
          <w:tab w:val="left" w:pos="1065"/>
          <w:tab w:val="left" w:pos="1584"/>
        </w:tabs>
        <w:jc w:val="both"/>
      </w:pPr>
      <w:r w:rsidRPr="00A40FC4">
        <w:t>There is no similar information reported elsewhere.</w:t>
      </w:r>
    </w:p>
    <w:p w:rsidRPr="00A40FC4" w:rsidR="00991357" w:rsidRDefault="00991357" w14:paraId="46F0B0E0" w14:textId="77777777">
      <w:pPr>
        <w:tabs>
          <w:tab w:val="left" w:pos="-1440"/>
          <w:tab w:val="left" w:pos="-720"/>
          <w:tab w:val="left" w:pos="28"/>
          <w:tab w:val="left" w:pos="547"/>
          <w:tab w:val="left" w:pos="1065"/>
          <w:tab w:val="left" w:pos="1584"/>
        </w:tabs>
        <w:jc w:val="both"/>
      </w:pPr>
    </w:p>
    <w:p w:rsidR="0002038D" w:rsidRDefault="008D0FB1" w14:paraId="1ABE694E" w14:textId="77777777">
      <w:pPr>
        <w:tabs>
          <w:tab w:val="left" w:pos="-1440"/>
          <w:tab w:val="left" w:pos="-720"/>
          <w:tab w:val="left" w:pos="28"/>
          <w:tab w:val="left" w:pos="547"/>
          <w:tab w:val="left" w:pos="1065"/>
          <w:tab w:val="left" w:pos="1584"/>
        </w:tabs>
        <w:jc w:val="both"/>
      </w:pPr>
      <w:r w:rsidRPr="008D0FB1">
        <w:t>5.</w:t>
      </w:r>
      <w:r w:rsidRPr="008D0FB1">
        <w:tab/>
      </w:r>
      <w:r w:rsidRPr="00B84907">
        <w:rPr>
          <w:i/>
        </w:rPr>
        <w:t>If the collection of information impacts small businesses or other small entities, describe any methods used to minimize burden.</w:t>
      </w:r>
    </w:p>
    <w:p w:rsidRPr="00A40FC4" w:rsidR="00991357" w:rsidRDefault="00991357" w14:paraId="15DA8658" w14:textId="77777777">
      <w:pPr>
        <w:tabs>
          <w:tab w:val="left" w:pos="-1440"/>
          <w:tab w:val="left" w:pos="-720"/>
          <w:tab w:val="left" w:pos="28"/>
          <w:tab w:val="left" w:pos="547"/>
          <w:tab w:val="left" w:pos="1065"/>
          <w:tab w:val="left" w:pos="1584"/>
        </w:tabs>
        <w:jc w:val="both"/>
      </w:pPr>
    </w:p>
    <w:p w:rsidRPr="00A40FC4" w:rsidR="00991357" w:rsidRDefault="00991357" w14:paraId="7B608980" w14:textId="77777777">
      <w:pPr>
        <w:tabs>
          <w:tab w:val="left" w:pos="-1440"/>
          <w:tab w:val="left" w:pos="-720"/>
          <w:tab w:val="left" w:pos="28"/>
          <w:tab w:val="left" w:pos="547"/>
          <w:tab w:val="left" w:pos="1065"/>
          <w:tab w:val="left" w:pos="1584"/>
        </w:tabs>
        <w:jc w:val="both"/>
      </w:pPr>
      <w:r w:rsidRPr="00A40FC4">
        <w:t>There is no impact on small businesses or other small entities.</w:t>
      </w:r>
    </w:p>
    <w:p w:rsidRPr="00A40FC4" w:rsidR="00991357" w:rsidRDefault="00991357" w14:paraId="4187E1CB" w14:textId="77777777">
      <w:pPr>
        <w:tabs>
          <w:tab w:val="left" w:pos="-1440"/>
          <w:tab w:val="left" w:pos="-720"/>
          <w:tab w:val="left" w:pos="28"/>
          <w:tab w:val="left" w:pos="547"/>
          <w:tab w:val="left" w:pos="1065"/>
          <w:tab w:val="left" w:pos="1584"/>
        </w:tabs>
        <w:jc w:val="both"/>
      </w:pPr>
    </w:p>
    <w:p w:rsidR="0039587C" w:rsidRDefault="008D0FB1" w14:paraId="14EE10F9" w14:textId="77777777">
      <w:pPr>
        <w:tabs>
          <w:tab w:val="left" w:pos="-1440"/>
          <w:tab w:val="left" w:pos="-720"/>
          <w:tab w:val="left" w:pos="28"/>
          <w:tab w:val="left" w:pos="547"/>
          <w:tab w:val="left" w:pos="1065"/>
          <w:tab w:val="left" w:pos="1584"/>
        </w:tabs>
        <w:jc w:val="both"/>
      </w:pPr>
      <w:r w:rsidRPr="008D0FB1">
        <w:t>6.</w:t>
      </w:r>
      <w:r w:rsidRPr="008D0FB1">
        <w:tab/>
      </w:r>
      <w:r w:rsidRPr="00B84907">
        <w:rPr>
          <w:i/>
        </w:rPr>
        <w:t>Describe the consequence to Federal program or policy activities if the collection is not conducted or is conducted less frequently, as well as any technical or legal obstacles to reducing burden.</w:t>
      </w:r>
    </w:p>
    <w:p w:rsidRPr="00B41483" w:rsidR="008D0FB1" w:rsidRDefault="008D0FB1" w14:paraId="0C0DED56" w14:textId="77777777">
      <w:pPr>
        <w:tabs>
          <w:tab w:val="left" w:pos="-1440"/>
          <w:tab w:val="left" w:pos="-720"/>
          <w:tab w:val="left" w:pos="28"/>
          <w:tab w:val="left" w:pos="547"/>
          <w:tab w:val="left" w:pos="1065"/>
          <w:tab w:val="left" w:pos="1584"/>
        </w:tabs>
        <w:jc w:val="both"/>
      </w:pPr>
    </w:p>
    <w:p w:rsidRPr="00A40FC4" w:rsidR="00991357" w:rsidRDefault="00991357" w14:paraId="0D56BDA8" w14:textId="78C3E29A">
      <w:pPr>
        <w:tabs>
          <w:tab w:val="left" w:pos="-1440"/>
          <w:tab w:val="left" w:pos="-720"/>
          <w:tab w:val="left" w:pos="28"/>
          <w:tab w:val="left" w:pos="547"/>
          <w:tab w:val="left" w:pos="1065"/>
          <w:tab w:val="left" w:pos="1584"/>
        </w:tabs>
        <w:jc w:val="both"/>
      </w:pPr>
      <w:r w:rsidRPr="00A40FC4">
        <w:t xml:space="preserve">Without this information, the National Office would have no way of monitoring the appeals process.  If the data were collected less frequently, the National Office could not quickly step in to help a SWA as a problem develops.  </w:t>
      </w:r>
      <w:r w:rsidR="003277E7">
        <w:t>If this report were moved to a</w:t>
      </w:r>
      <w:r w:rsidRPr="00A40FC4">
        <w:t xml:space="preserve"> quarterly report, at least several quarters would elapse before the National Office would be aware of the development of a pattern of performance indicating a problem.  </w:t>
      </w:r>
      <w:bookmarkStart w:name="QuickMark" w:id="0"/>
      <w:bookmarkEnd w:id="0"/>
      <w:r w:rsidRPr="00A40FC4">
        <w:t xml:space="preserve">Consequently, remedial action would be delayed, be less efficient, less effective, more expensive and both the </w:t>
      </w:r>
      <w:r w:rsidRPr="00A40FC4" w:rsidR="00A3794C">
        <w:t>state</w:t>
      </w:r>
      <w:r w:rsidRPr="00A40FC4">
        <w:t xml:space="preserve"> and </w:t>
      </w:r>
      <w:r w:rsidRPr="00A40FC4" w:rsidR="00A3794C">
        <w:t xml:space="preserve">possibly </w:t>
      </w:r>
      <w:r w:rsidRPr="00A40FC4">
        <w:t>the Department would be more open to potential litigation.</w:t>
      </w:r>
    </w:p>
    <w:p w:rsidRPr="00A40FC4" w:rsidR="00991357" w:rsidRDefault="00991357" w14:paraId="53B69F76" w14:textId="77777777">
      <w:pPr>
        <w:tabs>
          <w:tab w:val="left" w:pos="-1440"/>
          <w:tab w:val="left" w:pos="-720"/>
          <w:tab w:val="left" w:pos="28"/>
          <w:tab w:val="left" w:pos="547"/>
          <w:tab w:val="left" w:pos="1065"/>
          <w:tab w:val="left" w:pos="1584"/>
        </w:tabs>
        <w:jc w:val="both"/>
      </w:pPr>
    </w:p>
    <w:p w:rsidRPr="00D50A01" w:rsidR="008D0FB1" w:rsidP="00D50A01" w:rsidRDefault="008D0FB1" w14:paraId="20104C02" w14:textId="77777777">
      <w:pPr>
        <w:rPr>
          <w:i/>
        </w:rPr>
      </w:pPr>
      <w:r w:rsidRPr="00DC10BE">
        <w:t>7.</w:t>
      </w:r>
      <w:r w:rsidRPr="00DC10BE">
        <w:tab/>
      </w:r>
      <w:r w:rsidRPr="00985C2B">
        <w:rPr>
          <w:i/>
        </w:rPr>
        <w:t xml:space="preserve">Explain any special circumstances that would cause an information collection to be conducted in a manner </w:t>
      </w:r>
      <w:r w:rsidRPr="00D50A01" w:rsidR="00D50A01">
        <w:rPr>
          <w:i/>
        </w:rPr>
        <w:t>that requires further explanation pursuant to regulations 5 CFR 1320.5.</w:t>
      </w:r>
    </w:p>
    <w:p w:rsidR="008D0FB1" w:rsidRDefault="008D0FB1" w14:paraId="2C40AFE9" w14:textId="77777777">
      <w:pPr>
        <w:tabs>
          <w:tab w:val="left" w:pos="-1440"/>
          <w:tab w:val="left" w:pos="-720"/>
          <w:tab w:val="left" w:pos="28"/>
          <w:tab w:val="left" w:pos="547"/>
          <w:tab w:val="left" w:pos="1065"/>
          <w:tab w:val="left" w:pos="1584"/>
        </w:tabs>
        <w:jc w:val="both"/>
        <w:rPr>
          <w:u w:val="single"/>
        </w:rPr>
      </w:pPr>
    </w:p>
    <w:p w:rsidRPr="00A40FC4" w:rsidR="00991357" w:rsidRDefault="008E783F" w14:paraId="48A9468D" w14:textId="77777777">
      <w:pPr>
        <w:tabs>
          <w:tab w:val="left" w:pos="-1440"/>
          <w:tab w:val="left" w:pos="-720"/>
          <w:tab w:val="left" w:pos="28"/>
          <w:tab w:val="left" w:pos="547"/>
          <w:tab w:val="left" w:pos="1065"/>
          <w:tab w:val="left" w:pos="1584"/>
        </w:tabs>
        <w:jc w:val="both"/>
      </w:pPr>
      <w:r>
        <w:t>Collection is</w:t>
      </w:r>
      <w:r w:rsidRPr="00A40FC4" w:rsidR="00991357">
        <w:t xml:space="preserve"> </w:t>
      </w:r>
      <w:r>
        <w:t>i</w:t>
      </w:r>
      <w:r w:rsidRPr="00A40FC4" w:rsidR="00991357">
        <w:t>nconsistent with 5 CFR 1320.5.</w:t>
      </w:r>
    </w:p>
    <w:p w:rsidRPr="00A40FC4" w:rsidR="00991357" w:rsidRDefault="00991357" w14:paraId="21045EF3" w14:textId="77777777">
      <w:pPr>
        <w:tabs>
          <w:tab w:val="left" w:pos="-1440"/>
          <w:tab w:val="left" w:pos="-720"/>
          <w:tab w:val="left" w:pos="28"/>
          <w:tab w:val="left" w:pos="547"/>
          <w:tab w:val="left" w:pos="1065"/>
          <w:tab w:val="left" w:pos="1584"/>
        </w:tabs>
        <w:jc w:val="both"/>
      </w:pPr>
    </w:p>
    <w:p w:rsidRPr="00A40FC4" w:rsidR="00991357" w:rsidRDefault="00991357" w14:paraId="3FBB4DF2" w14:textId="77777777">
      <w:pPr>
        <w:tabs>
          <w:tab w:val="left" w:pos="-1440"/>
          <w:tab w:val="left" w:pos="-720"/>
          <w:tab w:val="left" w:pos="28"/>
          <w:tab w:val="left" w:pos="547"/>
          <w:tab w:val="left" w:pos="1065"/>
          <w:tab w:val="left" w:pos="1584"/>
        </w:tabs>
        <w:jc w:val="both"/>
      </w:pPr>
      <w:r w:rsidRPr="00A40FC4">
        <w:t>See item 6 for discussion of need for monthly collection.  This information collection is otherwise consistent with the guidelines in 5 CFR 1320.5.</w:t>
      </w:r>
    </w:p>
    <w:p w:rsidRPr="00A40FC4" w:rsidR="00991357" w:rsidRDefault="00991357" w14:paraId="0FAA0333" w14:textId="77777777">
      <w:pPr>
        <w:tabs>
          <w:tab w:val="left" w:pos="-1440"/>
          <w:tab w:val="left" w:pos="-720"/>
          <w:tab w:val="left" w:pos="28"/>
          <w:tab w:val="left" w:pos="547"/>
          <w:tab w:val="left" w:pos="1065"/>
          <w:tab w:val="left" w:pos="1584"/>
        </w:tabs>
        <w:jc w:val="both"/>
      </w:pPr>
    </w:p>
    <w:p w:rsidR="00F43F98" w:rsidP="00F43F98" w:rsidRDefault="00F43F98" w14:paraId="08497D8B" w14:textId="77777777">
      <w:pPr>
        <w:rPr>
          <w:i/>
        </w:rPr>
      </w:pPr>
      <w:r w:rsidRPr="00DC10BE">
        <w:t>8.</w:t>
      </w:r>
      <w:r w:rsidRPr="00DC10BE">
        <w:tab/>
      </w:r>
      <w:r w:rsidRPr="00985C2B">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Pr>
          <w:i/>
        </w:rPr>
        <w:t xml:space="preserve"> </w:t>
      </w:r>
    </w:p>
    <w:p w:rsidR="00F43F98" w:rsidP="00F43F98" w:rsidRDefault="00F43F98" w14:paraId="0661F1F3" w14:textId="77777777">
      <w:pPr>
        <w:rPr>
          <w:i/>
        </w:rPr>
      </w:pPr>
    </w:p>
    <w:p w:rsidR="00F43F98" w:rsidP="00F43F98" w:rsidRDefault="00F43F98" w14:paraId="768BB072" w14:textId="77777777">
      <w:pPr>
        <w:rPr>
          <w:i/>
        </w:rPr>
      </w:pPr>
      <w:r w:rsidRPr="00985C2B">
        <w:rPr>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985C2B" w:rsidR="00F43F98" w:rsidP="00F43F98" w:rsidRDefault="00F43F98" w14:paraId="67FCF5F4" w14:textId="77777777">
      <w:pPr>
        <w:rPr>
          <w:i/>
        </w:rPr>
      </w:pPr>
    </w:p>
    <w:p w:rsidRPr="00985C2B" w:rsidR="00F43F98" w:rsidP="00F43F98" w:rsidRDefault="00F43F98" w14:paraId="6E748B3F" w14:textId="77777777">
      <w:pPr>
        <w:rPr>
          <w:rFonts w:ascii="Courier" w:hAnsi="Courier"/>
          <w:i/>
        </w:rPr>
      </w:pPr>
      <w:r w:rsidRPr="00985C2B">
        <w:rPr>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A40FC4" w:rsidR="00991357" w:rsidRDefault="00991357" w14:paraId="080EE886" w14:textId="77777777">
      <w:pPr>
        <w:tabs>
          <w:tab w:val="left" w:pos="-1440"/>
          <w:tab w:val="left" w:pos="-720"/>
          <w:tab w:val="left" w:pos="28"/>
          <w:tab w:val="left" w:pos="547"/>
          <w:tab w:val="left" w:pos="1065"/>
          <w:tab w:val="left" w:pos="1584"/>
        </w:tabs>
        <w:jc w:val="both"/>
      </w:pPr>
    </w:p>
    <w:p w:rsidR="00315888" w:rsidRDefault="00315888" w14:paraId="3EFB213D" w14:textId="77777777">
      <w:pPr>
        <w:tabs>
          <w:tab w:val="left" w:pos="-1440"/>
          <w:tab w:val="left" w:pos="-720"/>
          <w:tab w:val="left" w:pos="28"/>
          <w:tab w:val="left" w:pos="547"/>
          <w:tab w:val="left" w:pos="1065"/>
          <w:tab w:val="left" w:pos="1584"/>
        </w:tabs>
        <w:jc w:val="both"/>
      </w:pPr>
      <w:r w:rsidRPr="00315888">
        <w:t>In accordance with the Paperwork Reduction Act of 1995, the public was allowed 60 days to comment through the Federal Register Notice posted on</w:t>
      </w:r>
      <w:r w:rsidR="00013DC0">
        <w:t xml:space="preserve"> </w:t>
      </w:r>
      <w:r w:rsidR="004C1E97">
        <w:t>October 28, 2019</w:t>
      </w:r>
      <w:r w:rsidRPr="00315888">
        <w:t xml:space="preserve"> (</w:t>
      </w:r>
      <w:r w:rsidR="004C1E97">
        <w:t>84</w:t>
      </w:r>
      <w:r w:rsidRPr="00315888">
        <w:t xml:space="preserve"> FR </w:t>
      </w:r>
      <w:r w:rsidR="004C1E97">
        <w:t>57769</w:t>
      </w:r>
      <w:r w:rsidRPr="00315888">
        <w:t xml:space="preserve">).  </w:t>
      </w:r>
      <w:r w:rsidR="006A520B">
        <w:t xml:space="preserve"> </w:t>
      </w:r>
      <w:r w:rsidRPr="00315888">
        <w:t>No public comments were received.</w:t>
      </w:r>
    </w:p>
    <w:p w:rsidRPr="00A40FC4" w:rsidR="00991357" w:rsidRDefault="00991357" w14:paraId="433702B8" w14:textId="77777777">
      <w:pPr>
        <w:tabs>
          <w:tab w:val="left" w:pos="-1440"/>
          <w:tab w:val="left" w:pos="-720"/>
          <w:tab w:val="left" w:pos="28"/>
          <w:tab w:val="left" w:pos="547"/>
          <w:tab w:val="left" w:pos="1065"/>
          <w:tab w:val="left" w:pos="1584"/>
        </w:tabs>
        <w:jc w:val="both"/>
      </w:pPr>
    </w:p>
    <w:p w:rsidRPr="00985C2B" w:rsidR="00F43F98" w:rsidP="00F43F98" w:rsidRDefault="00F43F98" w14:paraId="3070135A" w14:textId="77777777">
      <w:pPr>
        <w:rPr>
          <w:i/>
        </w:rPr>
      </w:pPr>
      <w:r w:rsidRPr="00624585">
        <w:t xml:space="preserve">9.  </w:t>
      </w:r>
      <w:r>
        <w:tab/>
      </w:r>
      <w:r w:rsidRPr="00985C2B">
        <w:rPr>
          <w:i/>
        </w:rPr>
        <w:t xml:space="preserve">Explain any decisions to provide payments or gifts to respondents, other than remuneration of contractors or grantees.  </w:t>
      </w:r>
    </w:p>
    <w:p w:rsidR="00B41483" w:rsidRDefault="00B41483" w14:paraId="56A33A9C" w14:textId="77777777">
      <w:pPr>
        <w:tabs>
          <w:tab w:val="left" w:pos="-1440"/>
          <w:tab w:val="left" w:pos="-720"/>
          <w:tab w:val="left" w:pos="28"/>
          <w:tab w:val="left" w:pos="547"/>
          <w:tab w:val="left" w:pos="1065"/>
          <w:tab w:val="left" w:pos="1584"/>
        </w:tabs>
        <w:jc w:val="both"/>
      </w:pPr>
    </w:p>
    <w:p w:rsidR="00991357" w:rsidRDefault="00991357" w14:paraId="4F0C677C" w14:textId="77777777">
      <w:pPr>
        <w:tabs>
          <w:tab w:val="left" w:pos="-1440"/>
          <w:tab w:val="left" w:pos="-720"/>
          <w:tab w:val="left" w:pos="28"/>
          <w:tab w:val="left" w:pos="547"/>
          <w:tab w:val="left" w:pos="1065"/>
          <w:tab w:val="left" w:pos="1584"/>
        </w:tabs>
        <w:jc w:val="both"/>
      </w:pPr>
      <w:r w:rsidRPr="00A40FC4">
        <w:t>There are no payments or gifts to respondents.</w:t>
      </w:r>
    </w:p>
    <w:p w:rsidRPr="00A40FC4" w:rsidR="00F43F98" w:rsidRDefault="00F43F98" w14:paraId="29EAE0B5" w14:textId="77777777">
      <w:pPr>
        <w:tabs>
          <w:tab w:val="left" w:pos="-1440"/>
          <w:tab w:val="left" w:pos="-720"/>
          <w:tab w:val="left" w:pos="28"/>
          <w:tab w:val="left" w:pos="547"/>
          <w:tab w:val="left" w:pos="1065"/>
          <w:tab w:val="left" w:pos="1584"/>
        </w:tabs>
        <w:jc w:val="both"/>
      </w:pPr>
    </w:p>
    <w:p w:rsidRPr="00985C2B" w:rsidR="00F43F98" w:rsidP="00F43F98" w:rsidRDefault="00F43F98" w14:paraId="32BB3F5F" w14:textId="77777777">
      <w:pPr>
        <w:rPr>
          <w:i/>
        </w:rPr>
      </w:pPr>
      <w:r w:rsidRPr="00624585">
        <w:t xml:space="preserve">10.  </w:t>
      </w:r>
      <w:r>
        <w:tab/>
      </w:r>
      <w:r w:rsidRPr="00985C2B">
        <w:rPr>
          <w:i/>
        </w:rPr>
        <w:t>Describe any assurance of confidentiality provided to respondents and the basis for assurance in statute, regulation, or agency policy.</w:t>
      </w:r>
    </w:p>
    <w:p w:rsidRPr="00A40FC4" w:rsidR="00991357" w:rsidRDefault="00991357" w14:paraId="547ADB27" w14:textId="77777777">
      <w:pPr>
        <w:tabs>
          <w:tab w:val="left" w:pos="-1440"/>
          <w:tab w:val="left" w:pos="-720"/>
          <w:tab w:val="left" w:pos="28"/>
          <w:tab w:val="left" w:pos="547"/>
          <w:tab w:val="left" w:pos="1065"/>
          <w:tab w:val="left" w:pos="1584"/>
        </w:tabs>
        <w:jc w:val="both"/>
      </w:pPr>
    </w:p>
    <w:p w:rsidR="00991357" w:rsidRDefault="00991357" w14:paraId="0836577D" w14:textId="77777777">
      <w:pPr>
        <w:tabs>
          <w:tab w:val="left" w:pos="-1440"/>
          <w:tab w:val="left" w:pos="-720"/>
          <w:tab w:val="left" w:pos="28"/>
          <w:tab w:val="left" w:pos="547"/>
          <w:tab w:val="left" w:pos="1065"/>
          <w:tab w:val="left" w:pos="1584"/>
        </w:tabs>
        <w:jc w:val="both"/>
      </w:pPr>
      <w:r w:rsidRPr="00A40FC4">
        <w:t>There is no assurance of confidentiality.</w:t>
      </w:r>
    </w:p>
    <w:p w:rsidRPr="00A40FC4" w:rsidR="00FE549A" w:rsidRDefault="00FE549A" w14:paraId="27C7149A" w14:textId="77777777">
      <w:pPr>
        <w:tabs>
          <w:tab w:val="left" w:pos="-1440"/>
          <w:tab w:val="left" w:pos="-720"/>
          <w:tab w:val="left" w:pos="28"/>
          <w:tab w:val="left" w:pos="547"/>
          <w:tab w:val="left" w:pos="1065"/>
          <w:tab w:val="left" w:pos="1584"/>
        </w:tabs>
        <w:jc w:val="both"/>
      </w:pPr>
    </w:p>
    <w:p w:rsidRPr="00985C2B" w:rsidR="00F43F98" w:rsidP="00F43F98" w:rsidRDefault="00F43F98" w14:paraId="1B6E28A5" w14:textId="77777777">
      <w:pPr>
        <w:rPr>
          <w:i/>
        </w:rPr>
      </w:pPr>
      <w:r w:rsidRPr="00DC10BE">
        <w:t>11.</w:t>
      </w:r>
      <w:r w:rsidRPr="00DC10BE">
        <w:tab/>
      </w:r>
      <w:r w:rsidRPr="00985C2B">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40FC4" w:rsidR="00F71C55" w:rsidRDefault="00F71C55" w14:paraId="6C1A0D77" w14:textId="77777777">
      <w:pPr>
        <w:tabs>
          <w:tab w:val="left" w:pos="-1440"/>
          <w:tab w:val="left" w:pos="-720"/>
          <w:tab w:val="left" w:pos="28"/>
          <w:tab w:val="left" w:pos="547"/>
          <w:tab w:val="left" w:pos="1065"/>
          <w:tab w:val="left" w:pos="1584"/>
        </w:tabs>
        <w:jc w:val="both"/>
      </w:pPr>
    </w:p>
    <w:p w:rsidRPr="00A40FC4" w:rsidR="00991357" w:rsidRDefault="00991357" w14:paraId="3E839208" w14:textId="77777777">
      <w:pPr>
        <w:tabs>
          <w:tab w:val="left" w:pos="-1440"/>
          <w:tab w:val="left" w:pos="-720"/>
          <w:tab w:val="left" w:pos="28"/>
          <w:tab w:val="left" w:pos="547"/>
          <w:tab w:val="left" w:pos="1065"/>
          <w:tab w:val="left" w:pos="1584"/>
        </w:tabs>
        <w:jc w:val="both"/>
      </w:pPr>
      <w:r w:rsidRPr="00A40FC4">
        <w:t>There are no questions of a sensitive nature</w:t>
      </w:r>
      <w:r w:rsidR="008E783F">
        <w:t xml:space="preserve"> in this report</w:t>
      </w:r>
      <w:r w:rsidRPr="00A40FC4">
        <w:t>.</w:t>
      </w:r>
    </w:p>
    <w:p w:rsidRPr="00A40FC4" w:rsidR="00991357" w:rsidRDefault="00991357" w14:paraId="588603DD" w14:textId="77777777">
      <w:pPr>
        <w:tabs>
          <w:tab w:val="left" w:pos="-1440"/>
          <w:tab w:val="left" w:pos="-720"/>
          <w:tab w:val="left" w:pos="28"/>
          <w:tab w:val="left" w:pos="547"/>
          <w:tab w:val="left" w:pos="1065"/>
          <w:tab w:val="left" w:pos="1584"/>
        </w:tabs>
        <w:jc w:val="both"/>
      </w:pPr>
    </w:p>
    <w:p w:rsidR="00F43F98" w:rsidP="00F43F98" w:rsidRDefault="00F43F98" w14:paraId="284F0FA7" w14:textId="77777777">
      <w:r w:rsidRPr="00DC10BE">
        <w:t>12.</w:t>
      </w:r>
      <w:r w:rsidRPr="00DC10BE">
        <w:tab/>
      </w:r>
      <w:r w:rsidRPr="00985C2B">
        <w:rPr>
          <w:i/>
        </w:rPr>
        <w:t xml:space="preserve">Provide estimates of the hour burden of the collection of information. </w:t>
      </w:r>
    </w:p>
    <w:p w:rsidRPr="00A40FC4" w:rsidR="00A548F6" w:rsidRDefault="00A548F6" w14:paraId="7C182F63" w14:textId="77777777">
      <w:pPr>
        <w:tabs>
          <w:tab w:val="left" w:pos="-1440"/>
          <w:tab w:val="left" w:pos="-720"/>
          <w:tab w:val="left" w:pos="28"/>
          <w:tab w:val="left" w:pos="547"/>
          <w:tab w:val="left" w:pos="1065"/>
          <w:tab w:val="left" w:pos="1584"/>
        </w:tabs>
        <w:jc w:val="both"/>
      </w:pPr>
    </w:p>
    <w:p w:rsidRPr="00A40FC4" w:rsidR="00556605" w:rsidRDefault="00991357" w14:paraId="46DEF23C" w14:textId="77777777">
      <w:pPr>
        <w:tabs>
          <w:tab w:val="left" w:pos="-1440"/>
          <w:tab w:val="left" w:pos="-720"/>
          <w:tab w:val="left" w:pos="28"/>
          <w:tab w:val="left" w:pos="547"/>
          <w:tab w:val="left" w:pos="1065"/>
          <w:tab w:val="left" w:pos="1584"/>
        </w:tabs>
        <w:jc w:val="both"/>
        <w:rPr>
          <w:u w:val="single"/>
        </w:rPr>
      </w:pPr>
      <w:r w:rsidRPr="00A40FC4">
        <w:t xml:space="preserve">The estimated annual burden for this collection is </w:t>
      </w:r>
      <w:r w:rsidR="00B41483">
        <w:t>1,272</w:t>
      </w:r>
      <w:r w:rsidRPr="00A40FC4" w:rsidR="00B41483">
        <w:t xml:space="preserve"> </w:t>
      </w:r>
      <w:r w:rsidRPr="00A40FC4">
        <w:t>hours (636 hours for the ETA 5130 Regular report</w:t>
      </w:r>
      <w:r w:rsidR="00B41483">
        <w:t xml:space="preserve"> and</w:t>
      </w:r>
      <w:r w:rsidRPr="00A40FC4" w:rsidR="00F91F53">
        <w:t xml:space="preserve"> 636 hours for the ETA 5130 </w:t>
      </w:r>
      <w:r w:rsidRPr="00A40FC4">
        <w:t xml:space="preserve">Extended Benefits report).  </w:t>
      </w:r>
    </w:p>
    <w:p w:rsidRPr="00A40FC4" w:rsidR="00F91F53" w:rsidRDefault="00F91F53" w14:paraId="71FFB8A4" w14:textId="77777777">
      <w:pPr>
        <w:tabs>
          <w:tab w:val="left" w:pos="-1440"/>
          <w:tab w:val="left" w:pos="-720"/>
          <w:tab w:val="left" w:pos="28"/>
          <w:tab w:val="left" w:pos="547"/>
          <w:tab w:val="left" w:pos="1065"/>
          <w:tab w:val="left" w:pos="1584"/>
        </w:tabs>
        <w:jc w:val="both"/>
        <w:rPr>
          <w:u w:val="single"/>
        </w:rPr>
      </w:pPr>
    </w:p>
    <w:tbl>
      <w:tblPr>
        <w:tblpPr w:leftFromText="180" w:rightFromText="180" w:vertAnchor="text" w:horzAnchor="margin" w:tblpY="4"/>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8"/>
        <w:gridCol w:w="1170"/>
        <w:gridCol w:w="990"/>
        <w:gridCol w:w="1080"/>
        <w:gridCol w:w="990"/>
        <w:gridCol w:w="1080"/>
        <w:gridCol w:w="810"/>
        <w:gridCol w:w="1350"/>
      </w:tblGrid>
      <w:tr w:rsidRPr="00875732" w:rsidR="00A01055" w:rsidTr="00A01055" w14:paraId="216CD2E8" w14:textId="77777777">
        <w:trPr>
          <w:trHeight w:val="426"/>
        </w:trPr>
        <w:tc>
          <w:tcPr>
            <w:tcW w:w="1278" w:type="dxa"/>
            <w:tcBorders>
              <w:top w:val="single" w:color="auto" w:sz="4" w:space="0"/>
              <w:left w:val="single" w:color="auto" w:sz="4" w:space="0"/>
              <w:bottom w:val="single" w:color="auto" w:sz="4" w:space="0"/>
              <w:right w:val="single" w:color="auto" w:sz="4" w:space="0"/>
            </w:tcBorders>
            <w:vAlign w:val="center"/>
          </w:tcPr>
          <w:p w:rsidRPr="00012491" w:rsidR="00A01055" w:rsidP="00A01055" w:rsidRDefault="00A01055" w14:paraId="7A5B6B67" w14:textId="77777777">
            <w:pPr>
              <w:jc w:val="center"/>
              <w:rPr>
                <w:sz w:val="18"/>
                <w:szCs w:val="18"/>
              </w:rPr>
            </w:pPr>
            <w:r w:rsidRPr="00012491">
              <w:rPr>
                <w:sz w:val="18"/>
                <w:szCs w:val="18"/>
              </w:rPr>
              <w:t>Instruments</w:t>
            </w:r>
          </w:p>
        </w:tc>
        <w:tc>
          <w:tcPr>
            <w:tcW w:w="1170" w:type="dxa"/>
            <w:tcBorders>
              <w:top w:val="single" w:color="auto" w:sz="4" w:space="0"/>
              <w:left w:val="single" w:color="auto" w:sz="4" w:space="0"/>
              <w:bottom w:val="single" w:color="auto" w:sz="4" w:space="0"/>
              <w:right w:val="single" w:color="auto" w:sz="4" w:space="0"/>
            </w:tcBorders>
            <w:vAlign w:val="center"/>
          </w:tcPr>
          <w:p w:rsidR="00A01055" w:rsidP="00A01055" w:rsidRDefault="00A01055" w14:paraId="20344A20" w14:textId="77777777">
            <w:pPr>
              <w:jc w:val="center"/>
              <w:rPr>
                <w:sz w:val="18"/>
                <w:szCs w:val="18"/>
              </w:rPr>
            </w:pPr>
            <w:r>
              <w:rPr>
                <w:sz w:val="18"/>
                <w:szCs w:val="18"/>
              </w:rPr>
              <w:t>Number of</w:t>
            </w:r>
          </w:p>
          <w:p w:rsidRPr="00012491" w:rsidR="00A01055" w:rsidP="00A01055" w:rsidRDefault="00A01055" w14:paraId="110C8345" w14:textId="77777777">
            <w:pPr>
              <w:jc w:val="center"/>
              <w:rPr>
                <w:sz w:val="18"/>
                <w:szCs w:val="18"/>
              </w:rPr>
            </w:pPr>
            <w:r w:rsidRPr="00012491">
              <w:rPr>
                <w:sz w:val="18"/>
                <w:szCs w:val="18"/>
              </w:rPr>
              <w:t>Respondents</w:t>
            </w:r>
          </w:p>
        </w:tc>
        <w:tc>
          <w:tcPr>
            <w:tcW w:w="990" w:type="dxa"/>
            <w:tcBorders>
              <w:top w:val="single" w:color="auto" w:sz="4" w:space="0"/>
              <w:left w:val="single" w:color="auto" w:sz="4" w:space="0"/>
              <w:bottom w:val="single" w:color="auto" w:sz="4" w:space="0"/>
              <w:right w:val="single" w:color="auto" w:sz="4" w:space="0"/>
            </w:tcBorders>
          </w:tcPr>
          <w:p w:rsidR="00A01055" w:rsidP="00A01055" w:rsidRDefault="00A01055" w14:paraId="2814B925" w14:textId="77777777">
            <w:pPr>
              <w:jc w:val="center"/>
              <w:rPr>
                <w:sz w:val="18"/>
                <w:szCs w:val="18"/>
              </w:rPr>
            </w:pPr>
          </w:p>
          <w:p w:rsidR="00A01055" w:rsidP="00A01055" w:rsidRDefault="00A01055" w14:paraId="3E0F9A6E" w14:textId="77777777">
            <w:pPr>
              <w:jc w:val="center"/>
              <w:rPr>
                <w:sz w:val="18"/>
                <w:szCs w:val="18"/>
              </w:rPr>
            </w:pPr>
          </w:p>
          <w:p w:rsidRPr="00012491" w:rsidR="00A01055" w:rsidP="00A01055" w:rsidRDefault="00A01055" w14:paraId="77A44D91" w14:textId="77777777">
            <w:pPr>
              <w:jc w:val="center"/>
              <w:rPr>
                <w:sz w:val="18"/>
                <w:szCs w:val="18"/>
              </w:rPr>
            </w:pPr>
            <w:r>
              <w:rPr>
                <w:sz w:val="18"/>
                <w:szCs w:val="18"/>
              </w:rPr>
              <w:t>Frequency</w:t>
            </w:r>
          </w:p>
        </w:tc>
        <w:tc>
          <w:tcPr>
            <w:tcW w:w="1080" w:type="dxa"/>
            <w:tcBorders>
              <w:top w:val="single" w:color="auto" w:sz="4" w:space="0"/>
              <w:left w:val="single" w:color="auto" w:sz="4" w:space="0"/>
              <w:bottom w:val="single" w:color="auto" w:sz="4" w:space="0"/>
              <w:right w:val="single" w:color="auto" w:sz="4" w:space="0"/>
            </w:tcBorders>
          </w:tcPr>
          <w:p w:rsidR="00A01055" w:rsidP="00A01055" w:rsidRDefault="00A01055" w14:paraId="7540AB2F" w14:textId="77777777">
            <w:pPr>
              <w:jc w:val="center"/>
              <w:rPr>
                <w:sz w:val="18"/>
                <w:szCs w:val="18"/>
              </w:rPr>
            </w:pPr>
          </w:p>
          <w:p w:rsidR="00A01055" w:rsidP="00A01055" w:rsidRDefault="00A01055" w14:paraId="4CF41F7D" w14:textId="77777777">
            <w:pPr>
              <w:jc w:val="center"/>
              <w:rPr>
                <w:sz w:val="18"/>
                <w:szCs w:val="18"/>
              </w:rPr>
            </w:pPr>
            <w:r>
              <w:rPr>
                <w:sz w:val="18"/>
                <w:szCs w:val="18"/>
              </w:rPr>
              <w:t>Total Annual Responses</w:t>
            </w:r>
          </w:p>
          <w:p w:rsidRPr="00012491" w:rsidR="00A01055" w:rsidP="00A01055" w:rsidRDefault="00A01055" w14:paraId="4C68CA2A" w14:textId="77777777">
            <w:pPr>
              <w:jc w:val="center"/>
              <w:rPr>
                <w:sz w:val="18"/>
                <w:szCs w:val="18"/>
              </w:rPr>
            </w:pPr>
          </w:p>
        </w:tc>
        <w:tc>
          <w:tcPr>
            <w:tcW w:w="990" w:type="dxa"/>
            <w:tcBorders>
              <w:top w:val="single" w:color="auto" w:sz="4" w:space="0"/>
              <w:left w:val="single" w:color="auto" w:sz="4" w:space="0"/>
              <w:bottom w:val="single" w:color="auto" w:sz="4" w:space="0"/>
              <w:right w:val="single" w:color="auto" w:sz="4" w:space="0"/>
            </w:tcBorders>
            <w:vAlign w:val="center"/>
          </w:tcPr>
          <w:p w:rsidR="00A01055" w:rsidP="00A01055" w:rsidRDefault="00A01055" w14:paraId="6B20793C" w14:textId="77777777">
            <w:pPr>
              <w:jc w:val="center"/>
              <w:rPr>
                <w:sz w:val="18"/>
                <w:szCs w:val="18"/>
              </w:rPr>
            </w:pPr>
            <w:r>
              <w:rPr>
                <w:sz w:val="18"/>
                <w:szCs w:val="18"/>
              </w:rPr>
              <w:t>Time</w:t>
            </w:r>
            <w:r w:rsidRPr="00012491">
              <w:rPr>
                <w:sz w:val="18"/>
                <w:szCs w:val="18"/>
              </w:rPr>
              <w:t xml:space="preserve"> Per Response</w:t>
            </w:r>
          </w:p>
          <w:p w:rsidRPr="00012491" w:rsidR="00A01055" w:rsidP="00A01055" w:rsidRDefault="00A01055" w14:paraId="57D7D3AE" w14:textId="77777777">
            <w:pPr>
              <w:jc w:val="center"/>
              <w:rPr>
                <w:sz w:val="18"/>
                <w:szCs w:val="18"/>
              </w:rPr>
            </w:pPr>
            <w:r>
              <w:rPr>
                <w:sz w:val="18"/>
                <w:szCs w:val="18"/>
              </w:rPr>
              <w:t>(Hours)</w:t>
            </w:r>
          </w:p>
        </w:tc>
        <w:tc>
          <w:tcPr>
            <w:tcW w:w="1080" w:type="dxa"/>
            <w:tcBorders>
              <w:top w:val="single" w:color="auto" w:sz="4" w:space="0"/>
              <w:left w:val="single" w:color="auto" w:sz="4" w:space="0"/>
              <w:bottom w:val="single" w:color="auto" w:sz="4" w:space="0"/>
              <w:right w:val="single" w:color="auto" w:sz="4" w:space="0"/>
            </w:tcBorders>
            <w:vAlign w:val="center"/>
          </w:tcPr>
          <w:p w:rsidR="00A01055" w:rsidP="00A01055" w:rsidRDefault="00A01055" w14:paraId="0DE08ECF" w14:textId="77777777">
            <w:pPr>
              <w:jc w:val="center"/>
              <w:rPr>
                <w:sz w:val="18"/>
                <w:szCs w:val="18"/>
              </w:rPr>
            </w:pPr>
            <w:r>
              <w:rPr>
                <w:sz w:val="18"/>
                <w:szCs w:val="18"/>
              </w:rPr>
              <w:t>Total</w:t>
            </w:r>
          </w:p>
          <w:p w:rsidR="00A01055" w:rsidP="00A01055" w:rsidRDefault="00A01055" w14:paraId="7AD35172" w14:textId="77777777">
            <w:pPr>
              <w:jc w:val="center"/>
              <w:rPr>
                <w:sz w:val="18"/>
                <w:szCs w:val="18"/>
              </w:rPr>
            </w:pPr>
            <w:r>
              <w:rPr>
                <w:sz w:val="18"/>
                <w:szCs w:val="18"/>
              </w:rPr>
              <w:t>Annual</w:t>
            </w:r>
          </w:p>
          <w:p w:rsidR="00A01055" w:rsidP="00A01055" w:rsidRDefault="00A01055" w14:paraId="17E86FBD" w14:textId="77777777">
            <w:pPr>
              <w:jc w:val="center"/>
              <w:rPr>
                <w:sz w:val="18"/>
                <w:szCs w:val="18"/>
              </w:rPr>
            </w:pPr>
            <w:r>
              <w:rPr>
                <w:sz w:val="18"/>
                <w:szCs w:val="18"/>
              </w:rPr>
              <w:t>Burden</w:t>
            </w:r>
          </w:p>
          <w:p w:rsidRPr="00012491" w:rsidR="00A01055" w:rsidP="00A01055" w:rsidRDefault="00A01055" w14:paraId="4B1359BC" w14:textId="77777777">
            <w:pPr>
              <w:jc w:val="center"/>
              <w:rPr>
                <w:sz w:val="18"/>
                <w:szCs w:val="18"/>
              </w:rPr>
            </w:pPr>
            <w:r>
              <w:rPr>
                <w:sz w:val="18"/>
                <w:szCs w:val="18"/>
              </w:rPr>
              <w:t>(</w:t>
            </w:r>
            <w:r w:rsidRPr="00012491">
              <w:rPr>
                <w:sz w:val="18"/>
                <w:szCs w:val="18"/>
              </w:rPr>
              <w:t>Hours</w:t>
            </w:r>
            <w:r>
              <w:rPr>
                <w:sz w:val="18"/>
                <w:szCs w:val="18"/>
              </w:rPr>
              <w:t>)</w:t>
            </w:r>
          </w:p>
        </w:tc>
        <w:tc>
          <w:tcPr>
            <w:tcW w:w="810" w:type="dxa"/>
            <w:tcBorders>
              <w:top w:val="single" w:color="auto" w:sz="4" w:space="0"/>
              <w:left w:val="single" w:color="auto" w:sz="4" w:space="0"/>
              <w:bottom w:val="single" w:color="auto" w:sz="4" w:space="0"/>
              <w:right w:val="single" w:color="auto" w:sz="4" w:space="0"/>
            </w:tcBorders>
            <w:vAlign w:val="center"/>
          </w:tcPr>
          <w:p w:rsidRPr="00012491" w:rsidR="00A01055" w:rsidP="00A01055" w:rsidRDefault="00A01055" w14:paraId="4066645A" w14:textId="77777777">
            <w:pPr>
              <w:jc w:val="center"/>
              <w:rPr>
                <w:sz w:val="18"/>
                <w:szCs w:val="18"/>
              </w:rPr>
            </w:pPr>
            <w:r>
              <w:rPr>
                <w:sz w:val="18"/>
                <w:szCs w:val="18"/>
              </w:rPr>
              <w:t>Hourly Rate*</w:t>
            </w:r>
          </w:p>
        </w:tc>
        <w:tc>
          <w:tcPr>
            <w:tcW w:w="1350" w:type="dxa"/>
            <w:tcBorders>
              <w:top w:val="single" w:color="auto" w:sz="4" w:space="0"/>
              <w:left w:val="single" w:color="auto" w:sz="4" w:space="0"/>
              <w:bottom w:val="single" w:color="auto" w:sz="4" w:space="0"/>
              <w:right w:val="single" w:color="auto" w:sz="4" w:space="0"/>
            </w:tcBorders>
            <w:vAlign w:val="center"/>
          </w:tcPr>
          <w:p w:rsidRPr="00012491" w:rsidR="00A01055" w:rsidP="00A01055" w:rsidRDefault="00A01055" w14:paraId="3324AF7B" w14:textId="77777777">
            <w:pPr>
              <w:jc w:val="center"/>
              <w:rPr>
                <w:sz w:val="18"/>
                <w:szCs w:val="18"/>
              </w:rPr>
            </w:pPr>
            <w:r>
              <w:rPr>
                <w:sz w:val="18"/>
                <w:szCs w:val="18"/>
              </w:rPr>
              <w:t>Monetized Value of Respondent Time</w:t>
            </w:r>
          </w:p>
        </w:tc>
      </w:tr>
      <w:tr w:rsidRPr="00875732" w:rsidR="00A01055" w:rsidTr="00A01055" w14:paraId="7D992AB5" w14:textId="77777777">
        <w:trPr>
          <w:trHeight w:val="426"/>
        </w:trPr>
        <w:tc>
          <w:tcPr>
            <w:tcW w:w="1278" w:type="dxa"/>
            <w:tcBorders>
              <w:top w:val="single" w:color="auto" w:sz="4" w:space="0"/>
              <w:left w:val="single" w:color="auto" w:sz="4" w:space="0"/>
              <w:bottom w:val="single" w:color="auto" w:sz="4" w:space="0"/>
              <w:right w:val="single" w:color="auto" w:sz="4" w:space="0"/>
            </w:tcBorders>
            <w:vAlign w:val="center"/>
          </w:tcPr>
          <w:p w:rsidRPr="00012491" w:rsidR="00A01055" w:rsidP="00A01055" w:rsidRDefault="00A01055" w14:paraId="66E3E439" w14:textId="77777777">
            <w:pPr>
              <w:rPr>
                <w:sz w:val="18"/>
                <w:szCs w:val="18"/>
              </w:rPr>
            </w:pPr>
            <w:r>
              <w:rPr>
                <w:sz w:val="18"/>
                <w:szCs w:val="18"/>
              </w:rPr>
              <w:t>ETA 5130REG</w:t>
            </w:r>
          </w:p>
        </w:tc>
        <w:tc>
          <w:tcPr>
            <w:tcW w:w="1170" w:type="dxa"/>
            <w:tcBorders>
              <w:top w:val="single" w:color="auto" w:sz="4" w:space="0"/>
              <w:left w:val="single" w:color="auto" w:sz="4" w:space="0"/>
              <w:bottom w:val="single" w:color="auto" w:sz="4" w:space="0"/>
              <w:right w:val="single" w:color="auto" w:sz="4" w:space="0"/>
            </w:tcBorders>
            <w:vAlign w:val="center"/>
          </w:tcPr>
          <w:p w:rsidR="00A01055" w:rsidP="00A01055" w:rsidRDefault="00A01055" w14:paraId="4FB745A8" w14:textId="77777777">
            <w:pPr>
              <w:jc w:val="center"/>
              <w:rPr>
                <w:sz w:val="18"/>
                <w:szCs w:val="18"/>
              </w:rPr>
            </w:pPr>
          </w:p>
          <w:p w:rsidR="00A01055" w:rsidP="00A01055" w:rsidRDefault="00A01055" w14:paraId="44F82DE6" w14:textId="77777777">
            <w:pPr>
              <w:jc w:val="center"/>
              <w:rPr>
                <w:sz w:val="18"/>
                <w:szCs w:val="18"/>
              </w:rPr>
            </w:pPr>
            <w:r>
              <w:rPr>
                <w:sz w:val="18"/>
                <w:szCs w:val="18"/>
              </w:rPr>
              <w:t>53</w:t>
            </w:r>
          </w:p>
          <w:p w:rsidRPr="00012491" w:rsidR="00A01055" w:rsidP="00A01055" w:rsidRDefault="00A01055" w14:paraId="0005B1AA" w14:textId="77777777">
            <w:pPr>
              <w:jc w:val="center"/>
              <w:rPr>
                <w:sz w:val="18"/>
                <w:szCs w:val="18"/>
              </w:rPr>
            </w:pPr>
            <w:r>
              <w:rPr>
                <w:sz w:val="18"/>
                <w:szCs w:val="18"/>
              </w:rPr>
              <w:t>States</w:t>
            </w:r>
          </w:p>
        </w:tc>
        <w:tc>
          <w:tcPr>
            <w:tcW w:w="990" w:type="dxa"/>
            <w:tcBorders>
              <w:top w:val="single" w:color="auto" w:sz="4" w:space="0"/>
              <w:left w:val="single" w:color="auto" w:sz="4" w:space="0"/>
              <w:bottom w:val="single" w:color="auto" w:sz="4" w:space="0"/>
              <w:right w:val="single" w:color="auto" w:sz="4" w:space="0"/>
            </w:tcBorders>
          </w:tcPr>
          <w:p w:rsidR="00A01055" w:rsidP="00A01055" w:rsidRDefault="00A01055" w14:paraId="757D89D1" w14:textId="77777777">
            <w:pPr>
              <w:jc w:val="center"/>
              <w:rPr>
                <w:sz w:val="18"/>
                <w:szCs w:val="18"/>
              </w:rPr>
            </w:pPr>
          </w:p>
          <w:p w:rsidR="00A01055" w:rsidP="00A01055" w:rsidRDefault="00A01055" w14:paraId="6C1D0691" w14:textId="77777777">
            <w:pPr>
              <w:jc w:val="center"/>
              <w:rPr>
                <w:sz w:val="18"/>
                <w:szCs w:val="18"/>
              </w:rPr>
            </w:pPr>
            <w:r>
              <w:rPr>
                <w:sz w:val="18"/>
                <w:szCs w:val="18"/>
              </w:rPr>
              <w:t>12</w:t>
            </w:r>
          </w:p>
        </w:tc>
        <w:tc>
          <w:tcPr>
            <w:tcW w:w="1080" w:type="dxa"/>
            <w:tcBorders>
              <w:top w:val="single" w:color="auto" w:sz="4" w:space="0"/>
              <w:left w:val="single" w:color="auto" w:sz="4" w:space="0"/>
              <w:bottom w:val="single" w:color="auto" w:sz="4" w:space="0"/>
              <w:right w:val="single" w:color="auto" w:sz="4" w:space="0"/>
            </w:tcBorders>
          </w:tcPr>
          <w:p w:rsidR="00A01055" w:rsidP="00A01055" w:rsidRDefault="00A01055" w14:paraId="3091E92E" w14:textId="77777777">
            <w:pPr>
              <w:jc w:val="center"/>
              <w:rPr>
                <w:sz w:val="18"/>
                <w:szCs w:val="18"/>
              </w:rPr>
            </w:pPr>
          </w:p>
          <w:p w:rsidR="00A01055" w:rsidP="00A01055" w:rsidRDefault="00A01055" w14:paraId="68AB50F7" w14:textId="77777777">
            <w:pPr>
              <w:jc w:val="center"/>
              <w:rPr>
                <w:sz w:val="18"/>
                <w:szCs w:val="18"/>
              </w:rPr>
            </w:pPr>
            <w:r>
              <w:rPr>
                <w:sz w:val="18"/>
                <w:szCs w:val="18"/>
              </w:rPr>
              <w:t>636</w:t>
            </w:r>
          </w:p>
          <w:p w:rsidR="00A01055" w:rsidP="00A01055" w:rsidRDefault="00A01055" w14:paraId="0F4E09F8" w14:textId="77777777">
            <w:pPr>
              <w:jc w:val="center"/>
              <w:rPr>
                <w:sz w:val="18"/>
                <w:szCs w:val="18"/>
              </w:rPr>
            </w:pPr>
          </w:p>
        </w:tc>
        <w:tc>
          <w:tcPr>
            <w:tcW w:w="990" w:type="dxa"/>
            <w:tcBorders>
              <w:top w:val="single" w:color="auto" w:sz="4" w:space="0"/>
              <w:left w:val="single" w:color="auto" w:sz="4" w:space="0"/>
              <w:bottom w:val="single" w:color="auto" w:sz="4" w:space="0"/>
              <w:right w:val="single" w:color="auto" w:sz="4" w:space="0"/>
            </w:tcBorders>
            <w:vAlign w:val="center"/>
          </w:tcPr>
          <w:p w:rsidRPr="00012491" w:rsidR="00A01055" w:rsidP="00A01055" w:rsidRDefault="00A01055" w14:paraId="3FE13AB2" w14:textId="77777777">
            <w:pPr>
              <w:jc w:val="center"/>
              <w:rPr>
                <w:sz w:val="18"/>
                <w:szCs w:val="18"/>
              </w:rPr>
            </w:pPr>
            <w:r>
              <w:rPr>
                <w:sz w:val="18"/>
                <w:szCs w:val="18"/>
              </w:rPr>
              <w:t>1</w:t>
            </w:r>
          </w:p>
        </w:tc>
        <w:tc>
          <w:tcPr>
            <w:tcW w:w="1080" w:type="dxa"/>
            <w:tcBorders>
              <w:top w:val="single" w:color="auto" w:sz="4" w:space="0"/>
              <w:left w:val="single" w:color="auto" w:sz="4" w:space="0"/>
              <w:bottom w:val="single" w:color="auto" w:sz="4" w:space="0"/>
              <w:right w:val="single" w:color="auto" w:sz="4" w:space="0"/>
            </w:tcBorders>
            <w:vAlign w:val="center"/>
          </w:tcPr>
          <w:p w:rsidRPr="00012491" w:rsidR="00A01055" w:rsidP="00A01055" w:rsidRDefault="00A01055" w14:paraId="3E95A312" w14:textId="77777777">
            <w:pPr>
              <w:jc w:val="center"/>
              <w:rPr>
                <w:sz w:val="18"/>
                <w:szCs w:val="18"/>
              </w:rPr>
            </w:pPr>
            <w:r>
              <w:rPr>
                <w:sz w:val="18"/>
                <w:szCs w:val="18"/>
              </w:rPr>
              <w:t>636</w:t>
            </w:r>
          </w:p>
        </w:tc>
        <w:tc>
          <w:tcPr>
            <w:tcW w:w="810" w:type="dxa"/>
            <w:tcBorders>
              <w:top w:val="single" w:color="auto" w:sz="4" w:space="0"/>
              <w:left w:val="single" w:color="auto" w:sz="4" w:space="0"/>
              <w:bottom w:val="single" w:color="auto" w:sz="4" w:space="0"/>
              <w:right w:val="single" w:color="auto" w:sz="4" w:space="0"/>
            </w:tcBorders>
            <w:vAlign w:val="center"/>
          </w:tcPr>
          <w:p w:rsidR="00A01055" w:rsidP="00A01055" w:rsidRDefault="004C1E97" w14:paraId="0D9DAC4E" w14:textId="77777777">
            <w:pPr>
              <w:jc w:val="center"/>
              <w:rPr>
                <w:sz w:val="18"/>
                <w:szCs w:val="18"/>
              </w:rPr>
            </w:pPr>
            <w:r>
              <w:rPr>
                <w:sz w:val="18"/>
                <w:szCs w:val="18"/>
              </w:rPr>
              <w:t>$50.62</w:t>
            </w:r>
          </w:p>
        </w:tc>
        <w:tc>
          <w:tcPr>
            <w:tcW w:w="1350" w:type="dxa"/>
            <w:tcBorders>
              <w:top w:val="single" w:color="auto" w:sz="4" w:space="0"/>
              <w:left w:val="single" w:color="auto" w:sz="4" w:space="0"/>
              <w:bottom w:val="single" w:color="auto" w:sz="4" w:space="0"/>
              <w:right w:val="single" w:color="auto" w:sz="4" w:space="0"/>
            </w:tcBorders>
            <w:vAlign w:val="center"/>
          </w:tcPr>
          <w:p w:rsidR="00A01055" w:rsidP="00A01055" w:rsidRDefault="004C1E97" w14:paraId="74E7D9BD" w14:textId="77777777">
            <w:pPr>
              <w:jc w:val="center"/>
              <w:rPr>
                <w:sz w:val="18"/>
                <w:szCs w:val="18"/>
              </w:rPr>
            </w:pPr>
            <w:r>
              <w:rPr>
                <w:sz w:val="18"/>
                <w:szCs w:val="18"/>
              </w:rPr>
              <w:t>$32,194.32</w:t>
            </w:r>
          </w:p>
        </w:tc>
      </w:tr>
      <w:tr w:rsidRPr="00875732" w:rsidR="00A01055" w:rsidTr="00A01055" w14:paraId="4BD0FBA8" w14:textId="77777777">
        <w:trPr>
          <w:trHeight w:val="494"/>
        </w:trPr>
        <w:tc>
          <w:tcPr>
            <w:tcW w:w="1278" w:type="dxa"/>
            <w:tcBorders>
              <w:top w:val="single" w:color="auto" w:sz="4" w:space="0"/>
              <w:left w:val="single" w:color="auto" w:sz="4" w:space="0"/>
              <w:bottom w:val="single" w:color="auto" w:sz="4" w:space="0"/>
              <w:right w:val="single" w:color="auto" w:sz="4" w:space="0"/>
            </w:tcBorders>
            <w:vAlign w:val="center"/>
          </w:tcPr>
          <w:p w:rsidR="00A01055" w:rsidP="00A01055" w:rsidRDefault="00A01055" w14:paraId="7808561D" w14:textId="77777777">
            <w:pPr>
              <w:rPr>
                <w:sz w:val="18"/>
                <w:szCs w:val="18"/>
              </w:rPr>
            </w:pPr>
            <w:r>
              <w:rPr>
                <w:sz w:val="18"/>
                <w:szCs w:val="18"/>
              </w:rPr>
              <w:t>ETA 5130(EB)</w:t>
            </w:r>
          </w:p>
          <w:p w:rsidRPr="00012491" w:rsidR="00A01055" w:rsidP="00A01055" w:rsidRDefault="00A01055" w14:paraId="72DC9A2E" w14:textId="77777777">
            <w:pPr>
              <w:rPr>
                <w:sz w:val="18"/>
                <w:szCs w:val="18"/>
              </w:rPr>
            </w:pPr>
          </w:p>
        </w:tc>
        <w:tc>
          <w:tcPr>
            <w:tcW w:w="1170" w:type="dxa"/>
            <w:tcBorders>
              <w:top w:val="single" w:color="auto" w:sz="4" w:space="0"/>
              <w:left w:val="single" w:color="auto" w:sz="4" w:space="0"/>
              <w:bottom w:val="single" w:color="auto" w:sz="4" w:space="0"/>
              <w:right w:val="single" w:color="auto" w:sz="4" w:space="0"/>
            </w:tcBorders>
            <w:vAlign w:val="center"/>
          </w:tcPr>
          <w:p w:rsidR="00A01055" w:rsidP="00A01055" w:rsidRDefault="00A01055" w14:paraId="1413DC76" w14:textId="77777777">
            <w:pPr>
              <w:jc w:val="center"/>
              <w:rPr>
                <w:sz w:val="18"/>
                <w:szCs w:val="18"/>
              </w:rPr>
            </w:pPr>
          </w:p>
          <w:p w:rsidR="00A01055" w:rsidP="00A01055" w:rsidRDefault="00A01055" w14:paraId="58FD572F" w14:textId="77777777">
            <w:pPr>
              <w:jc w:val="center"/>
              <w:rPr>
                <w:sz w:val="18"/>
                <w:szCs w:val="18"/>
              </w:rPr>
            </w:pPr>
            <w:r>
              <w:rPr>
                <w:sz w:val="18"/>
                <w:szCs w:val="18"/>
              </w:rPr>
              <w:t>53</w:t>
            </w:r>
          </w:p>
          <w:p w:rsidRPr="00012491" w:rsidR="00A01055" w:rsidP="00A01055" w:rsidRDefault="00A01055" w14:paraId="0A068862" w14:textId="77777777">
            <w:pPr>
              <w:jc w:val="center"/>
              <w:rPr>
                <w:sz w:val="18"/>
                <w:szCs w:val="18"/>
              </w:rPr>
            </w:pPr>
            <w:r>
              <w:rPr>
                <w:sz w:val="18"/>
                <w:szCs w:val="18"/>
              </w:rPr>
              <w:t>States</w:t>
            </w:r>
          </w:p>
        </w:tc>
        <w:tc>
          <w:tcPr>
            <w:tcW w:w="990" w:type="dxa"/>
            <w:tcBorders>
              <w:top w:val="single" w:color="auto" w:sz="4" w:space="0"/>
              <w:left w:val="single" w:color="auto" w:sz="4" w:space="0"/>
              <w:bottom w:val="single" w:color="auto" w:sz="4" w:space="0"/>
              <w:right w:val="single" w:color="auto" w:sz="4" w:space="0"/>
            </w:tcBorders>
          </w:tcPr>
          <w:p w:rsidR="00A01055" w:rsidP="00A01055" w:rsidRDefault="00A01055" w14:paraId="37AAD711" w14:textId="77777777">
            <w:pPr>
              <w:jc w:val="center"/>
              <w:rPr>
                <w:sz w:val="18"/>
                <w:szCs w:val="18"/>
              </w:rPr>
            </w:pPr>
          </w:p>
          <w:p w:rsidR="00A01055" w:rsidP="00A01055" w:rsidRDefault="00A01055" w14:paraId="30097B3F" w14:textId="77777777">
            <w:pPr>
              <w:jc w:val="center"/>
              <w:rPr>
                <w:sz w:val="18"/>
                <w:szCs w:val="18"/>
              </w:rPr>
            </w:pPr>
            <w:r>
              <w:rPr>
                <w:sz w:val="18"/>
                <w:szCs w:val="18"/>
              </w:rPr>
              <w:t>12</w:t>
            </w:r>
          </w:p>
        </w:tc>
        <w:tc>
          <w:tcPr>
            <w:tcW w:w="1080" w:type="dxa"/>
            <w:tcBorders>
              <w:top w:val="single" w:color="auto" w:sz="4" w:space="0"/>
              <w:left w:val="single" w:color="auto" w:sz="4" w:space="0"/>
              <w:bottom w:val="single" w:color="auto" w:sz="4" w:space="0"/>
              <w:right w:val="single" w:color="auto" w:sz="4" w:space="0"/>
            </w:tcBorders>
          </w:tcPr>
          <w:p w:rsidR="00A01055" w:rsidP="00A01055" w:rsidRDefault="00A01055" w14:paraId="76C9F214" w14:textId="77777777">
            <w:pPr>
              <w:jc w:val="center"/>
              <w:rPr>
                <w:sz w:val="18"/>
                <w:szCs w:val="18"/>
              </w:rPr>
            </w:pPr>
          </w:p>
          <w:p w:rsidR="00A01055" w:rsidP="00A01055" w:rsidRDefault="00A01055" w14:paraId="3C58F36F" w14:textId="77777777">
            <w:pPr>
              <w:jc w:val="center"/>
              <w:rPr>
                <w:sz w:val="18"/>
                <w:szCs w:val="18"/>
              </w:rPr>
            </w:pPr>
            <w:r>
              <w:rPr>
                <w:sz w:val="18"/>
                <w:szCs w:val="18"/>
              </w:rPr>
              <w:t>636</w:t>
            </w:r>
          </w:p>
        </w:tc>
        <w:tc>
          <w:tcPr>
            <w:tcW w:w="990" w:type="dxa"/>
            <w:tcBorders>
              <w:top w:val="single" w:color="auto" w:sz="4" w:space="0"/>
              <w:left w:val="single" w:color="auto" w:sz="4" w:space="0"/>
              <w:bottom w:val="single" w:color="auto" w:sz="4" w:space="0"/>
              <w:right w:val="single" w:color="auto" w:sz="4" w:space="0"/>
            </w:tcBorders>
            <w:vAlign w:val="center"/>
          </w:tcPr>
          <w:p w:rsidRPr="00012491" w:rsidR="00A01055" w:rsidP="00A01055" w:rsidRDefault="00A01055" w14:paraId="3B7FC111" w14:textId="77777777">
            <w:pPr>
              <w:jc w:val="center"/>
              <w:rPr>
                <w:sz w:val="18"/>
                <w:szCs w:val="18"/>
              </w:rPr>
            </w:pPr>
            <w:r>
              <w:rPr>
                <w:sz w:val="18"/>
                <w:szCs w:val="18"/>
              </w:rPr>
              <w:t>1</w:t>
            </w:r>
          </w:p>
        </w:tc>
        <w:tc>
          <w:tcPr>
            <w:tcW w:w="1080" w:type="dxa"/>
            <w:tcBorders>
              <w:top w:val="single" w:color="auto" w:sz="4" w:space="0"/>
              <w:left w:val="single" w:color="auto" w:sz="4" w:space="0"/>
              <w:bottom w:val="single" w:color="auto" w:sz="4" w:space="0"/>
              <w:right w:val="single" w:color="auto" w:sz="4" w:space="0"/>
            </w:tcBorders>
            <w:vAlign w:val="center"/>
          </w:tcPr>
          <w:p w:rsidRPr="00012491" w:rsidR="00A01055" w:rsidP="00A01055" w:rsidRDefault="00A01055" w14:paraId="2F1E778D" w14:textId="77777777">
            <w:pPr>
              <w:jc w:val="center"/>
              <w:rPr>
                <w:sz w:val="18"/>
                <w:szCs w:val="18"/>
              </w:rPr>
            </w:pPr>
            <w:r>
              <w:rPr>
                <w:sz w:val="18"/>
                <w:szCs w:val="18"/>
              </w:rPr>
              <w:t>636</w:t>
            </w:r>
          </w:p>
        </w:tc>
        <w:tc>
          <w:tcPr>
            <w:tcW w:w="810" w:type="dxa"/>
            <w:tcBorders>
              <w:top w:val="single" w:color="auto" w:sz="4" w:space="0"/>
              <w:left w:val="single" w:color="auto" w:sz="4" w:space="0"/>
              <w:bottom w:val="single" w:color="auto" w:sz="4" w:space="0"/>
              <w:right w:val="single" w:color="auto" w:sz="4" w:space="0"/>
            </w:tcBorders>
            <w:vAlign w:val="center"/>
          </w:tcPr>
          <w:p w:rsidR="00A01055" w:rsidP="00A01055" w:rsidRDefault="004C1E97" w14:paraId="3EDD35EA" w14:textId="77777777">
            <w:pPr>
              <w:jc w:val="center"/>
              <w:rPr>
                <w:sz w:val="18"/>
                <w:szCs w:val="18"/>
              </w:rPr>
            </w:pPr>
            <w:r>
              <w:rPr>
                <w:sz w:val="18"/>
                <w:szCs w:val="18"/>
              </w:rPr>
              <w:t>$50.62</w:t>
            </w:r>
          </w:p>
        </w:tc>
        <w:tc>
          <w:tcPr>
            <w:tcW w:w="1350" w:type="dxa"/>
            <w:tcBorders>
              <w:top w:val="single" w:color="auto" w:sz="4" w:space="0"/>
              <w:left w:val="single" w:color="auto" w:sz="4" w:space="0"/>
              <w:bottom w:val="single" w:color="auto" w:sz="4" w:space="0"/>
              <w:right w:val="single" w:color="auto" w:sz="4" w:space="0"/>
            </w:tcBorders>
            <w:vAlign w:val="center"/>
          </w:tcPr>
          <w:p w:rsidR="00A01055" w:rsidP="00A01055" w:rsidRDefault="004C1E97" w14:paraId="476A15BE" w14:textId="77777777">
            <w:pPr>
              <w:jc w:val="center"/>
              <w:rPr>
                <w:sz w:val="18"/>
                <w:szCs w:val="18"/>
              </w:rPr>
            </w:pPr>
            <w:r>
              <w:rPr>
                <w:sz w:val="18"/>
                <w:szCs w:val="18"/>
              </w:rPr>
              <w:t>$32,194.32</w:t>
            </w:r>
          </w:p>
        </w:tc>
      </w:tr>
      <w:tr w:rsidRPr="00875732" w:rsidR="00A01055" w:rsidTr="00A01055" w14:paraId="5003382D" w14:textId="77777777">
        <w:trPr>
          <w:trHeight w:val="426"/>
        </w:trPr>
        <w:tc>
          <w:tcPr>
            <w:tcW w:w="1278" w:type="dxa"/>
            <w:tcBorders>
              <w:top w:val="single" w:color="auto" w:sz="4" w:space="0"/>
              <w:left w:val="single" w:color="auto" w:sz="4" w:space="0"/>
              <w:bottom w:val="single" w:color="auto" w:sz="4" w:space="0"/>
              <w:right w:val="single" w:color="auto" w:sz="4" w:space="0"/>
            </w:tcBorders>
            <w:vAlign w:val="center"/>
          </w:tcPr>
          <w:p w:rsidRPr="00A01055" w:rsidR="00A01055" w:rsidP="00A01055" w:rsidRDefault="00A01055" w14:paraId="2B532982" w14:textId="77777777">
            <w:pPr>
              <w:rPr>
                <w:b/>
                <w:sz w:val="18"/>
                <w:szCs w:val="18"/>
              </w:rPr>
            </w:pPr>
            <w:r w:rsidRPr="00A01055">
              <w:rPr>
                <w:b/>
                <w:sz w:val="18"/>
                <w:szCs w:val="18"/>
              </w:rPr>
              <w:t>Unduplicated Totals</w:t>
            </w:r>
          </w:p>
          <w:p w:rsidRPr="00A01055" w:rsidR="00A01055" w:rsidP="00A01055" w:rsidRDefault="00A01055" w14:paraId="306C3306" w14:textId="77777777">
            <w:pPr>
              <w:rPr>
                <w:b/>
                <w:sz w:val="18"/>
                <w:szCs w:val="18"/>
              </w:rPr>
            </w:pPr>
          </w:p>
        </w:tc>
        <w:tc>
          <w:tcPr>
            <w:tcW w:w="1170" w:type="dxa"/>
            <w:tcBorders>
              <w:top w:val="single" w:color="auto" w:sz="4" w:space="0"/>
              <w:left w:val="single" w:color="auto" w:sz="4" w:space="0"/>
              <w:bottom w:val="single" w:color="auto" w:sz="4" w:space="0"/>
              <w:right w:val="single" w:color="auto" w:sz="4" w:space="0"/>
            </w:tcBorders>
            <w:vAlign w:val="center"/>
          </w:tcPr>
          <w:p w:rsidRPr="00A01055" w:rsidR="00A01055" w:rsidP="006E27E3" w:rsidRDefault="000361E8" w14:paraId="41EE3C01" w14:textId="4E614673">
            <w:pPr>
              <w:jc w:val="center"/>
              <w:rPr>
                <w:b/>
                <w:sz w:val="18"/>
                <w:szCs w:val="18"/>
              </w:rPr>
            </w:pPr>
            <w:r>
              <w:rPr>
                <w:b/>
                <w:sz w:val="18"/>
                <w:szCs w:val="18"/>
              </w:rPr>
              <w:t>53</w:t>
            </w:r>
            <w:bookmarkStart w:name="_GoBack" w:id="1"/>
            <w:bookmarkEnd w:id="1"/>
          </w:p>
        </w:tc>
        <w:tc>
          <w:tcPr>
            <w:tcW w:w="990" w:type="dxa"/>
            <w:tcBorders>
              <w:top w:val="single" w:color="auto" w:sz="4" w:space="0"/>
              <w:left w:val="single" w:color="auto" w:sz="4" w:space="0"/>
              <w:bottom w:val="single" w:color="auto" w:sz="4" w:space="0"/>
              <w:right w:val="single" w:color="auto" w:sz="4" w:space="0"/>
            </w:tcBorders>
          </w:tcPr>
          <w:p w:rsidRPr="00A01055" w:rsidR="00A01055" w:rsidP="00A01055" w:rsidRDefault="00A01055" w14:paraId="6B80CF7F" w14:textId="77777777">
            <w:pPr>
              <w:jc w:val="center"/>
              <w:rPr>
                <w:b/>
                <w:sz w:val="18"/>
                <w:szCs w:val="18"/>
              </w:rPr>
            </w:pPr>
          </w:p>
        </w:tc>
        <w:tc>
          <w:tcPr>
            <w:tcW w:w="1080" w:type="dxa"/>
            <w:tcBorders>
              <w:top w:val="single" w:color="auto" w:sz="4" w:space="0"/>
              <w:left w:val="single" w:color="auto" w:sz="4" w:space="0"/>
              <w:bottom w:val="single" w:color="auto" w:sz="4" w:space="0"/>
              <w:right w:val="single" w:color="auto" w:sz="4" w:space="0"/>
            </w:tcBorders>
          </w:tcPr>
          <w:p w:rsidRPr="00A01055" w:rsidR="00A01055" w:rsidP="00A01055" w:rsidRDefault="00A01055" w14:paraId="47A532DF" w14:textId="77777777">
            <w:pPr>
              <w:jc w:val="center"/>
              <w:rPr>
                <w:b/>
                <w:sz w:val="18"/>
                <w:szCs w:val="18"/>
              </w:rPr>
            </w:pPr>
          </w:p>
          <w:p w:rsidRPr="00A01055" w:rsidR="00A01055" w:rsidP="00A01055" w:rsidRDefault="00A01055" w14:paraId="279D790B" w14:textId="77777777">
            <w:pPr>
              <w:jc w:val="center"/>
              <w:rPr>
                <w:b/>
                <w:sz w:val="18"/>
                <w:szCs w:val="18"/>
              </w:rPr>
            </w:pPr>
            <w:r w:rsidRPr="00A01055">
              <w:rPr>
                <w:b/>
                <w:sz w:val="18"/>
                <w:szCs w:val="18"/>
              </w:rPr>
              <w:t>1,272</w:t>
            </w:r>
          </w:p>
        </w:tc>
        <w:tc>
          <w:tcPr>
            <w:tcW w:w="990" w:type="dxa"/>
            <w:tcBorders>
              <w:top w:val="single" w:color="auto" w:sz="4" w:space="0"/>
              <w:left w:val="single" w:color="auto" w:sz="4" w:space="0"/>
              <w:bottom w:val="single" w:color="auto" w:sz="4" w:space="0"/>
              <w:right w:val="single" w:color="auto" w:sz="4" w:space="0"/>
            </w:tcBorders>
            <w:vAlign w:val="center"/>
          </w:tcPr>
          <w:p w:rsidRPr="00A01055" w:rsidR="00A01055" w:rsidP="00A01055" w:rsidRDefault="00A01055" w14:paraId="5F396147" w14:textId="77777777">
            <w:pPr>
              <w:jc w:val="center"/>
              <w:rPr>
                <w:b/>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rsidRPr="00A01055" w:rsidR="00A01055" w:rsidP="00A01055" w:rsidRDefault="00A01055" w14:paraId="3755C92B" w14:textId="77777777">
            <w:pPr>
              <w:jc w:val="center"/>
              <w:rPr>
                <w:b/>
                <w:sz w:val="18"/>
                <w:szCs w:val="18"/>
              </w:rPr>
            </w:pPr>
            <w:r w:rsidRPr="00A01055">
              <w:rPr>
                <w:b/>
                <w:sz w:val="18"/>
                <w:szCs w:val="18"/>
              </w:rPr>
              <w:t>1,272</w:t>
            </w:r>
          </w:p>
        </w:tc>
        <w:tc>
          <w:tcPr>
            <w:tcW w:w="810" w:type="dxa"/>
            <w:tcBorders>
              <w:top w:val="single" w:color="auto" w:sz="4" w:space="0"/>
              <w:left w:val="single" w:color="auto" w:sz="4" w:space="0"/>
              <w:bottom w:val="single" w:color="auto" w:sz="4" w:space="0"/>
              <w:right w:val="single" w:color="auto" w:sz="4" w:space="0"/>
            </w:tcBorders>
            <w:vAlign w:val="center"/>
          </w:tcPr>
          <w:p w:rsidRPr="00A01055" w:rsidR="00A01055" w:rsidP="00A01055" w:rsidRDefault="00A01055" w14:paraId="7113516E" w14:textId="77777777">
            <w:pPr>
              <w:rPr>
                <w:b/>
                <w:sz w:val="18"/>
                <w:szCs w:val="18"/>
              </w:rPr>
            </w:pPr>
          </w:p>
        </w:tc>
        <w:tc>
          <w:tcPr>
            <w:tcW w:w="1350" w:type="dxa"/>
            <w:tcBorders>
              <w:top w:val="single" w:color="auto" w:sz="4" w:space="0"/>
              <w:left w:val="single" w:color="auto" w:sz="4" w:space="0"/>
              <w:bottom w:val="single" w:color="auto" w:sz="4" w:space="0"/>
              <w:right w:val="single" w:color="auto" w:sz="4" w:space="0"/>
            </w:tcBorders>
            <w:vAlign w:val="center"/>
          </w:tcPr>
          <w:p w:rsidRPr="00A01055" w:rsidR="00A01055" w:rsidP="006E27E3" w:rsidRDefault="004C1E97" w14:paraId="0D27EEDC" w14:textId="77777777">
            <w:pPr>
              <w:jc w:val="center"/>
              <w:rPr>
                <w:b/>
                <w:sz w:val="18"/>
                <w:szCs w:val="18"/>
              </w:rPr>
            </w:pPr>
            <w:r>
              <w:rPr>
                <w:b/>
                <w:sz w:val="18"/>
                <w:szCs w:val="18"/>
              </w:rPr>
              <w:t>$62,388.64</w:t>
            </w:r>
          </w:p>
        </w:tc>
      </w:tr>
    </w:tbl>
    <w:p w:rsidRPr="00A40FC4" w:rsidR="00991357" w:rsidP="003A51C7" w:rsidRDefault="00991357" w14:paraId="268EF06A" w14:textId="77777777">
      <w:pPr>
        <w:widowControl/>
        <w:tabs>
          <w:tab w:val="left" w:pos="-1440"/>
        </w:tabs>
        <w:spacing w:line="227" w:lineRule="auto"/>
      </w:pPr>
    </w:p>
    <w:p w:rsidR="00F43F98" w:rsidP="00F43F98" w:rsidRDefault="00F43F98" w14:paraId="54A9D2B8" w14:textId="77777777"/>
    <w:p w:rsidR="00FE549A" w:rsidP="00F43F98" w:rsidRDefault="00FE549A" w14:paraId="1205D03D" w14:textId="77777777">
      <w:pPr>
        <w:rPr>
          <w:rFonts w:ascii="Calibri" w:hAnsi="Calibri" w:eastAsia="Calibri"/>
          <w:sz w:val="22"/>
          <w:szCs w:val="22"/>
        </w:rPr>
      </w:pPr>
    </w:p>
    <w:p w:rsidR="00FE549A" w:rsidP="00F43F98" w:rsidRDefault="00FE549A" w14:paraId="04125D26" w14:textId="77777777">
      <w:pPr>
        <w:rPr>
          <w:rFonts w:ascii="Calibri" w:hAnsi="Calibri" w:eastAsia="Calibri"/>
          <w:sz w:val="22"/>
          <w:szCs w:val="22"/>
        </w:rPr>
      </w:pPr>
    </w:p>
    <w:p w:rsidR="00FE549A" w:rsidP="00F43F98" w:rsidRDefault="00FE549A" w14:paraId="4F8C3BFE" w14:textId="77777777">
      <w:pPr>
        <w:rPr>
          <w:rFonts w:ascii="Calibri" w:hAnsi="Calibri" w:eastAsia="Calibri"/>
          <w:sz w:val="22"/>
          <w:szCs w:val="22"/>
        </w:rPr>
      </w:pPr>
    </w:p>
    <w:p w:rsidR="00FE549A" w:rsidP="00F43F98" w:rsidRDefault="00FE549A" w14:paraId="51E65A29" w14:textId="77777777">
      <w:pPr>
        <w:rPr>
          <w:rFonts w:ascii="Calibri" w:hAnsi="Calibri" w:eastAsia="Calibri"/>
          <w:sz w:val="22"/>
          <w:szCs w:val="22"/>
        </w:rPr>
      </w:pPr>
    </w:p>
    <w:p w:rsidR="00FE549A" w:rsidP="00F43F98" w:rsidRDefault="00FE549A" w14:paraId="0D1DBD66" w14:textId="77777777">
      <w:pPr>
        <w:rPr>
          <w:rFonts w:ascii="Calibri" w:hAnsi="Calibri" w:eastAsia="Calibri"/>
          <w:sz w:val="22"/>
          <w:szCs w:val="22"/>
        </w:rPr>
      </w:pPr>
    </w:p>
    <w:p w:rsidR="00FE549A" w:rsidP="00F43F98" w:rsidRDefault="00FE549A" w14:paraId="48F7B81D" w14:textId="77777777">
      <w:pPr>
        <w:rPr>
          <w:rFonts w:ascii="Calibri" w:hAnsi="Calibri" w:eastAsia="Calibri"/>
          <w:sz w:val="22"/>
          <w:szCs w:val="22"/>
        </w:rPr>
      </w:pPr>
    </w:p>
    <w:p w:rsidR="00FE549A" w:rsidP="00F43F98" w:rsidRDefault="00FE549A" w14:paraId="625F0401" w14:textId="77777777">
      <w:pPr>
        <w:rPr>
          <w:rFonts w:ascii="Calibri" w:hAnsi="Calibri" w:eastAsia="Calibri"/>
          <w:sz w:val="22"/>
          <w:szCs w:val="22"/>
        </w:rPr>
      </w:pPr>
    </w:p>
    <w:p w:rsidR="00FE549A" w:rsidP="00F43F98" w:rsidRDefault="00FE549A" w14:paraId="72298189" w14:textId="77777777">
      <w:pPr>
        <w:rPr>
          <w:rFonts w:ascii="Calibri" w:hAnsi="Calibri" w:eastAsia="Calibri"/>
          <w:sz w:val="22"/>
          <w:szCs w:val="22"/>
        </w:rPr>
      </w:pPr>
    </w:p>
    <w:p w:rsidR="00FE549A" w:rsidP="00F43F98" w:rsidRDefault="00FE549A" w14:paraId="3D5B698B" w14:textId="77777777">
      <w:pPr>
        <w:rPr>
          <w:rFonts w:ascii="Calibri" w:hAnsi="Calibri" w:eastAsia="Calibri"/>
          <w:sz w:val="22"/>
          <w:szCs w:val="22"/>
        </w:rPr>
      </w:pPr>
    </w:p>
    <w:p w:rsidR="00FE549A" w:rsidP="00F43F98" w:rsidRDefault="00FE549A" w14:paraId="76ECCE3D" w14:textId="77777777">
      <w:pPr>
        <w:rPr>
          <w:rFonts w:ascii="Calibri" w:hAnsi="Calibri" w:eastAsia="Calibri"/>
          <w:sz w:val="22"/>
          <w:szCs w:val="22"/>
        </w:rPr>
      </w:pPr>
    </w:p>
    <w:p w:rsidR="00991357" w:rsidRDefault="004C1E97" w14:paraId="75B0E4B5" w14:textId="381293BA">
      <w:pPr>
        <w:tabs>
          <w:tab w:val="left" w:pos="-1440"/>
          <w:tab w:val="left" w:pos="-720"/>
          <w:tab w:val="left" w:pos="28"/>
          <w:tab w:val="left" w:pos="547"/>
          <w:tab w:val="left" w:pos="1065"/>
          <w:tab w:val="left" w:pos="1584"/>
        </w:tabs>
        <w:jc w:val="both"/>
        <w:rPr>
          <w:rFonts w:ascii="Calibri" w:hAnsi="Calibri" w:eastAsia="Calibri"/>
          <w:i/>
          <w:sz w:val="22"/>
          <w:szCs w:val="22"/>
        </w:rPr>
      </w:pPr>
      <w:r w:rsidRPr="004C1E97">
        <w:rPr>
          <w:rFonts w:ascii="Calibri" w:hAnsi="Calibri" w:eastAsia="Calibri"/>
          <w:i/>
          <w:sz w:val="22"/>
          <w:szCs w:val="22"/>
        </w:rPr>
        <w:t>*Source: The hourly rate is computed by dividing the FY 2020 national average PS/PB annual salary for state staff as provided for through the distribution of state UI administrative grants (</w:t>
      </w:r>
      <w:hyperlink w:history="1" r:id="rId11">
        <w:r w:rsidRPr="00AC323A" w:rsidR="00442A5A">
          <w:rPr>
            <w:rStyle w:val="Hyperlink"/>
            <w:rFonts w:ascii="Calibri" w:hAnsi="Calibri" w:eastAsia="Calibri"/>
            <w:i/>
            <w:sz w:val="22"/>
            <w:szCs w:val="22"/>
          </w:rPr>
          <w:t>https://wdr.doleta.gov/directives/attach/UIPL/UIPL_16-19.pdf</w:t>
        </w:r>
      </w:hyperlink>
      <w:r w:rsidR="00442A5A">
        <w:rPr>
          <w:rFonts w:ascii="Calibri" w:hAnsi="Calibri" w:eastAsia="Calibri"/>
          <w:i/>
          <w:sz w:val="22"/>
          <w:szCs w:val="22"/>
        </w:rPr>
        <w:t xml:space="preserve"> </w:t>
      </w:r>
      <w:r w:rsidRPr="004C1E97">
        <w:rPr>
          <w:rFonts w:ascii="Calibri" w:hAnsi="Calibri" w:eastAsia="Calibri"/>
          <w:i/>
          <w:sz w:val="22"/>
          <w:szCs w:val="22"/>
        </w:rPr>
        <w:t>)by the average number of hours worked in a year (1,711).  For FY 2020, this calculation is:  $86,609 / 1,711= $50.62.</w:t>
      </w:r>
    </w:p>
    <w:p w:rsidRPr="002C77D1" w:rsidR="004C1E97" w:rsidRDefault="004C1E97" w14:paraId="1E42D8FC" w14:textId="77777777">
      <w:pPr>
        <w:tabs>
          <w:tab w:val="left" w:pos="-1440"/>
          <w:tab w:val="left" w:pos="-720"/>
          <w:tab w:val="left" w:pos="28"/>
          <w:tab w:val="left" w:pos="547"/>
          <w:tab w:val="left" w:pos="1065"/>
          <w:tab w:val="left" w:pos="1584"/>
        </w:tabs>
        <w:jc w:val="both"/>
      </w:pPr>
    </w:p>
    <w:p w:rsidRPr="00985C2B" w:rsidR="00F43F98" w:rsidP="00F43F98" w:rsidRDefault="00F43F98" w14:paraId="058AFE50" w14:textId="77777777">
      <w:pPr>
        <w:rPr>
          <w:i/>
        </w:rPr>
      </w:pPr>
      <w:r w:rsidRPr="00DC10BE">
        <w:t>13.</w:t>
      </w:r>
      <w:r w:rsidRPr="00DC10BE">
        <w:tab/>
      </w:r>
      <w:r w:rsidRPr="00985C2B">
        <w:rPr>
          <w:i/>
        </w:rPr>
        <w:t>Provide an estimate for the total annual cost burden to respondents or record keepers resulting from the collection of information. (Do not include the cost of any hour burden already reflected on the burden worksheet).</w:t>
      </w:r>
    </w:p>
    <w:p w:rsidRPr="00A40FC4" w:rsidR="00991357" w:rsidRDefault="00991357" w14:paraId="404AF078" w14:textId="77777777">
      <w:pPr>
        <w:tabs>
          <w:tab w:val="left" w:pos="-1440"/>
          <w:tab w:val="left" w:pos="-720"/>
          <w:tab w:val="left" w:pos="28"/>
          <w:tab w:val="left" w:pos="547"/>
          <w:tab w:val="left" w:pos="1065"/>
          <w:tab w:val="left" w:pos="1584"/>
        </w:tabs>
        <w:jc w:val="both"/>
      </w:pPr>
    </w:p>
    <w:p w:rsidR="00233671" w:rsidP="00233671" w:rsidRDefault="00233671" w14:paraId="15F80848" w14:textId="77777777">
      <w:pPr>
        <w:jc w:val="both"/>
      </w:pPr>
      <w:r>
        <w:t xml:space="preserve">All reports are collected and then electronically transmitted.  There are no operational costs other than those associated with burden hours shown in item 12.  Additional costs incurred by States choosing to create a file on their own computer system and uploading it to the UI system would not be considered an additional burden under the PRA, </w:t>
      </w:r>
      <w:r w:rsidRPr="0017645B">
        <w:rPr>
          <w:color w:val="000000"/>
        </w:rPr>
        <w:t>as those costs would be incurred only if the State chose not to use the submission system provided free of charge by ETA</w:t>
      </w:r>
      <w:r w:rsidRPr="009E71D7">
        <w:t xml:space="preserve">.  </w:t>
      </w:r>
      <w:r w:rsidRPr="007B26FD">
        <w:t>ETA accounts for the effort to respond to the information collection under burden hours; consequently, in order to avoid a double counting of the burden the Department has determined that any additional effort would most appropriately be considered a usual or customary business practice that a respondent engages in for its own purposes.</w:t>
      </w:r>
      <w:r>
        <w:t xml:space="preserve">  </w:t>
      </w:r>
      <w:r>
        <w:rPr>
          <w:i/>
          <w:iCs/>
        </w:rPr>
        <w:t>See</w:t>
      </w:r>
      <w:r>
        <w:t xml:space="preserve"> 5 C.F.R. § 1320.3(b)(2).  </w:t>
      </w:r>
    </w:p>
    <w:p w:rsidR="009E2CA7" w:rsidRDefault="009E2CA7" w14:paraId="67628014" w14:textId="77777777">
      <w:pPr>
        <w:tabs>
          <w:tab w:val="left" w:pos="-1440"/>
          <w:tab w:val="left" w:pos="-720"/>
          <w:tab w:val="left" w:pos="28"/>
          <w:tab w:val="left" w:pos="547"/>
          <w:tab w:val="left" w:pos="1065"/>
          <w:tab w:val="left" w:pos="1584"/>
        </w:tabs>
        <w:jc w:val="both"/>
      </w:pPr>
    </w:p>
    <w:p w:rsidRPr="00624585" w:rsidR="00F43F98" w:rsidP="00F43F98" w:rsidRDefault="00F43F98" w14:paraId="48D87BDF" w14:textId="77777777">
      <w:r w:rsidRPr="00DC10BE">
        <w:t>14.</w:t>
      </w:r>
      <w:r w:rsidRPr="00DC10BE">
        <w:tab/>
      </w:r>
      <w:r w:rsidRPr="00985C2B">
        <w:rPr>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DC10BE">
        <w:t xml:space="preserve"> </w:t>
      </w:r>
      <w:r w:rsidRPr="00592A1A">
        <w:rPr>
          <w:i/>
        </w:rPr>
        <w:t>Agencies may also aggregate cost estimates from Items 12, 13, and 14 in a single table.</w:t>
      </w:r>
    </w:p>
    <w:p w:rsidRPr="00A40FC4" w:rsidR="00991357" w:rsidRDefault="00991357" w14:paraId="3414F679" w14:textId="77777777">
      <w:pPr>
        <w:tabs>
          <w:tab w:val="left" w:pos="-1440"/>
          <w:tab w:val="left" w:pos="-720"/>
          <w:tab w:val="left" w:pos="28"/>
          <w:tab w:val="left" w:pos="547"/>
          <w:tab w:val="left" w:pos="1065"/>
          <w:tab w:val="left" w:pos="1584"/>
        </w:tabs>
        <w:jc w:val="both"/>
      </w:pPr>
    </w:p>
    <w:p w:rsidRPr="009B312A" w:rsidR="009B312A" w:rsidP="009B312A" w:rsidRDefault="00151F4D" w14:paraId="77966F35" w14:textId="03D7EFFB">
      <w:pPr>
        <w:tabs>
          <w:tab w:val="left" w:pos="-1440"/>
          <w:tab w:val="left" w:pos="-720"/>
          <w:tab w:val="left" w:pos="28"/>
          <w:tab w:val="left" w:pos="547"/>
          <w:tab w:val="left" w:pos="1065"/>
          <w:tab w:val="left" w:pos="1584"/>
        </w:tabs>
        <w:jc w:val="both"/>
      </w:pPr>
      <w:r>
        <w:t>D</w:t>
      </w:r>
      <w:r w:rsidR="00B52CF7">
        <w:t xml:space="preserve">uring 2020 ETA </w:t>
      </w:r>
      <w:r w:rsidR="0011215B">
        <w:t xml:space="preserve">has </w:t>
      </w:r>
      <w:r w:rsidR="00B52CF7">
        <w:t>budgeted $1,024,744.87</w:t>
      </w:r>
      <w:r w:rsidRPr="009B312A" w:rsidR="009B312A">
        <w:t xml:space="preserve"> </w:t>
      </w:r>
      <w:r w:rsidR="00E4124A">
        <w:t>contractual costs for</w:t>
      </w:r>
      <w:r w:rsidRPr="009B312A" w:rsidR="009B312A">
        <w:t xml:space="preserve"> operat</w:t>
      </w:r>
      <w:r w:rsidR="00E4124A">
        <w:t>ing</w:t>
      </w:r>
      <w:r w:rsidRPr="009B312A" w:rsidR="009B312A">
        <w:t xml:space="preserve"> and maintain</w:t>
      </w:r>
      <w:r w:rsidR="00E4124A">
        <w:t>ing</w:t>
      </w:r>
      <w:r w:rsidRPr="009B312A" w:rsidR="009B312A">
        <w:t xml:space="preserve"> the Unemployment Insurance Required Reports system</w:t>
      </w:r>
      <w:r w:rsidR="003277E7">
        <w:t xml:space="preserve">. </w:t>
      </w:r>
      <w:r w:rsidRPr="009B312A" w:rsidR="009B312A">
        <w:t>Including the subject ICR, this system supports 30 information collections.  For administrative purposes, each information collection is assumed to contribute an equal share of the cost for supporting the entire system; therefore the cost allocated to this ICR is estimat</w:t>
      </w:r>
      <w:r w:rsidR="00B52CF7">
        <w:t>ed to be $34,158.16 ($1,024,744.87.30</w:t>
      </w:r>
      <w:r w:rsidRPr="009B312A" w:rsidR="009B312A">
        <w:t xml:space="preserve"> system cost/30 information collections.)</w:t>
      </w:r>
    </w:p>
    <w:p w:rsidRPr="00A40FC4" w:rsidR="00991357" w:rsidRDefault="00991357" w14:paraId="613545F4" w14:textId="77777777">
      <w:pPr>
        <w:tabs>
          <w:tab w:val="left" w:pos="-1440"/>
          <w:tab w:val="left" w:pos="-720"/>
          <w:tab w:val="left" w:pos="28"/>
          <w:tab w:val="left" w:pos="547"/>
          <w:tab w:val="left" w:pos="1065"/>
          <w:tab w:val="left" w:pos="1584"/>
        </w:tabs>
        <w:jc w:val="both"/>
      </w:pPr>
    </w:p>
    <w:p w:rsidR="00F43F98" w:rsidP="00F43F98" w:rsidRDefault="00F43F98" w14:paraId="53C98BAA" w14:textId="77777777">
      <w:pPr>
        <w:rPr>
          <w:i/>
        </w:rPr>
      </w:pPr>
      <w:r w:rsidRPr="00DC10BE">
        <w:t>15.</w:t>
      </w:r>
      <w:r w:rsidRPr="00DC10BE">
        <w:tab/>
      </w:r>
      <w:r w:rsidRPr="00985C2B">
        <w:rPr>
          <w:i/>
        </w:rPr>
        <w:t>Explain the reasons for any program changes or adjustments reported on the burden worksheet.</w:t>
      </w:r>
    </w:p>
    <w:p w:rsidRPr="00A40FC4" w:rsidR="00F71C55" w:rsidRDefault="00F71C55" w14:paraId="75FFD36B" w14:textId="77777777">
      <w:pPr>
        <w:pStyle w:val="Quick1"/>
        <w:numPr>
          <w:ilvl w:val="0"/>
          <w:numId w:val="0"/>
        </w:numPr>
        <w:tabs>
          <w:tab w:val="left" w:pos="-1440"/>
          <w:tab w:val="left" w:pos="-720"/>
          <w:tab w:val="left" w:pos="28"/>
          <w:tab w:val="left" w:pos="1065"/>
          <w:tab w:val="left" w:pos="1584"/>
        </w:tabs>
        <w:jc w:val="both"/>
      </w:pPr>
    </w:p>
    <w:p w:rsidR="00991357" w:rsidRDefault="0046529F" w14:paraId="725EA7D4" w14:textId="77777777">
      <w:pPr>
        <w:tabs>
          <w:tab w:val="left" w:pos="-1440"/>
          <w:tab w:val="left" w:pos="-720"/>
          <w:tab w:val="left" w:pos="28"/>
          <w:tab w:val="left" w:pos="547"/>
          <w:tab w:val="left" w:pos="1065"/>
          <w:tab w:val="left" w:pos="1584"/>
        </w:tabs>
        <w:jc w:val="both"/>
      </w:pPr>
      <w:r>
        <w:t xml:space="preserve">This ICR seeks no approval for discretionary actions affecting </w:t>
      </w:r>
      <w:r w:rsidR="00A109C9">
        <w:t xml:space="preserve">respondent </w:t>
      </w:r>
      <w:r>
        <w:t xml:space="preserve">burden. </w:t>
      </w:r>
      <w:r w:rsidR="0014093C">
        <w:t xml:space="preserve"> </w:t>
      </w:r>
      <w:r w:rsidR="00296972">
        <w:t xml:space="preserve">However, adjustments were made to reflect the expiration of Federal Emergency Unemployment Compensation Program, which occurred on </w:t>
      </w:r>
      <w:r w:rsidR="00F34DEE">
        <w:t xml:space="preserve">January </w:t>
      </w:r>
      <w:r w:rsidR="00296972">
        <w:t xml:space="preserve">1, 2014.  </w:t>
      </w:r>
      <w:r w:rsidR="0014093C">
        <w:t xml:space="preserve">DOL has refined the burden </w:t>
      </w:r>
      <w:r w:rsidR="00315E31">
        <w:t xml:space="preserve">estimate </w:t>
      </w:r>
      <w:r w:rsidR="0014093C">
        <w:t xml:space="preserve">entries for this collection, to make the relationship </w:t>
      </w:r>
      <w:r w:rsidR="00261992">
        <w:t xml:space="preserve">between </w:t>
      </w:r>
      <w:r w:rsidR="0014093C">
        <w:t xml:space="preserve">reginfo.gov database </w:t>
      </w:r>
      <w:r w:rsidR="00DD1D05">
        <w:t xml:space="preserve">information more consistent with the burden reported </w:t>
      </w:r>
      <w:r w:rsidR="00C16450">
        <w:t>to respondents</w:t>
      </w:r>
      <w:r w:rsidR="00DD1D05">
        <w:t>.</w:t>
      </w:r>
      <w:r w:rsidR="00712DD0">
        <w:t xml:space="preserve">  </w:t>
      </w:r>
      <w:r w:rsidR="00A109C9">
        <w:t>As shown in item 12, e</w:t>
      </w:r>
      <w:r w:rsidR="00712DD0">
        <w:t>ach month States submit a separate ETA 5130</w:t>
      </w:r>
      <w:r w:rsidR="00261992">
        <w:t xml:space="preserve"> for each of </w:t>
      </w:r>
      <w:r w:rsidR="00887096">
        <w:t>the two</w:t>
      </w:r>
      <w:r w:rsidR="00261992">
        <w:t xml:space="preserve"> programs</w:t>
      </w:r>
      <w:r w:rsidR="009529DA">
        <w:t xml:space="preserve"> and each form takes 1 hour to complete</w:t>
      </w:r>
      <w:r w:rsidR="00A109C9">
        <w:t>.</w:t>
      </w:r>
      <w:r w:rsidR="006A520B">
        <w:t xml:space="preserve"> </w:t>
      </w:r>
      <w:r w:rsidR="00A109C9">
        <w:t xml:space="preserve"> T</w:t>
      </w:r>
      <w:r w:rsidR="009529DA">
        <w:t>he form provides that burden estimate.</w:t>
      </w:r>
      <w:r w:rsidR="00913C1E">
        <w:t xml:space="preserve">  The database, however, </w:t>
      </w:r>
      <w:r w:rsidR="00C16450">
        <w:t>reflected</w:t>
      </w:r>
      <w:r w:rsidR="00913C1E">
        <w:t xml:space="preserve"> </w:t>
      </w:r>
      <w:r w:rsidR="00C16450">
        <w:t>a single</w:t>
      </w:r>
      <w:r w:rsidR="00913C1E">
        <w:t xml:space="preserve"> monthly response taking </w:t>
      </w:r>
      <w:r w:rsidR="00296972">
        <w:t xml:space="preserve">two </w:t>
      </w:r>
      <w:r w:rsidR="00913C1E">
        <w:t>hours</w:t>
      </w:r>
      <w:r w:rsidR="006A520B">
        <w:t>.</w:t>
      </w:r>
      <w:r w:rsidR="009529DA">
        <w:t xml:space="preserve"> </w:t>
      </w:r>
    </w:p>
    <w:p w:rsidRPr="00A40FC4" w:rsidR="00F71C55" w:rsidRDefault="00F71C55" w14:paraId="345968E0" w14:textId="77777777">
      <w:pPr>
        <w:tabs>
          <w:tab w:val="left" w:pos="-1440"/>
          <w:tab w:val="left" w:pos="-720"/>
          <w:tab w:val="left" w:pos="28"/>
          <w:tab w:val="left" w:pos="547"/>
          <w:tab w:val="left" w:pos="1065"/>
          <w:tab w:val="left" w:pos="1584"/>
        </w:tabs>
        <w:jc w:val="both"/>
      </w:pPr>
    </w:p>
    <w:p w:rsidRPr="00985C2B" w:rsidR="00F43F98" w:rsidP="00F43F98" w:rsidRDefault="00F43F98" w14:paraId="651932C3" w14:textId="77777777">
      <w:pPr>
        <w:rPr>
          <w:i/>
        </w:rPr>
      </w:pPr>
      <w:r w:rsidRPr="00DC10BE">
        <w:t>16.</w:t>
      </w:r>
      <w:r w:rsidRPr="00DC10BE">
        <w:tab/>
      </w:r>
      <w:r w:rsidRPr="00985C2B">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40FC4" w:rsidR="00991357" w:rsidRDefault="00991357" w14:paraId="12BD576E" w14:textId="77777777">
      <w:pPr>
        <w:tabs>
          <w:tab w:val="left" w:pos="-1440"/>
          <w:tab w:val="left" w:pos="-720"/>
          <w:tab w:val="left" w:pos="28"/>
          <w:tab w:val="left" w:pos="547"/>
          <w:tab w:val="left" w:pos="1065"/>
          <w:tab w:val="left" w:pos="1584"/>
        </w:tabs>
        <w:jc w:val="both"/>
      </w:pPr>
    </w:p>
    <w:p w:rsidRPr="00A40FC4" w:rsidR="00991357" w:rsidRDefault="00991357" w14:paraId="04CFE2B8" w14:textId="77777777">
      <w:pPr>
        <w:tabs>
          <w:tab w:val="left" w:pos="-1440"/>
          <w:tab w:val="left" w:pos="-720"/>
          <w:tab w:val="left" w:pos="28"/>
          <w:tab w:val="left" w:pos="547"/>
          <w:tab w:val="left" w:pos="1065"/>
          <w:tab w:val="left" w:pos="1584"/>
        </w:tabs>
        <w:jc w:val="both"/>
      </w:pPr>
      <w:r w:rsidRPr="00A40FC4">
        <w:t xml:space="preserve">Data </w:t>
      </w:r>
      <w:r w:rsidR="00B23D93">
        <w:t>is</w:t>
      </w:r>
      <w:r w:rsidRPr="00A40FC4">
        <w:t xml:space="preserve"> not published</w:t>
      </w:r>
      <w:r w:rsidR="00F71C55">
        <w:t>.</w:t>
      </w:r>
    </w:p>
    <w:p w:rsidRPr="00A40FC4" w:rsidR="00991357" w:rsidRDefault="00991357" w14:paraId="36395275" w14:textId="77777777">
      <w:pPr>
        <w:tabs>
          <w:tab w:val="left" w:pos="-1440"/>
          <w:tab w:val="left" w:pos="-720"/>
          <w:tab w:val="left" w:pos="28"/>
          <w:tab w:val="left" w:pos="547"/>
          <w:tab w:val="left" w:pos="1065"/>
          <w:tab w:val="left" w:pos="1584"/>
        </w:tabs>
        <w:jc w:val="both"/>
      </w:pPr>
    </w:p>
    <w:p w:rsidR="00501B65" w:rsidP="00501B65" w:rsidRDefault="00501B65" w14:paraId="501D3363" w14:textId="77777777">
      <w:pPr>
        <w:rPr>
          <w:i/>
        </w:rPr>
      </w:pPr>
      <w:r w:rsidRPr="00624585">
        <w:t xml:space="preserve">17.  </w:t>
      </w:r>
      <w:r>
        <w:tab/>
      </w:r>
      <w:r w:rsidRPr="00985C2B">
        <w:rPr>
          <w:i/>
        </w:rPr>
        <w:t>If seeking approval to not display the expiration date for OMB approval of the information collection, explain the reasons why display would be inappropriate.</w:t>
      </w:r>
    </w:p>
    <w:p w:rsidRPr="00A40FC4" w:rsidR="00991357" w:rsidRDefault="00991357" w14:paraId="0B49317D" w14:textId="77777777">
      <w:pPr>
        <w:tabs>
          <w:tab w:val="left" w:pos="-1440"/>
          <w:tab w:val="left" w:pos="-720"/>
          <w:tab w:val="left" w:pos="28"/>
          <w:tab w:val="left" w:pos="547"/>
          <w:tab w:val="left" w:pos="1065"/>
          <w:tab w:val="left" w:pos="1584"/>
        </w:tabs>
        <w:jc w:val="both"/>
      </w:pPr>
    </w:p>
    <w:p w:rsidRPr="00A40FC4" w:rsidR="00991357" w:rsidRDefault="006E27E3" w14:paraId="11FC37B1" w14:textId="77777777">
      <w:pPr>
        <w:tabs>
          <w:tab w:val="left" w:pos="-1440"/>
          <w:tab w:val="left" w:pos="-720"/>
          <w:tab w:val="left" w:pos="28"/>
          <w:tab w:val="left" w:pos="547"/>
          <w:tab w:val="left" w:pos="1065"/>
          <w:tab w:val="left" w:pos="1584"/>
        </w:tabs>
        <w:jc w:val="both"/>
      </w:pPr>
      <w:r w:rsidRPr="006E27E3">
        <w:t>The expiration date for OMB approval is displayed.</w:t>
      </w:r>
    </w:p>
    <w:p w:rsidRPr="00A40FC4" w:rsidR="00991357" w:rsidRDefault="00991357" w14:paraId="13F14C62" w14:textId="77777777">
      <w:pPr>
        <w:tabs>
          <w:tab w:val="left" w:pos="-1440"/>
          <w:tab w:val="left" w:pos="-720"/>
          <w:tab w:val="left" w:pos="28"/>
          <w:tab w:val="left" w:pos="547"/>
          <w:tab w:val="left" w:pos="1065"/>
          <w:tab w:val="left" w:pos="1584"/>
        </w:tabs>
        <w:jc w:val="both"/>
      </w:pPr>
    </w:p>
    <w:p w:rsidRPr="00985C2B" w:rsidR="00501B65" w:rsidP="00501B65" w:rsidRDefault="00501B65" w14:paraId="2B0BFF3B" w14:textId="77777777">
      <w:pPr>
        <w:rPr>
          <w:i/>
        </w:rPr>
      </w:pPr>
      <w:r w:rsidRPr="00715ABC">
        <w:t>18.</w:t>
      </w:r>
      <w:r w:rsidRPr="00715ABC">
        <w:tab/>
      </w:r>
      <w:r w:rsidRPr="00985C2B">
        <w:rPr>
          <w:i/>
        </w:rPr>
        <w:t xml:space="preserve">Explain each exception to the topics of the certification statement identified in         “Certification for Paperwork Reduction </w:t>
      </w:r>
      <w:r>
        <w:rPr>
          <w:i/>
        </w:rPr>
        <w:t>Act Submissions,”</w:t>
      </w:r>
    </w:p>
    <w:p w:rsidRPr="00A40FC4" w:rsidR="00991357" w:rsidRDefault="00991357" w14:paraId="064B33AF" w14:textId="77777777">
      <w:pPr>
        <w:tabs>
          <w:tab w:val="left" w:pos="-1440"/>
          <w:tab w:val="left" w:pos="-720"/>
          <w:tab w:val="left" w:pos="28"/>
          <w:tab w:val="left" w:pos="547"/>
          <w:tab w:val="left" w:pos="1065"/>
          <w:tab w:val="left" w:pos="1584"/>
        </w:tabs>
        <w:jc w:val="both"/>
      </w:pPr>
    </w:p>
    <w:p w:rsidRPr="00A40FC4" w:rsidR="00991357" w:rsidRDefault="006E27E3" w14:paraId="0E0A6B5D" w14:textId="77777777">
      <w:pPr>
        <w:tabs>
          <w:tab w:val="left" w:pos="-1440"/>
          <w:tab w:val="left" w:pos="-720"/>
          <w:tab w:val="left" w:pos="28"/>
          <w:tab w:val="left" w:pos="547"/>
          <w:tab w:val="left" w:pos="1065"/>
          <w:tab w:val="left" w:pos="1584"/>
        </w:tabs>
        <w:jc w:val="both"/>
      </w:pPr>
      <w:r w:rsidRPr="006E27E3">
        <w:t>There are no exceptions to the certification statement.</w:t>
      </w:r>
      <w:r>
        <w:t xml:space="preserve"> </w:t>
      </w:r>
    </w:p>
    <w:p w:rsidR="00991357" w:rsidRDefault="00991357" w14:paraId="40C57766" w14:textId="77777777">
      <w:pPr>
        <w:tabs>
          <w:tab w:val="left" w:pos="-1440"/>
          <w:tab w:val="left" w:pos="-720"/>
          <w:tab w:val="left" w:pos="28"/>
          <w:tab w:val="left" w:pos="547"/>
          <w:tab w:val="left" w:pos="1065"/>
          <w:tab w:val="left" w:pos="1584"/>
        </w:tabs>
        <w:jc w:val="both"/>
      </w:pPr>
    </w:p>
    <w:p w:rsidRPr="00A40FC4" w:rsidR="006E27E3" w:rsidRDefault="006E27E3" w14:paraId="728248C3" w14:textId="77777777">
      <w:pPr>
        <w:tabs>
          <w:tab w:val="left" w:pos="-1440"/>
          <w:tab w:val="left" w:pos="-720"/>
          <w:tab w:val="left" w:pos="28"/>
          <w:tab w:val="left" w:pos="547"/>
          <w:tab w:val="left" w:pos="1065"/>
          <w:tab w:val="left" w:pos="1584"/>
        </w:tabs>
        <w:jc w:val="both"/>
      </w:pPr>
    </w:p>
    <w:p w:rsidRPr="00A40FC4" w:rsidR="00991357" w:rsidRDefault="00991357" w14:paraId="0B2E5056" w14:textId="77777777">
      <w:pPr>
        <w:tabs>
          <w:tab w:val="left" w:pos="-1440"/>
          <w:tab w:val="left" w:pos="-720"/>
          <w:tab w:val="left" w:pos="28"/>
          <w:tab w:val="left" w:pos="547"/>
          <w:tab w:val="left" w:pos="1065"/>
          <w:tab w:val="left" w:pos="1584"/>
        </w:tabs>
        <w:ind w:left="547" w:hanging="547"/>
        <w:jc w:val="both"/>
        <w:rPr>
          <w:b/>
          <w:bCs/>
        </w:rPr>
      </w:pPr>
      <w:r w:rsidRPr="00A40FC4">
        <w:rPr>
          <w:b/>
          <w:bCs/>
        </w:rPr>
        <w:t>B.</w:t>
      </w:r>
      <w:r w:rsidRPr="00A40FC4">
        <w:rPr>
          <w:b/>
          <w:bCs/>
        </w:rPr>
        <w:tab/>
        <w:t>Collection of Information Employing Statistical Methods</w:t>
      </w:r>
    </w:p>
    <w:p w:rsidRPr="00A40FC4" w:rsidR="00991357" w:rsidRDefault="00991357" w14:paraId="0ACCB183" w14:textId="77777777">
      <w:pPr>
        <w:tabs>
          <w:tab w:val="left" w:pos="-1440"/>
          <w:tab w:val="left" w:pos="-720"/>
          <w:tab w:val="left" w:pos="28"/>
          <w:tab w:val="left" w:pos="547"/>
          <w:tab w:val="left" w:pos="1065"/>
          <w:tab w:val="left" w:pos="1584"/>
        </w:tabs>
        <w:jc w:val="both"/>
        <w:rPr>
          <w:b/>
          <w:bCs/>
        </w:rPr>
      </w:pPr>
    </w:p>
    <w:p w:rsidRPr="00A40FC4" w:rsidR="00991357" w:rsidP="00821918" w:rsidRDefault="006A520B" w14:paraId="69C29FE4" w14:textId="77777777">
      <w:pPr>
        <w:tabs>
          <w:tab w:val="left" w:pos="-1440"/>
          <w:tab w:val="left" w:pos="-720"/>
          <w:tab w:val="left" w:pos="28"/>
          <w:tab w:val="left" w:pos="547"/>
          <w:tab w:val="left" w:pos="1065"/>
          <w:tab w:val="left" w:pos="1584"/>
        </w:tabs>
        <w:jc w:val="both"/>
      </w:pPr>
      <w:r w:rsidRPr="006A520B">
        <w:t>This collection of information does not employ statistical methods.</w:t>
      </w:r>
      <w:r>
        <w:t xml:space="preserve"> </w:t>
      </w:r>
    </w:p>
    <w:sectPr w:rsidRPr="00A40FC4" w:rsidR="00991357" w:rsidSect="001C6CEA">
      <w:headerReference w:type="default" r:id="rId12"/>
      <w:footerReference w:type="default" r:id="rId13"/>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00EE2" w14:textId="77777777" w:rsidR="00EC67F5" w:rsidRDefault="00EC67F5">
      <w:r>
        <w:separator/>
      </w:r>
    </w:p>
  </w:endnote>
  <w:endnote w:type="continuationSeparator" w:id="0">
    <w:p w14:paraId="075BF873" w14:textId="77777777" w:rsidR="00EC67F5" w:rsidRDefault="00EC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CC07C" w14:textId="5FDBE6DA" w:rsidR="006E27E3" w:rsidRDefault="006E27E3">
    <w:pPr>
      <w:pStyle w:val="Footer"/>
      <w:jc w:val="center"/>
    </w:pPr>
    <w:r>
      <w:fldChar w:fldCharType="begin"/>
    </w:r>
    <w:r>
      <w:instrText xml:space="preserve"> PAGE   \* MERGEFORMAT </w:instrText>
    </w:r>
    <w:r>
      <w:fldChar w:fldCharType="separate"/>
    </w:r>
    <w:r w:rsidR="000361E8">
      <w:rPr>
        <w:noProof/>
      </w:rPr>
      <w:t>4</w:t>
    </w:r>
    <w:r>
      <w:rPr>
        <w:noProof/>
      </w:rPr>
      <w:fldChar w:fldCharType="end"/>
    </w:r>
  </w:p>
  <w:p w14:paraId="3D114537" w14:textId="77777777" w:rsidR="006E27E3" w:rsidRDefault="006E2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4C081" w14:textId="77777777" w:rsidR="00EC67F5" w:rsidRDefault="00EC67F5">
      <w:r>
        <w:separator/>
      </w:r>
    </w:p>
  </w:footnote>
  <w:footnote w:type="continuationSeparator" w:id="0">
    <w:p w14:paraId="4547666C" w14:textId="77777777" w:rsidR="00EC67F5" w:rsidRDefault="00EC6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3D4C9" w14:textId="77777777" w:rsidR="00B62E58" w:rsidRPr="001C6CEA" w:rsidRDefault="00B62E58">
    <w:pPr>
      <w:pStyle w:val="Header"/>
    </w:pPr>
    <w:r w:rsidRPr="001C6CEA">
      <w:t>B</w:t>
    </w:r>
    <w:r w:rsidR="001C6CEA" w:rsidRPr="001C6CEA">
      <w:t>enefit Appeals Report</w:t>
    </w:r>
    <w:r w:rsidRPr="001C6CEA">
      <w:t xml:space="preserve"> </w:t>
    </w:r>
  </w:p>
  <w:p w14:paraId="1B66E363" w14:textId="77777777" w:rsidR="00B62E58" w:rsidRDefault="00B62E58">
    <w:pPr>
      <w:pStyle w:val="Header"/>
    </w:pPr>
    <w:r w:rsidRPr="001C6CEA">
      <w:t xml:space="preserve">OMB </w:t>
    </w:r>
    <w:r w:rsidR="001C6CEA" w:rsidRPr="001C6CEA">
      <w:t xml:space="preserve">Control </w:t>
    </w:r>
    <w:r w:rsidR="001C6CEA">
      <w:t xml:space="preserve">No. </w:t>
    </w:r>
    <w:r w:rsidRPr="001C6CEA">
      <w:t>1205-0172</w:t>
    </w:r>
  </w:p>
  <w:p w14:paraId="552E0190" w14:textId="2DA31714" w:rsidR="00013DC0" w:rsidRPr="001C6CEA" w:rsidRDefault="00C46C65">
    <w:pPr>
      <w:pStyle w:val="Header"/>
    </w:pPr>
    <w:r>
      <w:t>xx/xx/xxxx</w:t>
    </w:r>
  </w:p>
  <w:p w14:paraId="60FEDEC8" w14:textId="77777777" w:rsidR="00B62E58" w:rsidRPr="001C6CEA" w:rsidRDefault="00B62E58">
    <w:pPr>
      <w:pStyle w:val="Header"/>
    </w:pPr>
  </w:p>
  <w:p w14:paraId="2CB586F5" w14:textId="77777777" w:rsidR="008E783F" w:rsidRDefault="008E783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EC5E87D0"/>
    <w:lvl w:ilvl="0">
      <w:start w:val="1"/>
      <w:numFmt w:val="decimal"/>
      <w:pStyle w:val="Quick1"/>
      <w:lvlText w:val="%1."/>
      <w:lvlJc w:val="left"/>
      <w:pPr>
        <w:tabs>
          <w:tab w:val="num" w:pos="547"/>
        </w:tabs>
      </w:pPr>
      <w:rPr>
        <w:rFonts w:ascii="Courier New" w:hAnsi="Courier New" w:cs="Courier New"/>
        <w:sz w:val="24"/>
        <w:szCs w:val="24"/>
      </w:rPr>
    </w:lvl>
  </w:abstractNum>
  <w:num w:numId="1">
    <w:abstractNumId w:val="0"/>
    <w:lvlOverride w:ilvl="0">
      <w:startOverride w:val="12"/>
      <w:lvl w:ilvl="0">
        <w:start w:val="12"/>
        <w:numFmt w:val="decimal"/>
        <w:pStyle w:val="Quick1"/>
        <w:lvlText w:val="%1."/>
        <w:lvlJc w:val="left"/>
        <w:rPr>
          <w:color w:val="000000"/>
        </w:rPr>
      </w:lvl>
    </w:lvlOverride>
  </w:num>
  <w:num w:numId="2">
    <w:abstractNumId w:val="0"/>
    <w:lvlOverride w:ilvl="0">
      <w:startOverride w:val="18"/>
      <w:lvl w:ilvl="0">
        <w:start w:val="18"/>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CB8"/>
    <w:rsid w:val="00013DC0"/>
    <w:rsid w:val="0002038D"/>
    <w:rsid w:val="000317D3"/>
    <w:rsid w:val="00031C22"/>
    <w:rsid w:val="000361E8"/>
    <w:rsid w:val="00046115"/>
    <w:rsid w:val="00056098"/>
    <w:rsid w:val="000736A6"/>
    <w:rsid w:val="000872B9"/>
    <w:rsid w:val="00093A80"/>
    <w:rsid w:val="000C19C6"/>
    <w:rsid w:val="0011215B"/>
    <w:rsid w:val="00113A36"/>
    <w:rsid w:val="0014093C"/>
    <w:rsid w:val="0014136F"/>
    <w:rsid w:val="00151F4D"/>
    <w:rsid w:val="001604F7"/>
    <w:rsid w:val="00176193"/>
    <w:rsid w:val="0017645B"/>
    <w:rsid w:val="00177395"/>
    <w:rsid w:val="001917E8"/>
    <w:rsid w:val="001B4426"/>
    <w:rsid w:val="001C2380"/>
    <w:rsid w:val="001C6C11"/>
    <w:rsid w:val="001C6CEA"/>
    <w:rsid w:val="001F5207"/>
    <w:rsid w:val="002042FA"/>
    <w:rsid w:val="00233671"/>
    <w:rsid w:val="00261992"/>
    <w:rsid w:val="00264207"/>
    <w:rsid w:val="002651ED"/>
    <w:rsid w:val="00282509"/>
    <w:rsid w:val="00285411"/>
    <w:rsid w:val="002906A9"/>
    <w:rsid w:val="00293DC8"/>
    <w:rsid w:val="00296972"/>
    <w:rsid w:val="002A73EC"/>
    <w:rsid w:val="002B35F3"/>
    <w:rsid w:val="002B4EB9"/>
    <w:rsid w:val="002C77D1"/>
    <w:rsid w:val="00315888"/>
    <w:rsid w:val="00315E31"/>
    <w:rsid w:val="00316C19"/>
    <w:rsid w:val="003277E7"/>
    <w:rsid w:val="003336E0"/>
    <w:rsid w:val="003651D5"/>
    <w:rsid w:val="003846E0"/>
    <w:rsid w:val="0039303E"/>
    <w:rsid w:val="0039344A"/>
    <w:rsid w:val="00394CB1"/>
    <w:rsid w:val="0039587C"/>
    <w:rsid w:val="00396AC9"/>
    <w:rsid w:val="00396FE3"/>
    <w:rsid w:val="003A0C54"/>
    <w:rsid w:val="003A158F"/>
    <w:rsid w:val="003A2F0F"/>
    <w:rsid w:val="003A51C7"/>
    <w:rsid w:val="003B48A4"/>
    <w:rsid w:val="003D11EA"/>
    <w:rsid w:val="003D72F9"/>
    <w:rsid w:val="003E0DED"/>
    <w:rsid w:val="003F560E"/>
    <w:rsid w:val="00400DB7"/>
    <w:rsid w:val="00442A5A"/>
    <w:rsid w:val="0046529F"/>
    <w:rsid w:val="00492B2A"/>
    <w:rsid w:val="004A27BD"/>
    <w:rsid w:val="004C1E97"/>
    <w:rsid w:val="004F1DB6"/>
    <w:rsid w:val="004F5C34"/>
    <w:rsid w:val="00501B65"/>
    <w:rsid w:val="0051781E"/>
    <w:rsid w:val="0052377B"/>
    <w:rsid w:val="00527317"/>
    <w:rsid w:val="00556605"/>
    <w:rsid w:val="00566A1F"/>
    <w:rsid w:val="005858DB"/>
    <w:rsid w:val="005A0926"/>
    <w:rsid w:val="005A369B"/>
    <w:rsid w:val="005D0379"/>
    <w:rsid w:val="0060672D"/>
    <w:rsid w:val="00626CD2"/>
    <w:rsid w:val="00647E9D"/>
    <w:rsid w:val="00655E2A"/>
    <w:rsid w:val="00667D4E"/>
    <w:rsid w:val="006746F5"/>
    <w:rsid w:val="00697088"/>
    <w:rsid w:val="006A520B"/>
    <w:rsid w:val="006A666C"/>
    <w:rsid w:val="006C602D"/>
    <w:rsid w:val="006E0151"/>
    <w:rsid w:val="006E27E3"/>
    <w:rsid w:val="007103C3"/>
    <w:rsid w:val="00712DD0"/>
    <w:rsid w:val="00714A63"/>
    <w:rsid w:val="00720700"/>
    <w:rsid w:val="00723CB8"/>
    <w:rsid w:val="00737CB3"/>
    <w:rsid w:val="00777951"/>
    <w:rsid w:val="007A20D7"/>
    <w:rsid w:val="007B0A61"/>
    <w:rsid w:val="007B26FD"/>
    <w:rsid w:val="007B47FE"/>
    <w:rsid w:val="007C20FD"/>
    <w:rsid w:val="007E77B1"/>
    <w:rsid w:val="00821918"/>
    <w:rsid w:val="008369C5"/>
    <w:rsid w:val="00872CCE"/>
    <w:rsid w:val="00874913"/>
    <w:rsid w:val="00887096"/>
    <w:rsid w:val="00887886"/>
    <w:rsid w:val="008D0FB1"/>
    <w:rsid w:val="008D1C9C"/>
    <w:rsid w:val="008E783F"/>
    <w:rsid w:val="008F2353"/>
    <w:rsid w:val="00913C1E"/>
    <w:rsid w:val="00922E28"/>
    <w:rsid w:val="009411BE"/>
    <w:rsid w:val="009529DA"/>
    <w:rsid w:val="00963162"/>
    <w:rsid w:val="0097419F"/>
    <w:rsid w:val="009806B9"/>
    <w:rsid w:val="00991357"/>
    <w:rsid w:val="009A0D72"/>
    <w:rsid w:val="009B312A"/>
    <w:rsid w:val="009C511C"/>
    <w:rsid w:val="009E2CA7"/>
    <w:rsid w:val="009E71D7"/>
    <w:rsid w:val="009F1599"/>
    <w:rsid w:val="009F372B"/>
    <w:rsid w:val="00A01055"/>
    <w:rsid w:val="00A0637B"/>
    <w:rsid w:val="00A109C9"/>
    <w:rsid w:val="00A3794C"/>
    <w:rsid w:val="00A40DB9"/>
    <w:rsid w:val="00A40FC4"/>
    <w:rsid w:val="00A456F0"/>
    <w:rsid w:val="00A47AAD"/>
    <w:rsid w:val="00A51688"/>
    <w:rsid w:val="00A548F6"/>
    <w:rsid w:val="00A76ECD"/>
    <w:rsid w:val="00A95E65"/>
    <w:rsid w:val="00AB4C43"/>
    <w:rsid w:val="00AF2F38"/>
    <w:rsid w:val="00B06F06"/>
    <w:rsid w:val="00B23D93"/>
    <w:rsid w:val="00B26499"/>
    <w:rsid w:val="00B41483"/>
    <w:rsid w:val="00B46BAC"/>
    <w:rsid w:val="00B5097F"/>
    <w:rsid w:val="00B52CF7"/>
    <w:rsid w:val="00B54D39"/>
    <w:rsid w:val="00B62E58"/>
    <w:rsid w:val="00B825B5"/>
    <w:rsid w:val="00B84907"/>
    <w:rsid w:val="00B96E5B"/>
    <w:rsid w:val="00BA1FDA"/>
    <w:rsid w:val="00BA6684"/>
    <w:rsid w:val="00BD23F1"/>
    <w:rsid w:val="00BD2E87"/>
    <w:rsid w:val="00BD5612"/>
    <w:rsid w:val="00BF1A3A"/>
    <w:rsid w:val="00C16450"/>
    <w:rsid w:val="00C1717F"/>
    <w:rsid w:val="00C179F3"/>
    <w:rsid w:val="00C25429"/>
    <w:rsid w:val="00C31000"/>
    <w:rsid w:val="00C379E6"/>
    <w:rsid w:val="00C46C65"/>
    <w:rsid w:val="00C668E4"/>
    <w:rsid w:val="00C74311"/>
    <w:rsid w:val="00C77AA0"/>
    <w:rsid w:val="00C939F8"/>
    <w:rsid w:val="00CA5869"/>
    <w:rsid w:val="00CB46C5"/>
    <w:rsid w:val="00CB5F0F"/>
    <w:rsid w:val="00CE00B4"/>
    <w:rsid w:val="00CE0F72"/>
    <w:rsid w:val="00D05CE9"/>
    <w:rsid w:val="00D16840"/>
    <w:rsid w:val="00D2605D"/>
    <w:rsid w:val="00D268A2"/>
    <w:rsid w:val="00D31C61"/>
    <w:rsid w:val="00D4788F"/>
    <w:rsid w:val="00D50A01"/>
    <w:rsid w:val="00D51681"/>
    <w:rsid w:val="00DA6C3A"/>
    <w:rsid w:val="00DD1D05"/>
    <w:rsid w:val="00E01DFD"/>
    <w:rsid w:val="00E31F9B"/>
    <w:rsid w:val="00E4124A"/>
    <w:rsid w:val="00E432A0"/>
    <w:rsid w:val="00E57BE9"/>
    <w:rsid w:val="00E64E55"/>
    <w:rsid w:val="00E66F0D"/>
    <w:rsid w:val="00E67073"/>
    <w:rsid w:val="00E705DE"/>
    <w:rsid w:val="00EC0595"/>
    <w:rsid w:val="00EC67F5"/>
    <w:rsid w:val="00EC6F2B"/>
    <w:rsid w:val="00EF1FE5"/>
    <w:rsid w:val="00F07885"/>
    <w:rsid w:val="00F34DEE"/>
    <w:rsid w:val="00F41A5B"/>
    <w:rsid w:val="00F43F98"/>
    <w:rsid w:val="00F514B2"/>
    <w:rsid w:val="00F64118"/>
    <w:rsid w:val="00F71C55"/>
    <w:rsid w:val="00F779D4"/>
    <w:rsid w:val="00F91F53"/>
    <w:rsid w:val="00F93F38"/>
    <w:rsid w:val="00FB4345"/>
    <w:rsid w:val="00FE549A"/>
    <w:rsid w:val="00FE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59FEF30"/>
  <w15:chartTrackingRefBased/>
  <w15:docId w15:val="{1B473F1F-EE7D-4094-88A1-E381608EB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547" w:hanging="547"/>
    </w:p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55660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56098"/>
    <w:rPr>
      <w:sz w:val="16"/>
      <w:szCs w:val="16"/>
    </w:rPr>
  </w:style>
  <w:style w:type="paragraph" w:styleId="CommentText">
    <w:name w:val="annotation text"/>
    <w:basedOn w:val="Normal"/>
    <w:semiHidden/>
    <w:rsid w:val="00056098"/>
    <w:rPr>
      <w:sz w:val="20"/>
      <w:szCs w:val="20"/>
    </w:rPr>
  </w:style>
  <w:style w:type="paragraph" w:styleId="CommentSubject">
    <w:name w:val="annotation subject"/>
    <w:basedOn w:val="CommentText"/>
    <w:next w:val="CommentText"/>
    <w:semiHidden/>
    <w:rsid w:val="00056098"/>
    <w:rPr>
      <w:b/>
      <w:bCs/>
    </w:rPr>
  </w:style>
  <w:style w:type="character" w:styleId="PageNumber">
    <w:name w:val="page number"/>
    <w:basedOn w:val="DefaultParagraphFont"/>
    <w:rsid w:val="00CB5F0F"/>
  </w:style>
  <w:style w:type="character" w:customStyle="1" w:styleId="HeaderChar">
    <w:name w:val="Header Char"/>
    <w:link w:val="Header"/>
    <w:uiPriority w:val="99"/>
    <w:rsid w:val="00B62E58"/>
    <w:rPr>
      <w:sz w:val="24"/>
      <w:szCs w:val="24"/>
    </w:rPr>
  </w:style>
  <w:style w:type="character" w:styleId="Hyperlink">
    <w:name w:val="Hyperlink"/>
    <w:uiPriority w:val="99"/>
    <w:unhideWhenUsed/>
    <w:rsid w:val="00F43F98"/>
    <w:rPr>
      <w:color w:val="0000FF"/>
      <w:u w:val="single"/>
    </w:rPr>
  </w:style>
  <w:style w:type="paragraph" w:styleId="Revision">
    <w:name w:val="Revision"/>
    <w:hidden/>
    <w:uiPriority w:val="99"/>
    <w:semiHidden/>
    <w:rsid w:val="00B41483"/>
    <w:rPr>
      <w:sz w:val="24"/>
      <w:szCs w:val="24"/>
    </w:rPr>
  </w:style>
  <w:style w:type="character" w:customStyle="1" w:styleId="FooterChar">
    <w:name w:val="Footer Char"/>
    <w:link w:val="Footer"/>
    <w:uiPriority w:val="99"/>
    <w:rsid w:val="006E27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504425">
      <w:bodyDiv w:val="1"/>
      <w:marLeft w:val="0"/>
      <w:marRight w:val="0"/>
      <w:marTop w:val="0"/>
      <w:marBottom w:val="0"/>
      <w:divBdr>
        <w:top w:val="none" w:sz="0" w:space="0" w:color="auto"/>
        <w:left w:val="none" w:sz="0" w:space="0" w:color="auto"/>
        <w:bottom w:val="none" w:sz="0" w:space="0" w:color="auto"/>
        <w:right w:val="none" w:sz="0" w:space="0" w:color="auto"/>
      </w:divBdr>
    </w:div>
    <w:div w:id="1142187667">
      <w:bodyDiv w:val="1"/>
      <w:marLeft w:val="0"/>
      <w:marRight w:val="0"/>
      <w:marTop w:val="0"/>
      <w:marBottom w:val="0"/>
      <w:divBdr>
        <w:top w:val="none" w:sz="0" w:space="0" w:color="auto"/>
        <w:left w:val="none" w:sz="0" w:space="0" w:color="auto"/>
        <w:bottom w:val="none" w:sz="0" w:space="0" w:color="auto"/>
        <w:right w:val="none" w:sz="0" w:space="0" w:color="auto"/>
      </w:divBdr>
    </w:div>
    <w:div w:id="208661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dr.doleta.gov/directives/attach/UIPL/UIPL_16-19.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7" ma:contentTypeDescription="Create a new document." ma:contentTypeScope="" ma:versionID="5f70ab3c8d0499ac06e6f868ac3be6f6">
  <xsd:schema xmlns:xsd="http://www.w3.org/2001/XMLSchema" xmlns:xs="http://www.w3.org/2001/XMLSchema" xmlns:p="http://schemas.microsoft.com/office/2006/metadata/properties" xmlns:ns3="2a1ba486-ff2f-4459-80ac-1ab5aa17f82f" targetNamespace="http://schemas.microsoft.com/office/2006/metadata/properties" ma:root="true" ma:fieldsID="f0da38a44dbe00d200ff8066699976cb" ns3:_="">
    <xsd:import namespace="2a1ba486-ff2f-4459-80ac-1ab5aa17f8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08F46-0949-4BF4-87DB-21A548ADC3FE}">
  <ds:schemaRefs>
    <ds:schemaRef ds:uri="http://schemas.microsoft.com/sharepoint/v3/contenttype/forms"/>
  </ds:schemaRefs>
</ds:datastoreItem>
</file>

<file path=customXml/itemProps2.xml><?xml version="1.0" encoding="utf-8"?>
<ds:datastoreItem xmlns:ds="http://schemas.openxmlformats.org/officeDocument/2006/customXml" ds:itemID="{D07275BA-1C28-41A1-8369-D9B63EE509D1}">
  <ds:schemaRef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purl.org/dc/terms/"/>
    <ds:schemaRef ds:uri="2a1ba486-ff2f-4459-80ac-1ab5aa17f82f"/>
  </ds:schemaRefs>
</ds:datastoreItem>
</file>

<file path=customXml/itemProps3.xml><?xml version="1.0" encoding="utf-8"?>
<ds:datastoreItem xmlns:ds="http://schemas.openxmlformats.org/officeDocument/2006/customXml" ds:itemID="{161E91DB-156C-4C70-8875-3873BDE73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465027-D9EC-415D-9C30-5AAA3C5DE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2011</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MEMORANDUM FOR:</vt:lpstr>
    </vt:vector>
  </TitlesOfParts>
  <Company>Employment &amp; Training Administration</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dc:title>
  <dc:subject/>
  <dc:creator>mbright</dc:creator>
  <cp:keywords/>
  <cp:lastModifiedBy>St.Onge, Emily - ETA</cp:lastModifiedBy>
  <cp:revision>2</cp:revision>
  <cp:lastPrinted>2020-01-17T16:21:00Z</cp:lastPrinted>
  <dcterms:created xsi:type="dcterms:W3CDTF">2020-05-12T13:12:00Z</dcterms:created>
  <dcterms:modified xsi:type="dcterms:W3CDTF">2020-05-12T13:12:00Z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