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1425F" w:rsidR="00563BF6" w:rsidP="00A862DF" w:rsidRDefault="00630C56" w14:paraId="39D7E221" w14:textId="77777777">
      <w:pPr>
        <w:widowControl/>
        <w:jc w:val="center"/>
        <w:rPr>
          <w:rFonts w:ascii="Times New Roman" w:hAnsi="Times New Roman"/>
          <w:b/>
          <w:bCs/>
          <w:color w:val="000000"/>
        </w:rPr>
      </w:pPr>
      <w:bookmarkStart w:name="_GoBack" w:id="0"/>
      <w:bookmarkEnd w:id="0"/>
      <w:r w:rsidRPr="0041425F">
        <w:rPr>
          <w:rFonts w:ascii="Times New Roman" w:hAnsi="Times New Roman"/>
          <w:b/>
          <w:bCs/>
          <w:color w:val="000000"/>
        </w:rPr>
        <w:t>SUPPORTING STATEMENT</w:t>
      </w:r>
      <w:r w:rsidR="001549F5">
        <w:rPr>
          <w:rFonts w:ascii="Times New Roman" w:hAnsi="Times New Roman"/>
          <w:b/>
          <w:bCs/>
          <w:color w:val="000000"/>
        </w:rPr>
        <w:t xml:space="preserve"> </w:t>
      </w:r>
    </w:p>
    <w:p w:rsidRPr="0041425F" w:rsidR="00630C56" w:rsidP="00C05EAD" w:rsidRDefault="00FD3080" w14:paraId="2A0ACF0D" w14:textId="77777777">
      <w:pPr>
        <w:widowControl/>
        <w:jc w:val="center"/>
        <w:rPr>
          <w:rFonts w:ascii="Times New Roman" w:hAnsi="Times New Roman"/>
          <w:b/>
          <w:bCs/>
          <w:color w:val="000000"/>
        </w:rPr>
      </w:pPr>
      <w:r w:rsidRPr="0041425F">
        <w:rPr>
          <w:rFonts w:ascii="Times New Roman" w:hAnsi="Times New Roman"/>
          <w:b/>
          <w:bCs/>
          <w:color w:val="000000"/>
        </w:rPr>
        <w:t>NONMONETARY DETERMINATION</w:t>
      </w:r>
      <w:r w:rsidR="00A862DF">
        <w:rPr>
          <w:rFonts w:ascii="Times New Roman" w:hAnsi="Times New Roman"/>
          <w:b/>
          <w:bCs/>
          <w:color w:val="000000"/>
        </w:rPr>
        <w:t xml:space="preserve"> ACTIVITY</w:t>
      </w:r>
      <w:r w:rsidRPr="0041425F" w:rsidR="00630C56">
        <w:rPr>
          <w:rFonts w:ascii="Times New Roman" w:hAnsi="Times New Roman"/>
          <w:b/>
          <w:bCs/>
          <w:color w:val="000000"/>
        </w:rPr>
        <w:t xml:space="preserve"> REPORT</w:t>
      </w:r>
    </w:p>
    <w:p w:rsidRPr="0041425F" w:rsidR="00635717" w:rsidP="00C05EAD" w:rsidRDefault="00E41381" w14:paraId="7BB5EF00" w14:textId="77777777">
      <w:pPr>
        <w:widowControl/>
        <w:jc w:val="center"/>
        <w:rPr>
          <w:rFonts w:ascii="Times New Roman" w:hAnsi="Times New Roman"/>
          <w:b/>
          <w:bCs/>
          <w:color w:val="000000"/>
        </w:rPr>
      </w:pPr>
      <w:r w:rsidRPr="00E41381">
        <w:rPr>
          <w:rFonts w:ascii="Times New Roman" w:hAnsi="Times New Roman"/>
          <w:b/>
          <w:bCs/>
          <w:color w:val="000000"/>
        </w:rPr>
        <w:t xml:space="preserve">OMB </w:t>
      </w:r>
      <w:r>
        <w:rPr>
          <w:rFonts w:ascii="Times New Roman" w:hAnsi="Times New Roman"/>
          <w:b/>
          <w:bCs/>
          <w:color w:val="000000"/>
        </w:rPr>
        <w:t xml:space="preserve">Control </w:t>
      </w:r>
      <w:r w:rsidRPr="00E41381">
        <w:rPr>
          <w:rFonts w:ascii="Times New Roman" w:hAnsi="Times New Roman"/>
          <w:b/>
          <w:bCs/>
          <w:color w:val="000000"/>
        </w:rPr>
        <w:t>No. 1205-0150</w:t>
      </w:r>
    </w:p>
    <w:p w:rsidR="00630C56" w:rsidP="00172163" w:rsidRDefault="00630C56" w14:paraId="0D9EC592" w14:textId="77777777">
      <w:pPr>
        <w:widowControl/>
        <w:rPr>
          <w:rFonts w:ascii="Times New Roman" w:hAnsi="Times New Roman"/>
          <w:color w:val="000000"/>
        </w:rPr>
      </w:pPr>
    </w:p>
    <w:p w:rsidR="0088775F" w:rsidP="00172163" w:rsidRDefault="008D69CB" w14:paraId="1F0E1B2D" w14:textId="77777777">
      <w:pPr>
        <w:widowControl/>
        <w:rPr>
          <w:rFonts w:ascii="Times New Roman" w:hAnsi="Times New Roman"/>
          <w:color w:val="000000"/>
        </w:rPr>
      </w:pPr>
      <w:r>
        <w:rPr>
          <w:rFonts w:ascii="Times New Roman" w:hAnsi="Times New Roman"/>
          <w:color w:val="000000"/>
        </w:rPr>
        <w:t xml:space="preserve">The Department of Labor, Employment and Training Administration (ETA) is submitting </w:t>
      </w:r>
      <w:r w:rsidR="00EA1F82">
        <w:rPr>
          <w:rFonts w:ascii="Times New Roman" w:hAnsi="Times New Roman"/>
          <w:color w:val="000000"/>
        </w:rPr>
        <w:t>an e</w:t>
      </w:r>
      <w:r w:rsidRPr="00EA1F82" w:rsidR="00EA1F82">
        <w:rPr>
          <w:rFonts w:ascii="Times New Roman" w:hAnsi="Times New Roman"/>
          <w:color w:val="000000"/>
        </w:rPr>
        <w:t xml:space="preserve">xtension without change of </w:t>
      </w:r>
      <w:r w:rsidR="0088775F">
        <w:rPr>
          <w:rFonts w:ascii="Times New Roman" w:hAnsi="Times New Roman"/>
          <w:color w:val="000000"/>
        </w:rPr>
        <w:t>the Nonmonetary Determination Activity Report Information Collection</w:t>
      </w:r>
      <w:r w:rsidR="00EA1F82">
        <w:rPr>
          <w:rFonts w:ascii="Times New Roman" w:hAnsi="Times New Roman"/>
          <w:color w:val="000000"/>
        </w:rPr>
        <w:t xml:space="preserve"> (ETA 207)</w:t>
      </w:r>
      <w:r w:rsidR="0088775F">
        <w:rPr>
          <w:rFonts w:ascii="Times New Roman" w:hAnsi="Times New Roman"/>
          <w:color w:val="000000"/>
        </w:rPr>
        <w:t>.</w:t>
      </w:r>
    </w:p>
    <w:p w:rsidRPr="0041425F" w:rsidR="0088775F" w:rsidP="00172163" w:rsidRDefault="0088775F" w14:paraId="7B355C78" w14:textId="77777777">
      <w:pPr>
        <w:widowControl/>
        <w:rPr>
          <w:rFonts w:ascii="Times New Roman" w:hAnsi="Times New Roman"/>
          <w:color w:val="000000"/>
        </w:rPr>
      </w:pPr>
    </w:p>
    <w:p w:rsidRPr="0041425F" w:rsidR="00630C56" w:rsidP="00172163" w:rsidRDefault="00630C56" w14:paraId="4929609A" w14:textId="77777777">
      <w:pPr>
        <w:widowControl/>
        <w:rPr>
          <w:rFonts w:ascii="Times New Roman" w:hAnsi="Times New Roman"/>
          <w:color w:val="000000"/>
        </w:rPr>
      </w:pPr>
      <w:r w:rsidRPr="0041425F">
        <w:rPr>
          <w:rFonts w:ascii="Times New Roman" w:hAnsi="Times New Roman"/>
          <w:b/>
          <w:bCs/>
          <w:color w:val="000000"/>
        </w:rPr>
        <w:t xml:space="preserve">A.  </w:t>
      </w:r>
      <w:r w:rsidRPr="00CC648C">
        <w:rPr>
          <w:rFonts w:ascii="Times New Roman" w:hAnsi="Times New Roman"/>
          <w:b/>
          <w:bCs/>
          <w:color w:val="000000"/>
          <w:u w:val="single"/>
        </w:rPr>
        <w:t>Justification</w:t>
      </w:r>
      <w:r w:rsidR="00CC648C">
        <w:rPr>
          <w:rFonts w:ascii="Times New Roman" w:hAnsi="Times New Roman"/>
          <w:b/>
          <w:bCs/>
          <w:color w:val="000000"/>
          <w:u w:val="single"/>
        </w:rPr>
        <w:t>.</w:t>
      </w:r>
    </w:p>
    <w:p w:rsidRPr="0041425F" w:rsidR="00630C56" w:rsidP="00172163" w:rsidRDefault="00630C56" w14:paraId="536BDB45" w14:textId="77777777">
      <w:pPr>
        <w:widowControl/>
        <w:rPr>
          <w:rFonts w:ascii="Times New Roman" w:hAnsi="Times New Roman"/>
          <w:color w:val="000000"/>
        </w:rPr>
      </w:pPr>
    </w:p>
    <w:p w:rsidR="00DA7A30" w:rsidP="00B37551" w:rsidRDefault="00E87320" w14:paraId="6BC7D269" w14:textId="77777777">
      <w:pPr>
        <w:pStyle w:val="Style1"/>
        <w:spacing w:after="0" w:line="240" w:lineRule="auto"/>
        <w:rPr>
          <w:i/>
          <w:spacing w:val="4"/>
          <w:sz w:val="24"/>
          <w:szCs w:val="24"/>
        </w:rPr>
      </w:pPr>
      <w:r>
        <w:rPr>
          <w:i/>
          <w:spacing w:val="4"/>
          <w:sz w:val="24"/>
          <w:szCs w:val="24"/>
        </w:rPr>
        <w:t xml:space="preserve">1. </w:t>
      </w:r>
      <w:r w:rsidRPr="00690FC5" w:rsidR="00E41381">
        <w:rPr>
          <w:i/>
          <w:spacing w:val="4"/>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E41381">
        <w:rPr>
          <w:i/>
          <w:spacing w:val="4"/>
          <w:sz w:val="24"/>
          <w:szCs w:val="24"/>
        </w:rPr>
        <w:t xml:space="preserve">  </w:t>
      </w:r>
    </w:p>
    <w:p w:rsidRPr="00A862DF" w:rsidR="00B37551" w:rsidP="00B37551" w:rsidRDefault="00B37551" w14:paraId="6BDFF902" w14:textId="77777777">
      <w:pPr>
        <w:pStyle w:val="Style1"/>
        <w:spacing w:after="0" w:line="240" w:lineRule="auto"/>
        <w:rPr>
          <w:i/>
          <w:spacing w:val="4"/>
          <w:sz w:val="24"/>
          <w:szCs w:val="24"/>
        </w:rPr>
      </w:pPr>
    </w:p>
    <w:p w:rsidR="00D23629" w:rsidP="00B37551" w:rsidRDefault="00D23629" w14:paraId="0A60AD1A" w14:textId="77777777">
      <w:pPr>
        <w:widowControl/>
        <w:rPr>
          <w:rFonts w:ascii="Times New Roman" w:hAnsi="Times New Roman"/>
          <w:color w:val="000000"/>
        </w:rPr>
      </w:pPr>
      <w:r w:rsidRPr="00D23629">
        <w:rPr>
          <w:rFonts w:ascii="Times New Roman" w:hAnsi="Times New Roman"/>
          <w:color w:val="000000"/>
        </w:rPr>
        <w:t xml:space="preserve">The data reported on the ETA 207 provides current information on the volume and nature of nonmonetary determinations and denials under state </w:t>
      </w:r>
      <w:r w:rsidR="001E0388">
        <w:rPr>
          <w:rFonts w:ascii="Times New Roman" w:hAnsi="Times New Roman"/>
          <w:color w:val="000000"/>
        </w:rPr>
        <w:t>Unemployment Insurance (</w:t>
      </w:r>
      <w:r w:rsidRPr="00D23629">
        <w:rPr>
          <w:rFonts w:ascii="Times New Roman" w:hAnsi="Times New Roman"/>
          <w:color w:val="000000"/>
        </w:rPr>
        <w:t>UI</w:t>
      </w:r>
      <w:r w:rsidR="001E0388">
        <w:rPr>
          <w:rFonts w:ascii="Times New Roman" w:hAnsi="Times New Roman"/>
          <w:color w:val="000000"/>
        </w:rPr>
        <w:t>)</w:t>
      </w:r>
      <w:r w:rsidRPr="00D23629">
        <w:rPr>
          <w:rFonts w:ascii="Times New Roman" w:hAnsi="Times New Roman"/>
          <w:color w:val="000000"/>
        </w:rPr>
        <w:t xml:space="preserve"> and </w:t>
      </w:r>
      <w:r w:rsidR="001E0388">
        <w:rPr>
          <w:rFonts w:ascii="Times New Roman" w:hAnsi="Times New Roman"/>
          <w:color w:val="000000"/>
        </w:rPr>
        <w:t xml:space="preserve">Unemployment Compensation for </w:t>
      </w:r>
      <w:r w:rsidRPr="00D23629">
        <w:rPr>
          <w:rFonts w:ascii="Times New Roman" w:hAnsi="Times New Roman"/>
          <w:color w:val="000000"/>
        </w:rPr>
        <w:t xml:space="preserve">Federal </w:t>
      </w:r>
      <w:r w:rsidR="001E0388">
        <w:rPr>
          <w:rFonts w:ascii="Times New Roman" w:hAnsi="Times New Roman"/>
          <w:color w:val="000000"/>
        </w:rPr>
        <w:t>Employees (</w:t>
      </w:r>
      <w:r w:rsidRPr="00D23629">
        <w:rPr>
          <w:rFonts w:ascii="Times New Roman" w:hAnsi="Times New Roman"/>
          <w:color w:val="000000"/>
        </w:rPr>
        <w:t>UCFE</w:t>
      </w:r>
      <w:r w:rsidR="001E0388">
        <w:rPr>
          <w:rFonts w:ascii="Times New Roman" w:hAnsi="Times New Roman"/>
          <w:color w:val="000000"/>
        </w:rPr>
        <w:t>),</w:t>
      </w:r>
      <w:r w:rsidRPr="00D23629">
        <w:rPr>
          <w:rFonts w:ascii="Times New Roman" w:hAnsi="Times New Roman"/>
          <w:color w:val="000000"/>
        </w:rPr>
        <w:t xml:space="preserve"> and </w:t>
      </w:r>
      <w:r w:rsidR="001E0388">
        <w:rPr>
          <w:rFonts w:ascii="Times New Roman" w:hAnsi="Times New Roman"/>
          <w:color w:val="000000"/>
        </w:rPr>
        <w:t>Unemployment Compensation for Ex-Service Members (</w:t>
      </w:r>
      <w:r w:rsidRPr="00D23629">
        <w:rPr>
          <w:rFonts w:ascii="Times New Roman" w:hAnsi="Times New Roman"/>
          <w:color w:val="000000"/>
        </w:rPr>
        <w:t>UCX</w:t>
      </w:r>
      <w:r w:rsidR="001E0388">
        <w:rPr>
          <w:rFonts w:ascii="Times New Roman" w:hAnsi="Times New Roman"/>
          <w:color w:val="000000"/>
        </w:rPr>
        <w:t>)</w:t>
      </w:r>
      <w:r w:rsidRPr="00D23629">
        <w:rPr>
          <w:rFonts w:ascii="Times New Roman" w:hAnsi="Times New Roman"/>
          <w:color w:val="000000"/>
        </w:rPr>
        <w:t xml:space="preserve"> </w:t>
      </w:r>
      <w:r>
        <w:rPr>
          <w:rFonts w:ascii="Times New Roman" w:hAnsi="Times New Roman"/>
          <w:color w:val="000000"/>
        </w:rPr>
        <w:t>programs</w:t>
      </w:r>
      <w:r w:rsidRPr="00D23629">
        <w:rPr>
          <w:rFonts w:ascii="Times New Roman" w:hAnsi="Times New Roman"/>
          <w:color w:val="000000"/>
        </w:rPr>
        <w:t xml:space="preserve">.  </w:t>
      </w:r>
    </w:p>
    <w:p w:rsidR="00D23629" w:rsidP="00B37551" w:rsidRDefault="00D23629" w14:paraId="39DD7D29" w14:textId="77777777">
      <w:pPr>
        <w:widowControl/>
        <w:rPr>
          <w:rFonts w:ascii="Times New Roman" w:hAnsi="Times New Roman"/>
          <w:color w:val="000000"/>
        </w:rPr>
      </w:pPr>
    </w:p>
    <w:p w:rsidRPr="0041425F" w:rsidR="004B2E58" w:rsidP="00B37551" w:rsidRDefault="004B2E58" w14:paraId="01176903" w14:textId="77777777">
      <w:pPr>
        <w:widowControl/>
        <w:rPr>
          <w:rFonts w:ascii="Times New Roman" w:hAnsi="Times New Roman"/>
          <w:color w:val="000000"/>
        </w:rPr>
      </w:pPr>
      <w:r w:rsidRPr="0041425F">
        <w:rPr>
          <w:rFonts w:ascii="Times New Roman" w:hAnsi="Times New Roman"/>
          <w:color w:val="000000"/>
        </w:rPr>
        <w:t>Claimants for unemployment insurance may be denied their</w:t>
      </w:r>
      <w:r w:rsidRPr="0041425F" w:rsidR="00635717">
        <w:rPr>
          <w:rFonts w:ascii="Times New Roman" w:hAnsi="Times New Roman"/>
          <w:color w:val="000000"/>
        </w:rPr>
        <w:t xml:space="preserve"> </w:t>
      </w:r>
      <w:r w:rsidRPr="0041425F">
        <w:rPr>
          <w:rFonts w:ascii="Times New Roman" w:hAnsi="Times New Roman"/>
          <w:color w:val="000000"/>
        </w:rPr>
        <w:t>benefits for reasons associated with their separ</w:t>
      </w:r>
      <w:r w:rsidRPr="0041425F" w:rsidR="00F93C54">
        <w:rPr>
          <w:rFonts w:ascii="Times New Roman" w:hAnsi="Times New Roman"/>
          <w:color w:val="000000"/>
        </w:rPr>
        <w:t xml:space="preserve">ation </w:t>
      </w:r>
      <w:r w:rsidRPr="0041425F">
        <w:rPr>
          <w:rFonts w:ascii="Times New Roman" w:hAnsi="Times New Roman"/>
          <w:color w:val="000000"/>
        </w:rPr>
        <w:t>from employment, such as voluntar</w:t>
      </w:r>
      <w:r w:rsidR="00EA1F82">
        <w:rPr>
          <w:rFonts w:ascii="Times New Roman" w:hAnsi="Times New Roman"/>
          <w:color w:val="000000"/>
        </w:rPr>
        <w:t>il</w:t>
      </w:r>
      <w:r w:rsidRPr="0041425F">
        <w:rPr>
          <w:rFonts w:ascii="Times New Roman" w:hAnsi="Times New Roman"/>
          <w:color w:val="000000"/>
        </w:rPr>
        <w:t>y quit</w:t>
      </w:r>
      <w:r w:rsidR="00EA1F82">
        <w:rPr>
          <w:rFonts w:ascii="Times New Roman" w:hAnsi="Times New Roman"/>
          <w:color w:val="000000"/>
        </w:rPr>
        <w:t>ting</w:t>
      </w:r>
      <w:r w:rsidRPr="0041425F">
        <w:rPr>
          <w:rFonts w:ascii="Times New Roman" w:hAnsi="Times New Roman"/>
          <w:color w:val="000000"/>
        </w:rPr>
        <w:t xml:space="preserve">, questions of continuing eligibility, </w:t>
      </w:r>
      <w:r w:rsidR="00EA1F82">
        <w:rPr>
          <w:rFonts w:ascii="Times New Roman" w:hAnsi="Times New Roman"/>
          <w:color w:val="000000"/>
        </w:rPr>
        <w:t>or</w:t>
      </w:r>
      <w:r w:rsidRPr="0041425F">
        <w:rPr>
          <w:rFonts w:ascii="Times New Roman" w:hAnsi="Times New Roman"/>
          <w:color w:val="000000"/>
        </w:rPr>
        <w:t xml:space="preserve"> refusal of suitable work. </w:t>
      </w:r>
      <w:r w:rsidRPr="0041425F" w:rsidR="00F91FDF">
        <w:rPr>
          <w:rFonts w:ascii="Times New Roman" w:hAnsi="Times New Roman"/>
          <w:color w:val="000000"/>
        </w:rPr>
        <w:t xml:space="preserve"> </w:t>
      </w:r>
      <w:r w:rsidRPr="0041425F">
        <w:rPr>
          <w:rFonts w:ascii="Times New Roman" w:hAnsi="Times New Roman"/>
          <w:color w:val="000000"/>
        </w:rPr>
        <w:t>Th</w:t>
      </w:r>
      <w:r w:rsidRPr="0041425F" w:rsidR="002A262B">
        <w:rPr>
          <w:rFonts w:ascii="Times New Roman" w:hAnsi="Times New Roman"/>
          <w:color w:val="000000"/>
        </w:rPr>
        <w:t>ese</w:t>
      </w:r>
      <w:r w:rsidRPr="0041425F">
        <w:rPr>
          <w:rFonts w:ascii="Times New Roman" w:hAnsi="Times New Roman"/>
          <w:color w:val="000000"/>
        </w:rPr>
        <w:t xml:space="preserve"> data </w:t>
      </w:r>
      <w:r w:rsidRPr="0041425F" w:rsidR="002A262B">
        <w:rPr>
          <w:rFonts w:ascii="Times New Roman" w:hAnsi="Times New Roman"/>
          <w:color w:val="000000"/>
        </w:rPr>
        <w:t>are</w:t>
      </w:r>
      <w:r w:rsidRPr="0041425F">
        <w:rPr>
          <w:rFonts w:ascii="Times New Roman" w:hAnsi="Times New Roman"/>
          <w:color w:val="000000"/>
        </w:rPr>
        <w:t xml:space="preserve"> a byproduct of the normal program operations. </w:t>
      </w:r>
      <w:r w:rsidRPr="0041425F" w:rsidR="00FC02F6">
        <w:rPr>
          <w:rFonts w:ascii="Times New Roman" w:hAnsi="Times New Roman"/>
          <w:color w:val="000000"/>
        </w:rPr>
        <w:t xml:space="preserve"> </w:t>
      </w:r>
      <w:r w:rsidRPr="0041425F">
        <w:rPr>
          <w:rFonts w:ascii="Times New Roman" w:hAnsi="Times New Roman"/>
          <w:color w:val="000000"/>
        </w:rPr>
        <w:t>The ETA 207 report contains state d</w:t>
      </w:r>
      <w:r w:rsidRPr="0041425F" w:rsidR="00F93C54">
        <w:rPr>
          <w:rFonts w:ascii="Times New Roman" w:hAnsi="Times New Roman"/>
          <w:color w:val="000000"/>
        </w:rPr>
        <w:t xml:space="preserve">ata on the number and types of </w:t>
      </w:r>
      <w:r w:rsidRPr="0041425F">
        <w:rPr>
          <w:rFonts w:ascii="Times New Roman" w:hAnsi="Times New Roman"/>
          <w:color w:val="000000"/>
        </w:rPr>
        <w:t>issues that arise and on the denials of benefits that may result.</w:t>
      </w:r>
      <w:r w:rsidR="00D85B3B">
        <w:rPr>
          <w:rFonts w:ascii="Times New Roman" w:hAnsi="Times New Roman"/>
          <w:color w:val="000000"/>
        </w:rPr>
        <w:t xml:space="preserve"> </w:t>
      </w:r>
    </w:p>
    <w:p w:rsidRPr="0041425F" w:rsidR="00630C56" w:rsidP="00B37551" w:rsidRDefault="00630C56" w14:paraId="7A2446C4" w14:textId="77777777">
      <w:pPr>
        <w:widowControl/>
        <w:rPr>
          <w:rFonts w:ascii="Times New Roman" w:hAnsi="Times New Roman"/>
          <w:color w:val="000000"/>
        </w:rPr>
      </w:pPr>
    </w:p>
    <w:p w:rsidRPr="0041425F" w:rsidR="00FD3080" w:rsidP="00B37551" w:rsidRDefault="00FD3080" w14:paraId="5CBBD3A0" w14:textId="3AAD6060">
      <w:pPr>
        <w:widowControl/>
        <w:rPr>
          <w:rFonts w:ascii="Times New Roman" w:hAnsi="Times New Roman"/>
          <w:color w:val="000000"/>
        </w:rPr>
      </w:pPr>
      <w:r w:rsidRPr="0041425F">
        <w:rPr>
          <w:rFonts w:ascii="Times New Roman" w:hAnsi="Times New Roman"/>
          <w:color w:val="000000"/>
        </w:rPr>
        <w:t>This collection is authorized under the Social Security Act, Section 303(a)</w:t>
      </w:r>
      <w:r w:rsidRPr="0041425F" w:rsidR="00F276D5">
        <w:rPr>
          <w:rFonts w:ascii="Times New Roman" w:hAnsi="Times New Roman"/>
          <w:color w:val="000000"/>
        </w:rPr>
        <w:t>(</w:t>
      </w:r>
      <w:r w:rsidRPr="0041425F">
        <w:rPr>
          <w:rFonts w:ascii="Times New Roman" w:hAnsi="Times New Roman"/>
          <w:color w:val="000000"/>
        </w:rPr>
        <w:t>6)</w:t>
      </w:r>
      <w:r w:rsidR="006610A7">
        <w:rPr>
          <w:rFonts w:ascii="Times New Roman" w:hAnsi="Times New Roman"/>
          <w:color w:val="000000"/>
        </w:rPr>
        <w:t xml:space="preserve"> </w:t>
      </w:r>
      <w:r w:rsidRPr="006610A7" w:rsidR="006610A7">
        <w:rPr>
          <w:rFonts w:ascii="Times New Roman" w:hAnsi="Times New Roman"/>
          <w:color w:val="000000"/>
        </w:rPr>
        <w:t xml:space="preserve">and </w:t>
      </w:r>
      <w:r w:rsidRPr="006610A7" w:rsidR="006610A7">
        <w:rPr>
          <w:rFonts w:ascii="Times New Roman" w:hAnsi="Times New Roman"/>
        </w:rPr>
        <w:t>42 U.S.C. 503(a)(6)</w:t>
      </w:r>
      <w:r w:rsidRPr="006610A7">
        <w:rPr>
          <w:rFonts w:ascii="Times New Roman" w:hAnsi="Times New Roman"/>
          <w:color w:val="000000"/>
        </w:rPr>
        <w:t xml:space="preserve">. </w:t>
      </w:r>
    </w:p>
    <w:p w:rsidRPr="0041425F" w:rsidR="00630C56" w:rsidP="00B37551" w:rsidRDefault="00630C56" w14:paraId="2CB28142" w14:textId="77777777">
      <w:pPr>
        <w:widowControl/>
        <w:rPr>
          <w:rFonts w:ascii="Times New Roman" w:hAnsi="Times New Roman"/>
          <w:color w:val="000000"/>
        </w:rPr>
      </w:pPr>
    </w:p>
    <w:p w:rsidRPr="00E41381" w:rsidR="00E41381" w:rsidP="00B37551" w:rsidRDefault="00E87320" w14:paraId="57159C8A" w14:textId="77777777">
      <w:pPr>
        <w:widowControl/>
        <w:autoSpaceDE/>
        <w:autoSpaceDN/>
        <w:adjustRightInd/>
        <w:rPr>
          <w:rFonts w:ascii="Times New Roman" w:hAnsi="Times New Roman"/>
          <w:i/>
          <w:color w:val="000000"/>
          <w:spacing w:val="16"/>
        </w:rPr>
      </w:pPr>
      <w:r>
        <w:rPr>
          <w:rFonts w:ascii="Times New Roman" w:hAnsi="Times New Roman"/>
          <w:i/>
        </w:rPr>
        <w:t xml:space="preserve">2. </w:t>
      </w:r>
      <w:r w:rsidRPr="00A862DF" w:rsidR="00A862DF">
        <w:rPr>
          <w:rFonts w:ascii="Times New Roman" w:hAnsi="Times New Roman"/>
          <w:i/>
        </w:rPr>
        <w:t>Indicate how, by whom, and for what purpose the information is to be used.  Except for a new collection, indicate the actual use the agency has made of the information received from the current collection.</w:t>
      </w:r>
    </w:p>
    <w:p w:rsidRPr="0041425F" w:rsidR="00D23629" w:rsidP="00B37551" w:rsidRDefault="00A862DF" w14:paraId="7323329F" w14:textId="77777777">
      <w:pPr>
        <w:widowControl/>
        <w:tabs>
          <w:tab w:val="left" w:pos="-1440"/>
        </w:tabs>
        <w:rPr>
          <w:rFonts w:ascii="Times New Roman" w:hAnsi="Times New Roman"/>
          <w:color w:val="000000"/>
        </w:rPr>
      </w:pPr>
      <w:r>
        <w:rPr>
          <w:rFonts w:ascii="Times New Roman" w:hAnsi="Times New Roman"/>
          <w:color w:val="000000"/>
        </w:rPr>
        <w:t xml:space="preserve"> </w:t>
      </w:r>
    </w:p>
    <w:p w:rsidR="00BB7000" w:rsidP="00B37551" w:rsidRDefault="00BB7000" w14:paraId="2859EB75" w14:textId="77777777">
      <w:pPr>
        <w:widowControl/>
        <w:tabs>
          <w:tab w:val="left" w:pos="-1440"/>
        </w:tabs>
        <w:rPr>
          <w:rFonts w:ascii="Times New Roman" w:hAnsi="Times New Roman"/>
          <w:color w:val="000000"/>
        </w:rPr>
      </w:pPr>
      <w:r w:rsidRPr="0041425F">
        <w:rPr>
          <w:rFonts w:ascii="Times New Roman" w:hAnsi="Times New Roman"/>
          <w:color w:val="000000"/>
        </w:rPr>
        <w:t xml:space="preserve">These data are used by the Office of Unemployment Insurance (OUI) to determine workload counts, to enable the OUI to evaluate the adequacy and effectiveness of adjudication determination procedures, and to evaluate the impact of state and Federal legislation with respect to disqualifications.  They are also used for general statistical purposes.  </w:t>
      </w:r>
      <w:r w:rsidR="004460B0">
        <w:rPr>
          <w:rFonts w:ascii="Times New Roman" w:hAnsi="Times New Roman"/>
          <w:color w:val="000000"/>
        </w:rPr>
        <w:t>For instance, t</w:t>
      </w:r>
      <w:r w:rsidR="00F768CD">
        <w:rPr>
          <w:rFonts w:ascii="Times New Roman" w:hAnsi="Times New Roman"/>
          <w:color w:val="000000"/>
        </w:rPr>
        <w:t xml:space="preserve">hese data </w:t>
      </w:r>
      <w:r w:rsidR="004460B0">
        <w:rPr>
          <w:rFonts w:ascii="Times New Roman" w:hAnsi="Times New Roman"/>
          <w:color w:val="000000"/>
        </w:rPr>
        <w:t>are</w:t>
      </w:r>
      <w:r w:rsidR="00F768CD">
        <w:rPr>
          <w:rFonts w:ascii="Times New Roman" w:hAnsi="Times New Roman"/>
          <w:color w:val="000000"/>
        </w:rPr>
        <w:t xml:space="preserve"> used to</w:t>
      </w:r>
      <w:r w:rsidR="00BA5BA6">
        <w:rPr>
          <w:rFonts w:ascii="Times New Roman" w:hAnsi="Times New Roman"/>
          <w:color w:val="000000"/>
        </w:rPr>
        <w:t xml:space="preserve"> compute ratios of nonmonetary determinations resulting in disqualific</w:t>
      </w:r>
      <w:r w:rsidR="004460B0">
        <w:rPr>
          <w:rFonts w:ascii="Times New Roman" w:hAnsi="Times New Roman"/>
          <w:color w:val="000000"/>
        </w:rPr>
        <w:t>ations, as well as measures reflecting the distributions of nonmonetary determinations by the eligibility issues involved</w:t>
      </w:r>
      <w:r w:rsidR="00F768CD">
        <w:rPr>
          <w:rFonts w:ascii="Times New Roman" w:hAnsi="Times New Roman"/>
          <w:color w:val="000000"/>
        </w:rPr>
        <w:t xml:space="preserve">.  </w:t>
      </w:r>
      <w:r w:rsidRPr="0041425F">
        <w:rPr>
          <w:rFonts w:ascii="Times New Roman" w:hAnsi="Times New Roman"/>
          <w:color w:val="000000"/>
        </w:rPr>
        <w:t>No similar data are available from other sources.</w:t>
      </w:r>
    </w:p>
    <w:p w:rsidRPr="0041425F" w:rsidR="00D23629" w:rsidP="00B37551" w:rsidRDefault="00D23629" w14:paraId="1CAABE59" w14:textId="77777777">
      <w:pPr>
        <w:widowControl/>
        <w:tabs>
          <w:tab w:val="left" w:pos="-1440"/>
        </w:tabs>
        <w:rPr>
          <w:rFonts w:ascii="Times New Roman" w:hAnsi="Times New Roman"/>
          <w:color w:val="000000"/>
        </w:rPr>
      </w:pPr>
    </w:p>
    <w:p w:rsidRPr="0041425F" w:rsidR="004B2E58" w:rsidP="00B37551" w:rsidRDefault="00121BBC" w14:paraId="5D5523D0" w14:textId="77777777">
      <w:pPr>
        <w:widowControl/>
        <w:tabs>
          <w:tab w:val="left" w:pos="-1440"/>
        </w:tabs>
        <w:rPr>
          <w:rFonts w:ascii="Times New Roman" w:hAnsi="Times New Roman"/>
          <w:color w:val="000000"/>
        </w:rPr>
      </w:pPr>
      <w:r w:rsidRPr="0041425F">
        <w:rPr>
          <w:rFonts w:ascii="Times New Roman" w:hAnsi="Times New Roman"/>
          <w:color w:val="000000"/>
        </w:rPr>
        <w:t>W</w:t>
      </w:r>
      <w:r w:rsidRPr="0041425F" w:rsidR="004B2E58">
        <w:rPr>
          <w:rFonts w:ascii="Times New Roman" w:hAnsi="Times New Roman"/>
          <w:color w:val="000000"/>
        </w:rPr>
        <w:t xml:space="preserve">orkload counts are an input for funding states for administrative costs.  Comparative figures among states give the </w:t>
      </w:r>
      <w:r w:rsidRPr="0041425F" w:rsidR="000C25B2">
        <w:rPr>
          <w:rFonts w:ascii="Times New Roman" w:hAnsi="Times New Roman"/>
          <w:color w:val="000000"/>
        </w:rPr>
        <w:t xml:space="preserve">ETA </w:t>
      </w:r>
      <w:r w:rsidRPr="0041425F" w:rsidR="004B2E58">
        <w:rPr>
          <w:rFonts w:ascii="Times New Roman" w:hAnsi="Times New Roman"/>
          <w:color w:val="000000"/>
        </w:rPr>
        <w:t xml:space="preserve">National Office information about </w:t>
      </w:r>
      <w:r w:rsidRPr="0041425F" w:rsidR="007934DB">
        <w:rPr>
          <w:rFonts w:ascii="Times New Roman" w:hAnsi="Times New Roman"/>
          <w:color w:val="000000"/>
        </w:rPr>
        <w:t>the effectiveness of</w:t>
      </w:r>
      <w:r w:rsidRPr="0041425F" w:rsidR="004B2E58">
        <w:rPr>
          <w:rFonts w:ascii="Times New Roman" w:hAnsi="Times New Roman"/>
          <w:color w:val="000000"/>
        </w:rPr>
        <w:t xml:space="preserve"> the various state provisions and or administrative procedures in carrying out the program.  Combined with information from the ETA 5130 (OMB No. 1205-0172) and the ETA 227 (OMB No. 1205-0173), individual state programs and legal provisions can be evaluated as to effectiveness.</w:t>
      </w:r>
    </w:p>
    <w:p w:rsidRPr="0041425F" w:rsidR="004B2E58" w:rsidP="00B37551" w:rsidRDefault="004B2E58" w14:paraId="264BC758" w14:textId="77777777">
      <w:pPr>
        <w:widowControl/>
        <w:rPr>
          <w:rFonts w:ascii="Times New Roman" w:hAnsi="Times New Roman"/>
          <w:color w:val="000000"/>
        </w:rPr>
      </w:pPr>
    </w:p>
    <w:p w:rsidRPr="0041425F" w:rsidR="004B2E58" w:rsidP="00B37551" w:rsidRDefault="004B2E58" w14:paraId="442B3A35" w14:textId="77777777">
      <w:pPr>
        <w:widowControl/>
        <w:rPr>
          <w:rFonts w:ascii="Times New Roman" w:hAnsi="Times New Roman"/>
          <w:color w:val="000000"/>
        </w:rPr>
      </w:pPr>
      <w:r w:rsidRPr="0041425F">
        <w:rPr>
          <w:rFonts w:ascii="Times New Roman" w:hAnsi="Times New Roman"/>
          <w:color w:val="000000"/>
        </w:rPr>
        <w:t>Without this information</w:t>
      </w:r>
      <w:r w:rsidRPr="0041425F" w:rsidR="00FC02F6">
        <w:rPr>
          <w:rFonts w:ascii="Times New Roman" w:hAnsi="Times New Roman"/>
          <w:color w:val="000000"/>
        </w:rPr>
        <w:t>,</w:t>
      </w:r>
      <w:r w:rsidRPr="0041425F">
        <w:rPr>
          <w:rFonts w:ascii="Times New Roman" w:hAnsi="Times New Roman"/>
          <w:color w:val="000000"/>
        </w:rPr>
        <w:t xml:space="preserve"> the National Office would not be able to evaluate state performance in the adjudication area on an ongoing basis and it would not ha</w:t>
      </w:r>
      <w:r w:rsidR="00617EC4">
        <w:rPr>
          <w:rFonts w:ascii="Times New Roman" w:hAnsi="Times New Roman"/>
          <w:color w:val="000000"/>
        </w:rPr>
        <w:t xml:space="preserve">ve one of the key inputs to the </w:t>
      </w:r>
      <w:r w:rsidRPr="0041425F">
        <w:rPr>
          <w:rFonts w:ascii="Times New Roman" w:hAnsi="Times New Roman"/>
          <w:color w:val="000000"/>
        </w:rPr>
        <w:t>administrative funding process.</w:t>
      </w:r>
    </w:p>
    <w:p w:rsidRPr="0041425F" w:rsidR="00630C56" w:rsidP="00B37551" w:rsidRDefault="00630C56" w14:paraId="4964E8C8" w14:textId="77777777">
      <w:pPr>
        <w:widowControl/>
        <w:rPr>
          <w:rFonts w:ascii="Times New Roman" w:hAnsi="Times New Roman"/>
          <w:color w:val="000000"/>
        </w:rPr>
      </w:pPr>
    </w:p>
    <w:p w:rsidRPr="00E41381" w:rsidR="00E41381" w:rsidP="00B37551" w:rsidRDefault="00E87320" w14:paraId="3F431F37" w14:textId="77777777">
      <w:pPr>
        <w:widowControl/>
        <w:autoSpaceDE/>
        <w:autoSpaceDN/>
        <w:adjustRightInd/>
        <w:rPr>
          <w:rFonts w:ascii="Times New Roman" w:hAnsi="Times New Roman"/>
          <w:i/>
          <w:color w:val="000000"/>
        </w:rPr>
      </w:pPr>
      <w:r>
        <w:rPr>
          <w:rFonts w:ascii="Times New Roman" w:hAnsi="Times New Roman"/>
          <w:i/>
          <w:color w:val="000000"/>
        </w:rPr>
        <w:t xml:space="preserve">3. </w:t>
      </w:r>
      <w:r w:rsidRPr="00E41381" w:rsidR="00E41381">
        <w:rPr>
          <w:rFonts w:ascii="Times New Roman" w:hAnsi="Times New Roman"/>
          <w:i/>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41425F" w:rsidR="00DA7A30" w:rsidP="00B37551" w:rsidRDefault="00DA7A30" w14:paraId="0D1163AA" w14:textId="77777777">
      <w:pPr>
        <w:widowControl/>
        <w:rPr>
          <w:rFonts w:ascii="Times New Roman" w:hAnsi="Times New Roman"/>
          <w:color w:val="000000"/>
        </w:rPr>
      </w:pPr>
    </w:p>
    <w:p w:rsidRPr="0041425F" w:rsidR="004B2E58" w:rsidP="00B37551" w:rsidRDefault="004B2E58" w14:paraId="6F292CB3" w14:textId="77777777">
      <w:pPr>
        <w:widowControl/>
        <w:rPr>
          <w:rFonts w:ascii="Times New Roman" w:hAnsi="Times New Roman"/>
          <w:color w:val="000000"/>
        </w:rPr>
      </w:pPr>
      <w:r w:rsidRPr="0041425F">
        <w:rPr>
          <w:rFonts w:ascii="Times New Roman" w:hAnsi="Times New Roman"/>
          <w:color w:val="000000"/>
        </w:rPr>
        <w:t>As with most UI reports, the ETA 207 is a part of an electronic reporting system through which State Workforce Agencies</w:t>
      </w:r>
      <w:r w:rsidR="00255F02">
        <w:rPr>
          <w:rFonts w:ascii="Times New Roman" w:hAnsi="Times New Roman"/>
          <w:color w:val="000000"/>
        </w:rPr>
        <w:t xml:space="preserve"> (SWA)</w:t>
      </w:r>
      <w:r w:rsidRPr="0041425F">
        <w:rPr>
          <w:rFonts w:ascii="Times New Roman" w:hAnsi="Times New Roman"/>
          <w:color w:val="000000"/>
        </w:rPr>
        <w:t xml:space="preserve"> enter and transmit data to the National Office.  States have the option of creating a file on</w:t>
      </w:r>
      <w:r w:rsidRPr="0041425F" w:rsidR="00B831F1">
        <w:rPr>
          <w:rFonts w:ascii="Times New Roman" w:hAnsi="Times New Roman"/>
          <w:color w:val="000000"/>
        </w:rPr>
        <w:t xml:space="preserve"> </w:t>
      </w:r>
      <w:r w:rsidRPr="0041425F">
        <w:rPr>
          <w:rFonts w:ascii="Times New Roman" w:hAnsi="Times New Roman"/>
          <w:color w:val="000000"/>
        </w:rPr>
        <w:t>their own computer system and uploading it to the UI system to eliminate hand keying and the potential for errors that go along with it.</w:t>
      </w:r>
    </w:p>
    <w:p w:rsidRPr="0041425F" w:rsidR="00630C56" w:rsidP="00B37551" w:rsidRDefault="00630C56" w14:paraId="19A4B4DC" w14:textId="77777777">
      <w:pPr>
        <w:widowControl/>
        <w:tabs>
          <w:tab w:val="left" w:pos="-1440"/>
        </w:tabs>
        <w:ind w:left="720" w:hanging="720"/>
        <w:rPr>
          <w:rFonts w:ascii="Times New Roman" w:hAnsi="Times New Roman"/>
          <w:color w:val="000000"/>
        </w:rPr>
      </w:pPr>
    </w:p>
    <w:p w:rsidRPr="00E41381" w:rsidR="00E41381" w:rsidP="00B37551" w:rsidRDefault="00E87320" w14:paraId="5EBB09B4" w14:textId="77777777">
      <w:pPr>
        <w:widowControl/>
        <w:autoSpaceDE/>
        <w:autoSpaceDN/>
        <w:adjustRightInd/>
        <w:rPr>
          <w:rFonts w:ascii="Times New Roman" w:hAnsi="Times New Roman"/>
          <w:i/>
          <w:color w:val="000000"/>
        </w:rPr>
      </w:pPr>
      <w:r>
        <w:rPr>
          <w:rFonts w:ascii="Times New Roman" w:hAnsi="Times New Roman"/>
          <w:i/>
          <w:color w:val="000000"/>
        </w:rPr>
        <w:t xml:space="preserve">4. </w:t>
      </w:r>
      <w:r w:rsidRPr="00E41381" w:rsidR="00E41381">
        <w:rPr>
          <w:rFonts w:ascii="Times New Roman" w:hAnsi="Times New Roman"/>
          <w:i/>
          <w:color w:val="000000"/>
        </w:rPr>
        <w:t>Describe efforts to identify duplication.  Show specifically why any similar information already available cannot be used or modified for use for the purposes described in Item 2 above.</w:t>
      </w:r>
    </w:p>
    <w:p w:rsidRPr="0041425F" w:rsidR="00C50239" w:rsidP="00B37551" w:rsidRDefault="00C50239" w14:paraId="4870178E" w14:textId="77777777">
      <w:pPr>
        <w:widowControl/>
        <w:tabs>
          <w:tab w:val="left" w:pos="-1440"/>
        </w:tabs>
        <w:rPr>
          <w:rFonts w:ascii="Times New Roman" w:hAnsi="Times New Roman"/>
          <w:b/>
          <w:bCs/>
          <w:color w:val="000000"/>
        </w:rPr>
      </w:pPr>
    </w:p>
    <w:p w:rsidRPr="0041425F" w:rsidR="00630C56" w:rsidP="00B37551" w:rsidRDefault="00630C56" w14:paraId="0F448246" w14:textId="77777777">
      <w:pPr>
        <w:widowControl/>
        <w:tabs>
          <w:tab w:val="left" w:pos="-1440"/>
        </w:tabs>
        <w:rPr>
          <w:rFonts w:ascii="Times New Roman" w:hAnsi="Times New Roman"/>
          <w:color w:val="000000"/>
        </w:rPr>
      </w:pPr>
      <w:r w:rsidRPr="0041425F">
        <w:rPr>
          <w:rFonts w:ascii="Times New Roman" w:hAnsi="Times New Roman"/>
          <w:color w:val="000000"/>
        </w:rPr>
        <w:t>There is no other source for this information.</w:t>
      </w:r>
    </w:p>
    <w:p w:rsidRPr="0041425F" w:rsidR="00630C56" w:rsidP="00B37551" w:rsidRDefault="00630C56" w14:paraId="5246692E" w14:textId="77777777">
      <w:pPr>
        <w:widowControl/>
        <w:rPr>
          <w:rFonts w:ascii="Times New Roman" w:hAnsi="Times New Roman"/>
          <w:color w:val="000000"/>
        </w:rPr>
      </w:pPr>
    </w:p>
    <w:p w:rsidR="00C50239" w:rsidP="00B37551" w:rsidRDefault="00E87320" w14:paraId="723DFAED" w14:textId="77777777">
      <w:pPr>
        <w:pStyle w:val="Style1"/>
        <w:spacing w:after="0" w:line="240" w:lineRule="auto"/>
        <w:rPr>
          <w:i/>
          <w:spacing w:val="4"/>
          <w:sz w:val="24"/>
          <w:szCs w:val="24"/>
        </w:rPr>
      </w:pPr>
      <w:r>
        <w:rPr>
          <w:i/>
          <w:spacing w:val="4"/>
          <w:sz w:val="24"/>
          <w:szCs w:val="24"/>
        </w:rPr>
        <w:t xml:space="preserve">5. </w:t>
      </w:r>
      <w:r w:rsidRPr="00730B71" w:rsidR="00E41381">
        <w:rPr>
          <w:i/>
          <w:spacing w:val="4"/>
          <w:sz w:val="24"/>
          <w:szCs w:val="24"/>
        </w:rPr>
        <w:t>If the collection of information impacts small businesses or other small entities, describe any methods used to minimize burden.</w:t>
      </w:r>
    </w:p>
    <w:p w:rsidRPr="00852796" w:rsidR="006A7A00" w:rsidP="00B37551" w:rsidRDefault="006A7A00" w14:paraId="4ED0418B" w14:textId="77777777">
      <w:pPr>
        <w:pStyle w:val="Style1"/>
        <w:spacing w:after="0" w:line="240" w:lineRule="auto"/>
        <w:rPr>
          <w:i/>
          <w:spacing w:val="4"/>
          <w:sz w:val="24"/>
          <w:szCs w:val="24"/>
        </w:rPr>
      </w:pPr>
    </w:p>
    <w:p w:rsidRPr="0041425F" w:rsidR="00630C56" w:rsidP="00B37551" w:rsidRDefault="00630C56" w14:paraId="266F5D9F" w14:textId="77777777">
      <w:pPr>
        <w:widowControl/>
        <w:tabs>
          <w:tab w:val="left" w:pos="-1440"/>
        </w:tabs>
        <w:rPr>
          <w:rFonts w:ascii="Times New Roman" w:hAnsi="Times New Roman"/>
          <w:color w:val="000000"/>
        </w:rPr>
      </w:pPr>
      <w:r w:rsidRPr="0041425F">
        <w:rPr>
          <w:rFonts w:ascii="Times New Roman" w:hAnsi="Times New Roman"/>
          <w:color w:val="000000"/>
        </w:rPr>
        <w:t>This collection does not involve small business</w:t>
      </w:r>
      <w:r w:rsidRPr="0041425F" w:rsidR="00C50239">
        <w:rPr>
          <w:rFonts w:ascii="Times New Roman" w:hAnsi="Times New Roman"/>
          <w:color w:val="000000"/>
        </w:rPr>
        <w:t xml:space="preserve"> or entities</w:t>
      </w:r>
      <w:r w:rsidRPr="0041425F">
        <w:rPr>
          <w:rFonts w:ascii="Times New Roman" w:hAnsi="Times New Roman"/>
          <w:color w:val="000000"/>
        </w:rPr>
        <w:t>.</w:t>
      </w:r>
    </w:p>
    <w:p w:rsidRPr="0041425F" w:rsidR="00630C56" w:rsidP="00B37551" w:rsidRDefault="00630C56" w14:paraId="1967545C" w14:textId="77777777">
      <w:pPr>
        <w:widowControl/>
        <w:rPr>
          <w:rFonts w:ascii="Times New Roman" w:hAnsi="Times New Roman"/>
          <w:color w:val="000000"/>
        </w:rPr>
      </w:pPr>
    </w:p>
    <w:p w:rsidR="00ED0F39" w:rsidP="00B37551" w:rsidRDefault="00E87320" w14:paraId="2C1C1EB8" w14:textId="77777777">
      <w:pPr>
        <w:pStyle w:val="Style1"/>
        <w:spacing w:after="0" w:line="240" w:lineRule="auto"/>
        <w:rPr>
          <w:i/>
          <w:spacing w:val="4"/>
          <w:sz w:val="24"/>
          <w:szCs w:val="24"/>
        </w:rPr>
      </w:pPr>
      <w:r>
        <w:rPr>
          <w:i/>
          <w:spacing w:val="4"/>
          <w:sz w:val="24"/>
          <w:szCs w:val="24"/>
        </w:rPr>
        <w:t xml:space="preserve">6. </w:t>
      </w:r>
      <w:r w:rsidRPr="00730B71" w:rsidR="00E41381">
        <w:rPr>
          <w:i/>
          <w:spacing w:val="4"/>
          <w:sz w:val="24"/>
          <w:szCs w:val="24"/>
        </w:rPr>
        <w:t>Describe the consequence to Federal program or policy activities if the collection is not conducted or is conducted less frequently, as well as any technical or legal obstacles to reducing burden.</w:t>
      </w:r>
    </w:p>
    <w:p w:rsidRPr="00852796" w:rsidR="00B37551" w:rsidP="00B37551" w:rsidRDefault="00B37551" w14:paraId="4DD355C1" w14:textId="77777777">
      <w:pPr>
        <w:pStyle w:val="Style1"/>
        <w:spacing w:after="0" w:line="240" w:lineRule="auto"/>
        <w:rPr>
          <w:i/>
          <w:spacing w:val="4"/>
          <w:sz w:val="24"/>
          <w:szCs w:val="24"/>
        </w:rPr>
      </w:pPr>
    </w:p>
    <w:p w:rsidRPr="0041425F" w:rsidR="00630C56" w:rsidP="00B37551" w:rsidRDefault="007934DB" w14:paraId="3F8DAFF2" w14:textId="77777777">
      <w:pPr>
        <w:pStyle w:val="Quick1"/>
        <w:widowControl/>
        <w:numPr>
          <w:ilvl w:val="0"/>
          <w:numId w:val="0"/>
        </w:numPr>
        <w:rPr>
          <w:rFonts w:ascii="Times New Roman" w:hAnsi="Times New Roman"/>
          <w:color w:val="000000"/>
        </w:rPr>
      </w:pPr>
      <w:r w:rsidRPr="0041425F">
        <w:rPr>
          <w:rFonts w:ascii="Times New Roman" w:hAnsi="Times New Roman"/>
          <w:color w:val="000000"/>
        </w:rPr>
        <w:t>L</w:t>
      </w:r>
      <w:r w:rsidRPr="0041425F" w:rsidR="00630C56">
        <w:rPr>
          <w:rFonts w:ascii="Times New Roman" w:hAnsi="Times New Roman"/>
          <w:color w:val="000000"/>
        </w:rPr>
        <w:t>ess frequent</w:t>
      </w:r>
      <w:r w:rsidRPr="0041425F">
        <w:rPr>
          <w:rFonts w:ascii="Times New Roman" w:hAnsi="Times New Roman"/>
          <w:color w:val="000000"/>
        </w:rPr>
        <w:t>ly</w:t>
      </w:r>
      <w:r w:rsidRPr="0041425F" w:rsidR="00630C56">
        <w:rPr>
          <w:rFonts w:ascii="Times New Roman" w:hAnsi="Times New Roman"/>
          <w:color w:val="000000"/>
        </w:rPr>
        <w:t xml:space="preserve"> than </w:t>
      </w:r>
      <w:r w:rsidRPr="0041425F">
        <w:rPr>
          <w:rFonts w:ascii="Times New Roman" w:hAnsi="Times New Roman"/>
          <w:color w:val="000000"/>
        </w:rPr>
        <w:t xml:space="preserve">a </w:t>
      </w:r>
      <w:r w:rsidRPr="0041425F" w:rsidR="00630C56">
        <w:rPr>
          <w:rFonts w:ascii="Times New Roman" w:hAnsi="Times New Roman"/>
          <w:color w:val="000000"/>
        </w:rPr>
        <w:t xml:space="preserve">quarterly </w:t>
      </w:r>
      <w:r w:rsidRPr="0041425F">
        <w:rPr>
          <w:rFonts w:ascii="Times New Roman" w:hAnsi="Times New Roman"/>
          <w:color w:val="000000"/>
        </w:rPr>
        <w:t xml:space="preserve">collection </w:t>
      </w:r>
      <w:r w:rsidRPr="0041425F" w:rsidR="00630C56">
        <w:rPr>
          <w:rFonts w:ascii="Times New Roman" w:hAnsi="Times New Roman"/>
          <w:color w:val="000000"/>
        </w:rPr>
        <w:t>would mean less ability</w:t>
      </w:r>
      <w:r w:rsidRPr="0041425F" w:rsidR="00ED0F39">
        <w:rPr>
          <w:rFonts w:ascii="Times New Roman" w:hAnsi="Times New Roman"/>
          <w:color w:val="000000"/>
        </w:rPr>
        <w:t xml:space="preserve"> to track impact of legislation</w:t>
      </w:r>
      <w:r w:rsidRPr="0041425F" w:rsidR="00C61D49">
        <w:rPr>
          <w:rFonts w:ascii="Times New Roman" w:hAnsi="Times New Roman"/>
          <w:color w:val="000000"/>
        </w:rPr>
        <w:t xml:space="preserve"> </w:t>
      </w:r>
      <w:r w:rsidRPr="0041425F" w:rsidR="00630C56">
        <w:rPr>
          <w:rFonts w:ascii="Times New Roman" w:hAnsi="Times New Roman"/>
          <w:color w:val="000000"/>
        </w:rPr>
        <w:t>and less ability to track patterns of activity within a</w:t>
      </w:r>
      <w:r w:rsidRPr="0041425F" w:rsidR="00803E0C">
        <w:rPr>
          <w:rFonts w:ascii="Times New Roman" w:hAnsi="Times New Roman"/>
          <w:color w:val="000000"/>
        </w:rPr>
        <w:t xml:space="preserve"> s</w:t>
      </w:r>
      <w:r w:rsidRPr="0041425F" w:rsidR="00630C56">
        <w:rPr>
          <w:rFonts w:ascii="Times New Roman" w:hAnsi="Times New Roman"/>
          <w:color w:val="000000"/>
        </w:rPr>
        <w:t>tate over time.</w:t>
      </w:r>
    </w:p>
    <w:p w:rsidRPr="0041425F" w:rsidR="00630C56" w:rsidP="00B37551" w:rsidRDefault="00630C56" w14:paraId="39A3A0CB" w14:textId="77777777">
      <w:pPr>
        <w:widowControl/>
        <w:rPr>
          <w:rFonts w:ascii="Times New Roman" w:hAnsi="Times New Roman"/>
          <w:color w:val="000000"/>
        </w:rPr>
      </w:pPr>
    </w:p>
    <w:p w:rsidRPr="002D6444" w:rsidR="002D6444" w:rsidP="002D6444" w:rsidRDefault="00E87320" w14:paraId="1F0E656A" w14:textId="77777777">
      <w:pPr>
        <w:pStyle w:val="Style1"/>
        <w:spacing w:after="0" w:line="240" w:lineRule="auto"/>
        <w:rPr>
          <w:i/>
          <w:spacing w:val="4"/>
          <w:sz w:val="24"/>
          <w:szCs w:val="24"/>
        </w:rPr>
      </w:pPr>
      <w:r>
        <w:rPr>
          <w:i/>
          <w:spacing w:val="4"/>
          <w:sz w:val="24"/>
          <w:szCs w:val="24"/>
        </w:rPr>
        <w:t xml:space="preserve">7. </w:t>
      </w:r>
      <w:r w:rsidRPr="00730B71" w:rsidR="00E41381">
        <w:rPr>
          <w:i/>
          <w:spacing w:val="4"/>
          <w:sz w:val="24"/>
          <w:szCs w:val="24"/>
        </w:rPr>
        <w:t>Explain any special circumstances that would cause an information collection to be conducted in a manne</w:t>
      </w:r>
      <w:r w:rsidR="00617EC4">
        <w:rPr>
          <w:i/>
          <w:spacing w:val="4"/>
          <w:sz w:val="24"/>
          <w:szCs w:val="24"/>
        </w:rPr>
        <w:t xml:space="preserve">r </w:t>
      </w:r>
      <w:r w:rsidRPr="00617EC4" w:rsidR="00617EC4">
        <w:rPr>
          <w:i/>
          <w:spacing w:val="4"/>
          <w:sz w:val="24"/>
          <w:szCs w:val="24"/>
        </w:rPr>
        <w:t>that requires further explanation pursuant to regulations 5 CFR 1320.5:</w:t>
      </w:r>
      <w:r w:rsidR="002D6444">
        <w:rPr>
          <w:i/>
          <w:spacing w:val="4"/>
          <w:sz w:val="24"/>
          <w:szCs w:val="24"/>
        </w:rPr>
        <w:t xml:space="preserve"> </w:t>
      </w:r>
      <w:r w:rsidRPr="002D6444" w:rsidR="002D6444">
        <w:rPr>
          <w:i/>
          <w:spacing w:val="4"/>
          <w:sz w:val="24"/>
          <w:szCs w:val="24"/>
        </w:rPr>
        <w:t xml:space="preserve">Explain any special circumstances that would cause an information collection to be conducted in a manner: </w:t>
      </w:r>
    </w:p>
    <w:p w:rsidRPr="002D6444" w:rsidR="002D6444" w:rsidP="002D6444" w:rsidRDefault="002D6444" w14:paraId="06555F0A" w14:textId="77777777">
      <w:pPr>
        <w:pStyle w:val="Style1"/>
        <w:spacing w:after="0" w:line="240" w:lineRule="auto"/>
        <w:rPr>
          <w:i/>
          <w:spacing w:val="4"/>
          <w:sz w:val="24"/>
          <w:szCs w:val="24"/>
        </w:rPr>
      </w:pPr>
      <w:r w:rsidRPr="002D6444">
        <w:rPr>
          <w:i/>
          <w:spacing w:val="4"/>
          <w:sz w:val="24"/>
          <w:szCs w:val="24"/>
        </w:rPr>
        <w:t xml:space="preserve">* Requiring respondents to report information to the agency more often than quarterly; </w:t>
      </w:r>
    </w:p>
    <w:p w:rsidRPr="002D6444" w:rsidR="002D6444" w:rsidP="002D6444" w:rsidRDefault="002D6444" w14:paraId="142BB9B5" w14:textId="77777777">
      <w:pPr>
        <w:pStyle w:val="Style1"/>
        <w:spacing w:after="0" w:line="240" w:lineRule="auto"/>
        <w:rPr>
          <w:i/>
          <w:spacing w:val="4"/>
          <w:sz w:val="24"/>
          <w:szCs w:val="24"/>
        </w:rPr>
      </w:pPr>
      <w:r w:rsidRPr="002D6444">
        <w:rPr>
          <w:i/>
          <w:spacing w:val="4"/>
          <w:sz w:val="24"/>
          <w:szCs w:val="24"/>
        </w:rPr>
        <w:t xml:space="preserve">* Requiring respondents to prepare a written response to a collection of information in fewer than 30 days after receipt of it; </w:t>
      </w:r>
    </w:p>
    <w:p w:rsidRPr="002D6444" w:rsidR="002D6444" w:rsidP="002D6444" w:rsidRDefault="002D6444" w14:paraId="6C801BA2" w14:textId="77777777">
      <w:pPr>
        <w:pStyle w:val="Style1"/>
        <w:spacing w:after="0" w:line="240" w:lineRule="auto"/>
        <w:rPr>
          <w:i/>
          <w:spacing w:val="4"/>
          <w:sz w:val="24"/>
          <w:szCs w:val="24"/>
        </w:rPr>
      </w:pPr>
      <w:r w:rsidRPr="002D6444">
        <w:rPr>
          <w:i/>
          <w:spacing w:val="4"/>
          <w:sz w:val="24"/>
          <w:szCs w:val="24"/>
        </w:rPr>
        <w:t xml:space="preserve">* Requiring respondents to submit more than an original and two copies of any document; </w:t>
      </w:r>
    </w:p>
    <w:p w:rsidRPr="002D6444" w:rsidR="002D6444" w:rsidP="002D6444" w:rsidRDefault="002D6444" w14:paraId="09B10F9D" w14:textId="77777777">
      <w:pPr>
        <w:pStyle w:val="Style1"/>
        <w:spacing w:after="0" w:line="240" w:lineRule="auto"/>
        <w:rPr>
          <w:i/>
          <w:spacing w:val="4"/>
          <w:sz w:val="24"/>
          <w:szCs w:val="24"/>
        </w:rPr>
      </w:pPr>
      <w:r w:rsidRPr="002D6444">
        <w:rPr>
          <w:i/>
          <w:spacing w:val="4"/>
          <w:sz w:val="24"/>
          <w:szCs w:val="24"/>
        </w:rPr>
        <w:t xml:space="preserve">* Requiring respondents to retain records, other than health, medical, government contract, grant-in-aid, or tax records, for more than three years; </w:t>
      </w:r>
    </w:p>
    <w:p w:rsidRPr="002D6444" w:rsidR="002D6444" w:rsidP="002D6444" w:rsidRDefault="002D6444" w14:paraId="68B0B3F4" w14:textId="77777777">
      <w:pPr>
        <w:pStyle w:val="Style1"/>
        <w:spacing w:after="0" w:line="240" w:lineRule="auto"/>
        <w:rPr>
          <w:i/>
          <w:spacing w:val="4"/>
          <w:sz w:val="24"/>
          <w:szCs w:val="24"/>
        </w:rPr>
      </w:pPr>
      <w:r w:rsidRPr="002D6444">
        <w:rPr>
          <w:i/>
          <w:spacing w:val="4"/>
          <w:sz w:val="24"/>
          <w:szCs w:val="24"/>
        </w:rPr>
        <w:t xml:space="preserve">* In connection with a statistical survey, that is not designed to produce valid and reliable results that can be generalized to the universe of study; </w:t>
      </w:r>
    </w:p>
    <w:p w:rsidRPr="002D6444" w:rsidR="002D6444" w:rsidP="002D6444" w:rsidRDefault="002D6444" w14:paraId="5DF48123" w14:textId="77777777">
      <w:pPr>
        <w:pStyle w:val="Style1"/>
        <w:spacing w:after="0" w:line="240" w:lineRule="auto"/>
        <w:rPr>
          <w:i/>
          <w:spacing w:val="4"/>
          <w:sz w:val="24"/>
          <w:szCs w:val="24"/>
        </w:rPr>
      </w:pPr>
      <w:r w:rsidRPr="002D6444">
        <w:rPr>
          <w:i/>
          <w:spacing w:val="4"/>
          <w:sz w:val="24"/>
          <w:szCs w:val="24"/>
        </w:rPr>
        <w:lastRenderedPageBreak/>
        <w:t xml:space="preserve">* Requiring the use of a statistical data classification that has not been reviewed and approved by OMB; </w:t>
      </w:r>
    </w:p>
    <w:p w:rsidRPr="002D6444" w:rsidR="002D6444" w:rsidP="002D6444" w:rsidRDefault="002D6444" w14:paraId="080B1254" w14:textId="77777777">
      <w:pPr>
        <w:pStyle w:val="Style1"/>
        <w:spacing w:after="0" w:line="240" w:lineRule="auto"/>
        <w:rPr>
          <w:i/>
          <w:spacing w:val="4"/>
          <w:sz w:val="24"/>
          <w:szCs w:val="24"/>
        </w:rPr>
      </w:pPr>
      <w:r w:rsidRPr="002D6444">
        <w:rPr>
          <w:i/>
          <w:spacing w:val="4"/>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ED0F39" w:rsidP="002D6444" w:rsidRDefault="002D6444" w14:paraId="555C6955" w14:textId="3E92E5BE">
      <w:pPr>
        <w:pStyle w:val="Style1"/>
        <w:spacing w:after="0" w:line="240" w:lineRule="auto"/>
        <w:rPr>
          <w:i/>
          <w:spacing w:val="4"/>
          <w:sz w:val="24"/>
          <w:szCs w:val="24"/>
        </w:rPr>
      </w:pPr>
      <w:r w:rsidRPr="002D6444">
        <w:rPr>
          <w:i/>
          <w:spacing w:val="4"/>
          <w:sz w:val="24"/>
          <w:szCs w:val="24"/>
        </w:rPr>
        <w:t>* Requiring respondents to submit proprietary trade secrets, or other confidential information unless the agency can demonstrate that it has instituted procedures to protect the information's confidentiality to the extent permitted by law.</w:t>
      </w:r>
    </w:p>
    <w:p w:rsidRPr="00852796" w:rsidR="00B37551" w:rsidP="00B37551" w:rsidRDefault="00B37551" w14:paraId="5541B6B2" w14:textId="77777777">
      <w:pPr>
        <w:pStyle w:val="Style1"/>
        <w:spacing w:after="0" w:line="240" w:lineRule="auto"/>
        <w:rPr>
          <w:spacing w:val="4"/>
          <w:sz w:val="24"/>
          <w:szCs w:val="24"/>
        </w:rPr>
      </w:pPr>
    </w:p>
    <w:p w:rsidRPr="0041425F" w:rsidR="00630C56" w:rsidP="00B37551" w:rsidRDefault="00617EC4" w14:paraId="550ABC2E" w14:textId="77777777">
      <w:pPr>
        <w:pStyle w:val="Quick1"/>
        <w:widowControl/>
        <w:numPr>
          <w:ilvl w:val="0"/>
          <w:numId w:val="0"/>
        </w:numPr>
        <w:rPr>
          <w:rFonts w:ascii="Times New Roman" w:hAnsi="Times New Roman"/>
          <w:color w:val="000000"/>
        </w:rPr>
      </w:pPr>
      <w:r>
        <w:rPr>
          <w:rFonts w:ascii="Times New Roman" w:hAnsi="Times New Roman"/>
          <w:color w:val="000000"/>
        </w:rPr>
        <w:t>There are no special circumstances</w:t>
      </w:r>
      <w:r w:rsidRPr="0041425F" w:rsidR="00630C56">
        <w:rPr>
          <w:rFonts w:ascii="Times New Roman" w:hAnsi="Times New Roman"/>
          <w:color w:val="000000"/>
        </w:rPr>
        <w:t>.</w:t>
      </w:r>
    </w:p>
    <w:p w:rsidRPr="0041425F" w:rsidR="00630C56" w:rsidP="00B37551" w:rsidRDefault="00630C56" w14:paraId="17E211AC" w14:textId="77777777">
      <w:pPr>
        <w:widowControl/>
        <w:rPr>
          <w:rFonts w:ascii="Times New Roman" w:hAnsi="Times New Roman"/>
          <w:color w:val="000000"/>
        </w:rPr>
      </w:pPr>
    </w:p>
    <w:p w:rsidRPr="00E41381" w:rsidR="00E41381" w:rsidP="00B37551" w:rsidRDefault="00E87320" w14:paraId="56CCA89C" w14:textId="77777777">
      <w:pPr>
        <w:widowControl/>
        <w:autoSpaceDE/>
        <w:autoSpaceDN/>
        <w:adjustRightInd/>
        <w:rPr>
          <w:rFonts w:ascii="Times New Roman" w:hAnsi="Times New Roman"/>
          <w:i/>
          <w:color w:val="000000"/>
          <w:spacing w:val="4"/>
        </w:rPr>
      </w:pPr>
      <w:r>
        <w:rPr>
          <w:rFonts w:ascii="Times New Roman" w:hAnsi="Times New Roman"/>
          <w:i/>
          <w:color w:val="000000"/>
          <w:spacing w:val="4"/>
        </w:rPr>
        <w:t xml:space="preserve">8. </w:t>
      </w:r>
      <w:r w:rsidRPr="00E41381" w:rsidR="00E41381">
        <w:rPr>
          <w:rFonts w:ascii="Times New Roman" w:hAnsi="Times New Roman"/>
          <w:i/>
          <w:color w:val="000000"/>
          <w:spacing w:val="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E41381" w:rsidR="00E41381" w:rsidP="00B37551" w:rsidRDefault="00E41381" w14:paraId="046D3A33" w14:textId="77777777">
      <w:pPr>
        <w:widowControl/>
        <w:autoSpaceDE/>
        <w:autoSpaceDN/>
        <w:adjustRightInd/>
        <w:rPr>
          <w:rFonts w:ascii="Times New Roman" w:hAnsi="Times New Roman"/>
          <w:i/>
          <w:color w:val="000000"/>
          <w:spacing w:val="4"/>
        </w:rPr>
      </w:pPr>
    </w:p>
    <w:p w:rsidRPr="00E41381" w:rsidR="00E41381" w:rsidP="00B37551" w:rsidRDefault="00E41381" w14:paraId="6D5E5B9D" w14:textId="77777777">
      <w:pPr>
        <w:widowControl/>
        <w:autoSpaceDE/>
        <w:autoSpaceDN/>
        <w:adjustRightInd/>
        <w:rPr>
          <w:rFonts w:ascii="Times New Roman" w:hAnsi="Times New Roman"/>
          <w:i/>
          <w:color w:val="000000"/>
          <w:spacing w:val="4"/>
        </w:rPr>
      </w:pPr>
      <w:r w:rsidRPr="00E41381">
        <w:rPr>
          <w:rFonts w:ascii="Times New Roman" w:hAnsi="Times New Roman"/>
          <w:i/>
          <w:color w:val="000000"/>
          <w:spacing w:val="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E41381" w:rsidR="00E41381" w:rsidP="00B37551" w:rsidRDefault="00E41381" w14:paraId="57ED92DD" w14:textId="77777777">
      <w:pPr>
        <w:widowControl/>
        <w:autoSpaceDE/>
        <w:autoSpaceDN/>
        <w:adjustRightInd/>
        <w:rPr>
          <w:rFonts w:ascii="Times New Roman" w:hAnsi="Times New Roman"/>
          <w:i/>
          <w:color w:val="000000"/>
          <w:spacing w:val="4"/>
        </w:rPr>
      </w:pPr>
    </w:p>
    <w:p w:rsidRPr="00E41381" w:rsidR="00E41381" w:rsidP="00B37551" w:rsidRDefault="00E41381" w14:paraId="502819CD" w14:textId="77777777">
      <w:pPr>
        <w:widowControl/>
        <w:autoSpaceDE/>
        <w:autoSpaceDN/>
        <w:adjustRightInd/>
        <w:rPr>
          <w:rFonts w:ascii="Times New Roman" w:hAnsi="Times New Roman"/>
          <w:i/>
          <w:color w:val="000000"/>
          <w:spacing w:val="4"/>
        </w:rPr>
      </w:pPr>
      <w:r w:rsidRPr="00E41381">
        <w:rPr>
          <w:rFonts w:ascii="Times New Roman" w:hAnsi="Times New Roman"/>
          <w:i/>
          <w:color w:val="000000"/>
          <w:spacing w:val="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41425F" w:rsidR="00ED0F39" w:rsidP="00B37551" w:rsidRDefault="00ED0F39" w14:paraId="2D72AE6E" w14:textId="77777777">
      <w:pPr>
        <w:widowControl/>
        <w:tabs>
          <w:tab w:val="left" w:pos="-1440"/>
        </w:tabs>
        <w:rPr>
          <w:rFonts w:ascii="Times New Roman" w:hAnsi="Times New Roman"/>
          <w:color w:val="000000"/>
        </w:rPr>
      </w:pPr>
    </w:p>
    <w:p w:rsidRPr="0041425F" w:rsidR="00417788" w:rsidP="00B37551" w:rsidRDefault="008D69CB" w14:paraId="239A8D73" w14:textId="77777777">
      <w:pPr>
        <w:widowControl/>
        <w:rPr>
          <w:rFonts w:ascii="Times New Roman" w:hAnsi="Times New Roman"/>
          <w:color w:val="000000"/>
          <w:highlight w:val="yellow"/>
        </w:rPr>
      </w:pPr>
      <w:r w:rsidRPr="008D69CB">
        <w:rPr>
          <w:rFonts w:ascii="Times New Roman" w:hAnsi="Times New Roman"/>
          <w:color w:val="000000"/>
        </w:rPr>
        <w:t xml:space="preserve">In accordance with the Paperwork Reduction Act of 1995, the public was allowed 60 days to comment through the Federal Register Notice posted on </w:t>
      </w:r>
      <w:r>
        <w:rPr>
          <w:rFonts w:ascii="Times New Roman" w:hAnsi="Times New Roman"/>
          <w:color w:val="000000"/>
        </w:rPr>
        <w:t>October 31, 2019 (84</w:t>
      </w:r>
      <w:r w:rsidRPr="008D69CB">
        <w:rPr>
          <w:rFonts w:ascii="Times New Roman" w:hAnsi="Times New Roman"/>
          <w:color w:val="000000"/>
        </w:rPr>
        <w:t xml:space="preserve"> FR </w:t>
      </w:r>
      <w:r>
        <w:rPr>
          <w:rFonts w:ascii="Times New Roman" w:hAnsi="Times New Roman"/>
          <w:color w:val="000000"/>
        </w:rPr>
        <w:t>58410</w:t>
      </w:r>
      <w:r w:rsidR="0078662F">
        <w:rPr>
          <w:rFonts w:ascii="Times New Roman" w:hAnsi="Times New Roman"/>
          <w:color w:val="000000"/>
        </w:rPr>
        <w:t xml:space="preserve">).  </w:t>
      </w:r>
      <w:r w:rsidRPr="0041425F" w:rsidR="00A45FE9">
        <w:rPr>
          <w:rFonts w:ascii="Times New Roman" w:hAnsi="Times New Roman"/>
          <w:color w:val="000000"/>
        </w:rPr>
        <w:t xml:space="preserve">No </w:t>
      </w:r>
      <w:r w:rsidR="00852796">
        <w:rPr>
          <w:rFonts w:ascii="Times New Roman" w:hAnsi="Times New Roman"/>
          <w:color w:val="000000"/>
        </w:rPr>
        <w:t xml:space="preserve">public </w:t>
      </w:r>
      <w:r w:rsidRPr="0041425F" w:rsidR="00A45FE9">
        <w:rPr>
          <w:rFonts w:ascii="Times New Roman" w:hAnsi="Times New Roman"/>
          <w:color w:val="000000"/>
        </w:rPr>
        <w:t>comments were received.</w:t>
      </w:r>
    </w:p>
    <w:p w:rsidRPr="0041425F" w:rsidR="00630C56" w:rsidP="00B37551" w:rsidRDefault="00630C56" w14:paraId="7B31464C" w14:textId="77777777">
      <w:pPr>
        <w:widowControl/>
        <w:rPr>
          <w:rFonts w:ascii="Times New Roman" w:hAnsi="Times New Roman"/>
          <w:color w:val="000000"/>
        </w:rPr>
      </w:pPr>
    </w:p>
    <w:p w:rsidR="00ED0F39" w:rsidP="00B37551" w:rsidRDefault="00E41381" w14:paraId="2C62C36D" w14:textId="77777777">
      <w:pPr>
        <w:widowControl/>
        <w:autoSpaceDE/>
        <w:autoSpaceDN/>
        <w:adjustRightInd/>
        <w:jc w:val="both"/>
        <w:rPr>
          <w:rFonts w:ascii="Times New Roman" w:hAnsi="Times New Roman"/>
          <w:i/>
          <w:color w:val="000000"/>
        </w:rPr>
      </w:pPr>
      <w:r w:rsidRPr="00E41381">
        <w:rPr>
          <w:rFonts w:ascii="Times New Roman" w:hAnsi="Times New Roman"/>
          <w:i/>
          <w:color w:val="000000"/>
        </w:rPr>
        <w:t>9.</w:t>
      </w:r>
      <w:r w:rsidR="00E87320">
        <w:rPr>
          <w:rFonts w:ascii="Times New Roman" w:hAnsi="Times New Roman"/>
          <w:color w:val="000000"/>
        </w:rPr>
        <w:t xml:space="preserve"> </w:t>
      </w:r>
      <w:r w:rsidRPr="00E41381">
        <w:rPr>
          <w:rFonts w:ascii="Times New Roman" w:hAnsi="Times New Roman"/>
          <w:i/>
          <w:color w:val="000000"/>
        </w:rPr>
        <w:t>Explain any decision to provide any payment or gift to respondents, other than remuneration of contractors or grantees.</w:t>
      </w:r>
    </w:p>
    <w:p w:rsidRPr="00B37551" w:rsidR="00B37551" w:rsidP="00B37551" w:rsidRDefault="00B37551" w14:paraId="63F00323" w14:textId="77777777">
      <w:pPr>
        <w:widowControl/>
        <w:autoSpaceDE/>
        <w:autoSpaceDN/>
        <w:adjustRightInd/>
        <w:jc w:val="both"/>
        <w:rPr>
          <w:rFonts w:ascii="Times New Roman" w:hAnsi="Times New Roman"/>
          <w:color w:val="000000"/>
          <w:u w:val="single"/>
        </w:rPr>
      </w:pPr>
    </w:p>
    <w:p w:rsidRPr="0041425F" w:rsidR="00630C56" w:rsidP="00B37551" w:rsidRDefault="00630C56" w14:paraId="09B54E0E" w14:textId="77777777">
      <w:pPr>
        <w:pStyle w:val="Quick1"/>
        <w:widowControl/>
        <w:numPr>
          <w:ilvl w:val="0"/>
          <w:numId w:val="0"/>
        </w:numPr>
        <w:tabs>
          <w:tab w:val="left" w:pos="-1440"/>
        </w:tabs>
        <w:ind w:left="720" w:hanging="720"/>
        <w:rPr>
          <w:rFonts w:ascii="Times New Roman" w:hAnsi="Times New Roman"/>
          <w:color w:val="000000"/>
        </w:rPr>
      </w:pPr>
      <w:r w:rsidRPr="0041425F">
        <w:rPr>
          <w:rFonts w:ascii="Times New Roman" w:hAnsi="Times New Roman"/>
          <w:color w:val="000000"/>
        </w:rPr>
        <w:t>There were no payments or gifts to any respondents.</w:t>
      </w:r>
    </w:p>
    <w:p w:rsidRPr="0041425F" w:rsidR="00630C56" w:rsidP="00B37551" w:rsidRDefault="00630C56" w14:paraId="0B8017A0" w14:textId="77777777">
      <w:pPr>
        <w:widowControl/>
        <w:rPr>
          <w:rFonts w:ascii="Times New Roman" w:hAnsi="Times New Roman"/>
          <w:color w:val="000000"/>
        </w:rPr>
      </w:pPr>
    </w:p>
    <w:p w:rsidRPr="00E41381" w:rsidR="00E41381" w:rsidP="00B37551" w:rsidRDefault="00E87320" w14:paraId="4C1712DE" w14:textId="77777777">
      <w:pPr>
        <w:widowControl/>
        <w:autoSpaceDE/>
        <w:autoSpaceDN/>
        <w:adjustRightInd/>
        <w:rPr>
          <w:rFonts w:ascii="Times New Roman" w:hAnsi="Times New Roman"/>
          <w:i/>
          <w:color w:val="000000"/>
        </w:rPr>
      </w:pPr>
      <w:r>
        <w:rPr>
          <w:rFonts w:ascii="Times New Roman" w:hAnsi="Times New Roman"/>
          <w:i/>
          <w:color w:val="000000"/>
        </w:rPr>
        <w:t xml:space="preserve">10. </w:t>
      </w:r>
      <w:r w:rsidRPr="00E41381" w:rsidR="00E41381">
        <w:rPr>
          <w:rFonts w:ascii="Times New Roman" w:hAnsi="Times New Roman"/>
          <w:i/>
          <w:color w:val="000000"/>
        </w:rPr>
        <w:t>Describe any assurance of confidentiality provided to respondents and the basis for the assurance in statute, regulation, or agency policy.</w:t>
      </w:r>
    </w:p>
    <w:p w:rsidRPr="0041425F" w:rsidR="00350F8A" w:rsidP="00B37551" w:rsidRDefault="00350F8A" w14:paraId="2C3B9BE7" w14:textId="77777777">
      <w:pPr>
        <w:pStyle w:val="Level1"/>
        <w:widowControl/>
        <w:numPr>
          <w:ilvl w:val="0"/>
          <w:numId w:val="0"/>
        </w:numPr>
        <w:tabs>
          <w:tab w:val="left" w:pos="-1440"/>
        </w:tabs>
        <w:ind w:left="900" w:hanging="900"/>
        <w:rPr>
          <w:rFonts w:ascii="Times New Roman" w:hAnsi="Times New Roman"/>
          <w:color w:val="000000"/>
        </w:rPr>
      </w:pPr>
    </w:p>
    <w:p w:rsidRPr="0041425F" w:rsidR="00630C56" w:rsidP="00B37551" w:rsidRDefault="00350F8A" w14:paraId="05D8AAD0" w14:textId="77777777">
      <w:pPr>
        <w:pStyle w:val="Level1"/>
        <w:widowControl/>
        <w:numPr>
          <w:ilvl w:val="0"/>
          <w:numId w:val="0"/>
        </w:numPr>
        <w:tabs>
          <w:tab w:val="left" w:pos="-1440"/>
        </w:tabs>
        <w:ind w:left="900" w:hanging="900"/>
        <w:rPr>
          <w:rFonts w:ascii="Times New Roman" w:hAnsi="Times New Roman"/>
          <w:color w:val="000000"/>
        </w:rPr>
      </w:pPr>
      <w:r w:rsidRPr="0041425F">
        <w:rPr>
          <w:rFonts w:ascii="Times New Roman" w:hAnsi="Times New Roman"/>
          <w:color w:val="000000"/>
        </w:rPr>
        <w:t>There is no assurance</w:t>
      </w:r>
      <w:r w:rsidRPr="0041425F" w:rsidR="00630C56">
        <w:rPr>
          <w:rFonts w:ascii="Times New Roman" w:hAnsi="Times New Roman"/>
          <w:color w:val="000000"/>
        </w:rPr>
        <w:t xml:space="preserve"> of </w:t>
      </w:r>
      <w:r w:rsidRPr="0041425F" w:rsidR="004009F0">
        <w:rPr>
          <w:rFonts w:ascii="Times New Roman" w:hAnsi="Times New Roman"/>
          <w:color w:val="000000"/>
        </w:rPr>
        <w:t>co</w:t>
      </w:r>
      <w:r w:rsidRPr="0041425F" w:rsidR="00630C56">
        <w:rPr>
          <w:rFonts w:ascii="Times New Roman" w:hAnsi="Times New Roman"/>
          <w:color w:val="000000"/>
        </w:rPr>
        <w:t>nfidentiality</w:t>
      </w:r>
      <w:r w:rsidRPr="0041425F">
        <w:rPr>
          <w:rFonts w:ascii="Times New Roman" w:hAnsi="Times New Roman"/>
          <w:color w:val="000000"/>
        </w:rPr>
        <w:t xml:space="preserve"> to respondents</w:t>
      </w:r>
      <w:r w:rsidRPr="0041425F" w:rsidR="00630C56">
        <w:rPr>
          <w:rFonts w:ascii="Times New Roman" w:hAnsi="Times New Roman"/>
          <w:color w:val="000000"/>
        </w:rPr>
        <w:t>.</w:t>
      </w:r>
    </w:p>
    <w:p w:rsidRPr="0041425F" w:rsidR="00630C56" w:rsidP="00B37551" w:rsidRDefault="00630C56" w14:paraId="641DA263" w14:textId="77777777">
      <w:pPr>
        <w:widowControl/>
        <w:rPr>
          <w:rFonts w:ascii="Times New Roman" w:hAnsi="Times New Roman"/>
          <w:color w:val="000000"/>
        </w:rPr>
      </w:pPr>
    </w:p>
    <w:p w:rsidR="00350F8A" w:rsidP="00B37551" w:rsidRDefault="00B37551" w14:paraId="5FEB8BFA" w14:textId="77777777">
      <w:pPr>
        <w:pStyle w:val="Style1"/>
        <w:spacing w:after="0" w:line="240" w:lineRule="auto"/>
        <w:rPr>
          <w:i/>
          <w:color w:val="auto"/>
          <w:sz w:val="24"/>
          <w:szCs w:val="24"/>
        </w:rPr>
      </w:pPr>
      <w:r w:rsidRPr="00B37551">
        <w:rPr>
          <w:i/>
          <w:color w:val="auto"/>
          <w:sz w:val="24"/>
          <w:szCs w:val="24"/>
        </w:rPr>
        <w:t>1</w:t>
      </w:r>
      <w:r w:rsidR="00E87320">
        <w:rPr>
          <w:i/>
          <w:color w:val="auto"/>
          <w:sz w:val="24"/>
          <w:szCs w:val="24"/>
        </w:rPr>
        <w:t xml:space="preserve">1. </w:t>
      </w:r>
      <w:r w:rsidRPr="00B37551">
        <w:rPr>
          <w:i/>
          <w:color w:val="auto"/>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w:t>
      </w:r>
      <w:r w:rsidRPr="00B37551">
        <w:rPr>
          <w:i/>
          <w:color w:val="auto"/>
          <w:sz w:val="24"/>
          <w:szCs w:val="24"/>
        </w:rPr>
        <w:lastRenderedPageBreak/>
        <w:t>necessary, the specific uses to be made of the information, the explanation to be given to persons from whom the information is requested, and any steps to be taken to obtain their consent.</w:t>
      </w:r>
    </w:p>
    <w:p w:rsidRPr="00B37551" w:rsidR="00B37551" w:rsidP="00B37551" w:rsidRDefault="00B37551" w14:paraId="6A65D1C1" w14:textId="77777777">
      <w:pPr>
        <w:pStyle w:val="Style1"/>
        <w:spacing w:after="0" w:line="240" w:lineRule="auto"/>
        <w:rPr>
          <w:i/>
          <w:spacing w:val="2"/>
          <w:sz w:val="24"/>
          <w:szCs w:val="24"/>
        </w:rPr>
      </w:pPr>
    </w:p>
    <w:p w:rsidRPr="0041425F" w:rsidR="00630C56" w:rsidP="00B37551" w:rsidRDefault="00630C56" w14:paraId="5F2CD472" w14:textId="77777777">
      <w:pPr>
        <w:widowControl/>
        <w:tabs>
          <w:tab w:val="left" w:pos="-1440"/>
        </w:tabs>
        <w:rPr>
          <w:rFonts w:ascii="Times New Roman" w:hAnsi="Times New Roman"/>
          <w:color w:val="000000"/>
        </w:rPr>
      </w:pPr>
      <w:r w:rsidRPr="0041425F">
        <w:rPr>
          <w:rFonts w:ascii="Times New Roman" w:hAnsi="Times New Roman"/>
          <w:color w:val="000000"/>
        </w:rPr>
        <w:t>There are no questions of a sensitive nature.</w:t>
      </w:r>
    </w:p>
    <w:p w:rsidRPr="0041425F" w:rsidR="0088775F" w:rsidP="00B37551" w:rsidRDefault="0088775F" w14:paraId="55DEF281" w14:textId="77777777">
      <w:pPr>
        <w:widowControl/>
        <w:rPr>
          <w:rFonts w:ascii="Times New Roman" w:hAnsi="Times New Roman"/>
          <w:color w:val="000000"/>
        </w:rPr>
      </w:pPr>
    </w:p>
    <w:p w:rsidRPr="00E41381" w:rsidR="00E41381" w:rsidP="00B37551" w:rsidRDefault="00E87320" w14:paraId="650A1794" w14:textId="77777777">
      <w:pPr>
        <w:widowControl/>
        <w:autoSpaceDE/>
        <w:autoSpaceDN/>
        <w:adjustRightInd/>
        <w:rPr>
          <w:rFonts w:ascii="Times New Roman" w:hAnsi="Times New Roman"/>
          <w:i/>
          <w:color w:val="000000"/>
        </w:rPr>
      </w:pPr>
      <w:r>
        <w:rPr>
          <w:rFonts w:ascii="Times New Roman" w:hAnsi="Times New Roman"/>
          <w:i/>
          <w:color w:val="000000"/>
        </w:rPr>
        <w:t xml:space="preserve">12. </w:t>
      </w:r>
      <w:r w:rsidRPr="00E41381" w:rsidR="00E41381">
        <w:rPr>
          <w:rFonts w:ascii="Times New Roman" w:hAnsi="Times New Roman"/>
          <w:i/>
          <w:color w:val="000000"/>
        </w:rPr>
        <w:t>Provide estimates of the hour burden of the collection of information</w:t>
      </w:r>
      <w:r w:rsidR="00B37551">
        <w:rPr>
          <w:rFonts w:ascii="Times New Roman" w:hAnsi="Times New Roman"/>
          <w:i/>
          <w:color w:val="000000"/>
        </w:rPr>
        <w:t>.</w:t>
      </w:r>
    </w:p>
    <w:p w:rsidRPr="0041425F" w:rsidR="00350F8A" w:rsidP="00B37551" w:rsidRDefault="00350F8A" w14:paraId="4F376500" w14:textId="77777777">
      <w:pPr>
        <w:widowControl/>
        <w:tabs>
          <w:tab w:val="left" w:pos="-1440"/>
        </w:tabs>
        <w:rPr>
          <w:rFonts w:ascii="Times New Roman" w:hAnsi="Times New Roman"/>
          <w:color w:val="000000"/>
        </w:rPr>
      </w:pPr>
    </w:p>
    <w:p w:rsidRPr="0041425F" w:rsidR="00630C56" w:rsidP="00B37551" w:rsidRDefault="00DE1499" w14:paraId="1B2AA1D8" w14:textId="77777777">
      <w:pPr>
        <w:widowControl/>
        <w:rPr>
          <w:rFonts w:ascii="Times New Roman" w:hAnsi="Times New Roman"/>
          <w:color w:val="000000"/>
        </w:rPr>
      </w:pPr>
      <w:r w:rsidRPr="0041425F">
        <w:rPr>
          <w:rFonts w:ascii="Times New Roman" w:hAnsi="Times New Roman"/>
          <w:color w:val="000000"/>
        </w:rPr>
        <w:t xml:space="preserve">The estimated annual burden for this collection is </w:t>
      </w:r>
      <w:r w:rsidR="00451986">
        <w:rPr>
          <w:rFonts w:ascii="Times New Roman" w:hAnsi="Times New Roman"/>
          <w:color w:val="000000"/>
        </w:rPr>
        <w:t>1,696</w:t>
      </w:r>
      <w:r w:rsidRPr="0041425F">
        <w:rPr>
          <w:rFonts w:ascii="Times New Roman" w:hAnsi="Times New Roman"/>
          <w:color w:val="000000"/>
        </w:rPr>
        <w:t xml:space="preserve"> hours (848 hours for the ETA 207 report </w:t>
      </w:r>
      <w:r w:rsidRPr="0041425F" w:rsidR="00C96F88">
        <w:rPr>
          <w:rFonts w:ascii="Times New Roman" w:hAnsi="Times New Roman"/>
          <w:color w:val="000000"/>
        </w:rPr>
        <w:t>covering the regular state program,</w:t>
      </w:r>
      <w:r w:rsidR="00552136">
        <w:rPr>
          <w:rFonts w:ascii="Times New Roman" w:hAnsi="Times New Roman"/>
          <w:color w:val="000000"/>
        </w:rPr>
        <w:t xml:space="preserve"> and</w:t>
      </w:r>
      <w:r w:rsidRPr="0041425F" w:rsidR="00C96F88">
        <w:rPr>
          <w:rFonts w:ascii="Times New Roman" w:hAnsi="Times New Roman"/>
          <w:color w:val="000000"/>
        </w:rPr>
        <w:t xml:space="preserve"> the Federal-State Extended Benefits program</w:t>
      </w:r>
      <w:r w:rsidR="008416C9">
        <w:rPr>
          <w:rFonts w:ascii="Times New Roman" w:hAnsi="Times New Roman"/>
          <w:color w:val="000000"/>
        </w:rPr>
        <w:t>)</w:t>
      </w:r>
      <w:r w:rsidR="00552136">
        <w:rPr>
          <w:rFonts w:ascii="Times New Roman" w:hAnsi="Times New Roman"/>
          <w:color w:val="000000"/>
        </w:rPr>
        <w:t>.</w:t>
      </w:r>
    </w:p>
    <w:p w:rsidR="00DE1499" w:rsidP="00B37551" w:rsidRDefault="00DE1499" w14:paraId="4D8FA413" w14:textId="77777777">
      <w:pPr>
        <w:widowControl/>
        <w:tabs>
          <w:tab w:val="left" w:pos="-1440"/>
        </w:tabs>
        <w:ind w:left="180"/>
        <w:rPr>
          <w:rFonts w:ascii="Times New Roman" w:hAnsi="Times New Roman"/>
          <w:color w:val="000000"/>
        </w:rPr>
      </w:pPr>
    </w:p>
    <w:p w:rsidR="001455E6" w:rsidP="00B37551" w:rsidRDefault="00B37551" w14:paraId="1A96471E" w14:textId="77777777">
      <w:pPr>
        <w:widowControl/>
        <w:tabs>
          <w:tab w:val="left" w:pos="-1440"/>
        </w:tabs>
        <w:rPr>
          <w:rFonts w:ascii="Times New Roman" w:hAnsi="Times New Roman"/>
          <w:i/>
        </w:rPr>
      </w:pPr>
      <w:r w:rsidRPr="00B37551">
        <w:rPr>
          <w:rFonts w:ascii="Times New Roman" w:hAnsi="Times New Roman"/>
          <w:i/>
        </w:rPr>
        <w:t>The following table can be used as a guide to calculate the total burden of an information collection.</w:t>
      </w:r>
      <w:r>
        <w:rPr>
          <w:rFonts w:ascii="Times New Roman" w:hAnsi="Times New Roman"/>
          <w:i/>
        </w:rPr>
        <w:t xml:space="preserve"> </w:t>
      </w:r>
    </w:p>
    <w:p w:rsidR="001F4CE7" w:rsidP="00B37551" w:rsidRDefault="001F4CE7" w14:paraId="1233180D" w14:textId="77777777">
      <w:pPr>
        <w:widowControl/>
        <w:tabs>
          <w:tab w:val="left" w:pos="-1440"/>
        </w:tabs>
        <w:rPr>
          <w:rFonts w:ascii="Times New Roman" w:hAnsi="Times New Roman"/>
          <w:color w:val="000000"/>
        </w:rPr>
      </w:pPr>
    </w:p>
    <w:p w:rsidRPr="0041425F" w:rsidR="001455E6" w:rsidP="00B37551" w:rsidRDefault="001455E6" w14:paraId="4D2E6F82" w14:textId="77777777">
      <w:pPr>
        <w:widowControl/>
        <w:tabs>
          <w:tab w:val="left" w:pos="-1440"/>
        </w:tabs>
        <w:ind w:left="180"/>
        <w:rPr>
          <w:rFonts w:ascii="Times New Roman" w:hAnsi="Times New Roman"/>
          <w:color w:val="000000"/>
        </w:rPr>
      </w:pPr>
    </w:p>
    <w:tbl>
      <w:tblPr>
        <w:tblW w:w="10256" w:type="dxa"/>
        <w:tblInd w:w="-3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06"/>
        <w:gridCol w:w="1530"/>
        <w:gridCol w:w="1260"/>
        <w:gridCol w:w="1260"/>
        <w:gridCol w:w="1135"/>
        <w:gridCol w:w="963"/>
        <w:gridCol w:w="979"/>
        <w:gridCol w:w="1423"/>
      </w:tblGrid>
      <w:tr w:rsidRPr="0041425F" w:rsidR="001455E6" w:rsidTr="00451986" w14:paraId="51AB23C6" w14:textId="77777777">
        <w:tc>
          <w:tcPr>
            <w:tcW w:w="1706" w:type="dxa"/>
            <w:vAlign w:val="center"/>
          </w:tcPr>
          <w:p w:rsidRPr="0041425F" w:rsidR="001455E6" w:rsidP="00B37551" w:rsidRDefault="001455E6" w14:paraId="09789E54" w14:textId="77777777">
            <w:pPr>
              <w:widowControl/>
              <w:tabs>
                <w:tab w:val="left" w:pos="-1440"/>
                <w:tab w:val="left" w:pos="-720"/>
                <w:tab w:val="left" w:pos="28"/>
                <w:tab w:val="left" w:pos="547"/>
                <w:tab w:val="left" w:pos="1065"/>
                <w:tab w:val="left" w:pos="1584"/>
              </w:tabs>
              <w:jc w:val="center"/>
              <w:rPr>
                <w:rFonts w:ascii="Times New Roman" w:hAnsi="Times New Roman"/>
                <w:color w:val="000000"/>
              </w:rPr>
            </w:pPr>
            <w:r w:rsidRPr="0041425F">
              <w:rPr>
                <w:rFonts w:ascii="Times New Roman" w:hAnsi="Times New Roman"/>
                <w:color w:val="000000"/>
              </w:rPr>
              <w:t xml:space="preserve">Program </w:t>
            </w:r>
            <w:r w:rsidRPr="00683317">
              <w:rPr>
                <w:rFonts w:ascii="Times New Roman" w:hAnsi="Times New Roman"/>
                <w:color w:val="000000"/>
              </w:rPr>
              <w:t>Type</w:t>
            </w:r>
          </w:p>
        </w:tc>
        <w:tc>
          <w:tcPr>
            <w:tcW w:w="1530" w:type="dxa"/>
            <w:vAlign w:val="center"/>
          </w:tcPr>
          <w:p w:rsidR="00B37551" w:rsidP="00B37551" w:rsidRDefault="00B37551" w14:paraId="735EB6A8" w14:textId="77777777">
            <w:pPr>
              <w:widowControl/>
              <w:tabs>
                <w:tab w:val="left" w:pos="-1440"/>
                <w:tab w:val="left" w:pos="-720"/>
                <w:tab w:val="left" w:pos="28"/>
                <w:tab w:val="left" w:pos="547"/>
                <w:tab w:val="left" w:pos="1065"/>
                <w:tab w:val="left" w:pos="1584"/>
              </w:tabs>
              <w:jc w:val="center"/>
              <w:rPr>
                <w:rFonts w:ascii="Times New Roman" w:hAnsi="Times New Roman"/>
                <w:color w:val="000000"/>
              </w:rPr>
            </w:pPr>
            <w:r>
              <w:rPr>
                <w:rFonts w:ascii="Times New Roman" w:hAnsi="Times New Roman"/>
                <w:color w:val="000000"/>
              </w:rPr>
              <w:t>Number of</w:t>
            </w:r>
          </w:p>
          <w:p w:rsidRPr="0060276D" w:rsidR="001455E6" w:rsidP="00B37551" w:rsidRDefault="001455E6" w14:paraId="13924970" w14:textId="77777777">
            <w:pPr>
              <w:widowControl/>
              <w:tabs>
                <w:tab w:val="left" w:pos="-1440"/>
                <w:tab w:val="left" w:pos="-720"/>
                <w:tab w:val="left" w:pos="28"/>
                <w:tab w:val="left" w:pos="547"/>
                <w:tab w:val="left" w:pos="1065"/>
                <w:tab w:val="left" w:pos="1584"/>
              </w:tabs>
              <w:jc w:val="center"/>
              <w:rPr>
                <w:rFonts w:ascii="Times New Roman" w:hAnsi="Times New Roman"/>
                <w:color w:val="000000"/>
              </w:rPr>
            </w:pPr>
            <w:r w:rsidRPr="0060276D">
              <w:rPr>
                <w:rFonts w:ascii="Times New Roman" w:hAnsi="Times New Roman"/>
                <w:color w:val="000000"/>
              </w:rPr>
              <w:t>Respondents</w:t>
            </w:r>
          </w:p>
        </w:tc>
        <w:tc>
          <w:tcPr>
            <w:tcW w:w="1260" w:type="dxa"/>
            <w:vAlign w:val="center"/>
          </w:tcPr>
          <w:p w:rsidRPr="0041425F" w:rsidR="001455E6" w:rsidP="001E0388" w:rsidRDefault="0088775F" w14:paraId="6E1811A5" w14:textId="77777777">
            <w:pPr>
              <w:widowControl/>
              <w:tabs>
                <w:tab w:val="left" w:pos="-1440"/>
                <w:tab w:val="left" w:pos="-720"/>
                <w:tab w:val="left" w:pos="28"/>
                <w:tab w:val="left" w:pos="547"/>
                <w:tab w:val="left" w:pos="1065"/>
                <w:tab w:val="left" w:pos="1584"/>
              </w:tabs>
              <w:jc w:val="center"/>
              <w:rPr>
                <w:rFonts w:ascii="Times New Roman" w:hAnsi="Times New Roman"/>
                <w:color w:val="000000"/>
              </w:rPr>
            </w:pPr>
            <w:r>
              <w:rPr>
                <w:rFonts w:ascii="Times New Roman" w:hAnsi="Times New Roman"/>
                <w:color w:val="000000"/>
              </w:rPr>
              <w:t xml:space="preserve">Annual </w:t>
            </w:r>
            <w:r w:rsidR="00B37551">
              <w:rPr>
                <w:rFonts w:ascii="Times New Roman" w:hAnsi="Times New Roman"/>
                <w:color w:val="000000"/>
              </w:rPr>
              <w:t>Frequency</w:t>
            </w:r>
            <w:r w:rsidR="002759BF">
              <w:rPr>
                <w:rFonts w:ascii="Times New Roman" w:hAnsi="Times New Roman"/>
                <w:color w:val="000000"/>
              </w:rPr>
              <w:t xml:space="preserve"> </w:t>
            </w:r>
          </w:p>
        </w:tc>
        <w:tc>
          <w:tcPr>
            <w:tcW w:w="1260" w:type="dxa"/>
            <w:vAlign w:val="center"/>
          </w:tcPr>
          <w:p w:rsidRPr="0041425F" w:rsidR="001455E6" w:rsidDel="00DE4935" w:rsidP="00B37551" w:rsidRDefault="008340F4" w14:paraId="2C69DD7B" w14:textId="77777777">
            <w:pPr>
              <w:widowControl/>
              <w:tabs>
                <w:tab w:val="left" w:pos="-1440"/>
                <w:tab w:val="left" w:pos="-720"/>
                <w:tab w:val="left" w:pos="28"/>
                <w:tab w:val="left" w:pos="547"/>
                <w:tab w:val="left" w:pos="1065"/>
                <w:tab w:val="left" w:pos="1584"/>
              </w:tabs>
              <w:jc w:val="center"/>
              <w:rPr>
                <w:rFonts w:ascii="Times New Roman" w:hAnsi="Times New Roman"/>
                <w:color w:val="000000"/>
              </w:rPr>
            </w:pPr>
            <w:r w:rsidRPr="008340F4">
              <w:rPr>
                <w:rFonts w:ascii="Times New Roman" w:hAnsi="Times New Roman"/>
                <w:color w:val="000000"/>
              </w:rPr>
              <w:t>Total Annual Responses</w:t>
            </w:r>
          </w:p>
        </w:tc>
        <w:tc>
          <w:tcPr>
            <w:tcW w:w="1135" w:type="dxa"/>
            <w:vAlign w:val="center"/>
          </w:tcPr>
          <w:p w:rsidRPr="0041425F" w:rsidR="001455E6" w:rsidP="00B37551" w:rsidRDefault="008340F4" w14:paraId="746278F1" w14:textId="77777777">
            <w:pPr>
              <w:widowControl/>
              <w:tabs>
                <w:tab w:val="left" w:pos="-1440"/>
                <w:tab w:val="left" w:pos="-720"/>
                <w:tab w:val="left" w:pos="28"/>
                <w:tab w:val="left" w:pos="547"/>
                <w:tab w:val="left" w:pos="1065"/>
                <w:tab w:val="left" w:pos="1584"/>
              </w:tabs>
              <w:jc w:val="center"/>
              <w:rPr>
                <w:rFonts w:ascii="Times New Roman" w:hAnsi="Times New Roman"/>
                <w:color w:val="000000"/>
              </w:rPr>
            </w:pPr>
            <w:r>
              <w:rPr>
                <w:rFonts w:ascii="Times New Roman" w:hAnsi="Times New Roman"/>
                <w:color w:val="000000"/>
              </w:rPr>
              <w:t>Time Per Response</w:t>
            </w:r>
            <w:r w:rsidR="002759BF">
              <w:rPr>
                <w:rFonts w:ascii="Times New Roman" w:hAnsi="Times New Roman"/>
                <w:color w:val="000000"/>
              </w:rPr>
              <w:t xml:space="preserve"> (Hours)</w:t>
            </w:r>
          </w:p>
        </w:tc>
        <w:tc>
          <w:tcPr>
            <w:tcW w:w="963" w:type="dxa"/>
            <w:vAlign w:val="center"/>
          </w:tcPr>
          <w:p w:rsidRPr="0041425F" w:rsidR="001455E6" w:rsidP="00B37551" w:rsidRDefault="008340F4" w14:paraId="00C6BDC6" w14:textId="77777777">
            <w:pPr>
              <w:widowControl/>
              <w:tabs>
                <w:tab w:val="left" w:pos="-1440"/>
                <w:tab w:val="left" w:pos="-720"/>
                <w:tab w:val="left" w:pos="28"/>
                <w:tab w:val="left" w:pos="547"/>
                <w:tab w:val="left" w:pos="1065"/>
                <w:tab w:val="left" w:pos="1584"/>
              </w:tabs>
              <w:jc w:val="center"/>
              <w:rPr>
                <w:rFonts w:ascii="Times New Roman" w:hAnsi="Times New Roman"/>
                <w:color w:val="000000"/>
              </w:rPr>
            </w:pPr>
            <w:r>
              <w:rPr>
                <w:rFonts w:ascii="Times New Roman" w:hAnsi="Times New Roman"/>
                <w:color w:val="000000"/>
              </w:rPr>
              <w:t>Total</w:t>
            </w:r>
            <w:r w:rsidRPr="0041425F" w:rsidR="001455E6">
              <w:rPr>
                <w:rFonts w:ascii="Times New Roman" w:hAnsi="Times New Roman"/>
                <w:color w:val="000000"/>
              </w:rPr>
              <w:t xml:space="preserve"> Annual Burden </w:t>
            </w:r>
            <w:r>
              <w:rPr>
                <w:rFonts w:ascii="Times New Roman" w:hAnsi="Times New Roman"/>
                <w:color w:val="000000"/>
              </w:rPr>
              <w:t>(</w:t>
            </w:r>
            <w:r w:rsidRPr="0041425F" w:rsidR="001455E6">
              <w:rPr>
                <w:rFonts w:ascii="Times New Roman" w:hAnsi="Times New Roman"/>
                <w:color w:val="000000"/>
              </w:rPr>
              <w:t>Hours</w:t>
            </w:r>
            <w:r>
              <w:rPr>
                <w:rFonts w:ascii="Times New Roman" w:hAnsi="Times New Roman"/>
                <w:color w:val="000000"/>
              </w:rPr>
              <w:t>)</w:t>
            </w:r>
          </w:p>
        </w:tc>
        <w:tc>
          <w:tcPr>
            <w:tcW w:w="979" w:type="dxa"/>
          </w:tcPr>
          <w:p w:rsidR="001455E6" w:rsidP="00B37551" w:rsidRDefault="001455E6" w14:paraId="636B1118" w14:textId="77777777">
            <w:pPr>
              <w:widowControl/>
              <w:tabs>
                <w:tab w:val="left" w:pos="-1440"/>
                <w:tab w:val="left" w:pos="-720"/>
                <w:tab w:val="left" w:pos="28"/>
                <w:tab w:val="left" w:pos="547"/>
                <w:tab w:val="left" w:pos="1065"/>
                <w:tab w:val="left" w:pos="1584"/>
              </w:tabs>
              <w:jc w:val="center"/>
              <w:rPr>
                <w:rFonts w:ascii="Times New Roman" w:hAnsi="Times New Roman"/>
                <w:color w:val="000000"/>
              </w:rPr>
            </w:pPr>
          </w:p>
          <w:p w:rsidRPr="0041425F" w:rsidR="001455E6" w:rsidP="00B37551" w:rsidRDefault="008340F4" w14:paraId="1D7BC074" w14:textId="77777777">
            <w:pPr>
              <w:widowControl/>
              <w:tabs>
                <w:tab w:val="left" w:pos="-1440"/>
                <w:tab w:val="left" w:pos="-720"/>
                <w:tab w:val="left" w:pos="28"/>
                <w:tab w:val="left" w:pos="547"/>
                <w:tab w:val="left" w:pos="1065"/>
                <w:tab w:val="left" w:pos="1584"/>
              </w:tabs>
              <w:jc w:val="center"/>
              <w:rPr>
                <w:rFonts w:ascii="Times New Roman" w:hAnsi="Times New Roman"/>
                <w:color w:val="000000"/>
              </w:rPr>
            </w:pPr>
            <w:r>
              <w:rPr>
                <w:rFonts w:ascii="Times New Roman" w:hAnsi="Times New Roman"/>
                <w:color w:val="000000"/>
              </w:rPr>
              <w:t>Hourly Rate</w:t>
            </w:r>
            <w:r w:rsidR="001455E6">
              <w:rPr>
                <w:rFonts w:ascii="Times New Roman" w:hAnsi="Times New Roman"/>
                <w:color w:val="000000"/>
              </w:rPr>
              <w:t>*</w:t>
            </w:r>
          </w:p>
        </w:tc>
        <w:tc>
          <w:tcPr>
            <w:tcW w:w="1423" w:type="dxa"/>
          </w:tcPr>
          <w:p w:rsidR="001455E6" w:rsidP="00B37551" w:rsidRDefault="001455E6" w14:paraId="2F92F550" w14:textId="77777777">
            <w:pPr>
              <w:widowControl/>
              <w:tabs>
                <w:tab w:val="left" w:pos="-1440"/>
                <w:tab w:val="left" w:pos="-720"/>
                <w:tab w:val="left" w:pos="28"/>
                <w:tab w:val="left" w:pos="547"/>
                <w:tab w:val="left" w:pos="1065"/>
                <w:tab w:val="left" w:pos="1584"/>
              </w:tabs>
              <w:jc w:val="center"/>
              <w:rPr>
                <w:rFonts w:ascii="Times New Roman" w:hAnsi="Times New Roman"/>
                <w:color w:val="000000"/>
              </w:rPr>
            </w:pPr>
          </w:p>
          <w:p w:rsidR="001455E6" w:rsidP="00B37551" w:rsidRDefault="001455E6" w14:paraId="33D9C95E" w14:textId="77777777">
            <w:pPr>
              <w:rPr>
                <w:rFonts w:ascii="Times New Roman" w:hAnsi="Times New Roman"/>
              </w:rPr>
            </w:pPr>
            <w:r w:rsidRPr="001455E6">
              <w:rPr>
                <w:rFonts w:ascii="Times New Roman" w:hAnsi="Times New Roman"/>
              </w:rPr>
              <w:t xml:space="preserve">Monetized </w:t>
            </w:r>
          </w:p>
          <w:p w:rsidR="008340F4" w:rsidP="00B37551" w:rsidRDefault="008340F4" w14:paraId="450EE3AE" w14:textId="77777777">
            <w:pPr>
              <w:rPr>
                <w:rFonts w:ascii="Times New Roman" w:hAnsi="Times New Roman"/>
              </w:rPr>
            </w:pPr>
            <w:r>
              <w:rPr>
                <w:rFonts w:ascii="Times New Roman" w:hAnsi="Times New Roman"/>
              </w:rPr>
              <w:t>Value of Respondent</w:t>
            </w:r>
          </w:p>
          <w:p w:rsidRPr="00053866" w:rsidR="008340F4" w:rsidP="00B37551" w:rsidRDefault="008340F4" w14:paraId="67415D74" w14:textId="77777777">
            <w:pPr>
              <w:rPr>
                <w:rFonts w:ascii="Times New Roman" w:hAnsi="Times New Roman"/>
              </w:rPr>
            </w:pPr>
            <w:r>
              <w:rPr>
                <w:rFonts w:ascii="Times New Roman" w:hAnsi="Times New Roman"/>
              </w:rPr>
              <w:t>Time</w:t>
            </w:r>
          </w:p>
        </w:tc>
      </w:tr>
      <w:tr w:rsidRPr="0041425F" w:rsidR="001455E6" w:rsidTr="00451986" w14:paraId="017F12A2" w14:textId="77777777">
        <w:tc>
          <w:tcPr>
            <w:tcW w:w="1706" w:type="dxa"/>
            <w:vAlign w:val="center"/>
          </w:tcPr>
          <w:p w:rsidRPr="0041425F" w:rsidR="001455E6" w:rsidP="00B37551" w:rsidRDefault="001455E6" w14:paraId="2D884DB4" w14:textId="77777777">
            <w:pPr>
              <w:widowControl/>
              <w:tabs>
                <w:tab w:val="left" w:pos="-1440"/>
                <w:tab w:val="left" w:pos="-720"/>
                <w:tab w:val="left" w:pos="28"/>
                <w:tab w:val="left" w:pos="547"/>
                <w:tab w:val="left" w:pos="1065"/>
                <w:tab w:val="left" w:pos="1584"/>
              </w:tabs>
              <w:jc w:val="center"/>
              <w:rPr>
                <w:rFonts w:ascii="Times New Roman" w:hAnsi="Times New Roman"/>
                <w:color w:val="000000"/>
              </w:rPr>
            </w:pPr>
            <w:r w:rsidRPr="0041425F">
              <w:rPr>
                <w:rFonts w:ascii="Times New Roman" w:hAnsi="Times New Roman"/>
                <w:color w:val="000000"/>
              </w:rPr>
              <w:t>Regular</w:t>
            </w:r>
          </w:p>
        </w:tc>
        <w:tc>
          <w:tcPr>
            <w:tcW w:w="1530" w:type="dxa"/>
            <w:vAlign w:val="bottom"/>
          </w:tcPr>
          <w:p w:rsidRPr="0041425F" w:rsidR="001455E6" w:rsidP="00B37551" w:rsidRDefault="001455E6" w14:paraId="6119C602" w14:textId="77777777">
            <w:pPr>
              <w:widowControl/>
              <w:tabs>
                <w:tab w:val="left" w:pos="-1440"/>
                <w:tab w:val="left" w:pos="-720"/>
                <w:tab w:val="left" w:pos="28"/>
                <w:tab w:val="left" w:pos="547"/>
                <w:tab w:val="left" w:pos="1065"/>
                <w:tab w:val="left" w:pos="1584"/>
              </w:tabs>
              <w:jc w:val="center"/>
              <w:rPr>
                <w:rFonts w:ascii="Times New Roman" w:hAnsi="Times New Roman"/>
                <w:color w:val="000000"/>
              </w:rPr>
            </w:pPr>
            <w:r w:rsidRPr="0041425F">
              <w:rPr>
                <w:rFonts w:ascii="Times New Roman" w:hAnsi="Times New Roman"/>
                <w:color w:val="000000"/>
              </w:rPr>
              <w:t>53</w:t>
            </w:r>
          </w:p>
        </w:tc>
        <w:tc>
          <w:tcPr>
            <w:tcW w:w="1260" w:type="dxa"/>
            <w:vAlign w:val="bottom"/>
          </w:tcPr>
          <w:p w:rsidRPr="0041425F" w:rsidR="001455E6" w:rsidP="00B37551" w:rsidRDefault="001455E6" w14:paraId="34CE2FD7" w14:textId="77777777">
            <w:pPr>
              <w:widowControl/>
              <w:tabs>
                <w:tab w:val="left" w:pos="-1440"/>
                <w:tab w:val="left" w:pos="-720"/>
                <w:tab w:val="left" w:pos="28"/>
                <w:tab w:val="left" w:pos="547"/>
                <w:tab w:val="left" w:pos="1065"/>
                <w:tab w:val="left" w:pos="1584"/>
              </w:tabs>
              <w:jc w:val="center"/>
              <w:rPr>
                <w:rFonts w:ascii="Times New Roman" w:hAnsi="Times New Roman"/>
                <w:color w:val="000000"/>
              </w:rPr>
            </w:pPr>
            <w:r w:rsidRPr="0041425F">
              <w:rPr>
                <w:rFonts w:ascii="Times New Roman" w:hAnsi="Times New Roman"/>
                <w:color w:val="000000"/>
              </w:rPr>
              <w:t>4</w:t>
            </w:r>
          </w:p>
        </w:tc>
        <w:tc>
          <w:tcPr>
            <w:tcW w:w="1260" w:type="dxa"/>
            <w:vAlign w:val="bottom"/>
          </w:tcPr>
          <w:p w:rsidRPr="0041425F" w:rsidR="001455E6" w:rsidP="00B37551" w:rsidRDefault="008340F4" w14:paraId="650E2145" w14:textId="77777777">
            <w:pPr>
              <w:widowControl/>
              <w:tabs>
                <w:tab w:val="left" w:pos="-1440"/>
                <w:tab w:val="left" w:pos="-720"/>
                <w:tab w:val="left" w:pos="28"/>
                <w:tab w:val="left" w:pos="547"/>
                <w:tab w:val="left" w:pos="1065"/>
                <w:tab w:val="left" w:pos="1584"/>
              </w:tabs>
              <w:jc w:val="center"/>
              <w:rPr>
                <w:rFonts w:ascii="Times New Roman" w:hAnsi="Times New Roman"/>
                <w:color w:val="000000"/>
              </w:rPr>
            </w:pPr>
            <w:r>
              <w:rPr>
                <w:rFonts w:ascii="Times New Roman" w:hAnsi="Times New Roman"/>
                <w:color w:val="000000"/>
              </w:rPr>
              <w:t>212</w:t>
            </w:r>
          </w:p>
        </w:tc>
        <w:tc>
          <w:tcPr>
            <w:tcW w:w="1135" w:type="dxa"/>
            <w:vAlign w:val="bottom"/>
          </w:tcPr>
          <w:p w:rsidRPr="0041425F" w:rsidR="001455E6" w:rsidP="00B37551" w:rsidRDefault="008340F4" w14:paraId="6A1F4FEC" w14:textId="77777777">
            <w:pPr>
              <w:widowControl/>
              <w:tabs>
                <w:tab w:val="left" w:pos="-1440"/>
                <w:tab w:val="left" w:pos="-720"/>
                <w:tab w:val="left" w:pos="28"/>
                <w:tab w:val="left" w:pos="547"/>
                <w:tab w:val="left" w:pos="1065"/>
                <w:tab w:val="left" w:pos="1584"/>
              </w:tabs>
              <w:jc w:val="center"/>
              <w:rPr>
                <w:rFonts w:ascii="Times New Roman" w:hAnsi="Times New Roman"/>
                <w:color w:val="000000"/>
              </w:rPr>
            </w:pPr>
            <w:r>
              <w:rPr>
                <w:rFonts w:ascii="Times New Roman" w:hAnsi="Times New Roman"/>
                <w:color w:val="000000"/>
              </w:rPr>
              <w:t>4</w:t>
            </w:r>
          </w:p>
        </w:tc>
        <w:tc>
          <w:tcPr>
            <w:tcW w:w="963" w:type="dxa"/>
            <w:vAlign w:val="bottom"/>
          </w:tcPr>
          <w:p w:rsidRPr="0041425F" w:rsidR="001455E6" w:rsidP="00B37551" w:rsidRDefault="001455E6" w14:paraId="4E49F43D" w14:textId="77777777">
            <w:pPr>
              <w:widowControl/>
              <w:tabs>
                <w:tab w:val="left" w:pos="-1440"/>
                <w:tab w:val="left" w:pos="-720"/>
                <w:tab w:val="left" w:pos="28"/>
                <w:tab w:val="left" w:pos="547"/>
                <w:tab w:val="left" w:pos="1065"/>
                <w:tab w:val="left" w:pos="1584"/>
              </w:tabs>
              <w:jc w:val="center"/>
              <w:rPr>
                <w:rFonts w:ascii="Times New Roman" w:hAnsi="Times New Roman"/>
                <w:color w:val="000000"/>
              </w:rPr>
            </w:pPr>
            <w:r w:rsidRPr="0041425F">
              <w:rPr>
                <w:rFonts w:ascii="Times New Roman" w:hAnsi="Times New Roman"/>
                <w:color w:val="000000"/>
              </w:rPr>
              <w:t>848</w:t>
            </w:r>
          </w:p>
        </w:tc>
        <w:tc>
          <w:tcPr>
            <w:tcW w:w="979" w:type="dxa"/>
          </w:tcPr>
          <w:p w:rsidRPr="0041425F" w:rsidR="001455E6" w:rsidP="00B37551" w:rsidRDefault="001455E6" w14:paraId="062BAA65" w14:textId="77777777">
            <w:pPr>
              <w:widowControl/>
              <w:tabs>
                <w:tab w:val="left" w:pos="-1440"/>
                <w:tab w:val="left" w:pos="-720"/>
                <w:tab w:val="left" w:pos="28"/>
                <w:tab w:val="left" w:pos="547"/>
                <w:tab w:val="left" w:pos="1065"/>
                <w:tab w:val="left" w:pos="1584"/>
              </w:tabs>
              <w:jc w:val="center"/>
              <w:rPr>
                <w:rFonts w:ascii="Times New Roman" w:hAnsi="Times New Roman"/>
                <w:color w:val="000000"/>
              </w:rPr>
            </w:pPr>
            <w:r>
              <w:rPr>
                <w:rFonts w:ascii="Times New Roman" w:hAnsi="Times New Roman"/>
                <w:color w:val="000000"/>
              </w:rPr>
              <w:t>$</w:t>
            </w:r>
            <w:r w:rsidR="008D69CB">
              <w:rPr>
                <w:rFonts w:ascii="Times New Roman" w:hAnsi="Times New Roman"/>
                <w:color w:val="000000"/>
              </w:rPr>
              <w:t>50.62</w:t>
            </w:r>
          </w:p>
        </w:tc>
        <w:tc>
          <w:tcPr>
            <w:tcW w:w="1423" w:type="dxa"/>
          </w:tcPr>
          <w:p w:rsidRPr="0041425F" w:rsidR="001455E6" w:rsidP="00B37551" w:rsidRDefault="004D5C49" w14:paraId="54349D30" w14:textId="77777777">
            <w:pPr>
              <w:widowControl/>
              <w:tabs>
                <w:tab w:val="left" w:pos="-1440"/>
                <w:tab w:val="left" w:pos="-720"/>
                <w:tab w:val="left" w:pos="28"/>
                <w:tab w:val="left" w:pos="547"/>
                <w:tab w:val="left" w:pos="1065"/>
                <w:tab w:val="left" w:pos="1584"/>
              </w:tabs>
              <w:jc w:val="center"/>
              <w:rPr>
                <w:rFonts w:ascii="Times New Roman" w:hAnsi="Times New Roman"/>
                <w:color w:val="000000"/>
              </w:rPr>
            </w:pPr>
            <w:r>
              <w:rPr>
                <w:rFonts w:ascii="Times New Roman" w:hAnsi="Times New Roman"/>
                <w:color w:val="000000"/>
              </w:rPr>
              <w:t>$42,926</w:t>
            </w:r>
          </w:p>
        </w:tc>
      </w:tr>
      <w:tr w:rsidRPr="0041425F" w:rsidR="001455E6" w:rsidTr="00451986" w14:paraId="59894D01" w14:textId="77777777">
        <w:tc>
          <w:tcPr>
            <w:tcW w:w="1706" w:type="dxa"/>
            <w:vAlign w:val="center"/>
          </w:tcPr>
          <w:p w:rsidRPr="0041425F" w:rsidR="001455E6" w:rsidP="00B37551" w:rsidRDefault="001455E6" w14:paraId="02FA7C50" w14:textId="77777777">
            <w:pPr>
              <w:widowControl/>
              <w:tabs>
                <w:tab w:val="left" w:pos="-1440"/>
                <w:tab w:val="left" w:pos="-720"/>
                <w:tab w:val="left" w:pos="28"/>
                <w:tab w:val="left" w:pos="547"/>
                <w:tab w:val="left" w:pos="1065"/>
                <w:tab w:val="left" w:pos="1584"/>
              </w:tabs>
              <w:jc w:val="center"/>
              <w:rPr>
                <w:rFonts w:ascii="Times New Roman" w:hAnsi="Times New Roman"/>
                <w:color w:val="000000"/>
              </w:rPr>
            </w:pPr>
            <w:r w:rsidRPr="0041425F">
              <w:rPr>
                <w:rFonts w:ascii="Times New Roman" w:hAnsi="Times New Roman"/>
                <w:color w:val="000000"/>
              </w:rPr>
              <w:t>EB (Extended Benefits)</w:t>
            </w:r>
          </w:p>
        </w:tc>
        <w:tc>
          <w:tcPr>
            <w:tcW w:w="1530" w:type="dxa"/>
            <w:vAlign w:val="bottom"/>
          </w:tcPr>
          <w:p w:rsidRPr="0041425F" w:rsidR="001455E6" w:rsidP="00B37551" w:rsidRDefault="001455E6" w14:paraId="5E7FCA06" w14:textId="77777777">
            <w:pPr>
              <w:widowControl/>
              <w:tabs>
                <w:tab w:val="left" w:pos="-1440"/>
                <w:tab w:val="left" w:pos="-720"/>
                <w:tab w:val="left" w:pos="28"/>
                <w:tab w:val="left" w:pos="547"/>
                <w:tab w:val="left" w:pos="1065"/>
                <w:tab w:val="left" w:pos="1584"/>
              </w:tabs>
              <w:jc w:val="center"/>
              <w:rPr>
                <w:rFonts w:ascii="Times New Roman" w:hAnsi="Times New Roman"/>
                <w:color w:val="000000"/>
              </w:rPr>
            </w:pPr>
            <w:r w:rsidRPr="0041425F">
              <w:rPr>
                <w:rFonts w:ascii="Times New Roman" w:hAnsi="Times New Roman"/>
                <w:color w:val="000000"/>
              </w:rPr>
              <w:t>53</w:t>
            </w:r>
          </w:p>
        </w:tc>
        <w:tc>
          <w:tcPr>
            <w:tcW w:w="1260" w:type="dxa"/>
            <w:vAlign w:val="bottom"/>
          </w:tcPr>
          <w:p w:rsidRPr="0041425F" w:rsidR="001455E6" w:rsidP="00B37551" w:rsidRDefault="001455E6" w14:paraId="67764006" w14:textId="77777777">
            <w:pPr>
              <w:widowControl/>
              <w:tabs>
                <w:tab w:val="left" w:pos="-1440"/>
                <w:tab w:val="left" w:pos="-720"/>
                <w:tab w:val="left" w:pos="28"/>
                <w:tab w:val="left" w:pos="547"/>
                <w:tab w:val="left" w:pos="1065"/>
                <w:tab w:val="left" w:pos="1584"/>
              </w:tabs>
              <w:jc w:val="center"/>
              <w:rPr>
                <w:rFonts w:ascii="Times New Roman" w:hAnsi="Times New Roman"/>
                <w:color w:val="000000"/>
              </w:rPr>
            </w:pPr>
            <w:r w:rsidRPr="0041425F">
              <w:rPr>
                <w:rFonts w:ascii="Times New Roman" w:hAnsi="Times New Roman"/>
                <w:color w:val="000000"/>
              </w:rPr>
              <w:t>4</w:t>
            </w:r>
          </w:p>
        </w:tc>
        <w:tc>
          <w:tcPr>
            <w:tcW w:w="1260" w:type="dxa"/>
            <w:vAlign w:val="bottom"/>
          </w:tcPr>
          <w:p w:rsidRPr="0041425F" w:rsidR="001455E6" w:rsidP="00B37551" w:rsidRDefault="008340F4" w14:paraId="3E8310BA" w14:textId="77777777">
            <w:pPr>
              <w:widowControl/>
              <w:tabs>
                <w:tab w:val="left" w:pos="-1440"/>
                <w:tab w:val="left" w:pos="-720"/>
                <w:tab w:val="left" w:pos="28"/>
                <w:tab w:val="left" w:pos="547"/>
                <w:tab w:val="left" w:pos="1065"/>
                <w:tab w:val="left" w:pos="1584"/>
              </w:tabs>
              <w:jc w:val="center"/>
              <w:rPr>
                <w:rFonts w:ascii="Times New Roman" w:hAnsi="Times New Roman"/>
                <w:color w:val="000000"/>
              </w:rPr>
            </w:pPr>
            <w:r>
              <w:rPr>
                <w:rFonts w:ascii="Times New Roman" w:hAnsi="Times New Roman"/>
                <w:color w:val="000000"/>
              </w:rPr>
              <w:t>212</w:t>
            </w:r>
          </w:p>
        </w:tc>
        <w:tc>
          <w:tcPr>
            <w:tcW w:w="1135" w:type="dxa"/>
            <w:vAlign w:val="bottom"/>
          </w:tcPr>
          <w:p w:rsidRPr="0041425F" w:rsidR="001455E6" w:rsidP="00B37551" w:rsidRDefault="008340F4" w14:paraId="452594A6" w14:textId="77777777">
            <w:pPr>
              <w:widowControl/>
              <w:tabs>
                <w:tab w:val="left" w:pos="-1440"/>
                <w:tab w:val="left" w:pos="-720"/>
                <w:tab w:val="left" w:pos="28"/>
                <w:tab w:val="left" w:pos="547"/>
                <w:tab w:val="left" w:pos="1065"/>
                <w:tab w:val="left" w:pos="1584"/>
              </w:tabs>
              <w:jc w:val="center"/>
              <w:rPr>
                <w:rFonts w:ascii="Times New Roman" w:hAnsi="Times New Roman"/>
                <w:color w:val="000000"/>
              </w:rPr>
            </w:pPr>
            <w:r>
              <w:rPr>
                <w:rFonts w:ascii="Times New Roman" w:hAnsi="Times New Roman"/>
                <w:color w:val="000000"/>
              </w:rPr>
              <w:t>4</w:t>
            </w:r>
          </w:p>
        </w:tc>
        <w:tc>
          <w:tcPr>
            <w:tcW w:w="963" w:type="dxa"/>
            <w:vAlign w:val="bottom"/>
          </w:tcPr>
          <w:p w:rsidRPr="0041425F" w:rsidR="001455E6" w:rsidP="00B37551" w:rsidRDefault="001455E6" w14:paraId="4DC47F6B" w14:textId="77777777">
            <w:pPr>
              <w:widowControl/>
              <w:tabs>
                <w:tab w:val="left" w:pos="-1440"/>
                <w:tab w:val="left" w:pos="-720"/>
                <w:tab w:val="left" w:pos="28"/>
                <w:tab w:val="left" w:pos="547"/>
                <w:tab w:val="left" w:pos="1065"/>
                <w:tab w:val="left" w:pos="1584"/>
              </w:tabs>
              <w:jc w:val="center"/>
              <w:rPr>
                <w:rFonts w:ascii="Times New Roman" w:hAnsi="Times New Roman"/>
                <w:color w:val="000000"/>
              </w:rPr>
            </w:pPr>
            <w:r w:rsidRPr="0041425F">
              <w:rPr>
                <w:rFonts w:ascii="Times New Roman" w:hAnsi="Times New Roman"/>
                <w:color w:val="000000"/>
              </w:rPr>
              <w:t>848</w:t>
            </w:r>
          </w:p>
        </w:tc>
        <w:tc>
          <w:tcPr>
            <w:tcW w:w="979" w:type="dxa"/>
          </w:tcPr>
          <w:p w:rsidR="008340F4" w:rsidP="00B37551" w:rsidRDefault="008340F4" w14:paraId="065900EB" w14:textId="77777777">
            <w:pPr>
              <w:widowControl/>
              <w:tabs>
                <w:tab w:val="left" w:pos="-1440"/>
                <w:tab w:val="left" w:pos="-720"/>
                <w:tab w:val="left" w:pos="28"/>
                <w:tab w:val="left" w:pos="547"/>
                <w:tab w:val="left" w:pos="1065"/>
                <w:tab w:val="left" w:pos="1584"/>
              </w:tabs>
              <w:jc w:val="center"/>
              <w:rPr>
                <w:rFonts w:ascii="Times New Roman" w:hAnsi="Times New Roman"/>
                <w:color w:val="000000"/>
              </w:rPr>
            </w:pPr>
          </w:p>
          <w:p w:rsidR="008340F4" w:rsidP="00B37551" w:rsidRDefault="008340F4" w14:paraId="1F84F111" w14:textId="77777777">
            <w:pPr>
              <w:widowControl/>
              <w:tabs>
                <w:tab w:val="left" w:pos="-1440"/>
                <w:tab w:val="left" w:pos="-720"/>
                <w:tab w:val="left" w:pos="28"/>
                <w:tab w:val="left" w:pos="547"/>
                <w:tab w:val="left" w:pos="1065"/>
                <w:tab w:val="left" w:pos="1584"/>
              </w:tabs>
              <w:jc w:val="center"/>
              <w:rPr>
                <w:rFonts w:ascii="Times New Roman" w:hAnsi="Times New Roman"/>
                <w:color w:val="000000"/>
              </w:rPr>
            </w:pPr>
          </w:p>
          <w:p w:rsidRPr="0041425F" w:rsidR="001455E6" w:rsidP="00B37551" w:rsidRDefault="001455E6" w14:paraId="4A20EDC5" w14:textId="77777777">
            <w:pPr>
              <w:widowControl/>
              <w:tabs>
                <w:tab w:val="left" w:pos="-1440"/>
                <w:tab w:val="left" w:pos="-720"/>
                <w:tab w:val="left" w:pos="28"/>
                <w:tab w:val="left" w:pos="547"/>
                <w:tab w:val="left" w:pos="1065"/>
                <w:tab w:val="left" w:pos="1584"/>
              </w:tabs>
              <w:jc w:val="center"/>
              <w:rPr>
                <w:rFonts w:ascii="Times New Roman" w:hAnsi="Times New Roman"/>
                <w:color w:val="000000"/>
              </w:rPr>
            </w:pPr>
            <w:r>
              <w:rPr>
                <w:rFonts w:ascii="Times New Roman" w:hAnsi="Times New Roman"/>
                <w:color w:val="000000"/>
              </w:rPr>
              <w:t>$</w:t>
            </w:r>
            <w:r w:rsidR="008D69CB">
              <w:rPr>
                <w:rFonts w:ascii="Times New Roman" w:hAnsi="Times New Roman"/>
                <w:color w:val="000000"/>
              </w:rPr>
              <w:t>50.62</w:t>
            </w:r>
          </w:p>
        </w:tc>
        <w:tc>
          <w:tcPr>
            <w:tcW w:w="1423" w:type="dxa"/>
          </w:tcPr>
          <w:p w:rsidR="001455E6" w:rsidP="00B37551" w:rsidRDefault="001455E6" w14:paraId="6C4E7B2D" w14:textId="77777777">
            <w:pPr>
              <w:widowControl/>
              <w:tabs>
                <w:tab w:val="left" w:pos="-1440"/>
                <w:tab w:val="left" w:pos="-720"/>
                <w:tab w:val="left" w:pos="28"/>
                <w:tab w:val="left" w:pos="547"/>
                <w:tab w:val="left" w:pos="1065"/>
                <w:tab w:val="left" w:pos="1584"/>
              </w:tabs>
              <w:jc w:val="center"/>
              <w:rPr>
                <w:rFonts w:ascii="Times New Roman" w:hAnsi="Times New Roman"/>
                <w:color w:val="000000"/>
              </w:rPr>
            </w:pPr>
          </w:p>
          <w:p w:rsidR="008340F4" w:rsidP="00B37551" w:rsidRDefault="008340F4" w14:paraId="19D85AAC" w14:textId="77777777">
            <w:pPr>
              <w:widowControl/>
              <w:tabs>
                <w:tab w:val="left" w:pos="-1440"/>
                <w:tab w:val="left" w:pos="-720"/>
                <w:tab w:val="left" w:pos="28"/>
                <w:tab w:val="left" w:pos="547"/>
                <w:tab w:val="left" w:pos="1065"/>
                <w:tab w:val="left" w:pos="1584"/>
              </w:tabs>
              <w:jc w:val="center"/>
              <w:rPr>
                <w:rFonts w:ascii="Times New Roman" w:hAnsi="Times New Roman"/>
                <w:color w:val="000000"/>
              </w:rPr>
            </w:pPr>
          </w:p>
          <w:p w:rsidRPr="0041425F" w:rsidR="008340F4" w:rsidP="004D5C49" w:rsidRDefault="008340F4" w14:paraId="1C1B2C90" w14:textId="77777777">
            <w:pPr>
              <w:widowControl/>
              <w:tabs>
                <w:tab w:val="left" w:pos="-1440"/>
                <w:tab w:val="left" w:pos="-720"/>
                <w:tab w:val="left" w:pos="28"/>
                <w:tab w:val="left" w:pos="547"/>
                <w:tab w:val="left" w:pos="1065"/>
                <w:tab w:val="left" w:pos="1584"/>
              </w:tabs>
              <w:jc w:val="center"/>
              <w:rPr>
                <w:rFonts w:ascii="Times New Roman" w:hAnsi="Times New Roman"/>
                <w:color w:val="000000"/>
              </w:rPr>
            </w:pPr>
            <w:r>
              <w:rPr>
                <w:rFonts w:ascii="Times New Roman" w:hAnsi="Times New Roman"/>
                <w:color w:val="000000"/>
              </w:rPr>
              <w:t>$4</w:t>
            </w:r>
            <w:r w:rsidR="004D5C49">
              <w:rPr>
                <w:rFonts w:ascii="Times New Roman" w:hAnsi="Times New Roman"/>
                <w:color w:val="000000"/>
              </w:rPr>
              <w:t>2,9</w:t>
            </w:r>
            <w:r>
              <w:rPr>
                <w:rFonts w:ascii="Times New Roman" w:hAnsi="Times New Roman"/>
                <w:color w:val="000000"/>
              </w:rPr>
              <w:t>26</w:t>
            </w:r>
          </w:p>
        </w:tc>
      </w:tr>
      <w:tr w:rsidRPr="0041425F" w:rsidR="001455E6" w:rsidTr="0088775F" w14:paraId="0D7F50EB" w14:textId="77777777">
        <w:tc>
          <w:tcPr>
            <w:tcW w:w="1706" w:type="dxa"/>
            <w:vAlign w:val="center"/>
          </w:tcPr>
          <w:p w:rsidRPr="00617EC4" w:rsidR="001455E6" w:rsidP="00B37551" w:rsidRDefault="001455E6" w14:paraId="035BFE27" w14:textId="77777777">
            <w:pPr>
              <w:widowControl/>
              <w:tabs>
                <w:tab w:val="left" w:pos="-1440"/>
                <w:tab w:val="left" w:pos="-720"/>
                <w:tab w:val="left" w:pos="28"/>
                <w:tab w:val="left" w:pos="547"/>
                <w:tab w:val="left" w:pos="1065"/>
                <w:tab w:val="left" w:pos="1584"/>
              </w:tabs>
              <w:jc w:val="center"/>
              <w:rPr>
                <w:rFonts w:ascii="Times New Roman" w:hAnsi="Times New Roman"/>
                <w:b/>
                <w:i/>
                <w:color w:val="000000"/>
              </w:rPr>
            </w:pPr>
            <w:r w:rsidRPr="00617EC4">
              <w:rPr>
                <w:rFonts w:ascii="Times New Roman" w:hAnsi="Times New Roman"/>
                <w:b/>
                <w:i/>
                <w:color w:val="000000"/>
              </w:rPr>
              <w:t>Unduplicated Total</w:t>
            </w:r>
            <w:r w:rsidRPr="00617EC4" w:rsidR="00F5666D">
              <w:rPr>
                <w:rFonts w:ascii="Times New Roman" w:hAnsi="Times New Roman"/>
                <w:b/>
                <w:i/>
                <w:color w:val="000000"/>
              </w:rPr>
              <w:t>s</w:t>
            </w:r>
          </w:p>
        </w:tc>
        <w:tc>
          <w:tcPr>
            <w:tcW w:w="1530" w:type="dxa"/>
            <w:vAlign w:val="center"/>
          </w:tcPr>
          <w:p w:rsidR="00617EC4" w:rsidP="0088775F" w:rsidRDefault="00617EC4" w14:paraId="7B31C906" w14:textId="77777777">
            <w:pPr>
              <w:widowControl/>
              <w:tabs>
                <w:tab w:val="left" w:pos="-1440"/>
                <w:tab w:val="left" w:pos="-720"/>
                <w:tab w:val="left" w:pos="28"/>
                <w:tab w:val="left" w:pos="547"/>
                <w:tab w:val="left" w:pos="1065"/>
                <w:tab w:val="left" w:pos="1584"/>
              </w:tabs>
              <w:jc w:val="center"/>
              <w:rPr>
                <w:rFonts w:ascii="Times New Roman" w:hAnsi="Times New Roman"/>
                <w:b/>
                <w:i/>
                <w:color w:val="000000"/>
              </w:rPr>
            </w:pPr>
          </w:p>
          <w:p w:rsidRPr="00617EC4" w:rsidR="001455E6" w:rsidP="0088775F" w:rsidRDefault="0088775F" w14:paraId="3FF9E77C" w14:textId="77777777">
            <w:pPr>
              <w:widowControl/>
              <w:tabs>
                <w:tab w:val="left" w:pos="-1440"/>
                <w:tab w:val="left" w:pos="-720"/>
                <w:tab w:val="left" w:pos="28"/>
                <w:tab w:val="left" w:pos="547"/>
                <w:tab w:val="left" w:pos="1065"/>
                <w:tab w:val="left" w:pos="1584"/>
              </w:tabs>
              <w:jc w:val="center"/>
              <w:rPr>
                <w:rFonts w:ascii="Times New Roman" w:hAnsi="Times New Roman"/>
                <w:b/>
                <w:i/>
                <w:color w:val="000000"/>
              </w:rPr>
            </w:pPr>
            <w:r w:rsidRPr="00617EC4">
              <w:rPr>
                <w:rFonts w:ascii="Times New Roman" w:hAnsi="Times New Roman"/>
                <w:b/>
                <w:i/>
                <w:color w:val="000000"/>
              </w:rPr>
              <w:t>53</w:t>
            </w:r>
          </w:p>
        </w:tc>
        <w:tc>
          <w:tcPr>
            <w:tcW w:w="1260" w:type="dxa"/>
            <w:vAlign w:val="bottom"/>
          </w:tcPr>
          <w:p w:rsidRPr="00617EC4" w:rsidR="001455E6" w:rsidP="00B37551" w:rsidRDefault="001455E6" w14:paraId="71326712" w14:textId="77777777">
            <w:pPr>
              <w:widowControl/>
              <w:tabs>
                <w:tab w:val="left" w:pos="-1440"/>
                <w:tab w:val="left" w:pos="-720"/>
                <w:tab w:val="left" w:pos="28"/>
                <w:tab w:val="left" w:pos="547"/>
                <w:tab w:val="left" w:pos="1065"/>
                <w:tab w:val="left" w:pos="1584"/>
              </w:tabs>
              <w:jc w:val="center"/>
              <w:rPr>
                <w:rFonts w:ascii="Times New Roman" w:hAnsi="Times New Roman"/>
                <w:b/>
                <w:i/>
                <w:color w:val="000000"/>
              </w:rPr>
            </w:pPr>
          </w:p>
        </w:tc>
        <w:tc>
          <w:tcPr>
            <w:tcW w:w="1260" w:type="dxa"/>
            <w:vAlign w:val="bottom"/>
          </w:tcPr>
          <w:p w:rsidRPr="00617EC4" w:rsidR="001455E6" w:rsidP="00B37551" w:rsidRDefault="008340F4" w14:paraId="35A91460" w14:textId="77777777">
            <w:pPr>
              <w:widowControl/>
              <w:tabs>
                <w:tab w:val="left" w:pos="-1440"/>
                <w:tab w:val="left" w:pos="-720"/>
                <w:tab w:val="left" w:pos="28"/>
                <w:tab w:val="left" w:pos="547"/>
                <w:tab w:val="left" w:pos="1065"/>
                <w:tab w:val="left" w:pos="1584"/>
              </w:tabs>
              <w:jc w:val="center"/>
              <w:rPr>
                <w:rFonts w:ascii="Times New Roman" w:hAnsi="Times New Roman"/>
                <w:b/>
                <w:i/>
                <w:color w:val="000000"/>
              </w:rPr>
            </w:pPr>
            <w:r w:rsidRPr="00617EC4">
              <w:rPr>
                <w:rFonts w:ascii="Times New Roman" w:hAnsi="Times New Roman"/>
                <w:b/>
                <w:i/>
                <w:color w:val="000000"/>
              </w:rPr>
              <w:t>424</w:t>
            </w:r>
          </w:p>
        </w:tc>
        <w:tc>
          <w:tcPr>
            <w:tcW w:w="1135" w:type="dxa"/>
            <w:vAlign w:val="bottom"/>
          </w:tcPr>
          <w:p w:rsidRPr="00617EC4" w:rsidR="001455E6" w:rsidP="00B37551" w:rsidRDefault="001455E6" w14:paraId="327F8403" w14:textId="77777777">
            <w:pPr>
              <w:widowControl/>
              <w:tabs>
                <w:tab w:val="left" w:pos="-1440"/>
                <w:tab w:val="left" w:pos="-720"/>
                <w:tab w:val="left" w:pos="28"/>
                <w:tab w:val="left" w:pos="547"/>
                <w:tab w:val="left" w:pos="1065"/>
                <w:tab w:val="left" w:pos="1584"/>
              </w:tabs>
              <w:jc w:val="center"/>
              <w:rPr>
                <w:rFonts w:ascii="Times New Roman" w:hAnsi="Times New Roman"/>
                <w:b/>
                <w:i/>
                <w:color w:val="000000"/>
              </w:rPr>
            </w:pPr>
          </w:p>
        </w:tc>
        <w:tc>
          <w:tcPr>
            <w:tcW w:w="963" w:type="dxa"/>
            <w:vAlign w:val="bottom"/>
          </w:tcPr>
          <w:p w:rsidRPr="00617EC4" w:rsidR="001455E6" w:rsidP="00B37551" w:rsidRDefault="00451986" w14:paraId="60F83876" w14:textId="77777777">
            <w:pPr>
              <w:widowControl/>
              <w:tabs>
                <w:tab w:val="left" w:pos="-1440"/>
                <w:tab w:val="left" w:pos="-720"/>
                <w:tab w:val="left" w:pos="28"/>
                <w:tab w:val="left" w:pos="547"/>
                <w:tab w:val="left" w:pos="1065"/>
                <w:tab w:val="left" w:pos="1584"/>
              </w:tabs>
              <w:jc w:val="center"/>
              <w:rPr>
                <w:rFonts w:ascii="Times New Roman" w:hAnsi="Times New Roman"/>
                <w:b/>
                <w:i/>
                <w:color w:val="000000"/>
              </w:rPr>
            </w:pPr>
            <w:r w:rsidRPr="00617EC4">
              <w:rPr>
                <w:rFonts w:ascii="Times New Roman" w:hAnsi="Times New Roman"/>
                <w:b/>
                <w:i/>
                <w:color w:val="000000"/>
              </w:rPr>
              <w:t>1,696</w:t>
            </w:r>
          </w:p>
        </w:tc>
        <w:tc>
          <w:tcPr>
            <w:tcW w:w="979" w:type="dxa"/>
          </w:tcPr>
          <w:p w:rsidRPr="00617EC4" w:rsidR="001455E6" w:rsidP="00B37551" w:rsidRDefault="001455E6" w14:paraId="2D9AEAC0" w14:textId="77777777">
            <w:pPr>
              <w:widowControl/>
              <w:tabs>
                <w:tab w:val="left" w:pos="-1440"/>
                <w:tab w:val="left" w:pos="-720"/>
                <w:tab w:val="left" w:pos="28"/>
                <w:tab w:val="left" w:pos="547"/>
                <w:tab w:val="left" w:pos="1065"/>
                <w:tab w:val="left" w:pos="1584"/>
              </w:tabs>
              <w:jc w:val="center"/>
              <w:rPr>
                <w:rFonts w:ascii="Times New Roman" w:hAnsi="Times New Roman"/>
                <w:b/>
                <w:i/>
                <w:color w:val="000000"/>
              </w:rPr>
            </w:pPr>
          </w:p>
          <w:p w:rsidRPr="00617EC4" w:rsidR="0088775F" w:rsidP="00B37551" w:rsidRDefault="0088775F" w14:paraId="2B2C8019" w14:textId="77777777">
            <w:pPr>
              <w:widowControl/>
              <w:tabs>
                <w:tab w:val="left" w:pos="-1440"/>
                <w:tab w:val="left" w:pos="-720"/>
                <w:tab w:val="left" w:pos="28"/>
                <w:tab w:val="left" w:pos="547"/>
                <w:tab w:val="left" w:pos="1065"/>
                <w:tab w:val="left" w:pos="1584"/>
              </w:tabs>
              <w:jc w:val="center"/>
              <w:rPr>
                <w:rFonts w:ascii="Times New Roman" w:hAnsi="Times New Roman"/>
                <w:b/>
                <w:i/>
                <w:color w:val="000000"/>
              </w:rPr>
            </w:pPr>
          </w:p>
        </w:tc>
        <w:tc>
          <w:tcPr>
            <w:tcW w:w="1423" w:type="dxa"/>
          </w:tcPr>
          <w:p w:rsidRPr="00617EC4" w:rsidR="001455E6" w:rsidP="00B37551" w:rsidRDefault="001455E6" w14:paraId="653B0956" w14:textId="77777777">
            <w:pPr>
              <w:widowControl/>
              <w:tabs>
                <w:tab w:val="left" w:pos="-1440"/>
                <w:tab w:val="left" w:pos="-720"/>
                <w:tab w:val="left" w:pos="28"/>
                <w:tab w:val="left" w:pos="547"/>
                <w:tab w:val="left" w:pos="1065"/>
                <w:tab w:val="left" w:pos="1584"/>
              </w:tabs>
              <w:jc w:val="center"/>
              <w:rPr>
                <w:rFonts w:ascii="Times New Roman" w:hAnsi="Times New Roman"/>
                <w:b/>
                <w:i/>
                <w:color w:val="000000"/>
              </w:rPr>
            </w:pPr>
          </w:p>
          <w:p w:rsidRPr="00617EC4" w:rsidR="008340F4" w:rsidP="004D5C49" w:rsidRDefault="008340F4" w14:paraId="24E2024F" w14:textId="77777777">
            <w:pPr>
              <w:widowControl/>
              <w:tabs>
                <w:tab w:val="left" w:pos="-1440"/>
                <w:tab w:val="left" w:pos="-720"/>
                <w:tab w:val="left" w:pos="28"/>
                <w:tab w:val="left" w:pos="547"/>
                <w:tab w:val="left" w:pos="1065"/>
                <w:tab w:val="left" w:pos="1584"/>
              </w:tabs>
              <w:jc w:val="center"/>
              <w:rPr>
                <w:rFonts w:ascii="Times New Roman" w:hAnsi="Times New Roman"/>
                <w:b/>
                <w:i/>
                <w:color w:val="000000"/>
              </w:rPr>
            </w:pPr>
            <w:r w:rsidRPr="00617EC4">
              <w:rPr>
                <w:rFonts w:ascii="Times New Roman" w:hAnsi="Times New Roman"/>
                <w:b/>
                <w:i/>
                <w:color w:val="000000"/>
              </w:rPr>
              <w:t>$8</w:t>
            </w:r>
            <w:r w:rsidR="004D5C49">
              <w:rPr>
                <w:rFonts w:ascii="Times New Roman" w:hAnsi="Times New Roman"/>
                <w:b/>
                <w:i/>
                <w:color w:val="000000"/>
              </w:rPr>
              <w:t>5,8</w:t>
            </w:r>
            <w:r w:rsidRPr="00617EC4">
              <w:rPr>
                <w:rFonts w:ascii="Times New Roman" w:hAnsi="Times New Roman"/>
                <w:b/>
                <w:i/>
                <w:color w:val="000000"/>
              </w:rPr>
              <w:t>52</w:t>
            </w:r>
          </w:p>
        </w:tc>
      </w:tr>
    </w:tbl>
    <w:p w:rsidR="00630C56" w:rsidP="00B37551" w:rsidRDefault="008D69CB" w14:paraId="684FEE08" w14:textId="77777777">
      <w:pPr>
        <w:widowControl/>
        <w:rPr>
          <w:rFonts w:ascii="Times New Roman" w:hAnsi="Times New Roman"/>
          <w:color w:val="000000"/>
        </w:rPr>
      </w:pPr>
      <w:r w:rsidRPr="008D69CB">
        <w:rPr>
          <w:rFonts w:ascii="Times New Roman" w:hAnsi="Times New Roman"/>
          <w:color w:val="000000"/>
        </w:rPr>
        <w:t>*Source: The hourly rate is computed by dividing the FY 2020 national average PS/PB annual salary for state staff as provided for through the distribution of state UI administrative grants (</w:t>
      </w:r>
      <w:hyperlink w:history="1" r:id="rId11">
        <w:r w:rsidRPr="00B165B9">
          <w:rPr>
            <w:rStyle w:val="Hyperlink"/>
            <w:rFonts w:ascii="Times New Roman" w:hAnsi="Times New Roman"/>
          </w:rPr>
          <w:t>https://wdr.doleta.gov/directives/attach/UIPL/UIPL_16-19.pdf</w:t>
        </w:r>
      </w:hyperlink>
      <w:r w:rsidRPr="008D69CB">
        <w:rPr>
          <w:rFonts w:ascii="Times New Roman" w:hAnsi="Times New Roman"/>
          <w:color w:val="000000"/>
        </w:rPr>
        <w:t xml:space="preserve"> ) by the average number of hours worked</w:t>
      </w:r>
      <w:r w:rsidR="00157F41">
        <w:rPr>
          <w:rFonts w:ascii="Times New Roman" w:hAnsi="Times New Roman"/>
          <w:color w:val="000000"/>
        </w:rPr>
        <w:t xml:space="preserve"> in a year (1,711).  For FY 2020</w:t>
      </w:r>
      <w:r w:rsidRPr="008D69CB">
        <w:rPr>
          <w:rFonts w:ascii="Times New Roman" w:hAnsi="Times New Roman"/>
          <w:color w:val="000000"/>
        </w:rPr>
        <w:t>, this calculation is:  $86,609 / 1,711= $50.62.</w:t>
      </w:r>
    </w:p>
    <w:p w:rsidRPr="0041425F" w:rsidR="0078662F" w:rsidP="00B37551" w:rsidRDefault="0078662F" w14:paraId="5D6B9E9E" w14:textId="77777777">
      <w:pPr>
        <w:widowControl/>
        <w:rPr>
          <w:rFonts w:ascii="Times New Roman" w:hAnsi="Times New Roman"/>
          <w:color w:val="000000"/>
        </w:rPr>
      </w:pPr>
    </w:p>
    <w:p w:rsidRPr="008B5F3C" w:rsidR="008B5F3C" w:rsidP="00B37551" w:rsidRDefault="00E87320" w14:paraId="04B0FAF4" w14:textId="77777777">
      <w:pPr>
        <w:widowControl/>
        <w:autoSpaceDE/>
        <w:autoSpaceDN/>
        <w:adjustRightInd/>
        <w:rPr>
          <w:rFonts w:ascii="Times New Roman" w:hAnsi="Times New Roman"/>
          <w:i/>
          <w:color w:val="000000"/>
          <w:spacing w:val="2"/>
        </w:rPr>
      </w:pPr>
      <w:r>
        <w:rPr>
          <w:rFonts w:ascii="Times New Roman" w:hAnsi="Times New Roman"/>
          <w:i/>
          <w:color w:val="000000"/>
          <w:spacing w:val="2"/>
        </w:rPr>
        <w:t xml:space="preserve">13. </w:t>
      </w:r>
      <w:r w:rsidRPr="008B5F3C" w:rsidR="008B5F3C">
        <w:rPr>
          <w:rFonts w:ascii="Times New Roman" w:hAnsi="Times New Roman"/>
          <w:i/>
          <w:color w:val="000000"/>
          <w:spacing w:val="2"/>
        </w:rPr>
        <w:t>Provide an estimate for the total annual cost burden to respondents or record keepers resulting from the collection of information.  (Do not include the cost of any hour burden already reflected on the burden worksheet).</w:t>
      </w:r>
    </w:p>
    <w:p w:rsidRPr="0041425F" w:rsidR="00350F8A" w:rsidP="00B37551" w:rsidRDefault="00350F8A" w14:paraId="1498172B" w14:textId="77777777">
      <w:pPr>
        <w:widowControl/>
        <w:rPr>
          <w:rFonts w:ascii="Times New Roman" w:hAnsi="Times New Roman"/>
          <w:color w:val="000000"/>
        </w:rPr>
      </w:pPr>
    </w:p>
    <w:p w:rsidRPr="008340F4" w:rsidR="00317A34" w:rsidP="008340F4" w:rsidRDefault="002B133D" w14:paraId="29BD8CC3" w14:textId="248484C3">
      <w:pPr>
        <w:widowControl/>
        <w:autoSpaceDE/>
        <w:autoSpaceDN/>
        <w:adjustRightInd/>
      </w:pPr>
      <w:r>
        <w:rPr>
          <w:rFonts w:ascii="Times New Roman" w:hAnsi="Times New Roman"/>
          <w:color w:val="000000"/>
        </w:rPr>
        <w:t>The ETA 207 is a long standing data collection, and as such t</w:t>
      </w:r>
      <w:r w:rsidRPr="0041425F" w:rsidR="00630C56">
        <w:rPr>
          <w:rFonts w:ascii="Times New Roman" w:hAnsi="Times New Roman"/>
          <w:color w:val="000000"/>
        </w:rPr>
        <w:t xml:space="preserve">here are no startup costs. </w:t>
      </w:r>
      <w:r w:rsidRPr="0041425F" w:rsidR="007F5391">
        <w:rPr>
          <w:rFonts w:ascii="Times New Roman" w:hAnsi="Times New Roman"/>
          <w:color w:val="000000"/>
        </w:rPr>
        <w:t xml:space="preserve"> </w:t>
      </w:r>
      <w:r w:rsidRPr="0041425F" w:rsidR="00630C56">
        <w:rPr>
          <w:rFonts w:ascii="Times New Roman" w:hAnsi="Times New Roman"/>
          <w:color w:val="000000"/>
        </w:rPr>
        <w:t>All reports are collected and electronically transmitted.</w:t>
      </w:r>
      <w:r w:rsidRPr="0041425F" w:rsidR="00BE44EF">
        <w:rPr>
          <w:rFonts w:ascii="Times New Roman" w:hAnsi="Times New Roman"/>
          <w:color w:val="000000"/>
        </w:rPr>
        <w:t xml:space="preserve">  </w:t>
      </w:r>
      <w:r w:rsidRPr="0041425F" w:rsidR="00AD24DE">
        <w:rPr>
          <w:rFonts w:ascii="Times New Roman" w:hAnsi="Times New Roman"/>
          <w:color w:val="000000"/>
        </w:rPr>
        <w:t xml:space="preserve">The </w:t>
      </w:r>
      <w:r w:rsidRPr="0041425F" w:rsidR="00D71608">
        <w:rPr>
          <w:rFonts w:ascii="Times New Roman" w:hAnsi="Times New Roman"/>
          <w:color w:val="000000"/>
        </w:rPr>
        <w:t>Dep</w:t>
      </w:r>
      <w:r w:rsidRPr="0041425F" w:rsidR="00AD24DE">
        <w:rPr>
          <w:rFonts w:ascii="Times New Roman" w:hAnsi="Times New Roman"/>
          <w:color w:val="000000"/>
        </w:rPr>
        <w:t>artment has determined that a</w:t>
      </w:r>
      <w:r w:rsidRPr="00BE44EF" w:rsidR="00BE44EF">
        <w:rPr>
          <w:rFonts w:ascii="Times New Roman" w:hAnsi="Times New Roman"/>
        </w:rPr>
        <w:t>dditional costs incurred by States choosing to create a file on their own computer system and uploading it to the UI system</w:t>
      </w:r>
      <w:r w:rsidR="00910D91">
        <w:rPr>
          <w:rFonts w:ascii="Times New Roman" w:hAnsi="Times New Roman"/>
        </w:rPr>
        <w:t xml:space="preserve">. </w:t>
      </w:r>
      <w:r w:rsidRPr="009A6AB0" w:rsidR="00910D91">
        <w:rPr>
          <w:rFonts w:ascii="Times New Roman" w:hAnsi="Times New Roman"/>
          <w:color w:val="000000"/>
        </w:rPr>
        <w:t>The UI system</w:t>
      </w:r>
      <w:r w:rsidRPr="009A6AB0" w:rsidR="00BE44EF">
        <w:rPr>
          <w:rFonts w:ascii="Times New Roman" w:hAnsi="Times New Roman"/>
          <w:color w:val="000000"/>
        </w:rPr>
        <w:t xml:space="preserve"> </w:t>
      </w:r>
      <w:r w:rsidRPr="009A6AB0" w:rsidR="00910D91">
        <w:rPr>
          <w:rFonts w:ascii="Times New Roman" w:hAnsi="Times New Roman"/>
          <w:color w:val="000000"/>
        </w:rPr>
        <w:t>supports 30 information collections.  For administrative purposes, each information collection is assumed to contribute an equal share of the cost for supporting the entire system (see item 14);</w:t>
      </w:r>
      <w:r w:rsidRPr="009A6AB0" w:rsidDel="00910D91" w:rsidR="00910D91">
        <w:rPr>
          <w:rFonts w:ascii="Times New Roman" w:hAnsi="Times New Roman"/>
          <w:color w:val="000000"/>
        </w:rPr>
        <w:t xml:space="preserve"> </w:t>
      </w:r>
      <w:r w:rsidRPr="009A6AB0" w:rsidR="00910D91">
        <w:rPr>
          <w:rFonts w:ascii="Times New Roman" w:hAnsi="Times New Roman"/>
          <w:color w:val="000000"/>
        </w:rPr>
        <w:t>which</w:t>
      </w:r>
      <w:r w:rsidR="00910D91">
        <w:rPr>
          <w:rFonts w:ascii="Times New Roman" w:hAnsi="Times New Roman"/>
        </w:rPr>
        <w:t xml:space="preserve"> </w:t>
      </w:r>
      <w:r w:rsidRPr="00910D91" w:rsidR="00BE44EF">
        <w:rPr>
          <w:rFonts w:ascii="Times New Roman" w:hAnsi="Times New Roman"/>
        </w:rPr>
        <w:t>would not be considered an additional burden under the PRA</w:t>
      </w:r>
      <w:r w:rsidRPr="00910D91" w:rsidR="00AD24DE">
        <w:rPr>
          <w:rFonts w:ascii="Times New Roman" w:hAnsi="Times New Roman"/>
        </w:rPr>
        <w:t xml:space="preserve">; rather </w:t>
      </w:r>
      <w:r w:rsidRPr="00910D91" w:rsidR="00BE44EF">
        <w:rPr>
          <w:rFonts w:ascii="Times New Roman" w:hAnsi="Times New Roman"/>
        </w:rPr>
        <w:t>any additional effort would most appropriately be considered a usual or customary business practice that a respo</w:t>
      </w:r>
      <w:r w:rsidRPr="00BE44EF" w:rsidR="00BE44EF">
        <w:rPr>
          <w:rFonts w:ascii="Times New Roman" w:hAnsi="Times New Roman"/>
        </w:rPr>
        <w:t xml:space="preserve">ndent engages in for its own purposes.  </w:t>
      </w:r>
      <w:r w:rsidRPr="00BE44EF" w:rsidR="00BE44EF">
        <w:rPr>
          <w:rFonts w:ascii="Times New Roman" w:hAnsi="Times New Roman"/>
          <w:i/>
        </w:rPr>
        <w:t>See</w:t>
      </w:r>
      <w:r w:rsidRPr="00BE44EF" w:rsidR="00BE44EF">
        <w:rPr>
          <w:rFonts w:ascii="Times New Roman" w:hAnsi="Times New Roman"/>
        </w:rPr>
        <w:t xml:space="preserve"> 5 C.F.R. §</w:t>
      </w:r>
      <w:r w:rsidR="00A5314B">
        <w:rPr>
          <w:rFonts w:ascii="Times New Roman" w:hAnsi="Times New Roman"/>
        </w:rPr>
        <w:t> </w:t>
      </w:r>
      <w:r w:rsidRPr="00BE44EF" w:rsidR="00BE44EF">
        <w:rPr>
          <w:rFonts w:ascii="Times New Roman" w:hAnsi="Times New Roman"/>
        </w:rPr>
        <w:t>1320.3(b)(2).</w:t>
      </w:r>
      <w:r w:rsidR="00BE44EF">
        <w:t xml:space="preserve">  </w:t>
      </w:r>
    </w:p>
    <w:p w:rsidR="002D1E98" w:rsidP="00B37551" w:rsidRDefault="002D1E98" w14:paraId="67CDDAE5" w14:textId="77777777">
      <w:pPr>
        <w:pStyle w:val="Style2"/>
        <w:spacing w:after="0" w:line="240" w:lineRule="auto"/>
        <w:rPr>
          <w:i/>
          <w:spacing w:val="2"/>
          <w:sz w:val="24"/>
          <w:szCs w:val="24"/>
        </w:rPr>
      </w:pPr>
    </w:p>
    <w:p w:rsidRPr="00063DB9" w:rsidR="008B5F3C" w:rsidP="00B37551" w:rsidRDefault="00E87320" w14:paraId="5F537D06" w14:textId="77777777">
      <w:pPr>
        <w:pStyle w:val="Style2"/>
        <w:spacing w:after="0" w:line="240" w:lineRule="auto"/>
        <w:rPr>
          <w:i/>
          <w:spacing w:val="2"/>
          <w:sz w:val="24"/>
          <w:szCs w:val="24"/>
        </w:rPr>
      </w:pPr>
      <w:r>
        <w:rPr>
          <w:i/>
          <w:spacing w:val="2"/>
          <w:sz w:val="24"/>
          <w:szCs w:val="24"/>
        </w:rPr>
        <w:t xml:space="preserve">14. </w:t>
      </w:r>
      <w:r w:rsidRPr="00063DB9" w:rsidR="008B5F3C">
        <w:rPr>
          <w:i/>
          <w:spacing w:val="2"/>
          <w:sz w:val="24"/>
          <w:szCs w:val="24"/>
        </w:rPr>
        <w:t xml:space="preserve">Provide estimates of annualized costs to the Federal government. </w:t>
      </w:r>
      <w:r w:rsidR="008B5F3C">
        <w:rPr>
          <w:i/>
          <w:spacing w:val="2"/>
          <w:sz w:val="24"/>
          <w:szCs w:val="24"/>
        </w:rPr>
        <w:t xml:space="preserve"> </w:t>
      </w:r>
      <w:r w:rsidRPr="00063DB9" w:rsidR="008B5F3C">
        <w:rPr>
          <w:i/>
          <w:spacing w:val="2"/>
          <w:sz w:val="24"/>
          <w:szCs w:val="24"/>
        </w:rPr>
        <w:t xml:space="preserve">Also, provide a description of the method used to estimate cost, which should include quantification of hours, </w:t>
      </w:r>
      <w:r w:rsidRPr="00063DB9" w:rsidR="008B5F3C">
        <w:rPr>
          <w:i/>
          <w:spacing w:val="2"/>
          <w:sz w:val="24"/>
          <w:szCs w:val="24"/>
        </w:rPr>
        <w:lastRenderedPageBreak/>
        <w:t xml:space="preserve">operational expenses (such as equipment, overhead, printing, and support staff), and any other expense that would not have been incurred without this collection of information. </w:t>
      </w:r>
      <w:r w:rsidR="008B5F3C">
        <w:rPr>
          <w:i/>
          <w:spacing w:val="2"/>
          <w:sz w:val="24"/>
          <w:szCs w:val="24"/>
        </w:rPr>
        <w:t xml:space="preserve"> </w:t>
      </w:r>
      <w:r w:rsidRPr="00063DB9" w:rsidR="008B5F3C">
        <w:rPr>
          <w:i/>
          <w:spacing w:val="2"/>
          <w:sz w:val="24"/>
          <w:szCs w:val="24"/>
        </w:rPr>
        <w:t>Agencies may also aggregate cost estimates from Items 12, 13, and 14 in a single table.</w:t>
      </w:r>
    </w:p>
    <w:p w:rsidRPr="0041425F" w:rsidR="00317A34" w:rsidP="00B37551" w:rsidRDefault="00317A34" w14:paraId="20F0365C" w14:textId="77777777">
      <w:pPr>
        <w:pStyle w:val="Quick1"/>
        <w:widowControl/>
        <w:numPr>
          <w:ilvl w:val="0"/>
          <w:numId w:val="0"/>
        </w:numPr>
        <w:tabs>
          <w:tab w:val="left" w:pos="-1440"/>
        </w:tabs>
        <w:ind w:left="720" w:hanging="720"/>
        <w:rPr>
          <w:rFonts w:ascii="Times New Roman" w:hAnsi="Times New Roman"/>
          <w:color w:val="000000"/>
        </w:rPr>
      </w:pPr>
    </w:p>
    <w:p w:rsidR="0078662F" w:rsidP="0078662F" w:rsidRDefault="0078662F" w14:paraId="615E1356" w14:textId="4683395A">
      <w:pPr>
        <w:rPr>
          <w:rFonts w:ascii="Times New Roman" w:hAnsi="Times New Roman"/>
        </w:rPr>
      </w:pPr>
      <w:r w:rsidRPr="0078662F">
        <w:rPr>
          <w:rFonts w:ascii="Times New Roman" w:hAnsi="Times New Roman"/>
        </w:rPr>
        <w:t xml:space="preserve">Although, no staff is required to process this report, during 2020 ETA </w:t>
      </w:r>
      <w:r w:rsidR="001F66FE">
        <w:rPr>
          <w:rFonts w:ascii="Times New Roman" w:hAnsi="Times New Roman"/>
        </w:rPr>
        <w:t xml:space="preserve">has </w:t>
      </w:r>
      <w:r w:rsidRPr="0078662F">
        <w:rPr>
          <w:rFonts w:ascii="Times New Roman" w:hAnsi="Times New Roman"/>
        </w:rPr>
        <w:t xml:space="preserve">budgeted $1,024,744.87 </w:t>
      </w:r>
      <w:r w:rsidR="001F66FE">
        <w:rPr>
          <w:rFonts w:ascii="Times New Roman" w:hAnsi="Times New Roman"/>
        </w:rPr>
        <w:t>contractual cost for</w:t>
      </w:r>
      <w:r w:rsidRPr="0078662F" w:rsidR="001F66FE">
        <w:rPr>
          <w:rFonts w:ascii="Times New Roman" w:hAnsi="Times New Roman"/>
        </w:rPr>
        <w:t xml:space="preserve"> operating</w:t>
      </w:r>
      <w:r w:rsidRPr="0078662F">
        <w:rPr>
          <w:rFonts w:ascii="Times New Roman" w:hAnsi="Times New Roman"/>
        </w:rPr>
        <w:t xml:space="preserve"> and maintain</w:t>
      </w:r>
      <w:r w:rsidR="001F66FE">
        <w:rPr>
          <w:rFonts w:ascii="Times New Roman" w:hAnsi="Times New Roman"/>
        </w:rPr>
        <w:t xml:space="preserve">ing </w:t>
      </w:r>
      <w:r w:rsidRPr="0078662F">
        <w:rPr>
          <w:rFonts w:ascii="Times New Roman" w:hAnsi="Times New Roman"/>
        </w:rPr>
        <w:t xml:space="preserve"> the Unemployment Insurance Required Reports system.  Including the subject ICR, this system supports 30 information collections.  For administrative purposes, each information collection is assumed to contribute an equal share of the cost for supporting the entire system; therefore the cost allocated to this ICR is estimated to</w:t>
      </w:r>
      <w:r w:rsidR="00B165B9">
        <w:rPr>
          <w:rFonts w:ascii="Times New Roman" w:hAnsi="Times New Roman"/>
        </w:rPr>
        <w:t xml:space="preserve"> be $34,158.16 ($1,024,744.87</w:t>
      </w:r>
      <w:r w:rsidRPr="0078662F">
        <w:rPr>
          <w:rFonts w:ascii="Times New Roman" w:hAnsi="Times New Roman"/>
        </w:rPr>
        <w:t xml:space="preserve"> system cost/30 information collections.)</w:t>
      </w:r>
    </w:p>
    <w:p w:rsidR="0078662F" w:rsidP="0078662F" w:rsidRDefault="0078662F" w14:paraId="7118B4CA" w14:textId="77777777">
      <w:pPr>
        <w:rPr>
          <w:rFonts w:ascii="Times New Roman" w:hAnsi="Times New Roman"/>
        </w:rPr>
      </w:pPr>
    </w:p>
    <w:p w:rsidR="00007E03" w:rsidP="0078662F" w:rsidRDefault="007B267D" w14:paraId="5BDC8E76" w14:textId="77777777">
      <w:pPr>
        <w:rPr>
          <w:rFonts w:ascii="Times New Roman" w:hAnsi="Times New Roman"/>
        </w:rPr>
      </w:pPr>
      <w:r>
        <w:rPr>
          <w:rFonts w:ascii="Times New Roman" w:hAnsi="Times New Roman"/>
        </w:rPr>
        <w:t>The agency associates the following Federal personnel costs for this collection:</w:t>
      </w:r>
    </w:p>
    <w:p w:rsidR="007B267D" w:rsidP="00B37551" w:rsidRDefault="007B267D" w14:paraId="3752200E" w14:textId="77777777">
      <w:pPr>
        <w:rPr>
          <w:rFonts w:ascii="Times New Roman" w:hAnsi="Times New Roman"/>
        </w:rPr>
      </w:pPr>
    </w:p>
    <w:p w:rsidR="00BD37F1" w:rsidP="00BD37F1" w:rsidRDefault="007B267D" w14:paraId="64A49519" w14:textId="77777777">
      <w:pPr>
        <w:tabs>
          <w:tab w:val="left" w:pos="2520"/>
          <w:tab w:val="left" w:pos="5040"/>
          <w:tab w:val="left" w:pos="6840"/>
        </w:tabs>
        <w:rPr>
          <w:rFonts w:ascii="Times New Roman" w:hAnsi="Times New Roman"/>
        </w:rPr>
      </w:pPr>
      <w:r>
        <w:rPr>
          <w:rFonts w:ascii="Times New Roman" w:hAnsi="Times New Roman"/>
        </w:rPr>
        <w:t>Pay Grade</w:t>
      </w:r>
      <w:r w:rsidRPr="00BD37F1">
        <w:rPr>
          <w:rStyle w:val="FootnoteReference"/>
          <w:rFonts w:ascii="Times New Roman" w:hAnsi="Times New Roman"/>
          <w:vertAlign w:val="superscript"/>
        </w:rPr>
        <w:footnoteReference w:id="1"/>
      </w:r>
      <w:r w:rsidR="00BD37F1">
        <w:rPr>
          <w:rFonts w:ascii="Times New Roman" w:hAnsi="Times New Roman"/>
        </w:rPr>
        <w:tab/>
      </w:r>
      <w:r>
        <w:rPr>
          <w:rFonts w:ascii="Times New Roman" w:hAnsi="Times New Roman"/>
        </w:rPr>
        <w:t>* Overhead Adjustment</w:t>
      </w:r>
      <w:r w:rsidR="00BD37F1">
        <w:rPr>
          <w:rFonts w:ascii="Times New Roman" w:hAnsi="Times New Roman"/>
        </w:rPr>
        <w:tab/>
        <w:t>*</w:t>
      </w:r>
      <w:r>
        <w:rPr>
          <w:rFonts w:ascii="Times New Roman" w:hAnsi="Times New Roman"/>
        </w:rPr>
        <w:t xml:space="preserve"> Level of Effort</w:t>
      </w:r>
      <w:r w:rsidR="00BD37F1">
        <w:rPr>
          <w:rFonts w:ascii="Times New Roman" w:hAnsi="Times New Roman"/>
        </w:rPr>
        <w:tab/>
      </w:r>
      <w:r>
        <w:rPr>
          <w:rFonts w:ascii="Times New Roman" w:hAnsi="Times New Roman"/>
        </w:rPr>
        <w:t>= Total Personnel</w:t>
      </w:r>
      <w:r w:rsidR="00BD37F1">
        <w:rPr>
          <w:rFonts w:ascii="Times New Roman" w:hAnsi="Times New Roman"/>
        </w:rPr>
        <w:t xml:space="preserve"> </w:t>
      </w:r>
      <w:r>
        <w:rPr>
          <w:rFonts w:ascii="Times New Roman" w:hAnsi="Times New Roman"/>
        </w:rPr>
        <w:t>Cost</w:t>
      </w:r>
    </w:p>
    <w:p w:rsidR="00BD37F1" w:rsidP="000442E3" w:rsidRDefault="004D5C49" w14:paraId="18F8BC06" w14:textId="77777777">
      <w:pPr>
        <w:tabs>
          <w:tab w:val="left" w:pos="2520"/>
          <w:tab w:val="left" w:pos="5040"/>
          <w:tab w:val="left" w:pos="8100"/>
        </w:tabs>
        <w:rPr>
          <w:rFonts w:ascii="Times New Roman" w:hAnsi="Times New Roman"/>
        </w:rPr>
      </w:pPr>
      <w:r>
        <w:rPr>
          <w:rFonts w:ascii="Times New Roman" w:hAnsi="Times New Roman"/>
        </w:rPr>
        <w:t>GS12, Step 4: $84,394</w:t>
      </w:r>
      <w:r>
        <w:rPr>
          <w:rFonts w:ascii="Times New Roman" w:hAnsi="Times New Roman"/>
        </w:rPr>
        <w:tab/>
        <w:t>* 1.4</w:t>
      </w:r>
      <w:r>
        <w:rPr>
          <w:rFonts w:ascii="Times New Roman" w:hAnsi="Times New Roman"/>
        </w:rPr>
        <w:tab/>
        <w:t>* 75%</w:t>
      </w:r>
      <w:r>
        <w:rPr>
          <w:rFonts w:ascii="Times New Roman" w:hAnsi="Times New Roman"/>
        </w:rPr>
        <w:tab/>
        <w:t>= $88,614</w:t>
      </w:r>
    </w:p>
    <w:p w:rsidR="00BD37F1" w:rsidP="000442E3" w:rsidRDefault="00BD37F1" w14:paraId="1951E0CA" w14:textId="77777777">
      <w:pPr>
        <w:tabs>
          <w:tab w:val="left" w:pos="2520"/>
          <w:tab w:val="left" w:pos="5040"/>
          <w:tab w:val="left" w:pos="8100"/>
        </w:tabs>
        <w:rPr>
          <w:rFonts w:ascii="Times New Roman" w:hAnsi="Times New Roman"/>
        </w:rPr>
      </w:pPr>
      <w:r>
        <w:rPr>
          <w:rFonts w:ascii="Times New Roman" w:hAnsi="Times New Roman"/>
        </w:rPr>
        <w:t>GS-15 Step 4: $13</w:t>
      </w:r>
      <w:r w:rsidR="004D5C49">
        <w:rPr>
          <w:rFonts w:ascii="Times New Roman" w:hAnsi="Times New Roman"/>
        </w:rPr>
        <w:t>9,492</w:t>
      </w:r>
      <w:r w:rsidR="004D5C49">
        <w:rPr>
          <w:rFonts w:ascii="Times New Roman" w:hAnsi="Times New Roman"/>
        </w:rPr>
        <w:tab/>
        <w:t>* 1.4</w:t>
      </w:r>
      <w:r w:rsidR="004D5C49">
        <w:rPr>
          <w:rFonts w:ascii="Times New Roman" w:hAnsi="Times New Roman"/>
        </w:rPr>
        <w:tab/>
        <w:t>* 15%</w:t>
      </w:r>
      <w:r w:rsidR="004D5C49">
        <w:rPr>
          <w:rFonts w:ascii="Times New Roman" w:hAnsi="Times New Roman"/>
        </w:rPr>
        <w:tab/>
        <w:t>= $29,293</w:t>
      </w:r>
    </w:p>
    <w:p w:rsidR="00BD37F1" w:rsidP="000442E3" w:rsidRDefault="00BD37F1" w14:paraId="7529581B" w14:textId="77777777">
      <w:pPr>
        <w:tabs>
          <w:tab w:val="left" w:pos="2520"/>
          <w:tab w:val="left" w:pos="5040"/>
          <w:tab w:val="left" w:pos="8190"/>
        </w:tabs>
        <w:rPr>
          <w:rFonts w:ascii="Times New Roman" w:hAnsi="Times New Roman"/>
          <w:b/>
        </w:rPr>
      </w:pPr>
      <w:r w:rsidRPr="000442E3">
        <w:rPr>
          <w:rFonts w:ascii="Times New Roman" w:hAnsi="Times New Roman"/>
          <w:b/>
        </w:rPr>
        <w:t>Total Pe</w:t>
      </w:r>
      <w:r w:rsidR="00157F41">
        <w:rPr>
          <w:rFonts w:ascii="Times New Roman" w:hAnsi="Times New Roman"/>
          <w:b/>
        </w:rPr>
        <w:t>rsonnel Cost</w:t>
      </w:r>
      <w:r w:rsidR="00157F41">
        <w:rPr>
          <w:rFonts w:ascii="Times New Roman" w:hAnsi="Times New Roman"/>
          <w:b/>
        </w:rPr>
        <w:tab/>
      </w:r>
      <w:r w:rsidR="00157F41">
        <w:rPr>
          <w:rFonts w:ascii="Times New Roman" w:hAnsi="Times New Roman"/>
          <w:b/>
        </w:rPr>
        <w:tab/>
      </w:r>
      <w:r w:rsidR="00157F41">
        <w:rPr>
          <w:rFonts w:ascii="Times New Roman" w:hAnsi="Times New Roman"/>
          <w:b/>
        </w:rPr>
        <w:tab/>
        <w:t>$117,907</w:t>
      </w:r>
    </w:p>
    <w:p w:rsidR="000442E3" w:rsidP="000442E3" w:rsidRDefault="000442E3" w14:paraId="4E2602E3" w14:textId="77777777">
      <w:pPr>
        <w:tabs>
          <w:tab w:val="left" w:pos="2520"/>
          <w:tab w:val="left" w:pos="5040"/>
          <w:tab w:val="left" w:pos="8190"/>
        </w:tabs>
        <w:rPr>
          <w:rFonts w:ascii="Times New Roman" w:hAnsi="Times New Roman"/>
          <w:b/>
        </w:rPr>
      </w:pPr>
    </w:p>
    <w:p w:rsidRPr="000442E3" w:rsidR="000442E3" w:rsidP="000442E3" w:rsidRDefault="000442E3" w14:paraId="23499AB4" w14:textId="6DEA358D">
      <w:pPr>
        <w:tabs>
          <w:tab w:val="left" w:pos="2520"/>
          <w:tab w:val="left" w:pos="5040"/>
          <w:tab w:val="left" w:pos="8190"/>
        </w:tabs>
        <w:rPr>
          <w:rFonts w:ascii="Times New Roman" w:hAnsi="Times New Roman"/>
          <w:b/>
        </w:rPr>
      </w:pPr>
      <w:r>
        <w:rPr>
          <w:rFonts w:ascii="Times New Roman" w:hAnsi="Times New Roman"/>
          <w:b/>
        </w:rPr>
        <w:t>Total Annual Federal Cost Estimate: $</w:t>
      </w:r>
      <w:r w:rsidR="00157F41">
        <w:rPr>
          <w:rFonts w:ascii="Times New Roman" w:hAnsi="Times New Roman"/>
          <w:b/>
        </w:rPr>
        <w:t>152,06</w:t>
      </w:r>
      <w:r w:rsidR="002D1E98">
        <w:rPr>
          <w:rFonts w:ascii="Times New Roman" w:hAnsi="Times New Roman"/>
          <w:b/>
        </w:rPr>
        <w:t>5</w:t>
      </w:r>
      <w:r>
        <w:rPr>
          <w:rFonts w:ascii="Times New Roman" w:hAnsi="Times New Roman"/>
          <w:b/>
        </w:rPr>
        <w:t xml:space="preserve"> </w:t>
      </w:r>
      <w:r w:rsidR="00157F41">
        <w:rPr>
          <w:rFonts w:ascii="Times New Roman" w:hAnsi="Times New Roman"/>
        </w:rPr>
        <w:t>($34,158 + $117,907</w:t>
      </w:r>
      <w:r>
        <w:rPr>
          <w:rFonts w:ascii="Times New Roman" w:hAnsi="Times New Roman"/>
        </w:rPr>
        <w:t>)</w:t>
      </w:r>
      <w:r w:rsidRPr="000442E3">
        <w:rPr>
          <w:rFonts w:ascii="Times New Roman" w:hAnsi="Times New Roman"/>
        </w:rPr>
        <w:t>.</w:t>
      </w:r>
    </w:p>
    <w:p w:rsidRPr="0041425F" w:rsidR="007707CC" w:rsidP="00B37551" w:rsidRDefault="007707CC" w14:paraId="59C0B5DE" w14:textId="77777777">
      <w:pPr>
        <w:pStyle w:val="Quick1"/>
        <w:widowControl/>
        <w:numPr>
          <w:ilvl w:val="0"/>
          <w:numId w:val="0"/>
        </w:numPr>
        <w:rPr>
          <w:rFonts w:ascii="Times New Roman" w:hAnsi="Times New Roman"/>
          <w:color w:val="000000"/>
        </w:rPr>
      </w:pPr>
    </w:p>
    <w:p w:rsidRPr="00063DB9" w:rsidR="008B5F3C" w:rsidP="00B37551" w:rsidRDefault="00E87320" w14:paraId="510DF49E" w14:textId="77777777">
      <w:pPr>
        <w:pStyle w:val="Style2"/>
        <w:spacing w:after="0" w:line="240" w:lineRule="auto"/>
        <w:rPr>
          <w:i/>
          <w:spacing w:val="2"/>
          <w:sz w:val="24"/>
          <w:szCs w:val="24"/>
        </w:rPr>
      </w:pPr>
      <w:r>
        <w:rPr>
          <w:i/>
          <w:spacing w:val="2"/>
          <w:sz w:val="24"/>
          <w:szCs w:val="24"/>
        </w:rPr>
        <w:t xml:space="preserve">15. </w:t>
      </w:r>
      <w:r w:rsidRPr="00063DB9" w:rsidR="008B5F3C">
        <w:rPr>
          <w:i/>
          <w:spacing w:val="2"/>
          <w:sz w:val="24"/>
          <w:szCs w:val="24"/>
        </w:rPr>
        <w:t>Explain the reasons for any program changes or adjustments reported on the burden worksheet.</w:t>
      </w:r>
    </w:p>
    <w:p w:rsidRPr="0041425F" w:rsidR="00317A34" w:rsidP="00B37551" w:rsidRDefault="00317A34" w14:paraId="1F6E2B9D" w14:textId="77777777">
      <w:pPr>
        <w:pStyle w:val="Quick1"/>
        <w:widowControl/>
        <w:numPr>
          <w:ilvl w:val="0"/>
          <w:numId w:val="0"/>
        </w:numPr>
        <w:tabs>
          <w:tab w:val="left" w:pos="-1440"/>
        </w:tabs>
        <w:ind w:left="720" w:hanging="720"/>
        <w:rPr>
          <w:rFonts w:ascii="Times New Roman" w:hAnsi="Times New Roman"/>
          <w:color w:val="000000"/>
        </w:rPr>
      </w:pPr>
    </w:p>
    <w:p w:rsidR="00317A34" w:rsidP="00B37551" w:rsidRDefault="00CD4A37" w14:paraId="608BF42F" w14:textId="77777777">
      <w:pPr>
        <w:widowControl/>
        <w:tabs>
          <w:tab w:val="left" w:pos="-1440"/>
        </w:tabs>
        <w:rPr>
          <w:rFonts w:ascii="Times New Roman" w:hAnsi="Times New Roman"/>
          <w:color w:val="000000"/>
        </w:rPr>
      </w:pPr>
      <w:r>
        <w:rPr>
          <w:rFonts w:ascii="Times New Roman" w:hAnsi="Times New Roman"/>
          <w:color w:val="000000"/>
        </w:rPr>
        <w:t>No adjustments or changes have been made.</w:t>
      </w:r>
    </w:p>
    <w:p w:rsidRPr="0041425F" w:rsidR="00CD4A37" w:rsidP="00B37551" w:rsidRDefault="00CD4A37" w14:paraId="74239A38" w14:textId="77777777">
      <w:pPr>
        <w:widowControl/>
        <w:tabs>
          <w:tab w:val="left" w:pos="-1440"/>
        </w:tabs>
        <w:rPr>
          <w:rFonts w:ascii="Times New Roman" w:hAnsi="Times New Roman"/>
          <w:color w:val="000000"/>
        </w:rPr>
      </w:pPr>
    </w:p>
    <w:p w:rsidRPr="00063DB9" w:rsidR="008B5F3C" w:rsidP="00B37551" w:rsidRDefault="00E87320" w14:paraId="14E04CCF" w14:textId="77777777">
      <w:pPr>
        <w:pStyle w:val="Style2"/>
        <w:spacing w:after="0" w:line="240" w:lineRule="auto"/>
        <w:rPr>
          <w:i/>
          <w:spacing w:val="4"/>
          <w:sz w:val="24"/>
          <w:szCs w:val="24"/>
        </w:rPr>
      </w:pPr>
      <w:r>
        <w:rPr>
          <w:i/>
          <w:spacing w:val="4"/>
          <w:sz w:val="24"/>
          <w:szCs w:val="24"/>
        </w:rPr>
        <w:t xml:space="preserve">16. </w:t>
      </w:r>
      <w:r w:rsidRPr="00063DB9" w:rsidR="008B5F3C">
        <w:rPr>
          <w:i/>
          <w:spacing w:val="4"/>
          <w:sz w:val="24"/>
          <w:szCs w:val="24"/>
        </w:rPr>
        <w:t>For collections of information whose results will be published, outline plans for tabulation and publication.</w:t>
      </w:r>
      <w:r w:rsidR="008B5F3C">
        <w:rPr>
          <w:i/>
          <w:spacing w:val="4"/>
          <w:sz w:val="24"/>
          <w:szCs w:val="24"/>
        </w:rPr>
        <w:t xml:space="preserve"> </w:t>
      </w:r>
      <w:r w:rsidRPr="00063DB9" w:rsidR="008B5F3C">
        <w:rPr>
          <w:i/>
          <w:spacing w:val="4"/>
          <w:sz w:val="24"/>
          <w:szCs w:val="24"/>
        </w:rPr>
        <w:t xml:space="preserve"> Address any complex analytical techniques that will be used. Provide the time schedule for the entire project, including beginning and ending dates of the collection of information, completion of report, publication dates, and other actions.</w:t>
      </w:r>
    </w:p>
    <w:p w:rsidRPr="0041425F" w:rsidR="00317A34" w:rsidP="00B37551" w:rsidRDefault="00317A34" w14:paraId="7BEF5B6A" w14:textId="77777777">
      <w:pPr>
        <w:widowControl/>
        <w:tabs>
          <w:tab w:val="left" w:pos="-1440"/>
        </w:tabs>
        <w:rPr>
          <w:rFonts w:ascii="Times New Roman" w:hAnsi="Times New Roman"/>
          <w:color w:val="000000"/>
        </w:rPr>
      </w:pPr>
    </w:p>
    <w:p w:rsidRPr="0041425F" w:rsidR="00630C56" w:rsidP="00B37551" w:rsidRDefault="00630C56" w14:paraId="2892F6E2" w14:textId="77777777">
      <w:pPr>
        <w:widowControl/>
        <w:tabs>
          <w:tab w:val="left" w:pos="-1440"/>
        </w:tabs>
        <w:rPr>
          <w:rFonts w:ascii="Times New Roman" w:hAnsi="Times New Roman"/>
          <w:color w:val="000000"/>
        </w:rPr>
      </w:pPr>
      <w:r w:rsidRPr="0041425F">
        <w:rPr>
          <w:rFonts w:ascii="Times New Roman" w:hAnsi="Times New Roman"/>
          <w:color w:val="000000"/>
        </w:rPr>
        <w:t>This data is not routinely published.</w:t>
      </w:r>
    </w:p>
    <w:p w:rsidRPr="0041425F" w:rsidR="0095159F" w:rsidP="00B37551" w:rsidRDefault="0095159F" w14:paraId="2915FBDE" w14:textId="77777777">
      <w:pPr>
        <w:widowControl/>
        <w:rPr>
          <w:rFonts w:ascii="Times New Roman" w:hAnsi="Times New Roman"/>
          <w:color w:val="000000"/>
        </w:rPr>
      </w:pPr>
    </w:p>
    <w:p w:rsidRPr="00063DB9" w:rsidR="008B5F3C" w:rsidP="00B37551" w:rsidRDefault="00E87320" w14:paraId="4B6C3D3A" w14:textId="77777777">
      <w:pPr>
        <w:pStyle w:val="Style2"/>
        <w:spacing w:after="0" w:line="240" w:lineRule="auto"/>
        <w:rPr>
          <w:i/>
          <w:spacing w:val="2"/>
          <w:sz w:val="24"/>
          <w:szCs w:val="24"/>
        </w:rPr>
      </w:pPr>
      <w:r>
        <w:rPr>
          <w:i/>
          <w:spacing w:val="2"/>
          <w:sz w:val="24"/>
          <w:szCs w:val="24"/>
        </w:rPr>
        <w:t xml:space="preserve">17. </w:t>
      </w:r>
      <w:r w:rsidRPr="00063DB9" w:rsidR="008B5F3C">
        <w:rPr>
          <w:i/>
          <w:spacing w:val="2"/>
          <w:sz w:val="24"/>
          <w:szCs w:val="24"/>
        </w:rPr>
        <w:t>If seeking approval to not display the expiration date for OMB approval of the information collection, explain the reasons that display would be inappropriate.</w:t>
      </w:r>
    </w:p>
    <w:p w:rsidRPr="0041425F" w:rsidR="00317A34" w:rsidP="00B37551" w:rsidRDefault="00317A34" w14:paraId="1275C226" w14:textId="77777777">
      <w:pPr>
        <w:pStyle w:val="Quick1"/>
        <w:widowControl/>
        <w:numPr>
          <w:ilvl w:val="0"/>
          <w:numId w:val="0"/>
        </w:numPr>
        <w:tabs>
          <w:tab w:val="left" w:pos="-1440"/>
        </w:tabs>
        <w:ind w:left="720"/>
        <w:rPr>
          <w:rFonts w:ascii="Times New Roman" w:hAnsi="Times New Roman"/>
          <w:b/>
          <w:bCs/>
          <w:color w:val="000000"/>
          <w:u w:val="single"/>
        </w:rPr>
      </w:pPr>
    </w:p>
    <w:p w:rsidR="00630C56" w:rsidP="006A7A00" w:rsidRDefault="00004807" w14:paraId="4AA5EABE" w14:textId="77777777">
      <w:pPr>
        <w:pStyle w:val="Quick1"/>
        <w:widowControl/>
        <w:numPr>
          <w:ilvl w:val="0"/>
          <w:numId w:val="0"/>
        </w:numPr>
        <w:tabs>
          <w:tab w:val="left" w:pos="-1440"/>
        </w:tabs>
        <w:ind w:left="720" w:hanging="720"/>
        <w:rPr>
          <w:rFonts w:ascii="Times New Roman" w:hAnsi="Times New Roman"/>
          <w:color w:val="000000"/>
        </w:rPr>
      </w:pPr>
      <w:r w:rsidRPr="0041425F">
        <w:rPr>
          <w:rFonts w:ascii="Times New Roman" w:hAnsi="Times New Roman"/>
          <w:color w:val="000000"/>
        </w:rPr>
        <w:t xml:space="preserve">Instrument cleared </w:t>
      </w:r>
      <w:r w:rsidRPr="0041425F" w:rsidR="007F407D">
        <w:rPr>
          <w:rFonts w:ascii="Times New Roman" w:hAnsi="Times New Roman"/>
          <w:color w:val="000000"/>
        </w:rPr>
        <w:t>through t</w:t>
      </w:r>
      <w:r w:rsidRPr="0041425F" w:rsidR="00B5211D">
        <w:rPr>
          <w:rFonts w:ascii="Times New Roman" w:hAnsi="Times New Roman"/>
          <w:color w:val="000000"/>
        </w:rPr>
        <w:t>his ICR will bear the expiration date</w:t>
      </w:r>
      <w:r w:rsidRPr="0041425F" w:rsidR="00B50246">
        <w:rPr>
          <w:rFonts w:ascii="Times New Roman" w:hAnsi="Times New Roman"/>
          <w:color w:val="000000"/>
        </w:rPr>
        <w:t>.</w:t>
      </w:r>
    </w:p>
    <w:p w:rsidRPr="0041425F" w:rsidR="00CC648C" w:rsidP="006A7A00" w:rsidRDefault="00CC648C" w14:paraId="5A2B6B0A" w14:textId="77777777">
      <w:pPr>
        <w:pStyle w:val="Quick1"/>
        <w:widowControl/>
        <w:numPr>
          <w:ilvl w:val="0"/>
          <w:numId w:val="0"/>
        </w:numPr>
        <w:tabs>
          <w:tab w:val="left" w:pos="-1440"/>
        </w:tabs>
        <w:ind w:left="720" w:hanging="720"/>
        <w:rPr>
          <w:rFonts w:ascii="Times New Roman" w:hAnsi="Times New Roman"/>
          <w:color w:val="000000"/>
        </w:rPr>
      </w:pPr>
    </w:p>
    <w:p w:rsidRPr="00063DB9" w:rsidR="008B5F3C" w:rsidP="00B37551" w:rsidRDefault="00E87320" w14:paraId="4EB64DAD" w14:textId="77777777">
      <w:pPr>
        <w:pStyle w:val="Style2"/>
        <w:spacing w:after="0" w:line="240" w:lineRule="auto"/>
        <w:rPr>
          <w:i/>
          <w:spacing w:val="2"/>
          <w:sz w:val="24"/>
          <w:szCs w:val="24"/>
        </w:rPr>
      </w:pPr>
      <w:r>
        <w:rPr>
          <w:i/>
          <w:spacing w:val="2"/>
          <w:sz w:val="24"/>
          <w:szCs w:val="24"/>
        </w:rPr>
        <w:t xml:space="preserve">18. </w:t>
      </w:r>
      <w:r w:rsidRPr="00063DB9" w:rsidR="008B5F3C">
        <w:rPr>
          <w:i/>
          <w:spacing w:val="2"/>
          <w:sz w:val="24"/>
          <w:szCs w:val="24"/>
        </w:rPr>
        <w:t>Explain each exception to the topics of the certification statement identified in         “Certification for Pap</w:t>
      </w:r>
      <w:r w:rsidR="00451986">
        <w:rPr>
          <w:i/>
          <w:spacing w:val="2"/>
          <w:sz w:val="24"/>
          <w:szCs w:val="24"/>
        </w:rPr>
        <w:t>erwork Reduction Act Submiss</w:t>
      </w:r>
      <w:r w:rsidR="006A7A00">
        <w:rPr>
          <w:i/>
          <w:spacing w:val="2"/>
          <w:sz w:val="24"/>
          <w:szCs w:val="24"/>
        </w:rPr>
        <w:t>ion</w:t>
      </w:r>
      <w:r w:rsidR="00CC648C">
        <w:rPr>
          <w:i/>
          <w:spacing w:val="2"/>
          <w:sz w:val="24"/>
          <w:szCs w:val="24"/>
        </w:rPr>
        <w:t>.</w:t>
      </w:r>
      <w:r w:rsidRPr="00063DB9" w:rsidR="008B5F3C">
        <w:rPr>
          <w:i/>
          <w:spacing w:val="2"/>
          <w:sz w:val="24"/>
          <w:szCs w:val="24"/>
        </w:rPr>
        <w:t>”</w:t>
      </w:r>
    </w:p>
    <w:p w:rsidRPr="0041425F" w:rsidR="00317A34" w:rsidP="00B37551" w:rsidRDefault="00317A34" w14:paraId="42CEC708" w14:textId="77777777">
      <w:pPr>
        <w:pStyle w:val="Quick1"/>
        <w:widowControl/>
        <w:numPr>
          <w:ilvl w:val="0"/>
          <w:numId w:val="0"/>
        </w:numPr>
        <w:tabs>
          <w:tab w:val="left" w:pos="-1440"/>
        </w:tabs>
        <w:rPr>
          <w:rFonts w:ascii="Times New Roman" w:hAnsi="Times New Roman"/>
          <w:color w:val="000000"/>
        </w:rPr>
      </w:pPr>
    </w:p>
    <w:p w:rsidRPr="0041425F" w:rsidR="00A75DC6" w:rsidP="00B37551" w:rsidRDefault="00630C56" w14:paraId="11B647F0" w14:textId="77777777">
      <w:pPr>
        <w:pStyle w:val="Quick1"/>
        <w:widowControl/>
        <w:numPr>
          <w:ilvl w:val="0"/>
          <w:numId w:val="0"/>
        </w:numPr>
        <w:tabs>
          <w:tab w:val="left" w:pos="-1440"/>
        </w:tabs>
        <w:rPr>
          <w:rFonts w:ascii="Times New Roman" w:hAnsi="Times New Roman"/>
          <w:color w:val="000000"/>
        </w:rPr>
      </w:pPr>
      <w:r w:rsidRPr="0041425F">
        <w:rPr>
          <w:rFonts w:ascii="Times New Roman" w:hAnsi="Times New Roman"/>
          <w:color w:val="000000"/>
        </w:rPr>
        <w:t>There are no exceptions</w:t>
      </w:r>
      <w:r w:rsidRPr="0041425F" w:rsidR="00EC5A1D">
        <w:rPr>
          <w:rFonts w:ascii="Times New Roman" w:hAnsi="Times New Roman"/>
          <w:color w:val="000000"/>
        </w:rPr>
        <w:t xml:space="preserve"> to the certification statement</w:t>
      </w:r>
      <w:r w:rsidRPr="0041425F">
        <w:rPr>
          <w:rFonts w:ascii="Times New Roman" w:hAnsi="Times New Roman"/>
          <w:color w:val="000000"/>
        </w:rPr>
        <w:t>.</w:t>
      </w:r>
    </w:p>
    <w:p w:rsidRPr="0041425F" w:rsidR="00401FD2" w:rsidP="00B37551" w:rsidRDefault="00401FD2" w14:paraId="18F28759" w14:textId="77777777">
      <w:pPr>
        <w:pStyle w:val="Quick1"/>
        <w:widowControl/>
        <w:numPr>
          <w:ilvl w:val="0"/>
          <w:numId w:val="0"/>
        </w:numPr>
        <w:tabs>
          <w:tab w:val="left" w:pos="-1440"/>
        </w:tabs>
        <w:ind w:firstLine="270"/>
        <w:rPr>
          <w:rFonts w:ascii="Times New Roman" w:hAnsi="Times New Roman"/>
          <w:color w:val="000000"/>
        </w:rPr>
      </w:pPr>
    </w:p>
    <w:p w:rsidRPr="0041425F" w:rsidR="00401FD2" w:rsidP="00B37551" w:rsidRDefault="00401FD2" w14:paraId="2B3F2DE9" w14:textId="77777777">
      <w:pPr>
        <w:pStyle w:val="Quick1"/>
        <w:widowControl/>
        <w:numPr>
          <w:ilvl w:val="0"/>
          <w:numId w:val="0"/>
        </w:numPr>
        <w:tabs>
          <w:tab w:val="left" w:pos="-1440"/>
        </w:tabs>
        <w:rPr>
          <w:rFonts w:ascii="Times New Roman" w:hAnsi="Times New Roman"/>
          <w:color w:val="000000"/>
        </w:rPr>
      </w:pPr>
    </w:p>
    <w:p w:rsidRPr="0041425F" w:rsidR="00401FD2" w:rsidP="00B37551" w:rsidRDefault="00401FD2" w14:paraId="31D10F8C" w14:textId="77777777">
      <w:pPr>
        <w:widowControl/>
        <w:tabs>
          <w:tab w:val="left" w:pos="-1440"/>
          <w:tab w:val="left" w:pos="-720"/>
          <w:tab w:val="left" w:pos="28"/>
          <w:tab w:val="left" w:pos="547"/>
          <w:tab w:val="left" w:pos="1065"/>
          <w:tab w:val="left" w:pos="1584"/>
        </w:tabs>
        <w:ind w:left="547" w:hanging="547"/>
        <w:rPr>
          <w:rFonts w:ascii="Times New Roman" w:hAnsi="Times New Roman"/>
          <w:b/>
          <w:bCs/>
          <w:color w:val="000000"/>
        </w:rPr>
      </w:pPr>
      <w:r w:rsidRPr="0041425F">
        <w:rPr>
          <w:rFonts w:ascii="Times New Roman" w:hAnsi="Times New Roman"/>
          <w:b/>
          <w:bCs/>
          <w:color w:val="000000"/>
        </w:rPr>
        <w:t>B.</w:t>
      </w:r>
      <w:r w:rsidRPr="0041425F">
        <w:rPr>
          <w:rFonts w:ascii="Times New Roman" w:hAnsi="Times New Roman"/>
          <w:b/>
          <w:bCs/>
          <w:color w:val="000000"/>
        </w:rPr>
        <w:tab/>
        <w:t>Collection of Information Employing Statistical Methods</w:t>
      </w:r>
    </w:p>
    <w:p w:rsidRPr="0041425F" w:rsidR="00401FD2" w:rsidP="00B37551" w:rsidRDefault="00401FD2" w14:paraId="3C4E47C6" w14:textId="77777777">
      <w:pPr>
        <w:widowControl/>
        <w:tabs>
          <w:tab w:val="left" w:pos="-1440"/>
          <w:tab w:val="left" w:pos="-720"/>
          <w:tab w:val="left" w:pos="28"/>
          <w:tab w:val="left" w:pos="547"/>
          <w:tab w:val="left" w:pos="1065"/>
          <w:tab w:val="left" w:pos="1584"/>
        </w:tabs>
        <w:rPr>
          <w:rFonts w:ascii="Times New Roman" w:hAnsi="Times New Roman"/>
          <w:b/>
          <w:bCs/>
          <w:color w:val="000000"/>
        </w:rPr>
      </w:pPr>
    </w:p>
    <w:p w:rsidRPr="0041425F" w:rsidR="00630C56" w:rsidP="00B37551" w:rsidRDefault="00451986" w14:paraId="22244F92" w14:textId="77777777">
      <w:pPr>
        <w:widowControl/>
        <w:tabs>
          <w:tab w:val="left" w:pos="-1440"/>
          <w:tab w:val="left" w:pos="-720"/>
          <w:tab w:val="left" w:pos="28"/>
          <w:tab w:val="left" w:pos="547"/>
          <w:tab w:val="left" w:pos="1065"/>
          <w:tab w:val="left" w:pos="1584"/>
        </w:tabs>
        <w:rPr>
          <w:rFonts w:ascii="Times New Roman" w:hAnsi="Times New Roman"/>
          <w:color w:val="000000"/>
        </w:rPr>
      </w:pPr>
      <w:r w:rsidRPr="00451986">
        <w:rPr>
          <w:rFonts w:ascii="Times New Roman" w:hAnsi="Times New Roman"/>
          <w:color w:val="000000"/>
        </w:rPr>
        <w:t>This information collection does not employ statistical methods.</w:t>
      </w:r>
      <w:r>
        <w:rPr>
          <w:rFonts w:ascii="Times New Roman" w:hAnsi="Times New Roman"/>
          <w:color w:val="000000"/>
        </w:rPr>
        <w:t xml:space="preserve"> </w:t>
      </w:r>
    </w:p>
    <w:sectPr w:rsidRPr="0041425F" w:rsidR="00630C56" w:rsidSect="00A862DF">
      <w:headerReference w:type="default" r:id="rId12"/>
      <w:footerReference w:type="default" r:id="rId13"/>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E9139" w14:textId="77777777" w:rsidR="000E3EDB" w:rsidRDefault="000E3EDB">
      <w:r>
        <w:separator/>
      </w:r>
    </w:p>
  </w:endnote>
  <w:endnote w:type="continuationSeparator" w:id="0">
    <w:p w14:paraId="5C77B340" w14:textId="77777777" w:rsidR="000E3EDB" w:rsidRDefault="000E3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EB708" w14:textId="77777777" w:rsidR="00C96F88" w:rsidRDefault="00C96F88">
    <w:pPr>
      <w:spacing w:line="240" w:lineRule="exact"/>
    </w:pPr>
  </w:p>
  <w:p w14:paraId="35D07371" w14:textId="3A446F20" w:rsidR="00C96F88" w:rsidRDefault="00C96F88">
    <w:pPr>
      <w:framePr w:w="9361" w:wrap="notBeside" w:vAnchor="text" w:hAnchor="text" w:x="1" w:y="1"/>
      <w:jc w:val="center"/>
      <w:rPr>
        <w:rFonts w:cs="Courier"/>
      </w:rPr>
    </w:pPr>
    <w:r>
      <w:rPr>
        <w:rFonts w:cs="Courier"/>
      </w:rPr>
      <w:fldChar w:fldCharType="begin"/>
    </w:r>
    <w:r>
      <w:rPr>
        <w:rFonts w:cs="Courier"/>
      </w:rPr>
      <w:instrText xml:space="preserve">PAGE </w:instrText>
    </w:r>
    <w:r>
      <w:rPr>
        <w:rFonts w:cs="Courier"/>
      </w:rPr>
      <w:fldChar w:fldCharType="separate"/>
    </w:r>
    <w:r w:rsidR="009A6AB0">
      <w:rPr>
        <w:rFonts w:cs="Courier"/>
        <w:noProof/>
      </w:rPr>
      <w:t>2</w:t>
    </w:r>
    <w:r>
      <w:rPr>
        <w:rFonts w:cs="Courier"/>
      </w:rPr>
      <w:fldChar w:fldCharType="end"/>
    </w:r>
  </w:p>
  <w:p w14:paraId="18E97F1C" w14:textId="77777777" w:rsidR="00C96F88" w:rsidRDefault="00C96F8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565AC0" w14:textId="77777777" w:rsidR="000E3EDB" w:rsidRDefault="000E3EDB">
      <w:r>
        <w:separator/>
      </w:r>
    </w:p>
  </w:footnote>
  <w:footnote w:type="continuationSeparator" w:id="0">
    <w:p w14:paraId="4B6B5BE8" w14:textId="77777777" w:rsidR="000E3EDB" w:rsidRDefault="000E3EDB">
      <w:r>
        <w:continuationSeparator/>
      </w:r>
    </w:p>
  </w:footnote>
  <w:footnote w:id="1">
    <w:p w14:paraId="314CFDA3" w14:textId="77777777" w:rsidR="007B267D" w:rsidRPr="00BD37F1" w:rsidRDefault="007B267D">
      <w:pPr>
        <w:pStyle w:val="FootnoteText"/>
        <w:rPr>
          <w:rFonts w:ascii="Times New Roman" w:hAnsi="Times New Roman"/>
        </w:rPr>
      </w:pPr>
      <w:r w:rsidRPr="00BD37F1">
        <w:rPr>
          <w:rStyle w:val="FootnoteReference"/>
          <w:rFonts w:ascii="Times New Roman" w:hAnsi="Times New Roman"/>
        </w:rPr>
        <w:footnoteRef/>
      </w:r>
      <w:r w:rsidRPr="00BD37F1">
        <w:rPr>
          <w:rFonts w:ascii="Times New Roman" w:hAnsi="Times New Roman"/>
        </w:rPr>
        <w:t xml:space="preserve"> </w:t>
      </w:r>
      <w:r w:rsidR="00BD37F1">
        <w:rPr>
          <w:rFonts w:ascii="Times New Roman" w:hAnsi="Times New Roman"/>
        </w:rPr>
        <w:t xml:space="preserve">Source: </w:t>
      </w:r>
      <w:r w:rsidR="00BD37F1" w:rsidRPr="00BD37F1">
        <w:rPr>
          <w:rFonts w:ascii="Times New Roman" w:hAnsi="Times New Roman"/>
        </w:rPr>
        <w:t>https://www.opm.gov/policy-data-oversight/pay-leave/salaries-wages/s</w:t>
      </w:r>
      <w:r w:rsidR="004D5C49">
        <w:rPr>
          <w:rFonts w:ascii="Times New Roman" w:hAnsi="Times New Roman"/>
        </w:rPr>
        <w:t>alary-tables/pdf/2020</w:t>
      </w:r>
      <w:r w:rsidR="00BD37F1" w:rsidRPr="00BD37F1">
        <w:rPr>
          <w:rFonts w:ascii="Times New Roman" w:hAnsi="Times New Roman"/>
        </w:rPr>
        <w:t>/RUS.pdf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BF71F" w14:textId="77777777" w:rsidR="00B1716D" w:rsidRPr="00A862DF" w:rsidRDefault="00B1716D">
    <w:pPr>
      <w:pStyle w:val="Header"/>
      <w:rPr>
        <w:rFonts w:ascii="Times New Roman" w:hAnsi="Times New Roman"/>
        <w:sz w:val="20"/>
        <w:szCs w:val="20"/>
      </w:rPr>
    </w:pPr>
    <w:r w:rsidRPr="00A862DF">
      <w:rPr>
        <w:rFonts w:ascii="Times New Roman" w:hAnsi="Times New Roman"/>
        <w:sz w:val="20"/>
        <w:szCs w:val="20"/>
      </w:rPr>
      <w:t>Nonmonetary Determination</w:t>
    </w:r>
    <w:r w:rsidR="00A862DF">
      <w:rPr>
        <w:rFonts w:ascii="Times New Roman" w:hAnsi="Times New Roman"/>
        <w:sz w:val="20"/>
        <w:szCs w:val="20"/>
      </w:rPr>
      <w:t xml:space="preserve"> Activity Report</w:t>
    </w:r>
  </w:p>
  <w:p w14:paraId="5FC44EA1" w14:textId="77777777" w:rsidR="00B1716D" w:rsidRPr="00A862DF" w:rsidRDefault="00B1716D">
    <w:pPr>
      <w:pStyle w:val="Header"/>
      <w:rPr>
        <w:rFonts w:ascii="Times New Roman" w:hAnsi="Times New Roman"/>
        <w:sz w:val="20"/>
        <w:szCs w:val="20"/>
      </w:rPr>
    </w:pPr>
    <w:r w:rsidRPr="00A862DF">
      <w:rPr>
        <w:rFonts w:ascii="Times New Roman" w:hAnsi="Times New Roman"/>
        <w:sz w:val="20"/>
        <w:szCs w:val="20"/>
      </w:rPr>
      <w:t>OMB Control No. 1205-0150</w:t>
    </w:r>
  </w:p>
  <w:p w14:paraId="488EB354" w14:textId="77777777" w:rsidR="00B1716D" w:rsidRDefault="00B171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Arial" w:hAnsi="Arial" w:cs="Arial"/>
        <w:sz w:val="24"/>
        <w:szCs w:val="24"/>
      </w:rPr>
    </w:lvl>
  </w:abstractNum>
  <w:abstractNum w:abstractNumId="1" w15:restartNumberingAfterBreak="0">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5C75921"/>
    <w:multiLevelType w:val="hybridMultilevel"/>
    <w:tmpl w:val="16D430D8"/>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0754503C"/>
    <w:multiLevelType w:val="hybridMultilevel"/>
    <w:tmpl w:val="A4921D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E75E83"/>
    <w:multiLevelType w:val="hybridMultilevel"/>
    <w:tmpl w:val="4D5C5132"/>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00628D"/>
    <w:multiLevelType w:val="multilevel"/>
    <w:tmpl w:val="4D5C5132"/>
    <w:lvl w:ilvl="0">
      <w:start w:val="1"/>
      <w:numFmt w:val="decimal"/>
      <w:lvlText w:val="%1."/>
      <w:lvlJc w:val="left"/>
      <w:pPr>
        <w:tabs>
          <w:tab w:val="num" w:pos="900"/>
        </w:tabs>
        <w:ind w:left="90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BC17DF8"/>
    <w:multiLevelType w:val="hybridMultilevel"/>
    <w:tmpl w:val="4F48FFAE"/>
    <w:lvl w:ilvl="0" w:tplc="BDFAA062">
      <w:start w:val="1"/>
      <w:numFmt w:val="low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C8E382F"/>
    <w:multiLevelType w:val="hybridMultilevel"/>
    <w:tmpl w:val="64463E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CB6AF1"/>
    <w:multiLevelType w:val="hybridMultilevel"/>
    <w:tmpl w:val="C658C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896BBE"/>
    <w:multiLevelType w:val="hybridMultilevel"/>
    <w:tmpl w:val="3D2C16D2"/>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15:restartNumberingAfterBreak="0">
    <w:nsid w:val="2B482752"/>
    <w:multiLevelType w:val="hybridMultilevel"/>
    <w:tmpl w:val="3B50D7FA"/>
    <w:lvl w:ilvl="0" w:tplc="5F3E5856">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AC77DF"/>
    <w:multiLevelType w:val="hybridMultilevel"/>
    <w:tmpl w:val="E3E42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3661580"/>
    <w:multiLevelType w:val="hybridMultilevel"/>
    <w:tmpl w:val="F0E42194"/>
    <w:lvl w:ilvl="0" w:tplc="04090001">
      <w:start w:val="1"/>
      <w:numFmt w:val="bullet"/>
      <w:lvlText w:val=""/>
      <w:lvlJc w:val="left"/>
      <w:pPr>
        <w:tabs>
          <w:tab w:val="num" w:pos="1635"/>
        </w:tabs>
        <w:ind w:left="1635" w:hanging="360"/>
      </w:pPr>
      <w:rPr>
        <w:rFonts w:ascii="Symbol" w:hAnsi="Symbol" w:hint="default"/>
      </w:rPr>
    </w:lvl>
    <w:lvl w:ilvl="1" w:tplc="04090003" w:tentative="1">
      <w:start w:val="1"/>
      <w:numFmt w:val="bullet"/>
      <w:lvlText w:val="o"/>
      <w:lvlJc w:val="left"/>
      <w:pPr>
        <w:tabs>
          <w:tab w:val="num" w:pos="2355"/>
        </w:tabs>
        <w:ind w:left="2355" w:hanging="360"/>
      </w:pPr>
      <w:rPr>
        <w:rFonts w:ascii="Courier New" w:hAnsi="Courier New" w:cs="Courier New" w:hint="default"/>
      </w:rPr>
    </w:lvl>
    <w:lvl w:ilvl="2" w:tplc="04090005" w:tentative="1">
      <w:start w:val="1"/>
      <w:numFmt w:val="bullet"/>
      <w:lvlText w:val=""/>
      <w:lvlJc w:val="left"/>
      <w:pPr>
        <w:tabs>
          <w:tab w:val="num" w:pos="3075"/>
        </w:tabs>
        <w:ind w:left="3075" w:hanging="360"/>
      </w:pPr>
      <w:rPr>
        <w:rFonts w:ascii="Wingdings" w:hAnsi="Wingdings" w:hint="default"/>
      </w:rPr>
    </w:lvl>
    <w:lvl w:ilvl="3" w:tplc="04090001" w:tentative="1">
      <w:start w:val="1"/>
      <w:numFmt w:val="bullet"/>
      <w:lvlText w:val=""/>
      <w:lvlJc w:val="left"/>
      <w:pPr>
        <w:tabs>
          <w:tab w:val="num" w:pos="3795"/>
        </w:tabs>
        <w:ind w:left="3795" w:hanging="360"/>
      </w:pPr>
      <w:rPr>
        <w:rFonts w:ascii="Symbol" w:hAnsi="Symbol" w:hint="default"/>
      </w:rPr>
    </w:lvl>
    <w:lvl w:ilvl="4" w:tplc="04090003" w:tentative="1">
      <w:start w:val="1"/>
      <w:numFmt w:val="bullet"/>
      <w:lvlText w:val="o"/>
      <w:lvlJc w:val="left"/>
      <w:pPr>
        <w:tabs>
          <w:tab w:val="num" w:pos="4515"/>
        </w:tabs>
        <w:ind w:left="4515" w:hanging="360"/>
      </w:pPr>
      <w:rPr>
        <w:rFonts w:ascii="Courier New" w:hAnsi="Courier New" w:cs="Courier New" w:hint="default"/>
      </w:rPr>
    </w:lvl>
    <w:lvl w:ilvl="5" w:tplc="04090005" w:tentative="1">
      <w:start w:val="1"/>
      <w:numFmt w:val="bullet"/>
      <w:lvlText w:val=""/>
      <w:lvlJc w:val="left"/>
      <w:pPr>
        <w:tabs>
          <w:tab w:val="num" w:pos="5235"/>
        </w:tabs>
        <w:ind w:left="5235" w:hanging="360"/>
      </w:pPr>
      <w:rPr>
        <w:rFonts w:ascii="Wingdings" w:hAnsi="Wingdings" w:hint="default"/>
      </w:rPr>
    </w:lvl>
    <w:lvl w:ilvl="6" w:tplc="04090001" w:tentative="1">
      <w:start w:val="1"/>
      <w:numFmt w:val="bullet"/>
      <w:lvlText w:val=""/>
      <w:lvlJc w:val="left"/>
      <w:pPr>
        <w:tabs>
          <w:tab w:val="num" w:pos="5955"/>
        </w:tabs>
        <w:ind w:left="5955" w:hanging="360"/>
      </w:pPr>
      <w:rPr>
        <w:rFonts w:ascii="Symbol" w:hAnsi="Symbol" w:hint="default"/>
      </w:rPr>
    </w:lvl>
    <w:lvl w:ilvl="7" w:tplc="04090003" w:tentative="1">
      <w:start w:val="1"/>
      <w:numFmt w:val="bullet"/>
      <w:lvlText w:val="o"/>
      <w:lvlJc w:val="left"/>
      <w:pPr>
        <w:tabs>
          <w:tab w:val="num" w:pos="6675"/>
        </w:tabs>
        <w:ind w:left="6675" w:hanging="360"/>
      </w:pPr>
      <w:rPr>
        <w:rFonts w:ascii="Courier New" w:hAnsi="Courier New" w:cs="Courier New" w:hint="default"/>
      </w:rPr>
    </w:lvl>
    <w:lvl w:ilvl="8" w:tplc="04090005" w:tentative="1">
      <w:start w:val="1"/>
      <w:numFmt w:val="bullet"/>
      <w:lvlText w:val=""/>
      <w:lvlJc w:val="left"/>
      <w:pPr>
        <w:tabs>
          <w:tab w:val="num" w:pos="7395"/>
        </w:tabs>
        <w:ind w:left="7395" w:hanging="360"/>
      </w:pPr>
      <w:rPr>
        <w:rFonts w:ascii="Wingdings" w:hAnsi="Wingdings" w:hint="default"/>
      </w:rPr>
    </w:lvl>
  </w:abstractNum>
  <w:abstractNum w:abstractNumId="13" w15:restartNumberingAfterBreak="0">
    <w:nsid w:val="373B7F97"/>
    <w:multiLevelType w:val="hybridMultilevel"/>
    <w:tmpl w:val="A192D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106C7B"/>
    <w:multiLevelType w:val="hybridMultilevel"/>
    <w:tmpl w:val="F9A01D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737F9B"/>
    <w:multiLevelType w:val="hybridMultilevel"/>
    <w:tmpl w:val="C1EAD4A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E113A5"/>
    <w:multiLevelType w:val="hybridMultilevel"/>
    <w:tmpl w:val="8F4036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30F2492"/>
    <w:multiLevelType w:val="hybridMultilevel"/>
    <w:tmpl w:val="BFB4F2F4"/>
    <w:lvl w:ilvl="0" w:tplc="25245358">
      <w:start w:val="7"/>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7243B5"/>
    <w:multiLevelType w:val="hybridMultilevel"/>
    <w:tmpl w:val="86BAED3A"/>
    <w:lvl w:ilvl="0" w:tplc="04090001">
      <w:start w:val="1"/>
      <w:numFmt w:val="bullet"/>
      <w:lvlText w:val=""/>
      <w:lvlJc w:val="left"/>
      <w:pPr>
        <w:tabs>
          <w:tab w:val="num" w:pos="1455"/>
        </w:tabs>
        <w:ind w:left="1455" w:hanging="360"/>
      </w:pPr>
      <w:rPr>
        <w:rFonts w:ascii="Symbol" w:hAnsi="Symbol" w:hint="default"/>
      </w:rPr>
    </w:lvl>
    <w:lvl w:ilvl="1" w:tplc="04090003" w:tentative="1">
      <w:start w:val="1"/>
      <w:numFmt w:val="bullet"/>
      <w:lvlText w:val="o"/>
      <w:lvlJc w:val="left"/>
      <w:pPr>
        <w:tabs>
          <w:tab w:val="num" w:pos="2175"/>
        </w:tabs>
        <w:ind w:left="2175" w:hanging="360"/>
      </w:pPr>
      <w:rPr>
        <w:rFonts w:ascii="Courier New" w:hAnsi="Courier New" w:cs="Courier New" w:hint="default"/>
      </w:rPr>
    </w:lvl>
    <w:lvl w:ilvl="2" w:tplc="04090005" w:tentative="1">
      <w:start w:val="1"/>
      <w:numFmt w:val="bullet"/>
      <w:lvlText w:val=""/>
      <w:lvlJc w:val="left"/>
      <w:pPr>
        <w:tabs>
          <w:tab w:val="num" w:pos="2895"/>
        </w:tabs>
        <w:ind w:left="2895" w:hanging="360"/>
      </w:pPr>
      <w:rPr>
        <w:rFonts w:ascii="Wingdings" w:hAnsi="Wingdings" w:hint="default"/>
      </w:rPr>
    </w:lvl>
    <w:lvl w:ilvl="3" w:tplc="04090001" w:tentative="1">
      <w:start w:val="1"/>
      <w:numFmt w:val="bullet"/>
      <w:lvlText w:val=""/>
      <w:lvlJc w:val="left"/>
      <w:pPr>
        <w:tabs>
          <w:tab w:val="num" w:pos="3615"/>
        </w:tabs>
        <w:ind w:left="3615" w:hanging="360"/>
      </w:pPr>
      <w:rPr>
        <w:rFonts w:ascii="Symbol" w:hAnsi="Symbol" w:hint="default"/>
      </w:rPr>
    </w:lvl>
    <w:lvl w:ilvl="4" w:tplc="04090003" w:tentative="1">
      <w:start w:val="1"/>
      <w:numFmt w:val="bullet"/>
      <w:lvlText w:val="o"/>
      <w:lvlJc w:val="left"/>
      <w:pPr>
        <w:tabs>
          <w:tab w:val="num" w:pos="4335"/>
        </w:tabs>
        <w:ind w:left="4335" w:hanging="360"/>
      </w:pPr>
      <w:rPr>
        <w:rFonts w:ascii="Courier New" w:hAnsi="Courier New" w:cs="Courier New" w:hint="default"/>
      </w:rPr>
    </w:lvl>
    <w:lvl w:ilvl="5" w:tplc="04090005" w:tentative="1">
      <w:start w:val="1"/>
      <w:numFmt w:val="bullet"/>
      <w:lvlText w:val=""/>
      <w:lvlJc w:val="left"/>
      <w:pPr>
        <w:tabs>
          <w:tab w:val="num" w:pos="5055"/>
        </w:tabs>
        <w:ind w:left="5055" w:hanging="360"/>
      </w:pPr>
      <w:rPr>
        <w:rFonts w:ascii="Wingdings" w:hAnsi="Wingdings" w:hint="default"/>
      </w:rPr>
    </w:lvl>
    <w:lvl w:ilvl="6" w:tplc="04090001" w:tentative="1">
      <w:start w:val="1"/>
      <w:numFmt w:val="bullet"/>
      <w:lvlText w:val=""/>
      <w:lvlJc w:val="left"/>
      <w:pPr>
        <w:tabs>
          <w:tab w:val="num" w:pos="5775"/>
        </w:tabs>
        <w:ind w:left="5775" w:hanging="360"/>
      </w:pPr>
      <w:rPr>
        <w:rFonts w:ascii="Symbol" w:hAnsi="Symbol" w:hint="default"/>
      </w:rPr>
    </w:lvl>
    <w:lvl w:ilvl="7" w:tplc="04090003" w:tentative="1">
      <w:start w:val="1"/>
      <w:numFmt w:val="bullet"/>
      <w:lvlText w:val="o"/>
      <w:lvlJc w:val="left"/>
      <w:pPr>
        <w:tabs>
          <w:tab w:val="num" w:pos="6495"/>
        </w:tabs>
        <w:ind w:left="6495" w:hanging="360"/>
      </w:pPr>
      <w:rPr>
        <w:rFonts w:ascii="Courier New" w:hAnsi="Courier New" w:cs="Courier New" w:hint="default"/>
      </w:rPr>
    </w:lvl>
    <w:lvl w:ilvl="8" w:tplc="04090005" w:tentative="1">
      <w:start w:val="1"/>
      <w:numFmt w:val="bullet"/>
      <w:lvlText w:val=""/>
      <w:lvlJc w:val="left"/>
      <w:pPr>
        <w:tabs>
          <w:tab w:val="num" w:pos="7215"/>
        </w:tabs>
        <w:ind w:left="7215" w:hanging="360"/>
      </w:pPr>
      <w:rPr>
        <w:rFonts w:ascii="Wingdings" w:hAnsi="Wingdings" w:hint="default"/>
      </w:rPr>
    </w:lvl>
  </w:abstractNum>
  <w:abstractNum w:abstractNumId="19" w15:restartNumberingAfterBreak="0">
    <w:nsid w:val="600D25F1"/>
    <w:multiLevelType w:val="hybridMultilevel"/>
    <w:tmpl w:val="84C2A4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1DD2704"/>
    <w:multiLevelType w:val="hybridMultilevel"/>
    <w:tmpl w:val="B12A3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64698C"/>
    <w:multiLevelType w:val="hybridMultilevel"/>
    <w:tmpl w:val="BDE48B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91A3AED"/>
    <w:multiLevelType w:val="hybridMultilevel"/>
    <w:tmpl w:val="2DB6F438"/>
    <w:lvl w:ilvl="0" w:tplc="882CA7E2">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6"/>
      <w:lvl w:ilvl="0">
        <w:start w:val="6"/>
        <w:numFmt w:val="decimal"/>
        <w:pStyle w:val="Quick1"/>
        <w:lvlText w:val="%1."/>
        <w:lvlJc w:val="left"/>
      </w:lvl>
    </w:lvlOverride>
  </w:num>
  <w:num w:numId="2">
    <w:abstractNumId w:val="0"/>
    <w:lvlOverride w:ilvl="0">
      <w:startOverride w:val="9"/>
      <w:lvl w:ilvl="0">
        <w:start w:val="9"/>
        <w:numFmt w:val="decimal"/>
        <w:pStyle w:val="Quick1"/>
        <w:lvlText w:val="%1."/>
        <w:lvlJc w:val="left"/>
      </w:lvl>
    </w:lvlOverride>
  </w:num>
  <w:num w:numId="3">
    <w:abstractNumId w:val="1"/>
    <w:lvlOverride w:ilvl="0">
      <w:startOverride w:val="10"/>
      <w:lvl w:ilvl="0">
        <w:start w:val="10"/>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0"/>
    <w:lvlOverride w:ilvl="0">
      <w:startOverride w:val="13"/>
      <w:lvl w:ilvl="0">
        <w:start w:val="13"/>
        <w:numFmt w:val="decimal"/>
        <w:pStyle w:val="Quick1"/>
        <w:lvlText w:val="%1."/>
        <w:lvlJc w:val="left"/>
      </w:lvl>
    </w:lvlOverride>
  </w:num>
  <w:num w:numId="5">
    <w:abstractNumId w:val="0"/>
    <w:lvlOverride w:ilvl="0">
      <w:startOverride w:val="17"/>
      <w:lvl w:ilvl="0">
        <w:start w:val="17"/>
        <w:numFmt w:val="decimal"/>
        <w:pStyle w:val="Quick1"/>
        <w:lvlText w:val="%1."/>
        <w:lvlJc w:val="left"/>
      </w:lvl>
    </w:lvlOverride>
  </w:num>
  <w:num w:numId="6">
    <w:abstractNumId w:val="19"/>
  </w:num>
  <w:num w:numId="7">
    <w:abstractNumId w:val="8"/>
  </w:num>
  <w:num w:numId="8">
    <w:abstractNumId w:val="4"/>
  </w:num>
  <w:num w:numId="9">
    <w:abstractNumId w:val="11"/>
  </w:num>
  <w:num w:numId="10">
    <w:abstractNumId w:val="21"/>
  </w:num>
  <w:num w:numId="11">
    <w:abstractNumId w:val="16"/>
  </w:num>
  <w:num w:numId="12">
    <w:abstractNumId w:val="5"/>
  </w:num>
  <w:num w:numId="13">
    <w:abstractNumId w:val="2"/>
  </w:num>
  <w:num w:numId="14">
    <w:abstractNumId w:val="9"/>
  </w:num>
  <w:num w:numId="15">
    <w:abstractNumId w:val="12"/>
  </w:num>
  <w:num w:numId="16">
    <w:abstractNumId w:val="7"/>
  </w:num>
  <w:num w:numId="17">
    <w:abstractNumId w:val="18"/>
  </w:num>
  <w:num w:numId="18">
    <w:abstractNumId w:val="14"/>
  </w:num>
  <w:num w:numId="19">
    <w:abstractNumId w:val="3"/>
  </w:num>
  <w:num w:numId="20">
    <w:abstractNumId w:val="13"/>
  </w:num>
  <w:num w:numId="21">
    <w:abstractNumId w:val="20"/>
  </w:num>
  <w:num w:numId="22">
    <w:abstractNumId w:val="15"/>
  </w:num>
  <w:num w:numId="23">
    <w:abstractNumId w:val="10"/>
  </w:num>
  <w:num w:numId="24">
    <w:abstractNumId w:val="17"/>
  </w:num>
  <w:num w:numId="25">
    <w:abstractNumId w:val="22"/>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C56"/>
    <w:rsid w:val="00004807"/>
    <w:rsid w:val="000069F1"/>
    <w:rsid w:val="00007E03"/>
    <w:rsid w:val="0001251D"/>
    <w:rsid w:val="00034969"/>
    <w:rsid w:val="00037AA6"/>
    <w:rsid w:val="000442E3"/>
    <w:rsid w:val="00052A9E"/>
    <w:rsid w:val="00053866"/>
    <w:rsid w:val="00072608"/>
    <w:rsid w:val="00083F7C"/>
    <w:rsid w:val="00087C4A"/>
    <w:rsid w:val="0009046A"/>
    <w:rsid w:val="000A0E68"/>
    <w:rsid w:val="000A1C9C"/>
    <w:rsid w:val="000A2A97"/>
    <w:rsid w:val="000C25B2"/>
    <w:rsid w:val="000E1245"/>
    <w:rsid w:val="000E2BE2"/>
    <w:rsid w:val="000E3EDB"/>
    <w:rsid w:val="001070F4"/>
    <w:rsid w:val="00107F96"/>
    <w:rsid w:val="00112548"/>
    <w:rsid w:val="00116FFD"/>
    <w:rsid w:val="00121BBC"/>
    <w:rsid w:val="0012203D"/>
    <w:rsid w:val="00130A19"/>
    <w:rsid w:val="00134382"/>
    <w:rsid w:val="0013643E"/>
    <w:rsid w:val="001455E6"/>
    <w:rsid w:val="001549F5"/>
    <w:rsid w:val="00156561"/>
    <w:rsid w:val="00157F41"/>
    <w:rsid w:val="00163FFB"/>
    <w:rsid w:val="00172163"/>
    <w:rsid w:val="001763A3"/>
    <w:rsid w:val="0019386B"/>
    <w:rsid w:val="00193E59"/>
    <w:rsid w:val="001A10F5"/>
    <w:rsid w:val="001B17DF"/>
    <w:rsid w:val="001C189F"/>
    <w:rsid w:val="001C70B7"/>
    <w:rsid w:val="001D2B9E"/>
    <w:rsid w:val="001D68F1"/>
    <w:rsid w:val="001D7CEC"/>
    <w:rsid w:val="001E0388"/>
    <w:rsid w:val="001E2F87"/>
    <w:rsid w:val="001E4B85"/>
    <w:rsid w:val="001F4CE7"/>
    <w:rsid w:val="001F5253"/>
    <w:rsid w:val="001F66FE"/>
    <w:rsid w:val="001F744B"/>
    <w:rsid w:val="00207D70"/>
    <w:rsid w:val="00221637"/>
    <w:rsid w:val="00221C62"/>
    <w:rsid w:val="00226C91"/>
    <w:rsid w:val="00234CA8"/>
    <w:rsid w:val="00240C50"/>
    <w:rsid w:val="00242680"/>
    <w:rsid w:val="00246E54"/>
    <w:rsid w:val="00252E80"/>
    <w:rsid w:val="00255F02"/>
    <w:rsid w:val="002653C9"/>
    <w:rsid w:val="002665E9"/>
    <w:rsid w:val="0027198A"/>
    <w:rsid w:val="00272CE6"/>
    <w:rsid w:val="002759BF"/>
    <w:rsid w:val="00276919"/>
    <w:rsid w:val="00291174"/>
    <w:rsid w:val="00294CA3"/>
    <w:rsid w:val="002A1AEF"/>
    <w:rsid w:val="002A262B"/>
    <w:rsid w:val="002A77EF"/>
    <w:rsid w:val="002B133D"/>
    <w:rsid w:val="002B17AE"/>
    <w:rsid w:val="002D1E98"/>
    <w:rsid w:val="002D6444"/>
    <w:rsid w:val="002E104F"/>
    <w:rsid w:val="002E2F49"/>
    <w:rsid w:val="002E7DF2"/>
    <w:rsid w:val="002F1C61"/>
    <w:rsid w:val="002F27AE"/>
    <w:rsid w:val="002F371A"/>
    <w:rsid w:val="00316088"/>
    <w:rsid w:val="00317A34"/>
    <w:rsid w:val="00322AC0"/>
    <w:rsid w:val="00337812"/>
    <w:rsid w:val="00350F8A"/>
    <w:rsid w:val="003512B9"/>
    <w:rsid w:val="00364D86"/>
    <w:rsid w:val="00366217"/>
    <w:rsid w:val="00371098"/>
    <w:rsid w:val="00372819"/>
    <w:rsid w:val="003737A0"/>
    <w:rsid w:val="00386692"/>
    <w:rsid w:val="0039100D"/>
    <w:rsid w:val="0039276B"/>
    <w:rsid w:val="00397716"/>
    <w:rsid w:val="003A45EC"/>
    <w:rsid w:val="003B23DA"/>
    <w:rsid w:val="003D5942"/>
    <w:rsid w:val="003E090A"/>
    <w:rsid w:val="003E0E14"/>
    <w:rsid w:val="003E12C7"/>
    <w:rsid w:val="003E1CD0"/>
    <w:rsid w:val="003E24B7"/>
    <w:rsid w:val="003F38B3"/>
    <w:rsid w:val="003F4E7D"/>
    <w:rsid w:val="004001DE"/>
    <w:rsid w:val="004009F0"/>
    <w:rsid w:val="00401FD2"/>
    <w:rsid w:val="004027FA"/>
    <w:rsid w:val="0041425F"/>
    <w:rsid w:val="00417788"/>
    <w:rsid w:val="004253E3"/>
    <w:rsid w:val="004346B8"/>
    <w:rsid w:val="00435827"/>
    <w:rsid w:val="00440F44"/>
    <w:rsid w:val="004460B0"/>
    <w:rsid w:val="00451388"/>
    <w:rsid w:val="00451986"/>
    <w:rsid w:val="0045488E"/>
    <w:rsid w:val="00492437"/>
    <w:rsid w:val="004A36CB"/>
    <w:rsid w:val="004B0598"/>
    <w:rsid w:val="004B2E58"/>
    <w:rsid w:val="004D1B63"/>
    <w:rsid w:val="004D5B60"/>
    <w:rsid w:val="004D5C49"/>
    <w:rsid w:val="004E02B5"/>
    <w:rsid w:val="004F22AE"/>
    <w:rsid w:val="00500F21"/>
    <w:rsid w:val="00507F11"/>
    <w:rsid w:val="00513926"/>
    <w:rsid w:val="00514D1D"/>
    <w:rsid w:val="005175CC"/>
    <w:rsid w:val="005231B1"/>
    <w:rsid w:val="005445BA"/>
    <w:rsid w:val="005505D7"/>
    <w:rsid w:val="00552136"/>
    <w:rsid w:val="00556482"/>
    <w:rsid w:val="00563BF6"/>
    <w:rsid w:val="00567E3F"/>
    <w:rsid w:val="00586791"/>
    <w:rsid w:val="005900EC"/>
    <w:rsid w:val="00593664"/>
    <w:rsid w:val="005B436D"/>
    <w:rsid w:val="005F1C27"/>
    <w:rsid w:val="0060276D"/>
    <w:rsid w:val="006029B6"/>
    <w:rsid w:val="006141D3"/>
    <w:rsid w:val="00617EC4"/>
    <w:rsid w:val="00630C56"/>
    <w:rsid w:val="00635717"/>
    <w:rsid w:val="00640D13"/>
    <w:rsid w:val="00650070"/>
    <w:rsid w:val="00651BB4"/>
    <w:rsid w:val="006610A7"/>
    <w:rsid w:val="006767A6"/>
    <w:rsid w:val="00677CA8"/>
    <w:rsid w:val="00683317"/>
    <w:rsid w:val="006A0C1D"/>
    <w:rsid w:val="006A7469"/>
    <w:rsid w:val="006A775D"/>
    <w:rsid w:val="006A7A00"/>
    <w:rsid w:val="006B4C0D"/>
    <w:rsid w:val="006C2E58"/>
    <w:rsid w:val="006C5AFF"/>
    <w:rsid w:val="006D12AC"/>
    <w:rsid w:val="006D512D"/>
    <w:rsid w:val="006E1550"/>
    <w:rsid w:val="0070225B"/>
    <w:rsid w:val="00726591"/>
    <w:rsid w:val="00742A8C"/>
    <w:rsid w:val="00743767"/>
    <w:rsid w:val="0074799B"/>
    <w:rsid w:val="0076693D"/>
    <w:rsid w:val="00766BE0"/>
    <w:rsid w:val="00767AAF"/>
    <w:rsid w:val="007707CC"/>
    <w:rsid w:val="00783E74"/>
    <w:rsid w:val="00783F48"/>
    <w:rsid w:val="00786468"/>
    <w:rsid w:val="0078662F"/>
    <w:rsid w:val="007934DB"/>
    <w:rsid w:val="00797973"/>
    <w:rsid w:val="007A3F27"/>
    <w:rsid w:val="007A45AC"/>
    <w:rsid w:val="007B0D23"/>
    <w:rsid w:val="007B267D"/>
    <w:rsid w:val="007C2727"/>
    <w:rsid w:val="007C2A19"/>
    <w:rsid w:val="007E10BB"/>
    <w:rsid w:val="007F407D"/>
    <w:rsid w:val="007F5391"/>
    <w:rsid w:val="00803E0C"/>
    <w:rsid w:val="0081271E"/>
    <w:rsid w:val="008229B3"/>
    <w:rsid w:val="008301DF"/>
    <w:rsid w:val="008340F4"/>
    <w:rsid w:val="00840D0E"/>
    <w:rsid w:val="008416C9"/>
    <w:rsid w:val="0084203B"/>
    <w:rsid w:val="00852796"/>
    <w:rsid w:val="00872E7D"/>
    <w:rsid w:val="0088775F"/>
    <w:rsid w:val="008A058E"/>
    <w:rsid w:val="008B2D37"/>
    <w:rsid w:val="008B5F3C"/>
    <w:rsid w:val="008C728B"/>
    <w:rsid w:val="008D69CB"/>
    <w:rsid w:val="008D7849"/>
    <w:rsid w:val="008F51BB"/>
    <w:rsid w:val="008F66AC"/>
    <w:rsid w:val="0090038F"/>
    <w:rsid w:val="00901EF6"/>
    <w:rsid w:val="00906D5E"/>
    <w:rsid w:val="00910D91"/>
    <w:rsid w:val="00921C65"/>
    <w:rsid w:val="00925CC5"/>
    <w:rsid w:val="00932775"/>
    <w:rsid w:val="00935927"/>
    <w:rsid w:val="00940AC3"/>
    <w:rsid w:val="00945951"/>
    <w:rsid w:val="0095159F"/>
    <w:rsid w:val="009524BB"/>
    <w:rsid w:val="009556D2"/>
    <w:rsid w:val="00982982"/>
    <w:rsid w:val="009913A7"/>
    <w:rsid w:val="009915A2"/>
    <w:rsid w:val="009934B0"/>
    <w:rsid w:val="009942F8"/>
    <w:rsid w:val="009A0E50"/>
    <w:rsid w:val="009A3A1B"/>
    <w:rsid w:val="009A6AB0"/>
    <w:rsid w:val="009B1474"/>
    <w:rsid w:val="009B215B"/>
    <w:rsid w:val="009D4C63"/>
    <w:rsid w:val="009D511B"/>
    <w:rsid w:val="009D5F02"/>
    <w:rsid w:val="009E3227"/>
    <w:rsid w:val="009E3C33"/>
    <w:rsid w:val="009F01C2"/>
    <w:rsid w:val="009F196D"/>
    <w:rsid w:val="009F270F"/>
    <w:rsid w:val="00A1159D"/>
    <w:rsid w:val="00A225BF"/>
    <w:rsid w:val="00A32C98"/>
    <w:rsid w:val="00A33E1B"/>
    <w:rsid w:val="00A45FE9"/>
    <w:rsid w:val="00A5314B"/>
    <w:rsid w:val="00A552DE"/>
    <w:rsid w:val="00A557A6"/>
    <w:rsid w:val="00A60237"/>
    <w:rsid w:val="00A67525"/>
    <w:rsid w:val="00A73089"/>
    <w:rsid w:val="00A7409B"/>
    <w:rsid w:val="00A75DC6"/>
    <w:rsid w:val="00A75F72"/>
    <w:rsid w:val="00A805F1"/>
    <w:rsid w:val="00A862DF"/>
    <w:rsid w:val="00A8732B"/>
    <w:rsid w:val="00AA097B"/>
    <w:rsid w:val="00AA58F7"/>
    <w:rsid w:val="00AB0687"/>
    <w:rsid w:val="00AD24DE"/>
    <w:rsid w:val="00AE134D"/>
    <w:rsid w:val="00AE6E34"/>
    <w:rsid w:val="00AF2999"/>
    <w:rsid w:val="00AF5F7D"/>
    <w:rsid w:val="00B00718"/>
    <w:rsid w:val="00B03A3E"/>
    <w:rsid w:val="00B055C7"/>
    <w:rsid w:val="00B165B9"/>
    <w:rsid w:val="00B1716D"/>
    <w:rsid w:val="00B2162E"/>
    <w:rsid w:val="00B22841"/>
    <w:rsid w:val="00B2684C"/>
    <w:rsid w:val="00B321D2"/>
    <w:rsid w:val="00B3572C"/>
    <w:rsid w:val="00B37551"/>
    <w:rsid w:val="00B401FB"/>
    <w:rsid w:val="00B50246"/>
    <w:rsid w:val="00B5211D"/>
    <w:rsid w:val="00B521A1"/>
    <w:rsid w:val="00B6083E"/>
    <w:rsid w:val="00B6441D"/>
    <w:rsid w:val="00B831F1"/>
    <w:rsid w:val="00B87ED5"/>
    <w:rsid w:val="00B90F81"/>
    <w:rsid w:val="00BA05D2"/>
    <w:rsid w:val="00BA3C97"/>
    <w:rsid w:val="00BA5BA6"/>
    <w:rsid w:val="00BB7000"/>
    <w:rsid w:val="00BB79BE"/>
    <w:rsid w:val="00BC0E72"/>
    <w:rsid w:val="00BC2317"/>
    <w:rsid w:val="00BD15A6"/>
    <w:rsid w:val="00BD37F1"/>
    <w:rsid w:val="00BE44EF"/>
    <w:rsid w:val="00BE71AF"/>
    <w:rsid w:val="00BF5885"/>
    <w:rsid w:val="00BF5F00"/>
    <w:rsid w:val="00BF703D"/>
    <w:rsid w:val="00C05EAD"/>
    <w:rsid w:val="00C06D5A"/>
    <w:rsid w:val="00C06F50"/>
    <w:rsid w:val="00C2626F"/>
    <w:rsid w:val="00C31187"/>
    <w:rsid w:val="00C36896"/>
    <w:rsid w:val="00C43061"/>
    <w:rsid w:val="00C477A1"/>
    <w:rsid w:val="00C50239"/>
    <w:rsid w:val="00C5566C"/>
    <w:rsid w:val="00C61D49"/>
    <w:rsid w:val="00C62C7A"/>
    <w:rsid w:val="00C67546"/>
    <w:rsid w:val="00C67F83"/>
    <w:rsid w:val="00C7349C"/>
    <w:rsid w:val="00C8728A"/>
    <w:rsid w:val="00C96F88"/>
    <w:rsid w:val="00CA5C01"/>
    <w:rsid w:val="00CB0919"/>
    <w:rsid w:val="00CC648C"/>
    <w:rsid w:val="00CD1589"/>
    <w:rsid w:val="00CD4A37"/>
    <w:rsid w:val="00CD5BDB"/>
    <w:rsid w:val="00CF0F4F"/>
    <w:rsid w:val="00CF654B"/>
    <w:rsid w:val="00D10A8E"/>
    <w:rsid w:val="00D138E0"/>
    <w:rsid w:val="00D23629"/>
    <w:rsid w:val="00D23BCC"/>
    <w:rsid w:val="00D35CE4"/>
    <w:rsid w:val="00D41280"/>
    <w:rsid w:val="00D44D99"/>
    <w:rsid w:val="00D71608"/>
    <w:rsid w:val="00D85B3B"/>
    <w:rsid w:val="00D93E6F"/>
    <w:rsid w:val="00DA7A30"/>
    <w:rsid w:val="00DC3CC1"/>
    <w:rsid w:val="00DE1499"/>
    <w:rsid w:val="00DE4935"/>
    <w:rsid w:val="00DE5A49"/>
    <w:rsid w:val="00DE5CBC"/>
    <w:rsid w:val="00DF41FC"/>
    <w:rsid w:val="00E3159C"/>
    <w:rsid w:val="00E40C83"/>
    <w:rsid w:val="00E41381"/>
    <w:rsid w:val="00E42ECA"/>
    <w:rsid w:val="00E469E9"/>
    <w:rsid w:val="00E63B8F"/>
    <w:rsid w:val="00E64E69"/>
    <w:rsid w:val="00E870C8"/>
    <w:rsid w:val="00E87320"/>
    <w:rsid w:val="00EA1F82"/>
    <w:rsid w:val="00EC5A1D"/>
    <w:rsid w:val="00ED0F39"/>
    <w:rsid w:val="00EE1F77"/>
    <w:rsid w:val="00EE7047"/>
    <w:rsid w:val="00EF4145"/>
    <w:rsid w:val="00F06FE5"/>
    <w:rsid w:val="00F12C46"/>
    <w:rsid w:val="00F16F31"/>
    <w:rsid w:val="00F2228C"/>
    <w:rsid w:val="00F242DC"/>
    <w:rsid w:val="00F276D5"/>
    <w:rsid w:val="00F34783"/>
    <w:rsid w:val="00F35796"/>
    <w:rsid w:val="00F46BD4"/>
    <w:rsid w:val="00F5234B"/>
    <w:rsid w:val="00F5666D"/>
    <w:rsid w:val="00F64A96"/>
    <w:rsid w:val="00F768CD"/>
    <w:rsid w:val="00F84D94"/>
    <w:rsid w:val="00F919D0"/>
    <w:rsid w:val="00F91CE4"/>
    <w:rsid w:val="00F91FDF"/>
    <w:rsid w:val="00F93C54"/>
    <w:rsid w:val="00F95DBE"/>
    <w:rsid w:val="00F96A47"/>
    <w:rsid w:val="00FC02F6"/>
    <w:rsid w:val="00FD3080"/>
    <w:rsid w:val="00FD44F6"/>
    <w:rsid w:val="00FF0B96"/>
    <w:rsid w:val="00FF1CF0"/>
    <w:rsid w:val="00FF2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57DE63E2"/>
  <w15:chartTrackingRefBased/>
  <w15:docId w15:val="{D02FC05A-13EE-405B-B58B-990E3C3F7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5"/>
      </w:numPr>
      <w:ind w:left="720" w:hanging="720"/>
    </w:pPr>
  </w:style>
  <w:style w:type="paragraph" w:customStyle="1" w:styleId="Level1">
    <w:name w:val="Level 1"/>
    <w:basedOn w:val="Normal"/>
    <w:pPr>
      <w:numPr>
        <w:numId w:val="3"/>
      </w:numPr>
      <w:ind w:left="720" w:hanging="720"/>
      <w:outlineLvl w:val="0"/>
    </w:pPr>
  </w:style>
  <w:style w:type="table" w:styleId="TableGrid">
    <w:name w:val="Table Grid"/>
    <w:basedOn w:val="TableNormal"/>
    <w:rsid w:val="00272CE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934DB"/>
    <w:rPr>
      <w:rFonts w:ascii="Tahoma" w:hAnsi="Tahoma" w:cs="Tahoma"/>
      <w:sz w:val="16"/>
      <w:szCs w:val="16"/>
    </w:rPr>
  </w:style>
  <w:style w:type="character" w:styleId="CommentReference">
    <w:name w:val="annotation reference"/>
    <w:semiHidden/>
    <w:rsid w:val="00F276D5"/>
    <w:rPr>
      <w:sz w:val="16"/>
      <w:szCs w:val="16"/>
    </w:rPr>
  </w:style>
  <w:style w:type="paragraph" w:styleId="CommentText">
    <w:name w:val="annotation text"/>
    <w:basedOn w:val="Normal"/>
    <w:link w:val="CommentTextChar"/>
    <w:rsid w:val="00F276D5"/>
    <w:rPr>
      <w:sz w:val="20"/>
      <w:szCs w:val="20"/>
    </w:rPr>
  </w:style>
  <w:style w:type="paragraph" w:styleId="CommentSubject">
    <w:name w:val="annotation subject"/>
    <w:basedOn w:val="CommentText"/>
    <w:next w:val="CommentText"/>
    <w:semiHidden/>
    <w:rsid w:val="00F276D5"/>
    <w:rPr>
      <w:b/>
      <w:bCs/>
    </w:rPr>
  </w:style>
  <w:style w:type="paragraph" w:styleId="ListParagraph">
    <w:name w:val="List Paragraph"/>
    <w:basedOn w:val="Normal"/>
    <w:uiPriority w:val="34"/>
    <w:qFormat/>
    <w:rsid w:val="00B90F81"/>
    <w:pPr>
      <w:ind w:left="720"/>
    </w:pPr>
  </w:style>
  <w:style w:type="character" w:customStyle="1" w:styleId="CommentTextChar">
    <w:name w:val="Comment Text Char"/>
    <w:link w:val="CommentText"/>
    <w:rsid w:val="00BE44EF"/>
    <w:rPr>
      <w:rFonts w:ascii="Courier" w:hAnsi="Courier"/>
    </w:rPr>
  </w:style>
  <w:style w:type="paragraph" w:customStyle="1" w:styleId="Style1">
    <w:name w:val="Style 1"/>
    <w:basedOn w:val="Normal"/>
    <w:rsid w:val="00E41381"/>
    <w:pPr>
      <w:widowControl/>
      <w:autoSpaceDE/>
      <w:autoSpaceDN/>
      <w:adjustRightInd/>
      <w:spacing w:after="216" w:line="252" w:lineRule="atLeast"/>
    </w:pPr>
    <w:rPr>
      <w:rFonts w:ascii="Times New Roman" w:hAnsi="Times New Roman"/>
      <w:color w:val="000000"/>
      <w:sz w:val="20"/>
      <w:szCs w:val="20"/>
    </w:rPr>
  </w:style>
  <w:style w:type="paragraph" w:customStyle="1" w:styleId="Style2">
    <w:name w:val="Style 2"/>
    <w:basedOn w:val="Normal"/>
    <w:rsid w:val="008B5F3C"/>
    <w:pPr>
      <w:widowControl/>
      <w:autoSpaceDE/>
      <w:autoSpaceDN/>
      <w:adjustRightInd/>
      <w:spacing w:after="216" w:line="264" w:lineRule="atLeast"/>
    </w:pPr>
    <w:rPr>
      <w:rFonts w:ascii="Times New Roman" w:hAnsi="Times New Roman"/>
      <w:color w:val="000000"/>
      <w:sz w:val="20"/>
      <w:szCs w:val="20"/>
    </w:rPr>
  </w:style>
  <w:style w:type="paragraph" w:styleId="Header">
    <w:name w:val="header"/>
    <w:basedOn w:val="Normal"/>
    <w:link w:val="HeaderChar"/>
    <w:uiPriority w:val="99"/>
    <w:rsid w:val="00B1716D"/>
    <w:pPr>
      <w:tabs>
        <w:tab w:val="center" w:pos="4680"/>
        <w:tab w:val="right" w:pos="9360"/>
      </w:tabs>
    </w:pPr>
  </w:style>
  <w:style w:type="character" w:customStyle="1" w:styleId="HeaderChar">
    <w:name w:val="Header Char"/>
    <w:link w:val="Header"/>
    <w:uiPriority w:val="99"/>
    <w:rsid w:val="00B1716D"/>
    <w:rPr>
      <w:rFonts w:ascii="Courier" w:hAnsi="Courier"/>
      <w:sz w:val="24"/>
      <w:szCs w:val="24"/>
    </w:rPr>
  </w:style>
  <w:style w:type="paragraph" w:styleId="Footer">
    <w:name w:val="footer"/>
    <w:basedOn w:val="Normal"/>
    <w:link w:val="FooterChar"/>
    <w:rsid w:val="00B1716D"/>
    <w:pPr>
      <w:tabs>
        <w:tab w:val="center" w:pos="4680"/>
        <w:tab w:val="right" w:pos="9360"/>
      </w:tabs>
    </w:pPr>
  </w:style>
  <w:style w:type="character" w:customStyle="1" w:styleId="FooterChar">
    <w:name w:val="Footer Char"/>
    <w:link w:val="Footer"/>
    <w:rsid w:val="00B1716D"/>
    <w:rPr>
      <w:rFonts w:ascii="Courier" w:hAnsi="Courier"/>
      <w:sz w:val="24"/>
      <w:szCs w:val="24"/>
    </w:rPr>
  </w:style>
  <w:style w:type="paragraph" w:styleId="Revision">
    <w:name w:val="Revision"/>
    <w:hidden/>
    <w:uiPriority w:val="99"/>
    <w:semiHidden/>
    <w:rsid w:val="00901EF6"/>
    <w:rPr>
      <w:rFonts w:ascii="Courier" w:hAnsi="Courier"/>
      <w:sz w:val="24"/>
      <w:szCs w:val="24"/>
    </w:rPr>
  </w:style>
  <w:style w:type="character" w:styleId="Hyperlink">
    <w:name w:val="Hyperlink"/>
    <w:rsid w:val="00901EF6"/>
    <w:rPr>
      <w:color w:val="0000FF"/>
      <w:u w:val="single"/>
    </w:rPr>
  </w:style>
  <w:style w:type="paragraph" w:styleId="FootnoteText">
    <w:name w:val="footnote text"/>
    <w:basedOn w:val="Normal"/>
    <w:link w:val="FootnoteTextChar"/>
    <w:rsid w:val="007B267D"/>
    <w:rPr>
      <w:sz w:val="20"/>
      <w:szCs w:val="20"/>
    </w:rPr>
  </w:style>
  <w:style w:type="character" w:customStyle="1" w:styleId="FootnoteTextChar">
    <w:name w:val="Footnote Text Char"/>
    <w:link w:val="FootnoteText"/>
    <w:rsid w:val="007B267D"/>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1882">
      <w:bodyDiv w:val="1"/>
      <w:marLeft w:val="0"/>
      <w:marRight w:val="0"/>
      <w:marTop w:val="0"/>
      <w:marBottom w:val="0"/>
      <w:divBdr>
        <w:top w:val="none" w:sz="0" w:space="0" w:color="auto"/>
        <w:left w:val="none" w:sz="0" w:space="0" w:color="auto"/>
        <w:bottom w:val="none" w:sz="0" w:space="0" w:color="auto"/>
        <w:right w:val="none" w:sz="0" w:space="0" w:color="auto"/>
      </w:divBdr>
    </w:div>
    <w:div w:id="212735078">
      <w:bodyDiv w:val="1"/>
      <w:marLeft w:val="0"/>
      <w:marRight w:val="0"/>
      <w:marTop w:val="0"/>
      <w:marBottom w:val="0"/>
      <w:divBdr>
        <w:top w:val="none" w:sz="0" w:space="0" w:color="auto"/>
        <w:left w:val="none" w:sz="0" w:space="0" w:color="auto"/>
        <w:bottom w:val="none" w:sz="0" w:space="0" w:color="auto"/>
        <w:right w:val="none" w:sz="0" w:space="0" w:color="auto"/>
      </w:divBdr>
    </w:div>
    <w:div w:id="175662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dr.doleta.gov/directives/attach/UIPL/UIPL_16-19.pdf%2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2802AEFB5D7747A33B6E2329E24637" ma:contentTypeVersion="8" ma:contentTypeDescription="Create a new document." ma:contentTypeScope="" ma:versionID="f33faa7bc8c7554fe2b83edc3d1c8b61">
  <xsd:schema xmlns:xsd="http://www.w3.org/2001/XMLSchema" xmlns:xs="http://www.w3.org/2001/XMLSchema" xmlns:p="http://schemas.microsoft.com/office/2006/metadata/properties" xmlns:ns3="b31e9ac3-e9ea-478f-867b-1d49b715581c" targetNamespace="http://schemas.microsoft.com/office/2006/metadata/properties" ma:root="true" ma:fieldsID="0547b5c73009e31bba3c3cf9b58ae211" ns3:_="">
    <xsd:import namespace="b31e9ac3-e9ea-478f-867b-1d49b71558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e9ac3-e9ea-478f-867b-1d49b7155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22A29-B199-4918-B41A-ECF6EBE0C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e9ac3-e9ea-478f-867b-1d49b7155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829F46-4C4E-4DF8-8DF4-E394DC241A64}">
  <ds:schemaRefs>
    <ds:schemaRef ds:uri="http://schemas.microsoft.com/sharepoint/v3/contenttype/forms"/>
  </ds:schemaRefs>
</ds:datastoreItem>
</file>

<file path=customXml/itemProps3.xml><?xml version="1.0" encoding="utf-8"?>
<ds:datastoreItem xmlns:ds="http://schemas.openxmlformats.org/officeDocument/2006/customXml" ds:itemID="{9CCA43E6-EC58-4DF5-AD15-17DA269B09F0}">
  <ds:schemaRefs>
    <ds:schemaRef ds:uri="http://purl.org/dc/elements/1.1/"/>
    <ds:schemaRef ds:uri="http://schemas.microsoft.com/office/2006/documentManagement/types"/>
    <ds:schemaRef ds:uri="http://schemas.microsoft.com/office/infopath/2007/PartnerControls"/>
    <ds:schemaRef ds:uri="http://purl.org/dc/terms/"/>
    <ds:schemaRef ds:uri="http://purl.org/dc/dcmitype/"/>
    <ds:schemaRef ds:uri="http://www.w3.org/XML/1998/namespace"/>
    <ds:schemaRef ds:uri="b31e9ac3-e9ea-478f-867b-1d49b715581c"/>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B9ECB97D-783E-4815-90AF-E9821A8F2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1936</Words>
  <Characters>11001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SUPPORTING STATEMENT FOR THE ETA 207,</vt:lpstr>
    </vt:vector>
  </TitlesOfParts>
  <Company>Employment &amp; Training Administration</Company>
  <LinksUpToDate>false</LinksUpToDate>
  <CharactersWithSpaces>12912</CharactersWithSpaces>
  <SharedDoc>false</SharedDoc>
  <HLinks>
    <vt:vector size="6" baseType="variant">
      <vt:variant>
        <vt:i4>1441889</vt:i4>
      </vt:variant>
      <vt:variant>
        <vt:i4>0</vt:i4>
      </vt:variant>
      <vt:variant>
        <vt:i4>0</vt:i4>
      </vt:variant>
      <vt:variant>
        <vt:i4>5</vt:i4>
      </vt:variant>
      <vt:variant>
        <vt:lpwstr>https://wdr.doleta.gov/directives/attach/UIPL/UIPL_16-19.pdf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ETA 207,</dc:title>
  <dc:subject/>
  <dc:creator>eparker</dc:creator>
  <cp:keywords/>
  <cp:lastModifiedBy>St.Onge, Emily - ETA</cp:lastModifiedBy>
  <cp:revision>2</cp:revision>
  <cp:lastPrinted>2020-01-17T16:06:00Z</cp:lastPrinted>
  <dcterms:created xsi:type="dcterms:W3CDTF">2020-03-09T19:14:00Z</dcterms:created>
  <dcterms:modified xsi:type="dcterms:W3CDTF">2020-03-09T19:14:00Z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0x010100EE2802AEFB5D7747A33B6E2329E24637</vt:lpwstr>
  </property>
</Properties>
</file>