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A761C" w:rsidR="00F34DED" w:rsidP="00F34DED" w:rsidRDefault="00F34DED" w14:paraId="7D7A25F1" w14:textId="77777777">
      <w:pPr>
        <w:tabs>
          <w:tab w:val="center" w:pos="4680"/>
        </w:tabs>
        <w:rPr>
          <w:sz w:val="22"/>
        </w:rPr>
      </w:pPr>
      <w:bookmarkStart w:name="_GoBack" w:id="0"/>
      <w:bookmarkEnd w:id="0"/>
      <w:r w:rsidRPr="005A761C">
        <w:rPr>
          <w:b/>
          <w:bCs/>
          <w:sz w:val="22"/>
        </w:rPr>
        <w:t xml:space="preserve">Justification for No Material or </w:t>
      </w:r>
      <w:proofErr w:type="spellStart"/>
      <w:r w:rsidRPr="005A761C">
        <w:rPr>
          <w:b/>
          <w:bCs/>
          <w:sz w:val="22"/>
        </w:rPr>
        <w:t>Nonsubstantive</w:t>
      </w:r>
      <w:proofErr w:type="spellEnd"/>
      <w:r w:rsidRPr="005A761C">
        <w:rPr>
          <w:b/>
          <w:bCs/>
          <w:sz w:val="22"/>
        </w:rPr>
        <w:t xml:space="preserve"> Change to </w:t>
      </w:r>
      <w:proofErr w:type="gramStart"/>
      <w:r w:rsidRPr="005A761C">
        <w:rPr>
          <w:b/>
          <w:bCs/>
          <w:sz w:val="22"/>
        </w:rPr>
        <w:t>Currently-Approved</w:t>
      </w:r>
      <w:proofErr w:type="gramEnd"/>
      <w:r w:rsidRPr="005A761C">
        <w:rPr>
          <w:b/>
          <w:bCs/>
          <w:sz w:val="22"/>
        </w:rPr>
        <w:t xml:space="preserve"> Collection</w:t>
      </w:r>
    </w:p>
    <w:p w:rsidRPr="005A761C" w:rsidR="00F34DED" w:rsidP="00F34DED" w:rsidRDefault="00F34DED" w14:paraId="520E8DDA" w14:textId="77777777">
      <w:pPr>
        <w:rPr>
          <w:sz w:val="22"/>
        </w:rPr>
      </w:pPr>
    </w:p>
    <w:p w:rsidRPr="005A761C" w:rsidR="00F34DED" w:rsidP="00F34DED" w:rsidRDefault="00F34DED" w14:paraId="1364D56A" w14:textId="77777777">
      <w:pPr>
        <w:rPr>
          <w:sz w:val="22"/>
        </w:rPr>
      </w:pPr>
      <w:r w:rsidRPr="005A761C">
        <w:rPr>
          <w:b/>
          <w:bCs/>
          <w:sz w:val="22"/>
        </w:rPr>
        <w:t>AGENCY:</w:t>
      </w:r>
      <w:r w:rsidRPr="005A761C">
        <w:rPr>
          <w:sz w:val="22"/>
        </w:rPr>
        <w:tab/>
        <w:t>Pension Benefit Guaranty Corporation (PBGC)</w:t>
      </w:r>
    </w:p>
    <w:p w:rsidRPr="005A761C" w:rsidR="00F34DED" w:rsidP="00F34DED" w:rsidRDefault="00F34DED" w14:paraId="1E5C0898" w14:textId="77777777">
      <w:pPr>
        <w:rPr>
          <w:sz w:val="22"/>
        </w:rPr>
      </w:pPr>
    </w:p>
    <w:p w:rsidRPr="005A761C" w:rsidR="00F34DED" w:rsidP="00F34DED" w:rsidRDefault="00F34DED" w14:paraId="4BC274D4" w14:textId="77777777">
      <w:pPr>
        <w:tabs>
          <w:tab w:val="left" w:pos="-1440"/>
        </w:tabs>
        <w:ind w:left="1440" w:hanging="1440"/>
        <w:rPr>
          <w:sz w:val="22"/>
        </w:rPr>
      </w:pPr>
      <w:r w:rsidRPr="005A761C">
        <w:rPr>
          <w:b/>
          <w:bCs/>
          <w:sz w:val="22"/>
        </w:rPr>
        <w:t>TITLE:</w:t>
      </w:r>
      <w:r w:rsidRPr="005A761C">
        <w:rPr>
          <w:sz w:val="22"/>
        </w:rPr>
        <w:tab/>
        <w:t>Payment of Premiums (29 CFR Part 4007)</w:t>
      </w:r>
    </w:p>
    <w:p w:rsidRPr="005A761C" w:rsidR="00F34DED" w:rsidP="00F34DED" w:rsidRDefault="00F34DED" w14:paraId="7E08B909" w14:textId="77777777">
      <w:pPr>
        <w:rPr>
          <w:sz w:val="22"/>
        </w:rPr>
      </w:pPr>
    </w:p>
    <w:p w:rsidRPr="005A761C" w:rsidR="00F34DED" w:rsidP="00F34DED" w:rsidRDefault="00F34DED" w14:paraId="2FAF8E2C" w14:textId="2F719A32">
      <w:pPr>
        <w:rPr>
          <w:sz w:val="22"/>
        </w:rPr>
      </w:pPr>
      <w:r w:rsidRPr="005A761C">
        <w:rPr>
          <w:b/>
          <w:bCs/>
          <w:sz w:val="22"/>
        </w:rPr>
        <w:t>STATUS:</w:t>
      </w:r>
      <w:r w:rsidRPr="005A761C">
        <w:rPr>
          <w:sz w:val="22"/>
        </w:rPr>
        <w:tab/>
        <w:t>OMB control number 1212</w:t>
      </w:r>
      <w:r w:rsidRPr="005A761C">
        <w:rPr>
          <w:sz w:val="22"/>
        </w:rPr>
        <w:noBreakHyphen/>
        <w:t xml:space="preserve">0009; expires </w:t>
      </w:r>
      <w:r w:rsidR="00863606">
        <w:rPr>
          <w:sz w:val="22"/>
        </w:rPr>
        <w:t>December 31</w:t>
      </w:r>
      <w:r w:rsidR="002856E3">
        <w:rPr>
          <w:sz w:val="22"/>
        </w:rPr>
        <w:t>, 2022</w:t>
      </w:r>
    </w:p>
    <w:p w:rsidRPr="005A761C" w:rsidR="00F34DED" w:rsidP="00F34DED" w:rsidRDefault="00F34DED" w14:paraId="7CEE0A38" w14:textId="77777777">
      <w:pPr>
        <w:rPr>
          <w:sz w:val="22"/>
        </w:rPr>
      </w:pPr>
    </w:p>
    <w:p w:rsidRPr="005A761C" w:rsidR="00F34DED" w:rsidP="00F34DED" w:rsidRDefault="00F34DED" w14:paraId="530AF72F" w14:textId="3ABD704C">
      <w:pPr>
        <w:tabs>
          <w:tab w:val="left" w:pos="-1440"/>
        </w:tabs>
        <w:ind w:left="1440" w:hanging="1440"/>
        <w:rPr>
          <w:sz w:val="22"/>
        </w:rPr>
      </w:pPr>
      <w:r w:rsidRPr="005A761C">
        <w:rPr>
          <w:b/>
          <w:bCs/>
          <w:sz w:val="22"/>
        </w:rPr>
        <w:t>CONTACT:</w:t>
      </w:r>
      <w:r w:rsidRPr="005A761C">
        <w:rPr>
          <w:sz w:val="22"/>
        </w:rPr>
        <w:tab/>
      </w:r>
      <w:r w:rsidR="002856E3">
        <w:rPr>
          <w:sz w:val="22"/>
        </w:rPr>
        <w:t>Stephanie Cibinic</w:t>
      </w:r>
      <w:r w:rsidRPr="005A761C">
        <w:rPr>
          <w:sz w:val="22"/>
        </w:rPr>
        <w:t xml:space="preserve"> (202-</w:t>
      </w:r>
      <w:r w:rsidR="002856E3">
        <w:rPr>
          <w:sz w:val="22"/>
        </w:rPr>
        <w:t>229-6352</w:t>
      </w:r>
      <w:r w:rsidRPr="005A761C">
        <w:rPr>
          <w:sz w:val="22"/>
        </w:rPr>
        <w:t>)</w:t>
      </w:r>
    </w:p>
    <w:p w:rsidRPr="005A761C" w:rsidR="00F34DED" w:rsidP="00F34DED" w:rsidRDefault="00F34DED" w14:paraId="66B9B531" w14:textId="77777777">
      <w:pPr>
        <w:rPr>
          <w:sz w:val="22"/>
        </w:rPr>
      </w:pPr>
    </w:p>
    <w:p w:rsidRPr="005E1EBB" w:rsidR="00710FDD" w:rsidP="005E1EBB" w:rsidRDefault="007E2D43" w14:paraId="2C4D0712" w14:textId="0F2C7EE3">
      <w:pPr>
        <w:rPr>
          <w:sz w:val="22"/>
        </w:rPr>
      </w:pPr>
      <w:r w:rsidRPr="009D5532">
        <w:rPr>
          <w:rFonts w:cs="Times New Roman"/>
          <w:sz w:val="22"/>
        </w:rPr>
        <w:t>T</w:t>
      </w:r>
      <w:r w:rsidRPr="009D5532" w:rsidR="0052791C">
        <w:rPr>
          <w:rFonts w:cs="Times New Roman"/>
          <w:sz w:val="22"/>
        </w:rPr>
        <w:t>he currently-approved</w:t>
      </w:r>
      <w:r w:rsidR="00EC3288">
        <w:rPr>
          <w:rFonts w:cs="Times New Roman"/>
          <w:sz w:val="22"/>
        </w:rPr>
        <w:t xml:space="preserve"> 2020 </w:t>
      </w:r>
      <w:r w:rsidRPr="009D5532" w:rsidR="00EC3288">
        <w:rPr>
          <w:sz w:val="22"/>
        </w:rPr>
        <w:t>filing instructions for the collection of information relating to the computation and payment of premiums to the Pension Benefit Guaranty Corporation (PBGC) under title IV of the Employee Retirement Income Security Act of 1974 (ERISA)</w:t>
      </w:r>
      <w:r w:rsidRPr="009D5532">
        <w:rPr>
          <w:rFonts w:cs="Times New Roman"/>
          <w:sz w:val="22"/>
        </w:rPr>
        <w:t xml:space="preserve"> </w:t>
      </w:r>
      <w:r w:rsidR="00BA1BC8">
        <w:rPr>
          <w:rFonts w:cs="Times New Roman"/>
          <w:sz w:val="22"/>
        </w:rPr>
        <w:t>have been</w:t>
      </w:r>
      <w:r w:rsidRPr="009D5532" w:rsidR="00C4796E">
        <w:rPr>
          <w:rFonts w:cs="Times New Roman"/>
          <w:sz w:val="22"/>
        </w:rPr>
        <w:t xml:space="preserve"> updated to </w:t>
      </w:r>
      <w:r w:rsidRPr="009D5532" w:rsidR="00EF34AD">
        <w:rPr>
          <w:rFonts w:cs="Times New Roman"/>
          <w:sz w:val="22"/>
        </w:rPr>
        <w:t>re</w:t>
      </w:r>
      <w:r w:rsidRPr="009D5532" w:rsidR="001B3AEB">
        <w:rPr>
          <w:rFonts w:cs="Times New Roman"/>
          <w:sz w:val="22"/>
        </w:rPr>
        <w:t>flect the Miscellaneous Corrections, Clarifications, and Improvements final rul</w:t>
      </w:r>
      <w:r w:rsidRPr="009D5532" w:rsidR="009D5532">
        <w:rPr>
          <w:rFonts w:cs="Times New Roman"/>
          <w:sz w:val="22"/>
        </w:rPr>
        <w:t>e</w:t>
      </w:r>
      <w:r w:rsidR="000B19F5">
        <w:rPr>
          <w:rFonts w:cs="Times New Roman"/>
          <w:sz w:val="22"/>
        </w:rPr>
        <w:t xml:space="preserve"> (published February 4, 2020)</w:t>
      </w:r>
      <w:r w:rsidR="00300CA5">
        <w:rPr>
          <w:rFonts w:cs="Times New Roman"/>
          <w:bCs/>
          <w:sz w:val="22"/>
        </w:rPr>
        <w:t xml:space="preserve">, </w:t>
      </w:r>
      <w:r w:rsidRPr="009D5532" w:rsidR="009D5532">
        <w:rPr>
          <w:rFonts w:cs="Times New Roman"/>
          <w:bCs/>
          <w:sz w:val="22"/>
        </w:rPr>
        <w:t>add information about the effect of Public Law 116-94 (the SECURE Act</w:t>
      </w:r>
      <w:r w:rsidR="0081673F">
        <w:rPr>
          <w:rFonts w:cs="Times New Roman"/>
          <w:bCs/>
          <w:sz w:val="22"/>
        </w:rPr>
        <w:t>, December 20, 2019</w:t>
      </w:r>
      <w:r w:rsidRPr="009D5532" w:rsidR="009D5532">
        <w:rPr>
          <w:rFonts w:cs="Times New Roman"/>
          <w:bCs/>
          <w:sz w:val="22"/>
        </w:rPr>
        <w:t xml:space="preserve">) on PBGC premiums for certain plans, and make a few other </w:t>
      </w:r>
      <w:r w:rsidR="0007287C">
        <w:rPr>
          <w:rFonts w:cs="Times New Roman"/>
          <w:bCs/>
          <w:sz w:val="22"/>
        </w:rPr>
        <w:t>editorial changes</w:t>
      </w:r>
      <w:r w:rsidRPr="009D5532" w:rsidR="009D5532">
        <w:rPr>
          <w:rFonts w:cs="Times New Roman"/>
          <w:bCs/>
          <w:sz w:val="22"/>
        </w:rPr>
        <w:t>.</w:t>
      </w:r>
      <w:r w:rsidR="00B823D5">
        <w:rPr>
          <w:rFonts w:cs="Times New Roman"/>
          <w:bCs/>
          <w:sz w:val="22"/>
        </w:rPr>
        <w:t xml:space="preserve">  There are no changes to the form.</w:t>
      </w:r>
      <w:r w:rsidRPr="009D5532" w:rsidR="009D5532">
        <w:rPr>
          <w:rFonts w:cs="Times New Roman"/>
          <w:bCs/>
          <w:sz w:val="22"/>
        </w:rPr>
        <w:t xml:space="preserve">  See pages </w:t>
      </w:r>
      <w:r w:rsidR="00F842ED">
        <w:rPr>
          <w:rFonts w:cs="Times New Roman"/>
          <w:bCs/>
          <w:sz w:val="22"/>
        </w:rPr>
        <w:t xml:space="preserve">1, </w:t>
      </w:r>
      <w:r w:rsidRPr="009D5532" w:rsidR="009D5532">
        <w:rPr>
          <w:rFonts w:cs="Times New Roman"/>
          <w:bCs/>
          <w:sz w:val="22"/>
        </w:rPr>
        <w:t>2, 11, 22</w:t>
      </w:r>
      <w:r w:rsidR="0007287C">
        <w:rPr>
          <w:rFonts w:cs="Times New Roman"/>
          <w:bCs/>
          <w:sz w:val="22"/>
        </w:rPr>
        <w:t xml:space="preserve">, </w:t>
      </w:r>
      <w:r w:rsidRPr="009D5532" w:rsidR="009D5532">
        <w:rPr>
          <w:rFonts w:cs="Times New Roman"/>
          <w:bCs/>
          <w:sz w:val="22"/>
        </w:rPr>
        <w:t>23</w:t>
      </w:r>
      <w:r w:rsidR="0007287C">
        <w:rPr>
          <w:rFonts w:cs="Times New Roman"/>
          <w:bCs/>
          <w:sz w:val="22"/>
        </w:rPr>
        <w:t xml:space="preserve"> and </w:t>
      </w:r>
      <w:r w:rsidR="00D71646">
        <w:rPr>
          <w:rFonts w:cs="Times New Roman"/>
          <w:bCs/>
          <w:sz w:val="22"/>
        </w:rPr>
        <w:t>5</w:t>
      </w:r>
      <w:r w:rsidR="005A0CAE">
        <w:rPr>
          <w:rFonts w:cs="Times New Roman"/>
          <w:bCs/>
          <w:sz w:val="22"/>
        </w:rPr>
        <w:t>8</w:t>
      </w:r>
      <w:r w:rsidR="00EE2829">
        <w:rPr>
          <w:rFonts w:cs="Times New Roman"/>
          <w:bCs/>
          <w:sz w:val="22"/>
        </w:rPr>
        <w:t xml:space="preserve"> of the instructions</w:t>
      </w:r>
      <w:r w:rsidR="0007287C">
        <w:rPr>
          <w:rFonts w:cs="Times New Roman"/>
          <w:bCs/>
          <w:sz w:val="22"/>
        </w:rPr>
        <w:t>.  The changes are as follows:</w:t>
      </w:r>
    </w:p>
    <w:p w:rsidRPr="009D5532" w:rsidR="00710FDD" w:rsidP="00F34DED" w:rsidRDefault="00710FDD" w14:paraId="1DDE3989" w14:textId="77777777">
      <w:pPr>
        <w:rPr>
          <w:rFonts w:cs="Times New Roman"/>
          <w:sz w:val="22"/>
        </w:rPr>
      </w:pPr>
    </w:p>
    <w:p w:rsidRPr="00D0308B" w:rsidR="004327E7" w:rsidP="004327E7" w:rsidRDefault="007B2F1C" w14:paraId="4F7F3D37" w14:textId="05B096A5">
      <w:pPr>
        <w:numPr>
          <w:ilvl w:val="0"/>
          <w:numId w:val="1"/>
        </w:numPr>
        <w:rPr>
          <w:sz w:val="22"/>
        </w:rPr>
      </w:pPr>
      <w:r>
        <w:rPr>
          <w:sz w:val="22"/>
        </w:rPr>
        <w:t xml:space="preserve">Revised the “What’s New” section on page </w:t>
      </w:r>
      <w:r w:rsidR="005A0CAE">
        <w:rPr>
          <w:sz w:val="22"/>
        </w:rPr>
        <w:t>2</w:t>
      </w:r>
      <w:r>
        <w:rPr>
          <w:sz w:val="22"/>
        </w:rPr>
        <w:t>.</w:t>
      </w:r>
    </w:p>
    <w:p w:rsidR="00D53368" w:rsidP="00D53368" w:rsidRDefault="00D53368" w14:paraId="73B18B76" w14:textId="77777777">
      <w:pPr>
        <w:ind w:left="720"/>
        <w:rPr>
          <w:sz w:val="22"/>
        </w:rPr>
      </w:pPr>
    </w:p>
    <w:p w:rsidR="00105C0B" w:rsidP="00D53368" w:rsidRDefault="00A11B93" w14:paraId="78F82F56" w14:textId="46E91C4A">
      <w:pPr>
        <w:numPr>
          <w:ilvl w:val="0"/>
          <w:numId w:val="1"/>
        </w:numPr>
        <w:rPr>
          <w:sz w:val="22"/>
        </w:rPr>
      </w:pPr>
      <w:r>
        <w:rPr>
          <w:sz w:val="22"/>
        </w:rPr>
        <w:t>Modified</w:t>
      </w:r>
      <w:r w:rsidR="00FD35CD">
        <w:rPr>
          <w:sz w:val="22"/>
        </w:rPr>
        <w:t xml:space="preserve"> the </w:t>
      </w:r>
      <w:r w:rsidR="00725AA5">
        <w:rPr>
          <w:sz w:val="22"/>
        </w:rPr>
        <w:t>“Participant Count Date”</w:t>
      </w:r>
      <w:r w:rsidR="00C345CD">
        <w:rPr>
          <w:sz w:val="22"/>
        </w:rPr>
        <w:t xml:space="preserve"> section </w:t>
      </w:r>
      <w:r w:rsidR="002F1F45">
        <w:rPr>
          <w:sz w:val="22"/>
        </w:rPr>
        <w:t xml:space="preserve">regarding </w:t>
      </w:r>
      <w:r w:rsidR="005B5696">
        <w:rPr>
          <w:sz w:val="22"/>
        </w:rPr>
        <w:t>when th</w:t>
      </w:r>
      <w:r w:rsidR="009E7D50">
        <w:rPr>
          <w:sz w:val="22"/>
        </w:rPr>
        <w:t xml:space="preserve">at date is the beginning of the premium payment year </w:t>
      </w:r>
      <w:r w:rsidR="00725AA5">
        <w:rPr>
          <w:sz w:val="22"/>
        </w:rPr>
        <w:t xml:space="preserve">to </w:t>
      </w:r>
      <w:r>
        <w:rPr>
          <w:sz w:val="22"/>
        </w:rPr>
        <w:t>make th</w:t>
      </w:r>
      <w:r w:rsidR="009B1C08">
        <w:rPr>
          <w:sz w:val="22"/>
        </w:rPr>
        <w:t>e</w:t>
      </w:r>
      <w:r w:rsidR="002F1F45">
        <w:rPr>
          <w:sz w:val="22"/>
        </w:rPr>
        <w:t xml:space="preserve"> language </w:t>
      </w:r>
      <w:r>
        <w:rPr>
          <w:sz w:val="22"/>
        </w:rPr>
        <w:t>more consistent with</w:t>
      </w:r>
      <w:r w:rsidR="00725AA5">
        <w:rPr>
          <w:sz w:val="22"/>
        </w:rPr>
        <w:t xml:space="preserve"> the</w:t>
      </w:r>
      <w:r w:rsidR="00070EB7">
        <w:rPr>
          <w:sz w:val="22"/>
        </w:rPr>
        <w:t xml:space="preserve"> language in the</w:t>
      </w:r>
      <w:r w:rsidR="00725AA5">
        <w:rPr>
          <w:sz w:val="22"/>
        </w:rPr>
        <w:t xml:space="preserve"> </w:t>
      </w:r>
      <w:r w:rsidRPr="007E1873" w:rsidR="00EA5AB8">
        <w:rPr>
          <w:sz w:val="22"/>
        </w:rPr>
        <w:t>“Miscellaneous Corrections, Clarifications, and Improvements” final rule</w:t>
      </w:r>
      <w:r w:rsidR="00217516">
        <w:rPr>
          <w:sz w:val="22"/>
        </w:rPr>
        <w:t>.</w:t>
      </w:r>
      <w:r w:rsidR="00D57850">
        <w:rPr>
          <w:sz w:val="22"/>
        </w:rPr>
        <w:t xml:space="preserve"> (p. 11)</w:t>
      </w:r>
    </w:p>
    <w:p w:rsidR="00D0308B" w:rsidP="00D0308B" w:rsidRDefault="00D0308B" w14:paraId="54FF8B57" w14:textId="77777777">
      <w:pPr>
        <w:ind w:left="720"/>
        <w:rPr>
          <w:sz w:val="22"/>
        </w:rPr>
      </w:pPr>
    </w:p>
    <w:p w:rsidRPr="00D0308B" w:rsidR="00806AF9" w:rsidP="00D0308B" w:rsidRDefault="00806AF9" w14:paraId="75DBC564" w14:textId="347901B3">
      <w:pPr>
        <w:numPr>
          <w:ilvl w:val="0"/>
          <w:numId w:val="1"/>
        </w:numPr>
        <w:rPr>
          <w:sz w:val="22"/>
        </w:rPr>
      </w:pPr>
      <w:r w:rsidRPr="007E1873">
        <w:rPr>
          <w:sz w:val="22"/>
        </w:rPr>
        <w:t xml:space="preserve">Incorporated changes from the “Miscellaneous Corrections, Clarifications, and Improvements” final rule related to </w:t>
      </w:r>
      <w:r>
        <w:rPr>
          <w:sz w:val="22"/>
        </w:rPr>
        <w:t xml:space="preserve">the description of </w:t>
      </w:r>
      <w:r w:rsidRPr="007E1873">
        <w:rPr>
          <w:sz w:val="22"/>
        </w:rPr>
        <w:t>plans that engage in a non</w:t>
      </w:r>
      <w:r>
        <w:rPr>
          <w:sz w:val="22"/>
        </w:rPr>
        <w:t>-d</w:t>
      </w:r>
      <w:r w:rsidRPr="007E1873">
        <w:rPr>
          <w:sz w:val="22"/>
        </w:rPr>
        <w:t xml:space="preserve">e </w:t>
      </w:r>
      <w:r>
        <w:rPr>
          <w:sz w:val="22"/>
        </w:rPr>
        <w:t>m</w:t>
      </w:r>
      <w:r w:rsidRPr="007E1873">
        <w:rPr>
          <w:sz w:val="22"/>
        </w:rPr>
        <w:t>inimis spinoff in the same</w:t>
      </w:r>
      <w:r>
        <w:rPr>
          <w:sz w:val="22"/>
        </w:rPr>
        <w:t xml:space="preserve"> y</w:t>
      </w:r>
      <w:r w:rsidRPr="007E1873">
        <w:rPr>
          <w:sz w:val="22"/>
        </w:rPr>
        <w:t>ear in which a standard termination is completed</w:t>
      </w:r>
      <w:r>
        <w:rPr>
          <w:sz w:val="22"/>
        </w:rPr>
        <w:t>. (p. 23)</w:t>
      </w:r>
    </w:p>
    <w:p w:rsidR="00105C0B" w:rsidP="00105C0B" w:rsidRDefault="00105C0B" w14:paraId="130096FE" w14:textId="77777777">
      <w:pPr>
        <w:ind w:left="720"/>
        <w:rPr>
          <w:sz w:val="22"/>
        </w:rPr>
      </w:pPr>
    </w:p>
    <w:p w:rsidRPr="00070EB7" w:rsidR="00070EB7" w:rsidP="00070EB7" w:rsidRDefault="00070EB7" w14:paraId="608D2520" w14:textId="33CACED5">
      <w:pPr>
        <w:numPr>
          <w:ilvl w:val="0"/>
          <w:numId w:val="1"/>
        </w:numPr>
        <w:rPr>
          <w:sz w:val="22"/>
        </w:rPr>
      </w:pPr>
      <w:r w:rsidRPr="00070EB7">
        <w:rPr>
          <w:sz w:val="22"/>
        </w:rPr>
        <w:t>In the “Plans Subject to Special Funding Rules” section</w:t>
      </w:r>
      <w:r w:rsidR="00AB0814">
        <w:rPr>
          <w:sz w:val="22"/>
        </w:rPr>
        <w:t xml:space="preserve"> </w:t>
      </w:r>
      <w:r w:rsidR="0000209F">
        <w:rPr>
          <w:sz w:val="22"/>
        </w:rPr>
        <w:t xml:space="preserve">– </w:t>
      </w:r>
      <w:r w:rsidR="004324B3">
        <w:rPr>
          <w:sz w:val="22"/>
        </w:rPr>
        <w:t>A</w:t>
      </w:r>
      <w:r w:rsidRPr="00070EB7">
        <w:rPr>
          <w:sz w:val="22"/>
        </w:rPr>
        <w:t xml:space="preserve">dded “plans sponsored by community newspapers or members of such sponsors’ controlled group” to the list of plans that </w:t>
      </w:r>
      <w:r w:rsidR="005C76A8">
        <w:rPr>
          <w:sz w:val="22"/>
        </w:rPr>
        <w:t>continue to</w:t>
      </w:r>
      <w:r w:rsidRPr="00070EB7">
        <w:rPr>
          <w:sz w:val="22"/>
        </w:rPr>
        <w:t xml:space="preserve"> determine </w:t>
      </w:r>
      <w:r w:rsidR="00905F3E">
        <w:rPr>
          <w:sz w:val="22"/>
        </w:rPr>
        <w:t>unfunded vested benefits (</w:t>
      </w:r>
      <w:r w:rsidRPr="00070EB7">
        <w:rPr>
          <w:sz w:val="22"/>
        </w:rPr>
        <w:t>UVBs</w:t>
      </w:r>
      <w:r w:rsidR="00905F3E">
        <w:rPr>
          <w:sz w:val="22"/>
        </w:rPr>
        <w:t>)</w:t>
      </w:r>
      <w:r w:rsidRPr="00070EB7">
        <w:rPr>
          <w:sz w:val="22"/>
        </w:rPr>
        <w:t xml:space="preserve"> in the same manner as all other plans even though they are subject to special funding rules.</w:t>
      </w:r>
      <w:r w:rsidR="00F51987">
        <w:rPr>
          <w:sz w:val="22"/>
        </w:rPr>
        <w:t xml:space="preserve">  This</w:t>
      </w:r>
      <w:r w:rsidR="00F543B6">
        <w:rPr>
          <w:sz w:val="22"/>
        </w:rPr>
        <w:t xml:space="preserve"> reminder</w:t>
      </w:r>
      <w:r w:rsidR="00F51987">
        <w:rPr>
          <w:sz w:val="22"/>
        </w:rPr>
        <w:t xml:space="preserve"> was </w:t>
      </w:r>
      <w:r w:rsidR="006607AD">
        <w:rPr>
          <w:sz w:val="22"/>
        </w:rPr>
        <w:t>included</w:t>
      </w:r>
      <w:r w:rsidR="00F51987">
        <w:rPr>
          <w:sz w:val="22"/>
        </w:rPr>
        <w:t xml:space="preserve"> because the SECURE Act </w:t>
      </w:r>
      <w:r w:rsidR="00F543B6">
        <w:rPr>
          <w:sz w:val="22"/>
        </w:rPr>
        <w:t>changed the funding rules for this set of plans</w:t>
      </w:r>
      <w:r w:rsidR="00C50770">
        <w:rPr>
          <w:sz w:val="22"/>
        </w:rPr>
        <w:t>, but not the premium rules</w:t>
      </w:r>
      <w:r w:rsidR="00F543B6">
        <w:rPr>
          <w:sz w:val="22"/>
        </w:rPr>
        <w:t>.</w:t>
      </w:r>
      <w:r w:rsidR="00062B89">
        <w:rPr>
          <w:sz w:val="22"/>
        </w:rPr>
        <w:t xml:space="preserve"> (p. 2</w:t>
      </w:r>
      <w:r w:rsidR="0050556A">
        <w:rPr>
          <w:sz w:val="22"/>
        </w:rPr>
        <w:t>2</w:t>
      </w:r>
      <w:r w:rsidR="0022452C">
        <w:rPr>
          <w:sz w:val="22"/>
        </w:rPr>
        <w:t>)</w:t>
      </w:r>
    </w:p>
    <w:p w:rsidR="00070EB7" w:rsidP="00070EB7" w:rsidRDefault="00070EB7" w14:paraId="64602DF0" w14:textId="77777777">
      <w:pPr>
        <w:ind w:left="720"/>
        <w:rPr>
          <w:sz w:val="22"/>
        </w:rPr>
      </w:pPr>
    </w:p>
    <w:p w:rsidR="002C1D2C" w:rsidP="00F34DED" w:rsidRDefault="002C1D2C" w14:paraId="20FC88DD" w14:textId="37CFE74B">
      <w:pPr>
        <w:numPr>
          <w:ilvl w:val="0"/>
          <w:numId w:val="1"/>
        </w:numPr>
        <w:rPr>
          <w:sz w:val="22"/>
        </w:rPr>
      </w:pPr>
      <w:r>
        <w:rPr>
          <w:sz w:val="22"/>
        </w:rPr>
        <w:t>Included a “Note for CSEC plans</w:t>
      </w:r>
      <w:r w:rsidR="00BD556E">
        <w:rPr>
          <w:sz w:val="22"/>
        </w:rPr>
        <w:t>”</w:t>
      </w:r>
      <w:r>
        <w:rPr>
          <w:sz w:val="22"/>
        </w:rPr>
        <w:t xml:space="preserve"> </w:t>
      </w:r>
      <w:r w:rsidR="00D64749">
        <w:rPr>
          <w:sz w:val="22"/>
        </w:rPr>
        <w:t xml:space="preserve">(cooperative and small employer charity pension plans) </w:t>
      </w:r>
      <w:r>
        <w:rPr>
          <w:sz w:val="22"/>
        </w:rPr>
        <w:t>to refer the</w:t>
      </w:r>
      <w:r w:rsidR="003D3F59">
        <w:rPr>
          <w:sz w:val="22"/>
        </w:rPr>
        <w:t>se plans</w:t>
      </w:r>
      <w:r>
        <w:rPr>
          <w:sz w:val="22"/>
        </w:rPr>
        <w:t xml:space="preserve"> to PBGC Technical Update 20-1</w:t>
      </w:r>
      <w:r w:rsidR="00BD556E">
        <w:rPr>
          <w:sz w:val="22"/>
        </w:rPr>
        <w:t xml:space="preserve"> for how to submit premium filings for the 2020 premium payment year.</w:t>
      </w:r>
      <w:r w:rsidR="00B95808">
        <w:rPr>
          <w:sz w:val="22"/>
        </w:rPr>
        <w:t xml:space="preserve">  This note was added to remind CSEC plans that premium rate changes because of the SECURE Act are not reflected in these instructions.</w:t>
      </w:r>
      <w:r w:rsidR="00BD556E">
        <w:rPr>
          <w:sz w:val="22"/>
        </w:rPr>
        <w:t xml:space="preserve"> (p. </w:t>
      </w:r>
      <w:r w:rsidR="005A079F">
        <w:rPr>
          <w:sz w:val="22"/>
        </w:rPr>
        <w:t xml:space="preserve">1, </w:t>
      </w:r>
      <w:r w:rsidR="0022452C">
        <w:rPr>
          <w:sz w:val="22"/>
        </w:rPr>
        <w:t>2</w:t>
      </w:r>
      <w:r w:rsidR="006E537F">
        <w:rPr>
          <w:sz w:val="22"/>
        </w:rPr>
        <w:t>2</w:t>
      </w:r>
      <w:r w:rsidR="00BD556E">
        <w:rPr>
          <w:sz w:val="22"/>
        </w:rPr>
        <w:t>)</w:t>
      </w:r>
    </w:p>
    <w:p w:rsidR="00BD556E" w:rsidP="00BD556E" w:rsidRDefault="00BD556E" w14:paraId="3095F406" w14:textId="77777777">
      <w:pPr>
        <w:ind w:left="720"/>
        <w:rPr>
          <w:sz w:val="22"/>
        </w:rPr>
      </w:pPr>
    </w:p>
    <w:p w:rsidRPr="00116CF6" w:rsidR="002139B3" w:rsidP="00116CF6" w:rsidRDefault="002B324E" w14:paraId="51782278" w14:textId="3071A6D8">
      <w:pPr>
        <w:numPr>
          <w:ilvl w:val="0"/>
          <w:numId w:val="1"/>
        </w:numPr>
        <w:rPr>
          <w:sz w:val="22"/>
        </w:rPr>
      </w:pPr>
      <w:r>
        <w:rPr>
          <w:sz w:val="22"/>
        </w:rPr>
        <w:t>The term</w:t>
      </w:r>
      <w:r w:rsidR="00691A71">
        <w:rPr>
          <w:sz w:val="22"/>
        </w:rPr>
        <w:t xml:space="preserve"> “de minimis”</w:t>
      </w:r>
      <w:r>
        <w:rPr>
          <w:sz w:val="22"/>
        </w:rPr>
        <w:t xml:space="preserve"> used in these instructions</w:t>
      </w:r>
      <w:r w:rsidR="004E08A5">
        <w:rPr>
          <w:sz w:val="22"/>
        </w:rPr>
        <w:t xml:space="preserve"> has been added to the list of</w:t>
      </w:r>
      <w:r w:rsidR="00691A71">
        <w:rPr>
          <w:sz w:val="22"/>
        </w:rPr>
        <w:t xml:space="preserve"> defined term</w:t>
      </w:r>
      <w:r w:rsidR="004E08A5">
        <w:rPr>
          <w:sz w:val="22"/>
        </w:rPr>
        <w:t xml:space="preserve">s in </w:t>
      </w:r>
      <w:r w:rsidR="00D71646">
        <w:rPr>
          <w:sz w:val="22"/>
        </w:rPr>
        <w:t>Appendix 1</w:t>
      </w:r>
      <w:r w:rsidR="00AE6EC4">
        <w:rPr>
          <w:sz w:val="22"/>
        </w:rPr>
        <w:t xml:space="preserve"> and</w:t>
      </w:r>
      <w:r w:rsidR="007812E9">
        <w:rPr>
          <w:sz w:val="22"/>
        </w:rPr>
        <w:t xml:space="preserve">, </w:t>
      </w:r>
      <w:r w:rsidR="00AE6EC4">
        <w:rPr>
          <w:sz w:val="22"/>
        </w:rPr>
        <w:t>therefore</w:t>
      </w:r>
      <w:r w:rsidR="007812E9">
        <w:rPr>
          <w:sz w:val="22"/>
        </w:rPr>
        <w:t>, has</w:t>
      </w:r>
      <w:r w:rsidR="00AE6EC4">
        <w:rPr>
          <w:sz w:val="22"/>
        </w:rPr>
        <w:t xml:space="preserve"> </w:t>
      </w:r>
      <w:r w:rsidR="007812E9">
        <w:rPr>
          <w:sz w:val="22"/>
        </w:rPr>
        <w:t>been capitalized throughout the instructions</w:t>
      </w:r>
      <w:r w:rsidR="00D71646">
        <w:rPr>
          <w:sz w:val="22"/>
        </w:rPr>
        <w:t>. (p. 5</w:t>
      </w:r>
      <w:r w:rsidR="00314353">
        <w:rPr>
          <w:sz w:val="22"/>
        </w:rPr>
        <w:t>8</w:t>
      </w:r>
      <w:r w:rsidR="00A235DE">
        <w:rPr>
          <w:sz w:val="22"/>
        </w:rPr>
        <w:t>)</w:t>
      </w:r>
    </w:p>
    <w:sectPr w:rsidRPr="00116CF6" w:rsidR="002139B3" w:rsidSect="0098471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B160B"/>
    <w:multiLevelType w:val="hybridMultilevel"/>
    <w:tmpl w:val="B8AE9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FE"/>
    <w:rsid w:val="0000209F"/>
    <w:rsid w:val="0000644C"/>
    <w:rsid w:val="00014968"/>
    <w:rsid w:val="00062B89"/>
    <w:rsid w:val="00070EB7"/>
    <w:rsid w:val="0007287C"/>
    <w:rsid w:val="000B19F5"/>
    <w:rsid w:val="000D761D"/>
    <w:rsid w:val="00105C0B"/>
    <w:rsid w:val="00116CF6"/>
    <w:rsid w:val="00186539"/>
    <w:rsid w:val="001B15C8"/>
    <w:rsid w:val="001B3AEB"/>
    <w:rsid w:val="002008D1"/>
    <w:rsid w:val="002139B3"/>
    <w:rsid w:val="00217516"/>
    <w:rsid w:val="0022452C"/>
    <w:rsid w:val="002856E3"/>
    <w:rsid w:val="002B25D0"/>
    <w:rsid w:val="002B324E"/>
    <w:rsid w:val="002C1D2C"/>
    <w:rsid w:val="002F1F45"/>
    <w:rsid w:val="00300CA5"/>
    <w:rsid w:val="00305E7E"/>
    <w:rsid w:val="00314353"/>
    <w:rsid w:val="0032311D"/>
    <w:rsid w:val="0033116A"/>
    <w:rsid w:val="00365209"/>
    <w:rsid w:val="003740F3"/>
    <w:rsid w:val="003D3F59"/>
    <w:rsid w:val="003D7AC1"/>
    <w:rsid w:val="00412E43"/>
    <w:rsid w:val="00422D40"/>
    <w:rsid w:val="00427C04"/>
    <w:rsid w:val="004324B3"/>
    <w:rsid w:val="004327E7"/>
    <w:rsid w:val="004542B8"/>
    <w:rsid w:val="00472A7B"/>
    <w:rsid w:val="004826A3"/>
    <w:rsid w:val="004E0277"/>
    <w:rsid w:val="004E08A5"/>
    <w:rsid w:val="004F5774"/>
    <w:rsid w:val="0050556A"/>
    <w:rsid w:val="0052791C"/>
    <w:rsid w:val="00541AAB"/>
    <w:rsid w:val="00546765"/>
    <w:rsid w:val="0055164B"/>
    <w:rsid w:val="005562EB"/>
    <w:rsid w:val="0057401E"/>
    <w:rsid w:val="005A079F"/>
    <w:rsid w:val="005A0CAE"/>
    <w:rsid w:val="005A761C"/>
    <w:rsid w:val="005B5696"/>
    <w:rsid w:val="005C76A8"/>
    <w:rsid w:val="005D53C3"/>
    <w:rsid w:val="005E1EBB"/>
    <w:rsid w:val="005E2E26"/>
    <w:rsid w:val="0065764A"/>
    <w:rsid w:val="006607AD"/>
    <w:rsid w:val="00691A71"/>
    <w:rsid w:val="006E2AAF"/>
    <w:rsid w:val="006E537F"/>
    <w:rsid w:val="00710FDD"/>
    <w:rsid w:val="007209FC"/>
    <w:rsid w:val="00722427"/>
    <w:rsid w:val="00725AA5"/>
    <w:rsid w:val="00744C5D"/>
    <w:rsid w:val="00764966"/>
    <w:rsid w:val="007811C8"/>
    <w:rsid w:val="007812E9"/>
    <w:rsid w:val="00784D2A"/>
    <w:rsid w:val="00791687"/>
    <w:rsid w:val="007A6DA1"/>
    <w:rsid w:val="007B2F1C"/>
    <w:rsid w:val="007E1873"/>
    <w:rsid w:val="007E2D43"/>
    <w:rsid w:val="00806AF9"/>
    <w:rsid w:val="0081673F"/>
    <w:rsid w:val="00824481"/>
    <w:rsid w:val="00863606"/>
    <w:rsid w:val="00865269"/>
    <w:rsid w:val="008E5CD3"/>
    <w:rsid w:val="00905F3E"/>
    <w:rsid w:val="009313C2"/>
    <w:rsid w:val="00961934"/>
    <w:rsid w:val="0096265C"/>
    <w:rsid w:val="009637D1"/>
    <w:rsid w:val="00974129"/>
    <w:rsid w:val="00984710"/>
    <w:rsid w:val="009B1C08"/>
    <w:rsid w:val="009D5532"/>
    <w:rsid w:val="009E1BE6"/>
    <w:rsid w:val="009E7D50"/>
    <w:rsid w:val="00A11B93"/>
    <w:rsid w:val="00A21448"/>
    <w:rsid w:val="00A235DE"/>
    <w:rsid w:val="00A32A56"/>
    <w:rsid w:val="00A34878"/>
    <w:rsid w:val="00A755FC"/>
    <w:rsid w:val="00AB0814"/>
    <w:rsid w:val="00AB1D3E"/>
    <w:rsid w:val="00AE6EC4"/>
    <w:rsid w:val="00B002FE"/>
    <w:rsid w:val="00B00DE1"/>
    <w:rsid w:val="00B823D5"/>
    <w:rsid w:val="00B918FE"/>
    <w:rsid w:val="00B95808"/>
    <w:rsid w:val="00B96A39"/>
    <w:rsid w:val="00BA1BC8"/>
    <w:rsid w:val="00BA7F07"/>
    <w:rsid w:val="00BD1603"/>
    <w:rsid w:val="00BD4E25"/>
    <w:rsid w:val="00BD556E"/>
    <w:rsid w:val="00C345CD"/>
    <w:rsid w:val="00C4796E"/>
    <w:rsid w:val="00C50770"/>
    <w:rsid w:val="00CA71D7"/>
    <w:rsid w:val="00CD7372"/>
    <w:rsid w:val="00D0308B"/>
    <w:rsid w:val="00D1439E"/>
    <w:rsid w:val="00D31452"/>
    <w:rsid w:val="00D53368"/>
    <w:rsid w:val="00D57850"/>
    <w:rsid w:val="00D64749"/>
    <w:rsid w:val="00D71646"/>
    <w:rsid w:val="00D731EE"/>
    <w:rsid w:val="00D97846"/>
    <w:rsid w:val="00DA4CAC"/>
    <w:rsid w:val="00DB369B"/>
    <w:rsid w:val="00DB4949"/>
    <w:rsid w:val="00DB672F"/>
    <w:rsid w:val="00DB7057"/>
    <w:rsid w:val="00DE76FE"/>
    <w:rsid w:val="00E016E1"/>
    <w:rsid w:val="00E04FAB"/>
    <w:rsid w:val="00E27396"/>
    <w:rsid w:val="00E469BE"/>
    <w:rsid w:val="00EA5AB8"/>
    <w:rsid w:val="00EB1C5A"/>
    <w:rsid w:val="00EC3288"/>
    <w:rsid w:val="00EE2829"/>
    <w:rsid w:val="00EF34AD"/>
    <w:rsid w:val="00EF6DA4"/>
    <w:rsid w:val="00F34DED"/>
    <w:rsid w:val="00F51987"/>
    <w:rsid w:val="00F543B6"/>
    <w:rsid w:val="00F8283C"/>
    <w:rsid w:val="00F842ED"/>
    <w:rsid w:val="00F844F0"/>
    <w:rsid w:val="00FB31C0"/>
    <w:rsid w:val="00FD35CD"/>
    <w:rsid w:val="00FE5F79"/>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11DD"/>
  <w15:chartTrackingRefBased/>
  <w15:docId w15:val="{30B7F4F1-C9C7-4664-BCC6-32744D2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04b9a93-b54f-4549-9b70-040003075d6a" ContentTypeId="0x010100E09C6A4FD85CD94DB99934580C23925719" PreviousValue="false"/>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E31C7-8C24-47F0-82B0-87EBC2548BB9}">
  <ds:schemaRefs>
    <ds:schemaRef ds:uri="http://schemas.microsoft.com/office/2006/metadata/properties"/>
    <ds:schemaRef ds:uri="http://schemas.microsoft.com/office/infopath/2007/PartnerControls"/>
    <ds:schemaRef ds:uri="42a8a83a-5e27-410c-a1fc-7c5ac4e503f4"/>
  </ds:schemaRefs>
</ds:datastoreItem>
</file>

<file path=customXml/itemProps2.xml><?xml version="1.0" encoding="utf-8"?>
<ds:datastoreItem xmlns:ds="http://schemas.openxmlformats.org/officeDocument/2006/customXml" ds:itemID="{9C890B16-A781-4190-9642-88BA393C486D}">
  <ds:schemaRefs>
    <ds:schemaRef ds:uri="http://schemas.microsoft.com/sharepoint/v3/contenttype/forms"/>
  </ds:schemaRefs>
</ds:datastoreItem>
</file>

<file path=customXml/itemProps3.xml><?xml version="1.0" encoding="utf-8"?>
<ds:datastoreItem xmlns:ds="http://schemas.openxmlformats.org/officeDocument/2006/customXml" ds:itemID="{1D147FAE-3239-4F18-BC97-38D8708A9C95}">
  <ds:schemaRefs>
    <ds:schemaRef ds:uri="Microsoft.SharePoint.Taxonomy.ContentTypeSync"/>
  </ds:schemaRefs>
</ds:datastoreItem>
</file>

<file path=customXml/itemProps4.xml><?xml version="1.0" encoding="utf-8"?>
<ds:datastoreItem xmlns:ds="http://schemas.openxmlformats.org/officeDocument/2006/customXml" ds:itemID="{18E6EBC0-7AA2-4652-B3C1-5BA825FBF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Deborah</dc:creator>
  <cp:keywords/>
  <dc:description/>
  <cp:lastModifiedBy>Cibinic Stephanie</cp:lastModifiedBy>
  <cp:revision>2</cp:revision>
  <dcterms:created xsi:type="dcterms:W3CDTF">2020-02-03T15:31:00Z</dcterms:created>
  <dcterms:modified xsi:type="dcterms:W3CDTF">2020-02-03T15:31:00Z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rder">
    <vt:r8>100</vt:r8>
  </property>
  <property fmtid="{D5CDD505-2E9C-101B-9397-08002B2CF9AE}" pid="4" name="Source Library">
    <vt:lpwstr/>
  </property>
  <property fmtid="{D5CDD505-2E9C-101B-9397-08002B2CF9AE}" pid="5" name="Source Type">
    <vt:lpwstr>File share</vt:lpwstr>
  </property>
  <property fmtid="{D5CDD505-2E9C-101B-9397-08002B2CF9AE}" pid="6" name="OGC Document Status">
    <vt:lpwstr>6;#Draft|4e9a4bc7-9032-4d66-87ab-b16dbcbcd63b</vt:lpwstr>
  </property>
</Properties>
</file>