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C651B" w:rsidR="005C651B" w:rsidP="005C651B" w:rsidRDefault="005C651B" w14:paraId="418838FE" w14:textId="77777777">
      <w:pPr>
        <w:shd w:val="clear" w:color="auto" w:fill="FFFFFF"/>
        <w:spacing w:before="90" w:after="105" w:line="240" w:lineRule="auto"/>
        <w:outlineLvl w:val="2"/>
        <w:rPr>
          <w:rFonts w:ascii="Arial" w:hAnsi="Arial" w:eastAsia="Times New Roman" w:cs="Arial"/>
          <w:sz w:val="34"/>
          <w:szCs w:val="34"/>
          <w:lang w:val="en"/>
        </w:rPr>
      </w:pPr>
      <w:r w:rsidRPr="005C651B">
        <w:rPr>
          <w:rFonts w:ascii="Arial" w:hAnsi="Arial" w:eastAsia="Times New Roman" w:cs="Arial"/>
          <w:sz w:val="34"/>
          <w:szCs w:val="34"/>
          <w:lang w:val="en"/>
        </w:rPr>
        <w:t xml:space="preserve">Table B-8. Average hourly and weekly earnings of production and nonsupervisory employees on private nonfarm payrolls by industry sector, seasonally </w:t>
      </w:r>
      <w:proofErr w:type="gramStart"/>
      <w:r w:rsidRPr="005C651B">
        <w:rPr>
          <w:rFonts w:ascii="Arial" w:hAnsi="Arial" w:eastAsia="Times New Roman" w:cs="Arial"/>
          <w:sz w:val="34"/>
          <w:szCs w:val="34"/>
          <w:lang w:val="en"/>
        </w:rPr>
        <w:t>adjusted(</w:t>
      </w:r>
      <w:proofErr w:type="gramEnd"/>
      <w:r w:rsidRPr="005C651B">
        <w:rPr>
          <w:rFonts w:ascii="Arial" w:hAnsi="Arial" w:eastAsia="Times New Roman" w:cs="Arial"/>
          <w:sz w:val="34"/>
          <w:szCs w:val="34"/>
          <w:lang w:val="en"/>
        </w:rPr>
        <w:t>1)</w:t>
      </w:r>
    </w:p>
    <w:tbl>
      <w:tblPr>
        <w:tblW w:w="4800" w:type="pct"/>
        <w:tblCellSpacing w:w="15" w:type="dxa"/>
        <w:tblBorders>
          <w:top w:val="single" w:color="AAAAAA" w:sz="6" w:space="0"/>
          <w:left w:val="single" w:color="AAAAAA" w:sz="6" w:space="0"/>
          <w:bottom w:val="single" w:color="AAAAAA" w:sz="6" w:space="0"/>
          <w:right w:val="single" w:color="AAAAAA" w:sz="6" w:space="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943"/>
        <w:gridCol w:w="943"/>
        <w:gridCol w:w="1213"/>
        <w:gridCol w:w="1213"/>
        <w:gridCol w:w="1163"/>
        <w:gridCol w:w="1163"/>
        <w:gridCol w:w="1213"/>
        <w:gridCol w:w="1228"/>
      </w:tblGrid>
      <w:tr w:rsidRPr="005C651B" w:rsidR="005C651B" w:rsidTr="005C651B" w14:paraId="56CDA8CC" w14:textId="77777777">
        <w:trPr>
          <w:trHeight w:val="229"/>
          <w:tblHeader/>
          <w:tblCellSpacing w:w="15" w:type="dxa"/>
        </w:trPr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21FF362A" w14:textId="77777777">
            <w:pPr>
              <w:spacing w:before="240" w:after="0" w:line="240" w:lineRule="auto"/>
              <w:rPr>
                <w:rFonts w:ascii="Tahoma" w:hAnsi="Tahoma" w:eastAsia="Times New Roman" w:cs="Tahoma"/>
                <w:color w:val="660000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660000"/>
                <w:sz w:val="21"/>
                <w:szCs w:val="21"/>
              </w:rPr>
              <w:t>ESTABLISHMENT DATA</w:t>
            </w:r>
            <w:r w:rsidRPr="005C651B">
              <w:rPr>
                <w:rFonts w:ascii="Tahoma" w:hAnsi="Tahoma" w:eastAsia="Times New Roman" w:cs="Tahoma"/>
                <w:b/>
                <w:bCs/>
                <w:color w:val="660000"/>
                <w:sz w:val="21"/>
                <w:szCs w:val="21"/>
              </w:rPr>
              <w:br/>
              <w:t>Table B-8. Average hourly and weekly earnings of production and nonsupervisory employees on private nonfarm payrolls by industry sector, seasonally adjusted</w:t>
            </w:r>
            <w:r w:rsidRPr="005C651B">
              <w:rPr>
                <w:rFonts w:ascii="Tahoma" w:hAnsi="Tahoma" w:eastAsia="Times New Roman" w:cs="Tahoma"/>
                <w:b/>
                <w:bCs/>
                <w:color w:val="660000"/>
                <w:sz w:val="16"/>
                <w:szCs w:val="16"/>
              </w:rPr>
              <w:t>(</w:t>
            </w:r>
            <w:hyperlink w:tooltip="Click to jump to footnotes at bottom of the table" w:history="1" w:anchor="ces_table8.f.1" r:id="rId7">
              <w:r w:rsidRPr="005C651B">
                <w:rPr>
                  <w:rFonts w:ascii="Tahoma" w:hAnsi="Tahoma" w:eastAsia="Times New Roman" w:cs="Tahoma"/>
                  <w:b/>
                  <w:bCs/>
                  <w:color w:val="0000FF"/>
                  <w:sz w:val="16"/>
                  <w:szCs w:val="16"/>
                  <w:u w:val="single"/>
                </w:rPr>
                <w:t>1</w:t>
              </w:r>
            </w:hyperlink>
            <w:r w:rsidRPr="005C651B">
              <w:rPr>
                <w:rFonts w:ascii="Tahoma" w:hAnsi="Tahoma" w:eastAsia="Times New Roman" w:cs="Tahoma"/>
                <w:b/>
                <w:bCs/>
                <w:color w:val="660000"/>
                <w:sz w:val="16"/>
                <w:szCs w:val="16"/>
              </w:rPr>
              <w:t>)</w:t>
            </w:r>
          </w:p>
        </w:tc>
      </w:tr>
      <w:tr w:rsidRPr="005C651B" w:rsidR="005C651B" w:rsidTr="005C651B" w14:paraId="78E85A96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2AD17526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Industry</w:t>
            </w:r>
          </w:p>
        </w:tc>
        <w:tc>
          <w:tcPr>
            <w:tcW w:w="0" w:type="auto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408800E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Average hourly earnings</w:t>
            </w:r>
          </w:p>
        </w:tc>
        <w:tc>
          <w:tcPr>
            <w:tcW w:w="0" w:type="auto"/>
            <w:gridSpan w:val="4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3C969BEB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Average weekly earnings</w:t>
            </w:r>
          </w:p>
        </w:tc>
      </w:tr>
      <w:tr w:rsidRPr="005C651B" w:rsidR="005C651B" w:rsidTr="005C651B" w14:paraId="5DA7D552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vAlign w:val="center"/>
            <w:hideMark/>
          </w:tcPr>
          <w:p w:rsidRPr="005C651B" w:rsidR="005C651B" w:rsidP="005C651B" w:rsidRDefault="005C651B" w14:paraId="04E832FE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5AF8EF8C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Dec.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1B0AAD52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Oct.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03A7E601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Nov.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8">
              <w:r w:rsidRPr="005C651B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5B2F6537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Dec.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9">
              <w:r w:rsidRPr="005C651B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444AD94E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Dec.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067F5583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Oct.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5E0043B3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Nov.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10">
              <w:r w:rsidRPr="005C651B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DDDDD"/>
            <w:tcMar>
              <w:top w:w="3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Pr="005C651B" w:rsidR="005C651B" w:rsidP="005C651B" w:rsidRDefault="005C651B" w14:paraId="4B32244F" w14:textId="77777777">
            <w:pPr>
              <w:spacing w:after="0" w:line="240" w:lineRule="auto"/>
              <w:jc w:val="center"/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t>Dec.</w:t>
            </w:r>
            <w:r w:rsidRPr="005C651B">
              <w:rPr>
                <w:rFonts w:ascii="Tahoma" w:hAnsi="Tahoma" w:eastAsia="Times New Roman" w:cs="Tahoma"/>
                <w:b/>
                <w:bCs/>
                <w:sz w:val="19"/>
                <w:szCs w:val="19"/>
              </w:rPr>
              <w:br/>
              <w:t>2019</w:t>
            </w:r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(</w:t>
            </w:r>
            <w:hyperlink w:tooltip="Preliminary" w:history="1" w:anchor="ces_table8.f.p" r:id="rId11">
              <w:r w:rsidRPr="005C651B">
                <w:rPr>
                  <w:rFonts w:ascii="Tahoma" w:hAnsi="Tahoma" w:eastAsia="Times New Roman" w:cs="Tahoma"/>
                  <w:b/>
                  <w:bCs/>
                  <w:color w:val="0000FF"/>
                  <w:sz w:val="15"/>
                  <w:szCs w:val="15"/>
                  <w:u w:val="single"/>
                </w:rPr>
                <w:t>p</w:t>
              </w:r>
            </w:hyperlink>
            <w:r w:rsidRPr="005C651B">
              <w:rPr>
                <w:rFonts w:ascii="Tahoma" w:hAnsi="Tahoma" w:eastAsia="Times New Roman" w:cs="Tahoma"/>
                <w:b/>
                <w:bCs/>
                <w:sz w:val="15"/>
                <w:szCs w:val="15"/>
              </w:rPr>
              <w:t>)</w:t>
            </w:r>
          </w:p>
        </w:tc>
      </w:tr>
      <w:tr w:rsidRPr="005C651B" w:rsidR="005C651B" w:rsidTr="005C651B" w14:paraId="2ADFC6D1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0AAF96D7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Total private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D3A66B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$23.09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4840FB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$23.73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95BBC0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$23.77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F48CBC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$23.79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6BF7C5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$778.13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B11318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$794.96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DA4E1E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$796.30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97C268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$796.97</w:t>
            </w:r>
          </w:p>
        </w:tc>
      </w:tr>
      <w:tr w:rsidRPr="005C651B" w:rsidR="005C651B" w:rsidTr="005C651B" w14:paraId="3B9E50C4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65DB0070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Goods-producing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DACB19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24.38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525ACB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24.95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15FF7E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24.97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9B5D8F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25.05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052691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1,009.33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496182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1,022.95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D2A767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1,021.27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10FF10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1,022.04</w:t>
            </w:r>
          </w:p>
        </w:tc>
      </w:tr>
      <w:tr w:rsidRPr="005C651B" w:rsidR="005C651B" w:rsidTr="005C651B" w14:paraId="09AC0333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438D4406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Mining and logging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D77655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28.71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8774ED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30.88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418433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30.89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1D7FFF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30.82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683257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1,340.76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040CFF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1,457.54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1774E7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1,442.56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909D7E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1,423.88</w:t>
            </w:r>
          </w:p>
        </w:tc>
      </w:tr>
      <w:tr w:rsidRPr="005C651B" w:rsidR="005C651B" w:rsidTr="005C651B" w14:paraId="3477471E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27036603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Construction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86D5A8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28.20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637CEC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28.64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604964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28.69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906613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28.76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4CD182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1,125.18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B249CD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1,137.01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6A088B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1,130.39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7A9B45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1,133.14</w:t>
            </w:r>
          </w:p>
        </w:tc>
      </w:tr>
      <w:tr w:rsidRPr="005C651B" w:rsidR="005C651B" w:rsidTr="005C651B" w14:paraId="2F19EA66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5EF00C82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Manufacturing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A1CC36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21.85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C81EB2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22.31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F27777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22.37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81DBAC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22.46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79291B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917.70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CED399B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923.63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3C7A92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926.12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DB11FB3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929.84</w:t>
            </w:r>
          </w:p>
        </w:tc>
      </w:tr>
      <w:tr w:rsidRPr="005C651B" w:rsidR="005C651B" w:rsidTr="005C651B" w14:paraId="3D220572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104212C4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Durable goods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1D6962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22.81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04B7C23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23.24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AE60B0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23.33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640F95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23.42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5AB09A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969.43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D9E0D3B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969.11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36E67C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975.19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D90F55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978.96</w:t>
            </w:r>
          </w:p>
        </w:tc>
      </w:tr>
      <w:tr w:rsidRPr="005C651B" w:rsidR="005C651B" w:rsidTr="005C651B" w14:paraId="66493448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5D37A846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Nondurable goods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B3F78A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20.25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D051FE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20.78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8A583F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20.80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0C534B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20.87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8830B1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836.33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64E6D2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849.90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9BEDA5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848.64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9CB45F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853.58</w:t>
            </w:r>
          </w:p>
        </w:tc>
      </w:tr>
      <w:tr w:rsidRPr="005C651B" w:rsidR="005C651B" w:rsidTr="005C651B" w14:paraId="375FAEE7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21679689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Private service-providing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E06BA3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22.82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322D5E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23.47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A73E2E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23.52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AD5247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23.53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DE4EAE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739.37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215967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758.08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13AEDB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759.70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CBE30B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760.02</w:t>
            </w:r>
          </w:p>
        </w:tc>
      </w:tr>
      <w:tr w:rsidRPr="005C651B" w:rsidR="005C651B" w:rsidTr="005C651B" w14:paraId="1FB16196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6CC5B1BA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Trade, transportation, and utilities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740164B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20.32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0A4207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20.80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37EAB1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20.86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D76187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20.85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695BD9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684.78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997F9D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700.96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65883B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700.90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CC2292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704.73</w:t>
            </w:r>
          </w:p>
        </w:tc>
      </w:tr>
      <w:tr w:rsidRPr="005C651B" w:rsidR="005C651B" w:rsidTr="005C651B" w14:paraId="57FE3B47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72F9759B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Wholesale trade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721AB6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25.70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1B95E1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26.34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F5A8F3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26.44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035E19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26.32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E1B395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997.16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572906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1,016.72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71A66D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1,020.58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AE7C1A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1,013.32</w:t>
            </w:r>
          </w:p>
        </w:tc>
      </w:tr>
      <w:tr w:rsidRPr="005C651B" w:rsidR="005C651B" w:rsidTr="005C651B" w14:paraId="74DF2E33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4F34F16D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Retail trade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D1ECC3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16.28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18E6B1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16.76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FAE77B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16.81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334849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16.86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0CEB8F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490.03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59BCDF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506.15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538CFC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502.62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F87B95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509.17</w:t>
            </w:r>
          </w:p>
        </w:tc>
      </w:tr>
      <w:tr w:rsidRPr="005C651B" w:rsidR="005C651B" w:rsidTr="005C651B" w14:paraId="5B864728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30FC5FAD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Transportation and warehousing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CEF412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22.13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1A3055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22.53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611308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22.47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C7F74E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22.50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0B55F5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845.37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916A19C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853.89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442A8D3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853.86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C53879B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857.25</w:t>
            </w:r>
          </w:p>
        </w:tc>
      </w:tr>
      <w:tr w:rsidRPr="005C651B" w:rsidR="005C651B" w:rsidTr="005C651B" w14:paraId="47C458EB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4964C17E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Utilities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95FD13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37.12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BE93D83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37.09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DE995F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37.02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52B1A9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37.27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1A8085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1,581.31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654EA9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1,587.45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2B9704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1,588.16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F15860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1,602.61</w:t>
            </w:r>
          </w:p>
        </w:tc>
      </w:tr>
      <w:tr w:rsidRPr="005C651B" w:rsidR="005C651B" w:rsidTr="005C651B" w14:paraId="41012424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5294120D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Information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5855F0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32.95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89B755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34.36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EF2919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34.19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AC7D35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34.36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F02FAF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1,173.02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06260C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1,206.04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9264DC3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1,200.07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D820B8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1,206.04</w:t>
            </w:r>
          </w:p>
        </w:tc>
      </w:tr>
      <w:tr w:rsidRPr="005C651B" w:rsidR="005C651B" w:rsidTr="005C651B" w14:paraId="22AA6ADE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63D45AB5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Financial activities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4A8C59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27.26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9B12B0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27.91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CCC074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28.01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A400BEE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27.97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6167AD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1,005.89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773214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1,029.88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6CFBFB0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1,033.57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0AF98D3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1,032.09</w:t>
            </w:r>
          </w:p>
        </w:tc>
      </w:tr>
      <w:tr w:rsidRPr="005C651B" w:rsidR="005C651B" w:rsidTr="005C651B" w14:paraId="55D17F46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7ED286DC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Professional and business services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D8C994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27.16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5E26169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28.14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8BFE0C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28.22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41EC76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28.26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BD55C9D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961.46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34EDFD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993.34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3EDBE5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996.17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2AB6F1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997.58</w:t>
            </w:r>
          </w:p>
        </w:tc>
      </w:tr>
      <w:tr w:rsidRPr="005C651B" w:rsidR="005C651B" w:rsidTr="005C651B" w14:paraId="11F7EFBB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610C89ED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Education and health services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9143FB6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23.97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8DCF13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24.62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F1E015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24.60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D25B827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24.64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B16725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771.83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72CE94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792.76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0FDACF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792.12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EE27D9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795.87</w:t>
            </w:r>
          </w:p>
        </w:tc>
      </w:tr>
      <w:tr w:rsidRPr="005C651B" w:rsidR="005C651B" w:rsidTr="005C651B" w14:paraId="1C9B05ED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DBEAFF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6FB49A6B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Leisure and hospitality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7E94F1A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14.17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306A9F2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14.65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1B2778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14.72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69FCB2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14.73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B42A7CF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351.42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72C92F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360.39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640E83EA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363.58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F4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1BE789B8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363.83</w:t>
            </w:r>
          </w:p>
        </w:tc>
      </w:tr>
      <w:tr w:rsidRPr="005C651B" w:rsidR="005C651B" w:rsidTr="005C651B" w14:paraId="2E1B2C72" w14:textId="77777777">
        <w:trPr>
          <w:tblCellSpacing w:w="15" w:type="dxa"/>
        </w:trPr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EEEEEE"/>
            <w:tcMar>
              <w:top w:w="3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023F23C7" w14:textId="77777777">
            <w:pPr>
              <w:spacing w:after="0" w:line="240" w:lineRule="auto"/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Other services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B4C322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21.10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52BF59B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21.34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27A0F1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21.41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5FA14EF3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21.49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4A5EB491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651.99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E41F4EB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657.27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335DB7D5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661.57</w:t>
            </w:r>
          </w:p>
        </w:tc>
        <w:tc>
          <w:tcPr>
            <w:tcW w:w="0" w:type="auto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Pr="005C651B" w:rsidR="005C651B" w:rsidP="005C651B" w:rsidRDefault="005C651B" w14:paraId="2D6245C4" w14:textId="77777777">
            <w:pPr>
              <w:spacing w:after="0" w:line="240" w:lineRule="auto"/>
              <w:jc w:val="right"/>
              <w:rPr>
                <w:rFonts w:ascii="Tahoma" w:hAnsi="Tahoma" w:eastAsia="Times New Roman" w:cs="Tahoma"/>
                <w:sz w:val="19"/>
                <w:szCs w:val="19"/>
              </w:rPr>
            </w:pPr>
            <w:r w:rsidRPr="005C651B">
              <w:rPr>
                <w:rFonts w:ascii="Tahoma" w:hAnsi="Tahoma" w:eastAsia="Times New Roman" w:cs="Tahoma"/>
                <w:sz w:val="19"/>
                <w:szCs w:val="19"/>
              </w:rPr>
              <w:t>661.89</w:t>
            </w:r>
          </w:p>
        </w:tc>
      </w:tr>
      <w:tr w:rsidRPr="005C651B" w:rsidR="005C651B" w:rsidTr="005C651B" w14:paraId="7D7B6BB2" w14:textId="77777777">
        <w:trPr>
          <w:tblCellSpacing w:w="15" w:type="dxa"/>
        </w:trPr>
        <w:tc>
          <w:tcPr>
            <w:tcW w:w="0" w:type="auto"/>
            <w:gridSpan w:val="9"/>
            <w:tcBorders>
              <w:top w:val="single" w:color="AAAAAA" w:sz="6" w:space="0"/>
              <w:left w:val="single" w:color="AAAAAA" w:sz="6" w:space="0"/>
              <w:bottom w:val="single" w:color="AAAAAA" w:sz="6" w:space="0"/>
              <w:right w:val="single" w:color="AAAAAA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5C651B" w:rsidR="005C651B" w:rsidP="005C651B" w:rsidRDefault="005C651B" w14:paraId="6384ECC0" w14:textId="77777777">
            <w:pPr>
              <w:spacing w:after="0" w:line="336" w:lineRule="auto"/>
              <w:rPr>
                <w:rFonts w:ascii="Tahoma" w:hAnsi="Tahoma" w:eastAsia="Times New Roman" w:cs="Tahoma"/>
                <w:color w:val="333333"/>
                <w:sz w:val="19"/>
                <w:szCs w:val="19"/>
              </w:rPr>
            </w:pPr>
            <w:proofErr w:type="gramStart"/>
            <w:r w:rsidRPr="005C651B">
              <w:rPr>
                <w:rFonts w:ascii="Tahoma" w:hAnsi="Tahoma" w:eastAsia="Times New Roman" w:cs="Tahoma"/>
                <w:b/>
                <w:bCs/>
                <w:color w:val="333333"/>
                <w:sz w:val="19"/>
                <w:szCs w:val="19"/>
              </w:rPr>
              <w:t>Footnotes</w:t>
            </w:r>
            <w:proofErr w:type="gramEnd"/>
            <w:r w:rsidRPr="005C651B">
              <w:rPr>
                <w:rFonts w:ascii="Tahoma" w:hAnsi="Tahoma" w:eastAsia="Times New Roman" w:cs="Tahoma"/>
                <w:color w:val="333333"/>
                <w:sz w:val="19"/>
                <w:szCs w:val="19"/>
              </w:rPr>
              <w:br/>
            </w:r>
            <w:bookmarkStart w:name="ces_table8.f.1" w:id="0"/>
            <w:r w:rsidRPr="005C651B">
              <w:rPr>
                <w:rFonts w:ascii="Tahoma" w:hAnsi="Tahoma" w:eastAsia="Times New Roman" w:cs="Tahoma"/>
                <w:color w:val="003399"/>
                <w:sz w:val="19"/>
                <w:szCs w:val="19"/>
                <w:u w:val="single"/>
              </w:rPr>
              <w:t xml:space="preserve">(1) </w:t>
            </w:r>
            <w:bookmarkEnd w:id="0"/>
            <w:r w:rsidRPr="005C651B">
              <w:rPr>
                <w:rFonts w:ascii="Tahoma" w:hAnsi="Tahoma" w:eastAsia="Times New Roman" w:cs="Tahoma"/>
                <w:color w:val="333333"/>
                <w:sz w:val="19"/>
                <w:szCs w:val="19"/>
              </w:rPr>
              <w:t>Data relate to production employees in mining and logging and manufacturing, construction employees in construction, and nonsupervisory employees in the service-providing industries. These groups account for approximately four-fifths of the total employment on private nonfarm payrolls.</w:t>
            </w:r>
            <w:r w:rsidRPr="005C651B">
              <w:rPr>
                <w:rFonts w:ascii="Tahoma" w:hAnsi="Tahoma" w:eastAsia="Times New Roman" w:cs="Tahoma"/>
                <w:color w:val="333333"/>
                <w:sz w:val="19"/>
                <w:szCs w:val="19"/>
              </w:rPr>
              <w:br/>
            </w:r>
            <w:bookmarkStart w:name="ces_table8.f.p" w:id="1"/>
            <w:r w:rsidRPr="005C651B">
              <w:rPr>
                <w:rFonts w:ascii="Tahoma" w:hAnsi="Tahoma" w:eastAsia="Times New Roman" w:cs="Tahoma"/>
                <w:color w:val="003399"/>
                <w:sz w:val="19"/>
                <w:szCs w:val="19"/>
                <w:u w:val="single"/>
              </w:rPr>
              <w:t xml:space="preserve">(p) </w:t>
            </w:r>
            <w:bookmarkEnd w:id="1"/>
            <w:r w:rsidRPr="005C651B">
              <w:rPr>
                <w:rFonts w:ascii="Tahoma" w:hAnsi="Tahoma" w:eastAsia="Times New Roman" w:cs="Tahoma"/>
                <w:color w:val="333333"/>
                <w:sz w:val="19"/>
                <w:szCs w:val="19"/>
              </w:rPr>
              <w:t>Preliminary</w:t>
            </w:r>
          </w:p>
        </w:tc>
      </w:tr>
    </w:tbl>
    <w:p w:rsidR="00262A4D" w:rsidRDefault="00262A4D" w14:paraId="02DF85BA" w14:textId="77777777">
      <w:bookmarkStart w:name="_GoBack" w:id="2"/>
      <w:bookmarkEnd w:id="2"/>
    </w:p>
    <w:sectPr w:rsidR="00262A4D" w:rsidSect="005C65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1B"/>
    <w:rsid w:val="00262A4D"/>
    <w:rsid w:val="005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DCFB"/>
  <w15:chartTrackingRefBased/>
  <w15:docId w15:val="{AB2210A5-436F-48C0-B362-CF65358B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news.release/empsit.t24.ht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bls.gov/news.release/empsit.t24.ht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ls.gov/news.release/empsit.t24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bls.gov/news.release/empsit.t24.htm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ls.gov/news.release/empsit.t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0" ma:contentTypeDescription="Create a new document." ma:contentTypeScope="" ma:versionID="1ee52b1c8e1cbad4fedbd0a8e9a921e9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ff1ccddf6d7bd470ec5a1041d278b14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2F4CA4-AE6B-4393-916A-95F852AE0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3E20C2-8DAC-4115-BF97-FEFFB622C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2EFF26-9103-4E5C-AFEC-C3E93785360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f75c5af-d26c-4511-82f9-262aceebea2e"/>
    <ds:schemaRef ds:uri="14ca70b7-b93c-4334-ab56-eeed267698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Waterman, Robert - WHD</dc:creator>
  <cp:keywords/>
  <dc:description/>
  <cp:lastModifiedBy>Waterman, Robert - WHD</cp:lastModifiedBy>
  <cp:revision>1</cp:revision>
  <dcterms:created xsi:type="dcterms:W3CDTF">2020-01-21T13:39:00Z</dcterms:created>
  <dcterms:modified xsi:type="dcterms:W3CDTF">2020-01-21T13:40:00Z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