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E5315" w:rsidR="00906F06" w:rsidP="00906F06" w:rsidRDefault="00906F06" w14:paraId="69279E8E" w14:textId="08D7F814">
      <w:pPr>
        <w:pStyle w:val="H2Chapter"/>
      </w:pPr>
      <w:bookmarkStart w:name="_Toc374100104" w:id="0"/>
      <w:bookmarkStart w:name="_Toc428361274" w:id="1"/>
      <w:bookmarkStart w:name="_Toc428361441" w:id="2"/>
      <w:bookmarkStart w:name="_Toc298415680" w:id="3"/>
      <w:bookmarkStart w:name="_Toc298418561" w:id="4"/>
      <w:bookmarkStart w:name="_GoBack" w:id="5"/>
      <w:bookmarkEnd w:id="5"/>
      <w:r w:rsidRPr="009E5315">
        <w:t>PART A</w:t>
      </w:r>
      <w:bookmarkEnd w:id="0"/>
      <w:bookmarkEnd w:id="1"/>
      <w:bookmarkEnd w:id="2"/>
      <w:r w:rsidR="00FB0836">
        <w:t>: Justification</w:t>
      </w:r>
    </w:p>
    <w:p w:rsidR="002B0EA0" w:rsidP="002B0EA0" w:rsidRDefault="002B0EA0" w14:paraId="5CEB3FA2" w14:textId="39E1CDBA">
      <w:pPr>
        <w:pStyle w:val="NormalSS"/>
      </w:pPr>
      <w:bookmarkStart w:name="_Toc374099820" w:id="6"/>
      <w:bookmarkStart w:name="_Toc428361275" w:id="7"/>
      <w:bookmarkStart w:name="_Toc428361442" w:id="8"/>
      <w:r>
        <w:t xml:space="preserve">The Chief Evaluation Office of the U.S. Department of Labor (DOL) has commissioned an evaluation of the </w:t>
      </w:r>
      <w:r w:rsidRPr="002D6F96">
        <w:t>Homeless Veterans</w:t>
      </w:r>
      <w:r>
        <w:t>’</w:t>
      </w:r>
      <w:r w:rsidRPr="002D6F96">
        <w:t xml:space="preserve"> Reintegration Program (HVRP)</w:t>
      </w:r>
      <w:r>
        <w:t>, a compet</w:t>
      </w:r>
      <w:r w:rsidR="00317AC5">
        <w:t>it</w:t>
      </w:r>
      <w:r>
        <w:t xml:space="preserve">ive grant program administered by DOL’s Veterans’ Employment and Training Service (VETS). HVRP </w:t>
      </w:r>
      <w:r w:rsidRPr="002B0EA0">
        <w:t xml:space="preserve">assists </w:t>
      </w:r>
      <w:r w:rsidR="00B7359B">
        <w:t>v</w:t>
      </w:r>
      <w:r w:rsidRPr="002B0EA0">
        <w:t>eteran</w:t>
      </w:r>
      <w:r w:rsidR="00DA4777">
        <w:t xml:space="preserve">s </w:t>
      </w:r>
      <w:r w:rsidRPr="002B0EA0">
        <w:t>experiencing homelessness</w:t>
      </w:r>
      <w:r w:rsidR="00926DA4">
        <w:t xml:space="preserve"> to</w:t>
      </w:r>
      <w:r w:rsidRPr="002B0EA0">
        <w:t xml:space="preserve"> find and hold meaningful employment. It does so by providing employment services</w:t>
      </w:r>
      <w:r w:rsidR="00317AC5">
        <w:t xml:space="preserve"> </w:t>
      </w:r>
      <w:r w:rsidRPr="002B0EA0">
        <w:t>and by developing partnerships with other service providers</w:t>
      </w:r>
      <w:r w:rsidR="00317AC5">
        <w:t xml:space="preserve"> to help address the complex circumstances of homeless </w:t>
      </w:r>
      <w:r w:rsidR="00B7359B">
        <w:t>v</w:t>
      </w:r>
      <w:r w:rsidR="00317AC5">
        <w:t>eterans</w:t>
      </w:r>
      <w:r w:rsidRPr="002B0EA0">
        <w:t xml:space="preserve">. </w:t>
      </w:r>
      <w:r>
        <w:t xml:space="preserve">The </w:t>
      </w:r>
      <w:r w:rsidR="00317AC5">
        <w:t>HVRP</w:t>
      </w:r>
      <w:r>
        <w:t xml:space="preserve"> evaluation offers a</w:t>
      </w:r>
      <w:r w:rsidR="00317AC5">
        <w:t>n</w:t>
      </w:r>
      <w:r>
        <w:t xml:space="preserve"> opportunity to build knowledge about the implementation and effectiveness of these </w:t>
      </w:r>
      <w:r w:rsidR="00317AC5">
        <w:t>grants.</w:t>
      </w:r>
      <w:r>
        <w:t xml:space="preserve"> </w:t>
      </w:r>
    </w:p>
    <w:p w:rsidR="00FB0836" w:rsidP="00FB0836" w:rsidRDefault="002B0EA0" w14:paraId="384A282D" w14:textId="6099D19D">
      <w:pPr>
        <w:pStyle w:val="NormalSS"/>
      </w:pPr>
      <w:r>
        <w:t>T</w:t>
      </w:r>
      <w:r w:rsidRPr="009E5315" w:rsidR="00FB0836">
        <w:t>his package</w:t>
      </w:r>
      <w:r>
        <w:t xml:space="preserve"> requests </w:t>
      </w:r>
      <w:r w:rsidR="00FB0836">
        <w:t xml:space="preserve">clearance for </w:t>
      </w:r>
      <w:r>
        <w:t>four</w:t>
      </w:r>
      <w:r w:rsidRPr="009E5315" w:rsidR="00FB0836">
        <w:t xml:space="preserve"> data</w:t>
      </w:r>
      <w:r w:rsidR="00B17BFD">
        <w:t xml:space="preserve"> </w:t>
      </w:r>
      <w:r w:rsidR="00FB0836">
        <w:t>collection instruments</w:t>
      </w:r>
      <w:r w:rsidRPr="009E5315" w:rsidR="00FB0836">
        <w:t xml:space="preserve"> </w:t>
      </w:r>
      <w:r>
        <w:t>as part of the</w:t>
      </w:r>
      <w:r w:rsidR="00FB0836">
        <w:t xml:space="preserve"> implementation </w:t>
      </w:r>
      <w:r>
        <w:t xml:space="preserve">evaluation: </w:t>
      </w:r>
    </w:p>
    <w:p w:rsidR="00FB0836" w:rsidP="00FB0836" w:rsidRDefault="00FB0836" w14:paraId="0FF410E8" w14:textId="77777777">
      <w:pPr>
        <w:pStyle w:val="NormalSS"/>
        <w:numPr>
          <w:ilvl w:val="0"/>
          <w:numId w:val="49"/>
        </w:numPr>
      </w:pPr>
      <w:r>
        <w:t>Grantee Survey</w:t>
      </w:r>
    </w:p>
    <w:p w:rsidR="00FB0836" w:rsidP="00FB0836" w:rsidRDefault="00FB0836" w14:paraId="21393D7E" w14:textId="77777777">
      <w:pPr>
        <w:pStyle w:val="NormalSS"/>
        <w:numPr>
          <w:ilvl w:val="0"/>
          <w:numId w:val="49"/>
        </w:numPr>
      </w:pPr>
      <w:r>
        <w:t>Key Informant Interview Guide</w:t>
      </w:r>
    </w:p>
    <w:p w:rsidR="00FB0836" w:rsidP="00FB0836" w:rsidRDefault="00207979" w14:paraId="05D7732D" w14:textId="74322805">
      <w:pPr>
        <w:pStyle w:val="NormalSS"/>
        <w:numPr>
          <w:ilvl w:val="0"/>
          <w:numId w:val="49"/>
        </w:numPr>
      </w:pPr>
      <w:r>
        <w:t xml:space="preserve">HVRP </w:t>
      </w:r>
      <w:r w:rsidR="00B7359B">
        <w:t>Veteran</w:t>
      </w:r>
      <w:r w:rsidR="00FB0836">
        <w:t xml:space="preserve"> Interview Guide</w:t>
      </w:r>
    </w:p>
    <w:p w:rsidR="00207979" w:rsidP="00FB0836" w:rsidRDefault="00207979" w14:paraId="1A2D3F1A" w14:textId="673AAB83">
      <w:pPr>
        <w:pStyle w:val="NormalSS"/>
        <w:numPr>
          <w:ilvl w:val="0"/>
          <w:numId w:val="49"/>
        </w:numPr>
      </w:pPr>
      <w:r>
        <w:t>Non-HVRP Veteran Interview Guide</w:t>
      </w:r>
    </w:p>
    <w:p w:rsidRPr="009408EA" w:rsidR="009408EA" w:rsidP="009408EA" w:rsidRDefault="00D5210E" w14:paraId="1F57C22E" w14:textId="61A719BF">
      <w:pPr>
        <w:pStyle w:val="H3Alpha"/>
      </w:pPr>
      <w:bookmarkStart w:name="_Toc298415681" w:id="9"/>
      <w:bookmarkStart w:name="_Toc298418562" w:id="10"/>
      <w:bookmarkStart w:name="_Toc374099821" w:id="11"/>
      <w:bookmarkStart w:name="_Toc428361276" w:id="12"/>
      <w:bookmarkEnd w:id="3"/>
      <w:bookmarkEnd w:id="4"/>
      <w:bookmarkEnd w:id="6"/>
      <w:bookmarkEnd w:id="7"/>
      <w:bookmarkEnd w:id="8"/>
      <w:r w:rsidRPr="009E5315">
        <w:t>1.</w:t>
      </w:r>
      <w:r w:rsidRPr="009E5315">
        <w:tab/>
      </w:r>
      <w:r w:rsidRPr="005C3DAE" w:rsidR="009408EA">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A969D3">
        <w:rPr>
          <w:rFonts w:ascii="Times New Roman" w:hAnsi="Times New Roman"/>
          <w:i/>
        </w:rPr>
        <w:t>.</w:t>
      </w:r>
      <w:bookmarkStart w:name="_Toc76458969" w:id="13"/>
      <w:bookmarkEnd w:id="9"/>
      <w:bookmarkEnd w:id="10"/>
      <w:bookmarkEnd w:id="11"/>
      <w:bookmarkEnd w:id="12"/>
    </w:p>
    <w:p w:rsidR="00EA6B9E" w:rsidP="00EA6B9E" w:rsidRDefault="00E46A33" w14:paraId="1811FB74" w14:textId="1CF22205">
      <w:pPr>
        <w:pStyle w:val="NormalSS"/>
      </w:pPr>
      <w:r>
        <w:t>I</w:t>
      </w:r>
      <w:r w:rsidR="00B34492">
        <w:t>n t</w:t>
      </w:r>
      <w:r w:rsidR="00772C3A">
        <w:t xml:space="preserve">his </w:t>
      </w:r>
      <w:r w:rsidR="00BE7960">
        <w:t>evaluation</w:t>
      </w:r>
      <w:r w:rsidR="00B34492">
        <w:t>, DOL</w:t>
      </w:r>
      <w:r w:rsidR="00BE7960">
        <w:t xml:space="preserve"> </w:t>
      </w:r>
      <w:r w:rsidR="00772C3A">
        <w:t xml:space="preserve">seeks </w:t>
      </w:r>
      <w:r w:rsidR="00AA07BB">
        <w:t xml:space="preserve">to enhance </w:t>
      </w:r>
      <w:r w:rsidRPr="002D6F96" w:rsidR="00D77067">
        <w:t xml:space="preserve">understanding </w:t>
      </w:r>
      <w:r w:rsidR="00AA07BB">
        <w:t xml:space="preserve">of HVRP </w:t>
      </w:r>
      <w:r w:rsidRPr="002D6F96" w:rsidR="00D77067">
        <w:t>with evidence of program effectiveness and implementation.</w:t>
      </w:r>
      <w:r w:rsidRPr="009E5315" w:rsidR="0056567A">
        <w:t xml:space="preserve"> </w:t>
      </w:r>
      <w:r w:rsidR="00D77067">
        <w:t>Findings from the</w:t>
      </w:r>
      <w:r w:rsidRPr="002D6F96" w:rsidR="00D77067">
        <w:t xml:space="preserve"> evaluation will help DOL make good decisions about what works best for whom and about effective ways to improve the service systems seeking to support </w:t>
      </w:r>
      <w:r w:rsidR="00B7359B">
        <w:t>v</w:t>
      </w:r>
      <w:r w:rsidRPr="002D6F96" w:rsidR="00D77067">
        <w:t>eterans experiencing homelessness.</w:t>
      </w:r>
      <w:r w:rsidR="00B65B0A">
        <w:t xml:space="preserve"> </w:t>
      </w:r>
      <w:r>
        <w:t xml:space="preserve">The evaluation will estimate program impacts through a matched comparison group (MCG) design using available administrative data. Through the evaluation’s implementation study, </w:t>
      </w:r>
      <w:r w:rsidR="00EA6B9E">
        <w:t>which includes the grantee survey</w:t>
      </w:r>
      <w:r w:rsidR="00317AC5">
        <w:t xml:space="preserve"> </w:t>
      </w:r>
      <w:r w:rsidR="00BF6B1F">
        <w:t xml:space="preserve">and </w:t>
      </w:r>
      <w:r w:rsidR="00317AC5">
        <w:t>site visits</w:t>
      </w:r>
      <w:r w:rsidR="00EA6B9E">
        <w:t xml:space="preserve">, </w:t>
      </w:r>
      <w:r>
        <w:t>the</w:t>
      </w:r>
      <w:r w:rsidR="00B65B0A">
        <w:t xml:space="preserve"> study </w:t>
      </w:r>
      <w:r w:rsidR="00EA6B9E">
        <w:t>team will describe grantees’ contextual factors (such as the job market and other available services in the community)</w:t>
      </w:r>
      <w:r w:rsidR="00E06A15">
        <w:t>,</w:t>
      </w:r>
      <w:r w:rsidR="00EA6B9E">
        <w:t xml:space="preserve"> and programmatic inputs and outputs (such as how participants flow </w:t>
      </w:r>
      <w:r w:rsidR="00EA6B9E">
        <w:lastRenderedPageBreak/>
        <w:t>through the program and how case management is provided)</w:t>
      </w:r>
      <w:r w:rsidR="00E06A15">
        <w:t xml:space="preserve">, and the services available </w:t>
      </w:r>
      <w:r w:rsidR="00846988">
        <w:t xml:space="preserve">to </w:t>
      </w:r>
      <w:r w:rsidR="00E06A15">
        <w:t>non-HVRP homeless veterans</w:t>
      </w:r>
      <w:r w:rsidR="00EA6B9E">
        <w:t xml:space="preserve"> to help explain the impact findings. </w:t>
      </w:r>
    </w:p>
    <w:p w:rsidR="000A0494" w:rsidP="000A0494" w:rsidRDefault="00D507F1" w14:paraId="66853B71" w14:textId="14C5F337">
      <w:pPr>
        <w:pStyle w:val="NormalSS"/>
      </w:pPr>
      <w:r>
        <w:t>Initially authorized under</w:t>
      </w:r>
      <w:r w:rsidR="00846988">
        <w:t xml:space="preserve"> Section 738 of</w:t>
      </w:r>
      <w:r>
        <w:t xml:space="preserve"> the Steward B. McKinney Homeless Assistance Act of 1987, HVRP is currently authorized by </w:t>
      </w:r>
      <w:r w:rsidRPr="00DB4712">
        <w:t>Title 38 U.S.C. Section 2021</w:t>
      </w:r>
      <w:r w:rsidR="00E96A78">
        <w:t xml:space="preserve">, </w:t>
      </w:r>
      <w:r w:rsidRPr="00E96A78" w:rsidR="00E96A78">
        <w:t>as added by Section 5 of Public Law 107-95, the Homeless Veterans Comprehensive Assistance Act of 2001</w:t>
      </w:r>
      <w:r w:rsidR="00DB4712">
        <w:t xml:space="preserve">. Section 2021 statute states that “the </w:t>
      </w:r>
      <w:r w:rsidRPr="00DB4712" w:rsidR="00DB4712">
        <w:t>Secretary of Labor shall conduct, directly or</w:t>
      </w:r>
      <w:r w:rsidR="00DB4712">
        <w:t xml:space="preserve"> </w:t>
      </w:r>
      <w:r w:rsidRPr="00DB4712" w:rsidR="00DB4712">
        <w:t>through grant or contract, such programs as the</w:t>
      </w:r>
      <w:r w:rsidR="00DB4712">
        <w:t xml:space="preserve"> </w:t>
      </w:r>
      <w:r w:rsidRPr="00DB4712" w:rsidR="00DB4712">
        <w:t>Secretary determines appropriate to provide job</w:t>
      </w:r>
      <w:r w:rsidR="00DB4712">
        <w:t xml:space="preserve"> </w:t>
      </w:r>
      <w:r w:rsidRPr="00DB4712" w:rsidR="00DB4712">
        <w:t>training, counseling, and placement services (including</w:t>
      </w:r>
      <w:r w:rsidR="00DB4712">
        <w:t xml:space="preserve"> </w:t>
      </w:r>
      <w:r w:rsidRPr="00DB4712" w:rsidR="00DB4712">
        <w:t>job readiness and literacy and skills</w:t>
      </w:r>
      <w:r w:rsidR="00DB4712">
        <w:t xml:space="preserve"> </w:t>
      </w:r>
      <w:r w:rsidRPr="00DB4712" w:rsidR="00DB4712">
        <w:t>training) to expedite the reintegration of homeless</w:t>
      </w:r>
      <w:r w:rsidR="00DB4712">
        <w:t xml:space="preserve"> </w:t>
      </w:r>
      <w:r w:rsidRPr="00DB4712" w:rsidR="00DB4712">
        <w:t>veterans into the labor force</w:t>
      </w:r>
      <w:r w:rsidR="00DB4712">
        <w:t>.” The Title also provides for the Secretary to “</w:t>
      </w:r>
      <w:r w:rsidRPr="00DB4712" w:rsidR="00DB4712">
        <w:t>collect</w:t>
      </w:r>
      <w:r w:rsidR="00DB4712">
        <w:t xml:space="preserve"> </w:t>
      </w:r>
      <w:r w:rsidRPr="00DB4712" w:rsidR="00DB4712">
        <w:t>such information as that Secretary considers</w:t>
      </w:r>
      <w:r w:rsidR="00DB4712">
        <w:t xml:space="preserve"> </w:t>
      </w:r>
      <w:r w:rsidRPr="00DB4712" w:rsidR="00DB4712">
        <w:t>appropriate to monitor and evaluate the distribution</w:t>
      </w:r>
      <w:r w:rsidR="00DB4712">
        <w:t xml:space="preserve"> </w:t>
      </w:r>
      <w:r w:rsidRPr="00DB4712" w:rsidR="00DB4712">
        <w:t>and expenditure of funds appropriated</w:t>
      </w:r>
      <w:r w:rsidR="00DB4712">
        <w:t xml:space="preserve"> </w:t>
      </w:r>
      <w:r w:rsidRPr="00DB4712" w:rsidR="00DB4712">
        <w:t>to carry out this section.</w:t>
      </w:r>
      <w:r w:rsidR="00DB4712">
        <w:t>”</w:t>
      </w:r>
    </w:p>
    <w:p w:rsidR="000A0494" w:rsidP="000A0494" w:rsidRDefault="000A0494" w14:paraId="68238B2D" w14:textId="28679A9D">
      <w:pPr>
        <w:pStyle w:val="NormalSS"/>
      </w:pPr>
      <w:r w:rsidRPr="000A0494">
        <w:t xml:space="preserve">This is a new collection request for a grantee survey, key informant interview guide, HVRP veteran interview guide, and non-HVRP veteran interview guide. Site visits and interviews may be done virtually, if in-person visits are not feasible due to the COVID-19 pandemic. </w:t>
      </w:r>
      <w:r w:rsidR="00F82DF6">
        <w:t>This package requests clearance for data collection activities that need to start in August 2020 to provide DOL with information related to how</w:t>
      </w:r>
      <w:r w:rsidR="00EB5129">
        <w:t xml:space="preserve"> </w:t>
      </w:r>
      <w:r w:rsidR="00F82DF6">
        <w:t>grantees</w:t>
      </w:r>
      <w:r w:rsidR="00AF0470">
        <w:t xml:space="preserve"> </w:t>
      </w:r>
      <w:r w:rsidR="00EB5129">
        <w:t xml:space="preserve">that </w:t>
      </w:r>
      <w:r w:rsidR="00AF0470">
        <w:t>were operating in</w:t>
      </w:r>
      <w:r w:rsidR="00EB5129">
        <w:t xml:space="preserve"> program year 2019 </w:t>
      </w:r>
      <w:r w:rsidR="00AF0470">
        <w:t xml:space="preserve">and received program year 2020 grants </w:t>
      </w:r>
      <w:r w:rsidR="00EB5129">
        <w:t xml:space="preserve">continue to adapt their </w:t>
      </w:r>
      <w:r w:rsidRPr="000A0494">
        <w:t>program</w:t>
      </w:r>
      <w:r w:rsidR="00EB5129">
        <w:t>s</w:t>
      </w:r>
      <w:r w:rsidRPr="000A0494">
        <w:t xml:space="preserve"> </w:t>
      </w:r>
      <w:r w:rsidR="00EB5129">
        <w:t>as a result of</w:t>
      </w:r>
      <w:r w:rsidRPr="000A0494">
        <w:t xml:space="preserve"> the </w:t>
      </w:r>
      <w:bookmarkStart w:name="_Hlk39844636" w:id="14"/>
      <w:r w:rsidRPr="000A0494">
        <w:t>COVID-19 pandemic</w:t>
      </w:r>
      <w:bookmarkEnd w:id="14"/>
      <w:r w:rsidRPr="000A0494">
        <w:t>.</w:t>
      </w:r>
    </w:p>
    <w:p w:rsidRPr="009E5315" w:rsidR="0056567A" w:rsidP="00335859" w:rsidRDefault="0056567A" w14:paraId="6F7E4BC8" w14:textId="3666A0FD">
      <w:pPr>
        <w:pStyle w:val="H4Number"/>
      </w:pPr>
      <w:bookmarkStart w:name="_Toc428361280" w:id="15"/>
      <w:bookmarkStart w:name="_Toc428361444" w:id="16"/>
      <w:r w:rsidRPr="009E5315">
        <w:t>2.</w:t>
      </w:r>
      <w:bookmarkEnd w:id="15"/>
      <w:bookmarkEnd w:id="16"/>
      <w:r w:rsidR="007D752D">
        <w:tab/>
      </w:r>
      <w:r w:rsidRPr="005C3DAE" w:rsidR="00167F38">
        <w:rPr>
          <w:rFonts w:ascii="Times New Roman" w:hAnsi="Times New Roman"/>
          <w:b w:val="0"/>
          <w:i/>
        </w:rPr>
        <w:t>Indicate how, by whom, and for what purpose the information is to be used.  Except for a new collection, indicate the actual use the agency has made of the information received from the current collection.</w:t>
      </w:r>
    </w:p>
    <w:p w:rsidR="00EA6B9E" w:rsidP="00ED643E" w:rsidRDefault="003A21DB" w14:paraId="0FF728C0" w14:textId="1A3AE8FF">
      <w:pPr>
        <w:pStyle w:val="NormalSS"/>
      </w:pPr>
      <w:r>
        <w:t xml:space="preserve">The data collected through the activities summarized in this request will be used by DOL to comprehensively describe HVRP, including its partnerships, training and support services provided, target population, and common implementation successes and challenges. </w:t>
      </w:r>
      <w:r w:rsidR="00D73338">
        <w:t xml:space="preserve">The evaluation will also assess the impacts of HVRP on participant outcomes. In addition to describing the current set of grantees, the grantee survey will support the impact study by allowing for deeper understanding of </w:t>
      </w:r>
      <w:r w:rsidR="00F001AE">
        <w:t xml:space="preserve">grantees’ </w:t>
      </w:r>
      <w:r w:rsidR="00D73338">
        <w:t>different program models. The</w:t>
      </w:r>
      <w:r w:rsidR="00ED643E">
        <w:t xml:space="preserve"> qualitative data instruments for conducting site visits will provide important data to document grantees’ structures and provision of services</w:t>
      </w:r>
      <w:r w:rsidR="00BF6B1F">
        <w:t xml:space="preserve"> </w:t>
      </w:r>
      <w:r w:rsidRPr="00BF6B1F" w:rsidR="00BF6B1F">
        <w:t>and collect information on the homeless veterans who receive services through the American Job Centers</w:t>
      </w:r>
      <w:r w:rsidR="003830A6">
        <w:t xml:space="preserve"> (AJCs)</w:t>
      </w:r>
      <w:r w:rsidRPr="00BF6B1F" w:rsidR="00BF6B1F">
        <w:t xml:space="preserve"> and the services they receive</w:t>
      </w:r>
      <w:r w:rsidR="00ED643E">
        <w:t xml:space="preserve">. </w:t>
      </w:r>
    </w:p>
    <w:p w:rsidR="00D73338" w:rsidP="003E0C02" w:rsidRDefault="00D73338" w14:paraId="572AD8C2" w14:textId="34C437FF">
      <w:pPr>
        <w:pStyle w:val="H4Number"/>
      </w:pPr>
      <w:r w:rsidRPr="00FD1ADD">
        <w:rPr>
          <w:rFonts w:ascii="Times New Roman" w:hAnsi="Times New Roman"/>
          <w:sz w:val="24"/>
          <w:szCs w:val="24"/>
        </w:rPr>
        <w:lastRenderedPageBreak/>
        <w:t>1.</w:t>
      </w:r>
      <w:r>
        <w:t xml:space="preserve"> </w:t>
      </w:r>
      <w:r w:rsidRPr="003E0C02">
        <w:rPr>
          <w:rFonts w:ascii="Times New Roman" w:hAnsi="Times New Roman"/>
          <w:sz w:val="24"/>
        </w:rPr>
        <w:t>Overview of the evaluation</w:t>
      </w:r>
    </w:p>
    <w:p w:rsidR="00D73338" w:rsidP="00D73338" w:rsidRDefault="00D73338" w14:paraId="49D0995D" w14:textId="5665C472">
      <w:pPr>
        <w:pStyle w:val="NormalSS"/>
      </w:pPr>
      <w:r>
        <w:t>The evaluation of HVRP includes two components: (1) an implementation evaluation to understand program implementation</w:t>
      </w:r>
      <w:r w:rsidR="00CD66B8">
        <w:t xml:space="preserve">, </w:t>
      </w:r>
      <w:r>
        <w:t>partnership development</w:t>
      </w:r>
      <w:r w:rsidR="00CD66B8">
        <w:t>,</w:t>
      </w:r>
      <w:r w:rsidR="00E06A15">
        <w:t xml:space="preserve"> and available community services</w:t>
      </w:r>
      <w:r w:rsidR="00972616">
        <w:t>,</w:t>
      </w:r>
      <w:r>
        <w:t xml:space="preserve"> and (2) an impact evaluation to measure the effects of HVRP on participant outcomes. It </w:t>
      </w:r>
      <w:r w:rsidR="00CD66B8">
        <w:t xml:space="preserve">takes </w:t>
      </w:r>
      <w:r>
        <w:t xml:space="preserve">place over five years (2017 to 2022), </w:t>
      </w:r>
      <w:r w:rsidR="00972616">
        <w:t xml:space="preserve">and </w:t>
      </w:r>
      <w:r>
        <w:t>address</w:t>
      </w:r>
      <w:r w:rsidR="00CD66B8">
        <w:t>es</w:t>
      </w:r>
      <w:r>
        <w:t xml:space="preserve"> the following research questions:</w:t>
      </w:r>
    </w:p>
    <w:p w:rsidR="00501276" w:rsidP="00B94342" w:rsidRDefault="00501276" w14:paraId="397142F8" w14:textId="5786706F">
      <w:pPr>
        <w:pStyle w:val="NumberedBullet"/>
        <w:tabs>
          <w:tab w:val="num" w:pos="792"/>
        </w:tabs>
      </w:pPr>
      <w:r w:rsidRPr="00B821FC">
        <w:t xml:space="preserve">Do HVRP participants in program years </w:t>
      </w:r>
      <w:r w:rsidR="00AC0076">
        <w:t>2019</w:t>
      </w:r>
      <w:r w:rsidRPr="00B821FC">
        <w:t xml:space="preserve"> and 20</w:t>
      </w:r>
      <w:r w:rsidR="00AC0076">
        <w:t>20</w:t>
      </w:r>
      <w:r w:rsidRPr="00B821FC">
        <w:t xml:space="preserve"> have better employment outcomes up to two and three years after enrollment than similar homeless veterans who sought workforce services through AJCs outside of HVRP?</w:t>
      </w:r>
    </w:p>
    <w:p w:rsidR="006750A6" w:rsidP="00501276" w:rsidRDefault="00501276" w14:paraId="3C37E519" w14:textId="7135DDEC">
      <w:pPr>
        <w:pStyle w:val="NumberedBullet"/>
        <w:tabs>
          <w:tab w:val="num" w:pos="792"/>
        </w:tabs>
      </w:pPr>
      <w:r w:rsidRPr="00B821FC">
        <w:t>Do the effects of HVRP participants in program years 201</w:t>
      </w:r>
      <w:r w:rsidR="00AC0076">
        <w:t>9</w:t>
      </w:r>
      <w:r w:rsidRPr="00B821FC">
        <w:t xml:space="preserve"> and 20</w:t>
      </w:r>
      <w:r w:rsidR="00AC0076">
        <w:t>20</w:t>
      </w:r>
      <w:r w:rsidRPr="00B821FC">
        <w:t xml:space="preserve"> differ for key subgroups defined by participant and local area characteristics? </w:t>
      </w:r>
    </w:p>
    <w:p w:rsidR="00501276" w:rsidP="00501276" w:rsidRDefault="00501276" w14:paraId="253AA213" w14:textId="55688ACB">
      <w:pPr>
        <w:pStyle w:val="NumberedBullet"/>
        <w:tabs>
          <w:tab w:val="num" w:pos="792"/>
        </w:tabs>
      </w:pPr>
      <w:r w:rsidRPr="00B821FC">
        <w:t>How do HVRP grantees identify and enroll veterans eligible for their programs, and how is eligibility determined? What are the eligibility requirements and screening methods? To what extent do grantees screen for program readiness or other characteristics? What types of assessment tools do HVRP grantees use, and for what purpose? What are the characteristics of HVRP participants? How and when are HVRP participants enrolled in a program at an AJC and entered into the state data system?</w:t>
      </w:r>
    </w:p>
    <w:p w:rsidRPr="00A05706" w:rsidR="00501276" w:rsidP="00501276" w:rsidRDefault="00501276" w14:paraId="1F9419DC" w14:textId="0FB0D7C7">
      <w:pPr>
        <w:pStyle w:val="NumberedBullet"/>
        <w:tabs>
          <w:tab w:val="num" w:pos="792"/>
        </w:tabs>
      </w:pPr>
      <w:r w:rsidRPr="00B821FC">
        <w:t>What are HVRP programs’ key components and the role of partnerships? What services and supports are provided, both directly by grantees and through referrals? What are the primary functions and activities related to case management? How are systems and partnerships developed and maintained? What is the role of HVRP services in these systems and partnerships? How strong are these partnerships?</w:t>
      </w:r>
    </w:p>
    <w:p w:rsidRPr="008B35E1" w:rsidR="00A05706" w:rsidP="006750A6" w:rsidRDefault="000E617E" w14:paraId="4AEFE530" w14:textId="0FEEB5B1">
      <w:pPr>
        <w:pStyle w:val="NumberedBullet"/>
        <w:numPr>
          <w:ilvl w:val="0"/>
          <w:numId w:val="1"/>
        </w:numPr>
        <w:ind w:left="432" w:hanging="432"/>
      </w:pPr>
      <w:r w:rsidRPr="008B35E1">
        <w:t xml:space="preserve">How strong is the contrast between treatment and comparison conditions? </w:t>
      </w:r>
      <w:r>
        <w:t>How do the homeless veterans who receive services through the AJC only compare to those receiving HVRP services? W</w:t>
      </w:r>
      <w:r w:rsidRPr="008B35E1" w:rsidR="00A05706">
        <w:t xml:space="preserve">hat services </w:t>
      </w:r>
      <w:r>
        <w:t xml:space="preserve">do non-HVRP </w:t>
      </w:r>
      <w:r w:rsidRPr="008B35E1" w:rsidR="00A05706">
        <w:t>participants receive</w:t>
      </w:r>
      <w:r>
        <w:t>, and how do they compare to HVRP services</w:t>
      </w:r>
      <w:r w:rsidRPr="008B35E1" w:rsidR="00A05706">
        <w:t xml:space="preserve">? </w:t>
      </w:r>
    </w:p>
    <w:p w:rsidR="00D73338" w:rsidP="00D73338" w:rsidRDefault="00D73338" w14:paraId="696B2C8A" w14:textId="415F178C">
      <w:pPr>
        <w:pStyle w:val="NormalSS"/>
      </w:pPr>
      <w:r w:rsidRPr="008B35E1">
        <w:t xml:space="preserve">The implementation evaluation component will answer research </w:t>
      </w:r>
      <w:r w:rsidRPr="00516240">
        <w:t xml:space="preserve">questions </w:t>
      </w:r>
      <w:r w:rsidRPr="00516240" w:rsidR="00A05706">
        <w:t>3</w:t>
      </w:r>
      <w:r w:rsidR="00F001AE">
        <w:t xml:space="preserve"> to </w:t>
      </w:r>
      <w:r w:rsidR="006750A6">
        <w:t>5</w:t>
      </w:r>
      <w:r w:rsidRPr="008B35E1">
        <w:t>.  This component includes a grantee survey involving all grantees</w:t>
      </w:r>
      <w:r w:rsidR="007370C5">
        <w:t xml:space="preserve"> and</w:t>
      </w:r>
      <w:r w:rsidR="00884BC7">
        <w:t xml:space="preserve"> </w:t>
      </w:r>
      <w:r w:rsidRPr="008B35E1" w:rsidR="00F5607A">
        <w:t xml:space="preserve">site visits to </w:t>
      </w:r>
      <w:r w:rsidR="006750A6">
        <w:t>eight</w:t>
      </w:r>
      <w:r w:rsidRPr="008B35E1" w:rsidR="00F5607A">
        <w:t xml:space="preserve"> grantees</w:t>
      </w:r>
      <w:r w:rsidR="007370C5">
        <w:t xml:space="preserve"> and their communities.</w:t>
      </w:r>
      <w:r w:rsidRPr="008B35E1" w:rsidR="00F5607A">
        <w:t xml:space="preserve"> Site visits will include key informant interviews with grantee</w:t>
      </w:r>
      <w:r w:rsidR="0063083E">
        <w:t>,</w:t>
      </w:r>
      <w:r w:rsidRPr="008B35E1" w:rsidR="00F5607A">
        <w:t xml:space="preserve"> partner</w:t>
      </w:r>
      <w:r w:rsidR="0063083E">
        <w:t>, and other community stakeholder</w:t>
      </w:r>
      <w:r w:rsidRPr="008B35E1" w:rsidR="00F5607A">
        <w:t xml:space="preserve"> respondents, </w:t>
      </w:r>
      <w:r w:rsidR="00C46C20">
        <w:t xml:space="preserve">and </w:t>
      </w:r>
      <w:r w:rsidRPr="008B35E1" w:rsidR="00F5607A">
        <w:t xml:space="preserve">in-depth interviews with </w:t>
      </w:r>
      <w:r w:rsidR="00F001AE">
        <w:t xml:space="preserve">current and former </w:t>
      </w:r>
      <w:r w:rsidR="00C74482">
        <w:t xml:space="preserve">HVRP program </w:t>
      </w:r>
      <w:r w:rsidRPr="008B35E1" w:rsidR="00F5607A">
        <w:t xml:space="preserve">participants and </w:t>
      </w:r>
      <w:r w:rsidR="00C74482">
        <w:t>with non-HVRP veterans.</w:t>
      </w:r>
      <w:r w:rsidR="00213FED">
        <w:t xml:space="preserve"> </w:t>
      </w:r>
      <w:r w:rsidRPr="00213FED" w:rsidR="00213FED">
        <w:t>Site visits and interviews may be done virtually, if in-person visits are not feasible due to COVID-19</w:t>
      </w:r>
      <w:r w:rsidR="00213FED">
        <w:t>.</w:t>
      </w:r>
      <w:r w:rsidRPr="008B35E1" w:rsidR="00F5607A">
        <w:t xml:space="preserve"> </w:t>
      </w:r>
      <w:r w:rsidRPr="008B35E1">
        <w:t xml:space="preserve">The impact evaluation component will use administrative data to address research </w:t>
      </w:r>
      <w:r w:rsidRPr="00516240">
        <w:t xml:space="preserve">questions </w:t>
      </w:r>
      <w:r w:rsidRPr="00516240" w:rsidR="00A05706">
        <w:t>1</w:t>
      </w:r>
      <w:r w:rsidRPr="00516240">
        <w:t xml:space="preserve"> and </w:t>
      </w:r>
      <w:r w:rsidRPr="00516240" w:rsidR="00A05706">
        <w:t>2</w:t>
      </w:r>
      <w:r w:rsidRPr="00516240">
        <w:t>.</w:t>
      </w:r>
      <w:r w:rsidRPr="008B35E1">
        <w:t xml:space="preserve"> This means that no primary data will be collected to estimate impacts.</w:t>
      </w:r>
    </w:p>
    <w:p w:rsidR="003D61EE" w:rsidP="003D61EE" w:rsidRDefault="00C5154C" w14:paraId="4EC368B0" w14:textId="3BB712F9">
      <w:pPr>
        <w:spacing w:line="240" w:lineRule="auto"/>
      </w:pPr>
      <w:r>
        <w:lastRenderedPageBreak/>
        <w:t>If</w:t>
      </w:r>
      <w:r w:rsidR="003D61EE">
        <w:t xml:space="preserve"> site visits cannot be conducted due to COVID-19 stay</w:t>
      </w:r>
      <w:r w:rsidR="009068AA">
        <w:t>-</w:t>
      </w:r>
      <w:r w:rsidR="003D61EE">
        <w:t>at</w:t>
      </w:r>
      <w:r w:rsidR="009068AA">
        <w:t>-</w:t>
      </w:r>
      <w:r w:rsidR="003D61EE">
        <w:t xml:space="preserve">home orders or concerns for the safety and health of interviewees, all attempts will be made to conduct site visits virtually. Key informant interviews with grantee, partner, and other community stakeholders will be conducted by phone or video conference at the preference of the key informant. </w:t>
      </w:r>
    </w:p>
    <w:p w:rsidR="00A60CFC" w:rsidP="003D61EE" w:rsidRDefault="00A60CFC" w14:paraId="6E12C7EF" w14:textId="77777777">
      <w:pPr>
        <w:spacing w:line="240" w:lineRule="auto"/>
      </w:pPr>
    </w:p>
    <w:p w:rsidR="003D61EE" w:rsidP="003C2755" w:rsidRDefault="003D61EE" w14:paraId="781730F8" w14:textId="11B6F017">
      <w:pPr>
        <w:spacing w:line="240" w:lineRule="auto"/>
      </w:pPr>
      <w:r>
        <w:t>Every effort will be made to conduct in-person interviews with HVRP and non-HVRP veterans</w:t>
      </w:r>
      <w:r w:rsidR="00622464">
        <w:t>. I</w:t>
      </w:r>
      <w:r>
        <w:t xml:space="preserve">nterviews with current and former HVRP program participants and non-HVRP veterans would be significantly more difficult to convert to a telephone or video conference format for multiple reasons: veterans may be less comfortable sharing their story with a person over telephone or via video conference and veterans may be less likely to have the technology necessary to make these connections. To mitigate the first concern, </w:t>
      </w:r>
      <w:r w:rsidRPr="001B29AE">
        <w:t xml:space="preserve">the research team will use the same method of communication (telephone or video conference and the same platform) that the HVRP provider uses to provide virtual case work and services. This will increase the veterans’ fluency and comfort with the media. </w:t>
      </w:r>
      <w:r>
        <w:t xml:space="preserve">Additionally, the interview guides could be modified to limit any potentially sensitive topics focusing more intently on veterans’ experiences with the program. It is likely that veterans would still share information on their past homeless history and other potentially sensitive topics, but they would not be asked directly and the choice to share would be entirely theirs. To mitigate the second concern, the research team will work with the HVRP grantee to ensure that HVRP veterans have access to the needed technology to participate either through providing phone or internet access through the program and/or the program hosting the veteran in an onsite office space with access to a phone or computer for the purposes of the interview. For non-HVRP veterans, we would work with a non-HVRP partner agency, likely the AJC or </w:t>
      </w:r>
      <w:r w:rsidRPr="008B35E1" w:rsidR="00476D9B">
        <w:t>Disabled Veteran</w:t>
      </w:r>
      <w:r w:rsidR="00476D9B">
        <w:t>s</w:t>
      </w:r>
      <w:r w:rsidRPr="008B35E1" w:rsidR="00476D9B">
        <w:t xml:space="preserve">’ Outreach Program </w:t>
      </w:r>
      <w:r w:rsidR="00476D9B">
        <w:t>(</w:t>
      </w:r>
      <w:r>
        <w:t>DVOP</w:t>
      </w:r>
      <w:r w:rsidR="00476D9B">
        <w:t>)</w:t>
      </w:r>
      <w:r>
        <w:t xml:space="preserve">, to ensure non-HVRP veterans could also participate in the same ways. Paper copies of consent forms with research team contact information and incentives for participation would be delivered to the program in advance of the virtual site visit so both could be delivered to the veteran while they were on site for the interview. </w:t>
      </w:r>
    </w:p>
    <w:p w:rsidRPr="008B35E1" w:rsidR="003C2755" w:rsidP="003C2755" w:rsidRDefault="003C2755" w14:paraId="32254A4B" w14:textId="77777777">
      <w:pPr>
        <w:spacing w:line="240" w:lineRule="auto"/>
      </w:pPr>
    </w:p>
    <w:p w:rsidRPr="008B35E1" w:rsidR="0056567A" w:rsidP="00EA6B9E" w:rsidRDefault="00D73338" w14:paraId="4BD668D9" w14:textId="51E9680C">
      <w:pPr>
        <w:pStyle w:val="NormalSS"/>
      </w:pPr>
      <w:r w:rsidRPr="008B35E1">
        <w:t xml:space="preserve">In selecting </w:t>
      </w:r>
      <w:r w:rsidRPr="008B35E1" w:rsidR="00F5607A">
        <w:t>grantees for the site visits</w:t>
      </w:r>
      <w:r w:rsidRPr="008B35E1">
        <w:t xml:space="preserve">, DOL will prioritize grantees that </w:t>
      </w:r>
      <w:r w:rsidRPr="008B35E1" w:rsidR="00846844">
        <w:t xml:space="preserve">have participants represented in the impact study. </w:t>
      </w:r>
      <w:r w:rsidR="00C87112">
        <w:t>For th</w:t>
      </w:r>
      <w:r w:rsidR="00DF065B">
        <w:t>e impact study</w:t>
      </w:r>
      <w:r w:rsidR="00C87112">
        <w:t>, we</w:t>
      </w:r>
      <w:r w:rsidR="00DF065B">
        <w:t xml:space="preserve"> will identify </w:t>
      </w:r>
      <w:r w:rsidR="00C87112">
        <w:t xml:space="preserve">HVRP </w:t>
      </w:r>
      <w:r w:rsidR="00DF065B">
        <w:t>participants using the W</w:t>
      </w:r>
      <w:r w:rsidR="00C87112">
        <w:t>orkforce Integrated Performance System (W</w:t>
      </w:r>
      <w:r w:rsidR="00DF065B">
        <w:t>IPS</w:t>
      </w:r>
      <w:r w:rsidR="00C87112">
        <w:t>)</w:t>
      </w:r>
      <w:r w:rsidR="00DF065B">
        <w:t xml:space="preserve"> administrative data set</w:t>
      </w:r>
      <w:r w:rsidR="00B153E5">
        <w:t>. Once we identify participants, we will use the</w:t>
      </w:r>
      <w:r w:rsidR="00DF065B">
        <w:t xml:space="preserve"> administrative data </w:t>
      </w:r>
      <w:r w:rsidR="00B153E5">
        <w:t>to identify from which of the HVRP grantees they received services.</w:t>
      </w:r>
      <w:r w:rsidR="00DF065B">
        <w:t xml:space="preserve"> </w:t>
      </w:r>
      <w:r w:rsidRPr="008B35E1">
        <w:t>In addition, DOL will aim to select a diverse set of grantees that vary in such factors as, population served, urbanicity, and region.</w:t>
      </w:r>
      <w:r w:rsidRPr="008B35E1" w:rsidR="00A05706">
        <w:t xml:space="preserve"> </w:t>
      </w:r>
      <w:r w:rsidRPr="008B35E1" w:rsidR="00E215A8">
        <w:t>We will administer</w:t>
      </w:r>
      <w:r w:rsidRPr="008B35E1" w:rsidR="00846844">
        <w:t xml:space="preserve"> the grantee survey</w:t>
      </w:r>
      <w:r w:rsidRPr="008B35E1" w:rsidR="00E215A8">
        <w:t xml:space="preserve"> to all HVRP grantees</w:t>
      </w:r>
      <w:r w:rsidRPr="008B35E1" w:rsidR="00846844">
        <w:t>.</w:t>
      </w:r>
      <w:r w:rsidRPr="008B35E1" w:rsidR="00E215A8">
        <w:t xml:space="preserve"> </w:t>
      </w:r>
    </w:p>
    <w:p w:rsidRPr="008B35E1" w:rsidR="00846844" w:rsidP="00846844" w:rsidRDefault="00846844" w14:paraId="31F1E7B5" w14:textId="77777777">
      <w:pPr>
        <w:pStyle w:val="H4Number"/>
        <w:rPr>
          <w:rFonts w:ascii="Times New Roman" w:hAnsi="Times New Roman"/>
          <w:sz w:val="24"/>
        </w:rPr>
      </w:pPr>
      <w:r w:rsidRPr="008B35E1">
        <w:rPr>
          <w:rFonts w:ascii="Times New Roman" w:hAnsi="Times New Roman"/>
          <w:sz w:val="24"/>
        </w:rPr>
        <w:lastRenderedPageBreak/>
        <w:t>2.</w:t>
      </w:r>
      <w:r w:rsidRPr="008B35E1">
        <w:rPr>
          <w:rFonts w:ascii="Times New Roman" w:hAnsi="Times New Roman"/>
          <w:sz w:val="24"/>
        </w:rPr>
        <w:tab/>
        <w:t>Overview of the data collection</w:t>
      </w:r>
    </w:p>
    <w:p w:rsidRPr="008B35E1" w:rsidR="00846844" w:rsidP="00846844" w:rsidRDefault="00846844" w14:paraId="2852E6EB" w14:textId="1EF6D385">
      <w:pPr>
        <w:pStyle w:val="NormalSS"/>
      </w:pPr>
      <w:r w:rsidRPr="008B35E1">
        <w:t>Understanding the implementation and effectiveness of HVRP requires data collection from multiple sources. The implementation evaluation data collection covered by this clearance request includes</w:t>
      </w:r>
      <w:r w:rsidR="000C7C20">
        <w:t xml:space="preserve"> the following</w:t>
      </w:r>
      <w:r w:rsidRPr="008B35E1">
        <w:t xml:space="preserve">: </w:t>
      </w:r>
    </w:p>
    <w:p w:rsidRPr="008B35E1" w:rsidR="00846844" w:rsidP="003E0C02" w:rsidRDefault="00846844" w14:paraId="0F7188E3" w14:textId="795F9C8A">
      <w:pPr>
        <w:pStyle w:val="NumberedBullet"/>
        <w:numPr>
          <w:ilvl w:val="0"/>
          <w:numId w:val="53"/>
        </w:numPr>
        <w:ind w:left="432" w:hanging="432"/>
      </w:pPr>
      <w:r w:rsidRPr="008B35E1">
        <w:rPr>
          <w:b/>
        </w:rPr>
        <w:t>Grantee survey.</w:t>
      </w:r>
      <w:r w:rsidRPr="008B35E1">
        <w:t xml:space="preserve"> The purpose of this survey, to be administered to all HVRP grantee</w:t>
      </w:r>
      <w:r w:rsidRPr="008B35E1" w:rsidR="00605A26">
        <w:t xml:space="preserve"> director</w:t>
      </w:r>
      <w:r w:rsidRPr="008B35E1">
        <w:t xml:space="preserve">s in </w:t>
      </w:r>
      <w:r w:rsidR="008E57C5">
        <w:t>late summer</w:t>
      </w:r>
      <w:r w:rsidRPr="008B35E1" w:rsidR="008E57C5">
        <w:t xml:space="preserve"> </w:t>
      </w:r>
      <w:r w:rsidRPr="008B35E1">
        <w:t>20</w:t>
      </w:r>
      <w:r w:rsidR="0063083E">
        <w:t>20</w:t>
      </w:r>
      <w:r w:rsidRPr="008B35E1">
        <w:t>, is to collect information about HVRP grantees’ characteristics, program features, program services, partner participation, and implementation challenges and successes</w:t>
      </w:r>
      <w:r w:rsidR="00476D9B">
        <w:t xml:space="preserve"> as they adapt to COVID-19</w:t>
      </w:r>
      <w:r w:rsidRPr="008B35E1">
        <w:t xml:space="preserve">. The survey is expected to take </w:t>
      </w:r>
      <w:r w:rsidRPr="00516240">
        <w:t xml:space="preserve">approximately </w:t>
      </w:r>
      <w:r w:rsidR="003830A6">
        <w:t>one</w:t>
      </w:r>
      <w:r w:rsidRPr="00516240" w:rsidR="008B35E1">
        <w:t xml:space="preserve"> hour</w:t>
      </w:r>
      <w:r w:rsidRPr="008B35E1">
        <w:t xml:space="preserve"> to complete with an anticipated </w:t>
      </w:r>
      <w:r w:rsidR="00C87112">
        <w:t>90</w:t>
      </w:r>
      <w:r w:rsidRPr="008B35E1" w:rsidR="00C87112">
        <w:t xml:space="preserve"> </w:t>
      </w:r>
      <w:r w:rsidRPr="008B35E1">
        <w:t xml:space="preserve">percent response rate. </w:t>
      </w:r>
    </w:p>
    <w:p w:rsidRPr="008B35E1" w:rsidR="00E5110D" w:rsidP="0064557A" w:rsidRDefault="00BD7DE4" w14:paraId="4808460C" w14:textId="37B1263A">
      <w:pPr>
        <w:pStyle w:val="NumberedBullet"/>
        <w:tabs>
          <w:tab w:val="num" w:pos="792"/>
        </w:tabs>
      </w:pPr>
      <w:bookmarkStart w:name="_Hlk40275411" w:id="17"/>
      <w:r w:rsidRPr="00AA550D">
        <w:rPr>
          <w:b/>
        </w:rPr>
        <w:t xml:space="preserve">Key informant interview </w:t>
      </w:r>
      <w:r w:rsidRPr="00AA550D" w:rsidR="00E572BE">
        <w:rPr>
          <w:b/>
        </w:rPr>
        <w:t>guide</w:t>
      </w:r>
      <w:r w:rsidRPr="00AA550D" w:rsidR="00846844">
        <w:rPr>
          <w:b/>
        </w:rPr>
        <w:t>.</w:t>
      </w:r>
      <w:bookmarkEnd w:id="17"/>
      <w:r w:rsidRPr="008B35E1">
        <w:t xml:space="preserve"> </w:t>
      </w:r>
      <w:r w:rsidR="007370C5">
        <w:t>The guide will be used for interviews during i</w:t>
      </w:r>
      <w:r w:rsidRPr="008B35E1" w:rsidR="00E5110D">
        <w:t>n-person</w:t>
      </w:r>
      <w:r w:rsidR="008B5B66">
        <w:t xml:space="preserve"> or virtual</w:t>
      </w:r>
      <w:r w:rsidRPr="008B35E1" w:rsidR="00E5110D">
        <w:t xml:space="preserve"> visits to eight grantees </w:t>
      </w:r>
      <w:r w:rsidR="007370C5">
        <w:t xml:space="preserve">and their communities. The interviews </w:t>
      </w:r>
      <w:r w:rsidRPr="008B35E1" w:rsidR="00E5110D">
        <w:t xml:space="preserve">will provide information on </w:t>
      </w:r>
      <w:r w:rsidR="007370C5">
        <w:t xml:space="preserve">the grantees’ </w:t>
      </w:r>
      <w:r w:rsidRPr="008B35E1" w:rsidR="00E5110D">
        <w:t>HVRP</w:t>
      </w:r>
      <w:r w:rsidR="007370C5">
        <w:t xml:space="preserve"> program</w:t>
      </w:r>
      <w:r w:rsidR="00BF6B1F">
        <w:t>s</w:t>
      </w:r>
      <w:r w:rsidR="007370C5">
        <w:t xml:space="preserve"> and the services available to homeless veterans, including those not participating in HVRP</w:t>
      </w:r>
      <w:r w:rsidRPr="008B35E1" w:rsidR="00E5110D">
        <w:t xml:space="preserve">. Using the </w:t>
      </w:r>
      <w:r w:rsidR="009A6EE0">
        <w:t>guide</w:t>
      </w:r>
      <w:r w:rsidRPr="008B35E1" w:rsidR="00E5110D">
        <w:t>, the study team will</w:t>
      </w:r>
      <w:r w:rsidR="00C87112">
        <w:t xml:space="preserve"> customize protocols</w:t>
      </w:r>
      <w:r w:rsidRPr="008B35E1" w:rsidR="00E5110D">
        <w:t xml:space="preserve"> </w:t>
      </w:r>
      <w:r w:rsidR="00C87112">
        <w:t xml:space="preserve">to </w:t>
      </w:r>
      <w:r w:rsidRPr="008B35E1" w:rsidR="00E5110D">
        <w:t xml:space="preserve">conduct interviews with grantee administrators and staff, </w:t>
      </w:r>
      <w:r w:rsidRPr="008B35E1" w:rsidR="00B7063C">
        <w:t>such as job developers, employment specialists, and case managers</w:t>
      </w:r>
      <w:r w:rsidR="0010739B">
        <w:t>.  The team will also interview</w:t>
      </w:r>
      <w:r w:rsidRPr="008B35E1" w:rsidR="00B7063C">
        <w:t xml:space="preserve"> managers and staff</w:t>
      </w:r>
      <w:r w:rsidR="0010739B">
        <w:t xml:space="preserve"> at the grantee</w:t>
      </w:r>
      <w:r w:rsidR="00D8479A">
        <w:t>s</w:t>
      </w:r>
      <w:r w:rsidR="00E06A15">
        <w:t>’</w:t>
      </w:r>
      <w:r w:rsidR="00D8479A">
        <w:t xml:space="preserve"> </w:t>
      </w:r>
      <w:r w:rsidR="00866D68">
        <w:t xml:space="preserve">key </w:t>
      </w:r>
      <w:r w:rsidR="00D8479A">
        <w:t xml:space="preserve">partner organizations or </w:t>
      </w:r>
      <w:r w:rsidR="0010739B">
        <w:t>programs</w:t>
      </w:r>
      <w:r w:rsidRPr="008B35E1" w:rsidR="00B7063C">
        <w:t xml:space="preserve">, as appropriate, </w:t>
      </w:r>
      <w:r w:rsidR="0010739B">
        <w:t xml:space="preserve">such as </w:t>
      </w:r>
      <w:r w:rsidR="00492D08">
        <w:t>those</w:t>
      </w:r>
      <w:r w:rsidR="0010739B">
        <w:t xml:space="preserve"> </w:t>
      </w:r>
      <w:r w:rsidRPr="008B35E1" w:rsidR="00B7063C">
        <w:t xml:space="preserve">of </w:t>
      </w:r>
      <w:r w:rsidR="00CD66B8">
        <w:t xml:space="preserve"> AJCs</w:t>
      </w:r>
      <w:r w:rsidRPr="008B35E1" w:rsidR="00B7063C">
        <w:t>, Veterans Affairs, Continuum of Care</w:t>
      </w:r>
      <w:r w:rsidRPr="008B35E1" w:rsidR="00DE2955">
        <w:t xml:space="preserve"> (CoC)</w:t>
      </w:r>
      <w:r w:rsidRPr="008B35E1" w:rsidR="00B7063C">
        <w:t xml:space="preserve">/housing providers, and other partners. </w:t>
      </w:r>
      <w:r w:rsidR="00105BA9">
        <w:t xml:space="preserve">Importantly, to ensure understanding the service environment for homeless veterans, we will interview the following respondents regardless of their collaboration with the HVRP grantee: </w:t>
      </w:r>
      <w:r w:rsidRPr="008B35E1" w:rsidR="00B7063C">
        <w:t>the Veteran Affairs homeless coordinator, the</w:t>
      </w:r>
      <w:r w:rsidR="00105BA9">
        <w:t xml:space="preserve"> local</w:t>
      </w:r>
      <w:r w:rsidRPr="008B35E1" w:rsidR="00B7063C">
        <w:t xml:space="preserve"> </w:t>
      </w:r>
      <w:r w:rsidRPr="008B35E1" w:rsidR="00DE2955">
        <w:t>D</w:t>
      </w:r>
      <w:r w:rsidRPr="008B35E1" w:rsidR="00B7063C">
        <w:t>VOP</w:t>
      </w:r>
      <w:r w:rsidRPr="008B35E1" w:rsidR="00DE2955">
        <w:t xml:space="preserve"> specialist</w:t>
      </w:r>
      <w:r w:rsidRPr="008B35E1" w:rsidR="00B7063C">
        <w:t xml:space="preserve"> </w:t>
      </w:r>
      <w:r w:rsidR="00105BA9">
        <w:t>at</w:t>
      </w:r>
      <w:r w:rsidRPr="008B35E1" w:rsidR="00B7063C">
        <w:t xml:space="preserve"> the local </w:t>
      </w:r>
      <w:r w:rsidR="00CD66B8">
        <w:t>AJC</w:t>
      </w:r>
      <w:r w:rsidRPr="008B35E1" w:rsidR="00B7063C">
        <w:t xml:space="preserve">, and a CoC director. </w:t>
      </w:r>
      <w:r w:rsidR="0063083E">
        <w:t>I</w:t>
      </w:r>
      <w:r w:rsidRPr="008B35E1" w:rsidR="00E5110D">
        <w:t xml:space="preserve">nterviews are expected to take an average of </w:t>
      </w:r>
      <w:r w:rsidR="00CD66B8">
        <w:t>one</w:t>
      </w:r>
      <w:r w:rsidRPr="00516240" w:rsidR="008B35E1">
        <w:t xml:space="preserve"> hour</w:t>
      </w:r>
      <w:r w:rsidRPr="008B35E1" w:rsidR="00E5110D">
        <w:t>.</w:t>
      </w:r>
      <w:r w:rsidRPr="00B765FE" w:rsidR="00B765FE">
        <w:t xml:space="preserve"> </w:t>
      </w:r>
      <w:r w:rsidR="00B765FE">
        <w:t>Th</w:t>
      </w:r>
      <w:r w:rsidR="00C6073B">
        <w:t>is</w:t>
      </w:r>
      <w:r w:rsidR="00B765FE">
        <w:t xml:space="preserve"> guide</w:t>
      </w:r>
      <w:r w:rsidR="006D1FDF">
        <w:t xml:space="preserve"> was</w:t>
      </w:r>
      <w:r w:rsidR="00B765FE">
        <w:t xml:space="preserve"> written with the expectation that interviews would be conducted in person, but would not require changes to be adapted to a telephone or video conference format.</w:t>
      </w:r>
    </w:p>
    <w:p w:rsidR="00DF7FB2" w:rsidP="00F001AE" w:rsidRDefault="00105BA9" w14:paraId="1EFB3B86" w14:textId="2DD93A97">
      <w:pPr>
        <w:pStyle w:val="NumberedBullet"/>
      </w:pPr>
      <w:r>
        <w:rPr>
          <w:b/>
        </w:rPr>
        <w:t>HVRP veteran</w:t>
      </w:r>
      <w:r w:rsidRPr="008B35E1">
        <w:rPr>
          <w:b/>
        </w:rPr>
        <w:t xml:space="preserve"> </w:t>
      </w:r>
      <w:r w:rsidRPr="008B35E1" w:rsidR="00DF7FB2">
        <w:rPr>
          <w:b/>
        </w:rPr>
        <w:t xml:space="preserve">interview </w:t>
      </w:r>
      <w:r w:rsidRPr="008B35E1" w:rsidR="00E572BE">
        <w:rPr>
          <w:b/>
        </w:rPr>
        <w:t>guide</w:t>
      </w:r>
      <w:r w:rsidRPr="008B35E1" w:rsidR="00DF7FB2">
        <w:rPr>
          <w:b/>
        </w:rPr>
        <w:t>.</w:t>
      </w:r>
      <w:r w:rsidRPr="008B35E1" w:rsidR="00DF7FB2">
        <w:t xml:space="preserve"> The study team will conduct in-depth interviews with</w:t>
      </w:r>
      <w:r w:rsidR="00BF6B1F">
        <w:t xml:space="preserve"> </w:t>
      </w:r>
      <w:r w:rsidR="00540F18">
        <w:t>eight</w:t>
      </w:r>
      <w:r w:rsidRPr="008B35E1" w:rsidR="00540F18">
        <w:t xml:space="preserve"> </w:t>
      </w:r>
      <w:r w:rsidRPr="008B35E1" w:rsidR="00DF7FB2">
        <w:t>current and former HVRP participants</w:t>
      </w:r>
      <w:r w:rsidRPr="008B35E1" w:rsidR="00EB72EB">
        <w:t xml:space="preserve"> at </w:t>
      </w:r>
      <w:r>
        <w:t>each of the</w:t>
      </w:r>
      <w:r w:rsidRPr="008B35E1" w:rsidR="00EB72EB">
        <w:t xml:space="preserve"> site visit grantees</w:t>
      </w:r>
      <w:r w:rsidRPr="008B35E1" w:rsidR="00DF7FB2">
        <w:t xml:space="preserve">. This data collection method will collect detailed information about </w:t>
      </w:r>
      <w:r w:rsidRPr="008B35E1" w:rsidR="00DE2955">
        <w:t>participants’</w:t>
      </w:r>
      <w:r w:rsidRPr="008B35E1" w:rsidR="00DF7FB2">
        <w:t xml:space="preserve"> pathways to homelessness, the barriers they face to looking for and staying in work, experiences in HVRP and other employment and supportive services, and their post-program outcomes. Most importantly we will ask veterans which parts of the HVRP program </w:t>
      </w:r>
      <w:r w:rsidR="00884BC7">
        <w:t>were</w:t>
      </w:r>
      <w:r w:rsidRPr="008B35E1" w:rsidR="00DF7FB2">
        <w:t xml:space="preserve"> most </w:t>
      </w:r>
      <w:r w:rsidR="00B7359B">
        <w:t>helpful</w:t>
      </w:r>
      <w:r w:rsidRPr="008B35E1" w:rsidR="00DF7FB2">
        <w:t xml:space="preserve">.  This will help us address the key ingredients of the model that may drive outcomes. The interviews would result in further understanding the decisions, lived experience, and life challenges faced by veterans who experience homelessness and unemployment and would provide valuable insights with which to contextualize the impact findings based on the quantitative data. </w:t>
      </w:r>
      <w:r w:rsidRPr="008B35E1" w:rsidR="00390ADF">
        <w:t>The interview</w:t>
      </w:r>
      <w:r w:rsidRPr="008B35E1" w:rsidR="00B7063C">
        <w:t>, which will be voluntary,</w:t>
      </w:r>
      <w:r w:rsidRPr="008B35E1" w:rsidR="00390ADF">
        <w:t xml:space="preserve"> is expected to take an average of </w:t>
      </w:r>
      <w:r w:rsidRPr="008B35E1" w:rsidR="008B35E1">
        <w:t>1.5 hours</w:t>
      </w:r>
      <w:r w:rsidRPr="008B35E1" w:rsidR="00390ADF">
        <w:t>.</w:t>
      </w:r>
      <w:r w:rsidRPr="00B765FE" w:rsidR="00B765FE">
        <w:t xml:space="preserve"> </w:t>
      </w:r>
      <w:r w:rsidR="00B765FE">
        <w:t>Th</w:t>
      </w:r>
      <w:r w:rsidR="00C6073B">
        <w:t>is</w:t>
      </w:r>
      <w:r w:rsidR="00B765FE">
        <w:t xml:space="preserve"> guide was written with the expectation that interviews with veterans would be conducted in person. If interviews occur by phone or </w:t>
      </w:r>
      <w:r w:rsidR="00B765FE">
        <w:lastRenderedPageBreak/>
        <w:t>video conference, the interview guide may be modified to</w:t>
      </w:r>
      <w:r w:rsidR="00C6073B">
        <w:t xml:space="preserve"> focus</w:t>
      </w:r>
      <w:r w:rsidR="00B765FE">
        <w:t xml:space="preserve"> more intently on veterans’ experiences with the program as opposed to their employment or homeless history.</w:t>
      </w:r>
    </w:p>
    <w:p w:rsidR="00C6073B" w:rsidP="009068AA" w:rsidRDefault="000E617E" w14:paraId="663C9774" w14:textId="24024344">
      <w:pPr>
        <w:pStyle w:val="NumberedBullet"/>
        <w:tabs>
          <w:tab w:val="num" w:pos="540"/>
        </w:tabs>
        <w:ind w:left="540" w:hanging="360"/>
      </w:pPr>
      <w:r w:rsidRPr="00D605AC">
        <w:rPr>
          <w:b/>
        </w:rPr>
        <w:t>N</w:t>
      </w:r>
      <w:r w:rsidRPr="00D605AC" w:rsidR="00105BA9">
        <w:rPr>
          <w:b/>
        </w:rPr>
        <w:t>on-HVRP veteran interview guide.</w:t>
      </w:r>
      <w:r w:rsidRPr="008B35E1" w:rsidR="00105BA9">
        <w:t xml:space="preserve"> The study team will conduct </w:t>
      </w:r>
      <w:r w:rsidR="00CD0C6D">
        <w:t xml:space="preserve">in-depth </w:t>
      </w:r>
      <w:r w:rsidRPr="008B35E1" w:rsidR="00105BA9">
        <w:t>interviews with</w:t>
      </w:r>
      <w:r w:rsidR="00F935B0">
        <w:t xml:space="preserve"> </w:t>
      </w:r>
      <w:r w:rsidR="00540F18">
        <w:t>eight</w:t>
      </w:r>
      <w:r w:rsidRPr="008B35E1" w:rsidR="00540F18">
        <w:t xml:space="preserve"> </w:t>
      </w:r>
      <w:r w:rsidR="00105BA9">
        <w:t>non-</w:t>
      </w:r>
      <w:r w:rsidR="00127F66">
        <w:t xml:space="preserve">HVRP veterans in each of the </w:t>
      </w:r>
      <w:r w:rsidR="00E06A15">
        <w:t xml:space="preserve">eight </w:t>
      </w:r>
      <w:r w:rsidR="00127F66">
        <w:t xml:space="preserve">communities. </w:t>
      </w:r>
      <w:r w:rsidR="00F935B0">
        <w:t>T</w:t>
      </w:r>
      <w:r w:rsidRPr="008B35E1" w:rsidR="00105BA9">
        <w:t xml:space="preserve">his data collection method will </w:t>
      </w:r>
      <w:r w:rsidR="00F935B0">
        <w:t xml:space="preserve">focus on collecting </w:t>
      </w:r>
      <w:r w:rsidRPr="008B35E1" w:rsidR="00105BA9">
        <w:t xml:space="preserve">information about </w:t>
      </w:r>
      <w:r w:rsidR="00127F66">
        <w:t>veterans’</w:t>
      </w:r>
      <w:r w:rsidR="00F935B0">
        <w:t xml:space="preserve"> pathways to services and</w:t>
      </w:r>
      <w:r w:rsidR="00127F66">
        <w:t xml:space="preserve"> their </w:t>
      </w:r>
      <w:r w:rsidRPr="008B35E1" w:rsidR="00105BA9">
        <w:t>experiences in employment</w:t>
      </w:r>
      <w:r w:rsidR="00F935B0">
        <w:t>-related programs. We</w:t>
      </w:r>
      <w:r w:rsidRPr="008B35E1" w:rsidR="00105BA9">
        <w:t xml:space="preserve"> will </w:t>
      </w:r>
      <w:r w:rsidR="00F935B0">
        <w:t xml:space="preserve">also </w:t>
      </w:r>
      <w:r w:rsidRPr="008B35E1" w:rsidR="00105BA9">
        <w:t xml:space="preserve">ask veterans </w:t>
      </w:r>
      <w:r w:rsidR="00127F66">
        <w:t xml:space="preserve">about their knowledge of the </w:t>
      </w:r>
      <w:r w:rsidRPr="008B35E1" w:rsidR="00105BA9">
        <w:t xml:space="preserve">HVRP program </w:t>
      </w:r>
      <w:r w:rsidR="00127F66">
        <w:t xml:space="preserve">and the reasons why they do not participate. </w:t>
      </w:r>
      <w:r w:rsidRPr="008B35E1" w:rsidR="00105BA9">
        <w:t xml:space="preserve">The interviews </w:t>
      </w:r>
      <w:r w:rsidR="00F935B0">
        <w:t>will</w:t>
      </w:r>
      <w:r w:rsidRPr="008B35E1" w:rsidR="00105BA9">
        <w:t xml:space="preserve"> provide valuable insights with which to contextualize the impact findings based on the quantitative data. The interview, which will be voluntary, is expected to take an average of </w:t>
      </w:r>
      <w:r w:rsidR="00F935B0">
        <w:t>45 minutes</w:t>
      </w:r>
      <w:r w:rsidRPr="008B35E1" w:rsidR="00105BA9">
        <w:t>.</w:t>
      </w:r>
      <w:r w:rsidRPr="00C6073B" w:rsidR="00C6073B">
        <w:t xml:space="preserve"> </w:t>
      </w:r>
      <w:r w:rsidR="00C6073B">
        <w:t xml:space="preserve">This </w:t>
      </w:r>
      <w:r w:rsidRPr="00694147" w:rsidR="00C6073B">
        <w:t>guide was written with the expectation that interviews with veterans would be conducted in person. If interviews occur by phone or video conference, the interview guide may be modified to</w:t>
      </w:r>
      <w:r w:rsidR="00C6073B">
        <w:t xml:space="preserve"> focus</w:t>
      </w:r>
      <w:r w:rsidRPr="00694147" w:rsidR="00C6073B">
        <w:t xml:space="preserve"> more specifically on veterans</w:t>
      </w:r>
      <w:r w:rsidR="00C6073B">
        <w:t>’ experiences with community programs and services they were able to access and those they wanted, but could not access,</w:t>
      </w:r>
      <w:r w:rsidRPr="00694147" w:rsidR="00C6073B">
        <w:t xml:space="preserve"> as opposed to their employment or homeless history</w:t>
      </w:r>
      <w:r w:rsidR="00C6073B">
        <w:t>.</w:t>
      </w:r>
    </w:p>
    <w:p w:rsidRPr="008B35E1" w:rsidR="00105BA9" w:rsidP="00070239" w:rsidRDefault="00C6073B" w14:paraId="51480DE5" w14:textId="73267E5A">
      <w:pPr>
        <w:pStyle w:val="NumberedBullet"/>
        <w:numPr>
          <w:ilvl w:val="0"/>
          <w:numId w:val="0"/>
        </w:numPr>
        <w:ind w:left="432"/>
      </w:pPr>
      <w:r>
        <w:t xml:space="preserve"> </w:t>
      </w:r>
    </w:p>
    <w:p w:rsidRPr="008B35E1" w:rsidR="00846844" w:rsidP="00846844" w:rsidRDefault="00846844" w14:paraId="51E828DB" w14:textId="6AE4C0C6">
      <w:pPr>
        <w:pStyle w:val="NormalSS"/>
      </w:pPr>
      <w:r w:rsidRPr="008B35E1">
        <w:t xml:space="preserve">Proposed uses for each data collection activity are described in Table A.1. </w:t>
      </w:r>
      <w:r w:rsidR="00CB2635">
        <w:t>A full version of each instrument is attached to this Justification Statement.</w:t>
      </w:r>
    </w:p>
    <w:p w:rsidRPr="008B35E1" w:rsidR="00846844" w:rsidP="00846844" w:rsidRDefault="00846844" w14:paraId="52742B3B" w14:textId="77777777">
      <w:pPr>
        <w:pStyle w:val="MarkforTableTitle"/>
      </w:pPr>
      <w:r w:rsidRPr="008B35E1">
        <w:t>Table A.1. How data will be used, by data collection activity</w:t>
      </w:r>
    </w:p>
    <w:tbl>
      <w:tblPr>
        <w:tblStyle w:val="MPRBaseTable"/>
        <w:tblW w:w="5000" w:type="pct"/>
        <w:tblLook w:val="04A0" w:firstRow="1" w:lastRow="0" w:firstColumn="1" w:lastColumn="0" w:noHBand="0" w:noVBand="1"/>
      </w:tblPr>
      <w:tblGrid>
        <w:gridCol w:w="2304"/>
        <w:gridCol w:w="7056"/>
      </w:tblGrid>
      <w:tr w:rsidRPr="008B35E1" w:rsidR="00846844" w:rsidTr="00E27EF9" w14:paraId="782DC67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31" w:type="pct"/>
          </w:tcPr>
          <w:p w:rsidRPr="008B35E1" w:rsidR="00846844" w:rsidP="00DF7FB2" w:rsidRDefault="00846844" w14:paraId="4DAB4FD3" w14:textId="41F43A8A">
            <w:pPr>
              <w:pStyle w:val="TableHeaderLeft"/>
              <w:rPr>
                <w:b/>
              </w:rPr>
            </w:pPr>
            <w:r w:rsidRPr="008B35E1">
              <w:rPr>
                <w:b/>
              </w:rPr>
              <w:t xml:space="preserve">Data collection </w:t>
            </w:r>
            <w:r w:rsidRPr="008B35E1" w:rsidR="00DF7FB2">
              <w:rPr>
                <w:b/>
              </w:rPr>
              <w:t>instrument</w:t>
            </w:r>
          </w:p>
        </w:tc>
        <w:tc>
          <w:tcPr>
            <w:tcW w:w="3769" w:type="pct"/>
          </w:tcPr>
          <w:p w:rsidRPr="008B35E1" w:rsidR="00846844" w:rsidP="00E27EF9" w:rsidRDefault="00846844" w14:paraId="40221FE1"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8B35E1">
              <w:rPr>
                <w:b/>
              </w:rPr>
              <w:t>How the data will be used</w:t>
            </w:r>
          </w:p>
        </w:tc>
      </w:tr>
      <w:tr w:rsidRPr="008B35E1" w:rsidR="00846844" w:rsidTr="00E27EF9" w14:paraId="371CDC1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8B35E1" w:rsidR="00846844" w:rsidP="00E27EF9" w:rsidRDefault="00846844" w14:paraId="0F249BC1" w14:textId="77777777">
            <w:pPr>
              <w:pStyle w:val="TableText"/>
              <w:spacing w:before="60" w:after="60"/>
              <w:ind w:left="360" w:hanging="360"/>
              <w:contextualSpacing w:val="0"/>
            </w:pPr>
            <w:r w:rsidRPr="008B35E1">
              <w:t>1.</w:t>
            </w:r>
            <w:r w:rsidRPr="008B35E1">
              <w:tab/>
              <w:t xml:space="preserve">Grantee survey </w:t>
            </w:r>
          </w:p>
        </w:tc>
        <w:tc>
          <w:tcPr>
            <w:tcW w:w="3769" w:type="pct"/>
          </w:tcPr>
          <w:p w:rsidRPr="008B35E1" w:rsidR="00846844" w:rsidP="00E06A15" w:rsidRDefault="00846844" w14:paraId="0A77F5C9" w14:textId="783BB6A2">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8B35E1">
              <w:t>We will conduct descriptive analyses to describe the HVRP grantees’ characteristics, program features, program services, partner participation, and implementation challenges and successes.</w:t>
            </w:r>
          </w:p>
        </w:tc>
      </w:tr>
      <w:tr w:rsidRPr="008B35E1" w:rsidR="00846844" w:rsidTr="00E27EF9" w14:paraId="2FED9C66"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8B35E1" w:rsidR="00846844" w:rsidP="00E572BE" w:rsidRDefault="00846844" w14:paraId="693511EF" w14:textId="1C772830">
            <w:pPr>
              <w:pStyle w:val="TableText"/>
              <w:spacing w:before="60" w:after="60"/>
              <w:ind w:left="360" w:hanging="360"/>
              <w:contextualSpacing w:val="0"/>
            </w:pPr>
            <w:r w:rsidRPr="008B35E1">
              <w:t>2.</w:t>
            </w:r>
            <w:r w:rsidRPr="008B35E1">
              <w:tab/>
            </w:r>
            <w:r w:rsidRPr="008B35E1" w:rsidR="00DF7FB2">
              <w:t xml:space="preserve">Key informant interview </w:t>
            </w:r>
            <w:r w:rsidRPr="008B35E1" w:rsidR="00E572BE">
              <w:t>guide</w:t>
            </w:r>
          </w:p>
        </w:tc>
        <w:tc>
          <w:tcPr>
            <w:tcW w:w="3769" w:type="pct"/>
          </w:tcPr>
          <w:p w:rsidRPr="008B35E1" w:rsidR="00846844" w:rsidP="00127F66" w:rsidRDefault="00846844" w14:paraId="33FDF004" w14:textId="46245EAE">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8B35E1">
              <w:t xml:space="preserve">We will </w:t>
            </w:r>
            <w:r w:rsidRPr="008B35E1" w:rsidR="00F15E29">
              <w:t>analyze the data to develop common themes across the eight grantees t</w:t>
            </w:r>
            <w:r w:rsidRPr="008B35E1" w:rsidR="00EB6AA5">
              <w:t xml:space="preserve">o answer the research questions and identify services available </w:t>
            </w:r>
            <w:r w:rsidR="00F001AE">
              <w:t xml:space="preserve">for </w:t>
            </w:r>
            <w:r w:rsidR="00127F66">
              <w:t xml:space="preserve">non-HVRP </w:t>
            </w:r>
            <w:r w:rsidR="00F001AE">
              <w:t>homeless veterans</w:t>
            </w:r>
            <w:r w:rsidRPr="008B35E1" w:rsidR="00EB6AA5">
              <w:t>.</w:t>
            </w:r>
          </w:p>
        </w:tc>
      </w:tr>
      <w:tr w:rsidRPr="008B35E1" w:rsidR="00846844" w:rsidTr="00E27EF9" w14:paraId="04341C0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8B35E1" w:rsidR="00846844" w:rsidP="00CD0C6D" w:rsidRDefault="00F935B0" w14:paraId="71C6CFE4" w14:textId="50833F49">
            <w:pPr>
              <w:pStyle w:val="TableText"/>
              <w:spacing w:before="60" w:after="60"/>
              <w:ind w:left="360" w:hanging="360"/>
              <w:contextualSpacing w:val="0"/>
            </w:pPr>
            <w:r>
              <w:t>3</w:t>
            </w:r>
            <w:r w:rsidRPr="008B35E1" w:rsidR="00F15E29">
              <w:t>.</w:t>
            </w:r>
            <w:r w:rsidRPr="008B35E1" w:rsidR="00F15E29">
              <w:tab/>
            </w:r>
            <w:r w:rsidR="00127F66">
              <w:t xml:space="preserve">HVRP </w:t>
            </w:r>
            <w:r w:rsidR="00F001AE">
              <w:t>veteran</w:t>
            </w:r>
            <w:r w:rsidRPr="008B35E1" w:rsidR="00F15E29">
              <w:t xml:space="preserve"> interview </w:t>
            </w:r>
            <w:r w:rsidRPr="008B35E1" w:rsidR="00E572BE">
              <w:t>guide</w:t>
            </w:r>
          </w:p>
        </w:tc>
        <w:tc>
          <w:tcPr>
            <w:tcW w:w="3769" w:type="pct"/>
          </w:tcPr>
          <w:p w:rsidRPr="008B35E1" w:rsidR="00846844" w:rsidP="00E27EF9" w:rsidRDefault="00F15E29" w14:paraId="73224168" w14:textId="03B23A86">
            <w:pPr>
              <w:pStyle w:val="TableText"/>
              <w:spacing w:before="60" w:after="60"/>
              <w:contextualSpacing w:val="0"/>
              <w:cnfStyle w:val="000000100000" w:firstRow="0" w:lastRow="0" w:firstColumn="0" w:lastColumn="0" w:oddVBand="0" w:evenVBand="0" w:oddHBand="1" w:evenHBand="0" w:firstRowFirstColumn="0" w:firstRowLastColumn="0" w:lastRowFirstColumn="0" w:lastRowLastColumn="0"/>
            </w:pPr>
            <w:r w:rsidRPr="008B35E1">
              <w:t>We will use NVivo, a qualitative data analysis software, to create a uniform coding scheme aligned with the interview guide.  We will code this data and identify common themes that emerge from the interviews.</w:t>
            </w:r>
          </w:p>
        </w:tc>
      </w:tr>
      <w:tr w:rsidRPr="008B35E1" w:rsidR="00127F66" w:rsidTr="00E27EF9" w14:paraId="31EE1075"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31" w:type="pct"/>
          </w:tcPr>
          <w:p w:rsidRPr="008B35E1" w:rsidR="00127F66" w:rsidP="00F935B0" w:rsidRDefault="00127F66" w14:paraId="0753A09C" w14:textId="31ED34C7">
            <w:pPr>
              <w:pStyle w:val="TableText"/>
              <w:spacing w:before="60" w:after="60"/>
              <w:ind w:left="360" w:hanging="360"/>
            </w:pPr>
            <w:r w:rsidRPr="008B35E1">
              <w:t>4.</w:t>
            </w:r>
            <w:r w:rsidRPr="008B35E1">
              <w:tab/>
            </w:r>
            <w:r w:rsidR="00F935B0">
              <w:t>N</w:t>
            </w:r>
            <w:r>
              <w:t>on-HVRP veteran</w:t>
            </w:r>
            <w:r w:rsidRPr="008B35E1">
              <w:t xml:space="preserve"> interview guide</w:t>
            </w:r>
          </w:p>
        </w:tc>
        <w:tc>
          <w:tcPr>
            <w:tcW w:w="3769" w:type="pct"/>
          </w:tcPr>
          <w:p w:rsidRPr="008B35E1" w:rsidR="00127F66" w:rsidP="00FB33A3" w:rsidRDefault="00127F66" w14:paraId="2E45417C" w14:textId="1E2A88D6">
            <w:pPr>
              <w:pStyle w:val="TableText"/>
              <w:spacing w:before="60" w:after="60"/>
              <w:contextualSpacing w:val="0"/>
              <w:cnfStyle w:val="000000010000" w:firstRow="0" w:lastRow="0" w:firstColumn="0" w:lastColumn="0" w:oddVBand="0" w:evenVBand="0" w:oddHBand="0" w:evenHBand="1" w:firstRowFirstColumn="0" w:firstRowLastColumn="0" w:lastRowFirstColumn="0" w:lastRowLastColumn="0"/>
            </w:pPr>
            <w:r w:rsidRPr="008B35E1">
              <w:t>We will use NVivo to create a uniform coding scheme aligned with the interview guide. We will code this data and identify common themes that emerge from the interviews.</w:t>
            </w:r>
          </w:p>
        </w:tc>
      </w:tr>
    </w:tbl>
    <w:p w:rsidRPr="008B35E1" w:rsidR="00846844" w:rsidP="00EA6B9E" w:rsidRDefault="00846844" w14:paraId="0B3CAE28" w14:textId="77777777">
      <w:pPr>
        <w:pStyle w:val="NormalSS"/>
      </w:pPr>
    </w:p>
    <w:p w:rsidRPr="008B35E1" w:rsidR="00D5210E" w:rsidP="00335859" w:rsidRDefault="00D5210E" w14:paraId="3627049C" w14:textId="620A0B20">
      <w:pPr>
        <w:pStyle w:val="H4Number"/>
      </w:pPr>
      <w:bookmarkStart w:name="_Toc298415683" w:id="18"/>
      <w:bookmarkStart w:name="_Toc298418564" w:id="19"/>
      <w:bookmarkStart w:name="_Toc374099823" w:id="20"/>
      <w:bookmarkStart w:name="_Toc428361283" w:id="21"/>
      <w:bookmarkStart w:name="_Toc428361446" w:id="22"/>
      <w:bookmarkEnd w:id="13"/>
      <w:r w:rsidRPr="008B35E1">
        <w:t>3.</w:t>
      </w:r>
      <w:r w:rsidRPr="008B35E1">
        <w:tab/>
      </w:r>
      <w:r w:rsidRPr="00A969D3" w:rsidR="00167F38">
        <w:rPr>
          <w:rFonts w:ascii="Times New Roman" w:hAnsi="Times New Roman"/>
          <w:b w:val="0"/>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w:t>
      </w:r>
      <w:r w:rsidRPr="00A969D3" w:rsidR="00167F38">
        <w:rPr>
          <w:rFonts w:ascii="Times New Roman" w:hAnsi="Times New Roman"/>
          <w:b w:val="0"/>
          <w:i/>
        </w:rPr>
        <w:lastRenderedPageBreak/>
        <w:t>basis for the decision for adopting this means of collection. Also describe any consideration of using information technology to reduce burden.</w:t>
      </w:r>
      <w:bookmarkEnd w:id="18"/>
      <w:bookmarkEnd w:id="19"/>
      <w:bookmarkEnd w:id="20"/>
      <w:bookmarkEnd w:id="21"/>
      <w:bookmarkEnd w:id="22"/>
    </w:p>
    <w:p w:rsidRPr="008B35E1" w:rsidR="00DA327E" w:rsidP="00390ADF" w:rsidRDefault="00390ADF" w14:paraId="416B0AD5" w14:textId="73F9EE12">
      <w:pPr>
        <w:pStyle w:val="NormalSS"/>
      </w:pPr>
      <w:r w:rsidRPr="008B35E1">
        <w:t xml:space="preserve">Data collection will be conducted using advanced technology to reduce burden on program participants and grantee and partner staff whenever possible. </w:t>
      </w:r>
      <w:r w:rsidR="005535BD">
        <w:t>We</w:t>
      </w:r>
      <w:r w:rsidRPr="008B35E1" w:rsidR="008F160D">
        <w:t xml:space="preserve"> plan to obtain information in an efficient way that minimizes respondent burden. When feasible, we will gather information from existing data sources, using the most efficient methods available. </w:t>
      </w:r>
    </w:p>
    <w:p w:rsidRPr="008B35E1" w:rsidR="008F160D" w:rsidP="00390ADF" w:rsidRDefault="00390ADF" w14:paraId="4525AA19" w14:textId="1F76E49C">
      <w:pPr>
        <w:pStyle w:val="NormalSS"/>
      </w:pPr>
      <w:r w:rsidRPr="008B35E1">
        <w:t xml:space="preserve">The grantee survey will be administered via web survey, so that it can be accessed from any computer, allowing for the greatest ease of access. </w:t>
      </w:r>
      <w:r w:rsidRPr="008B35E1" w:rsidR="008F160D">
        <w:t>The web-based survey will enable respondents to complete the data collection instrument at a location and time of their choice, and its built-in editing checks and programmed skips will reduce the level of response errors</w:t>
      </w:r>
      <w:r w:rsidRPr="008B35E1" w:rsidR="00577D43">
        <w:t xml:space="preserve"> and allow respondents to complete the survey as quickly as possible</w:t>
      </w:r>
      <w:r w:rsidRPr="008B35E1" w:rsidR="008F160D">
        <w:t>.</w:t>
      </w:r>
      <w:r w:rsidR="00F303DF">
        <w:t xml:space="preserve"> If</w:t>
      </w:r>
      <w:r w:rsidR="00D10685">
        <w:t xml:space="preserve"> in-person</w:t>
      </w:r>
      <w:r w:rsidRPr="00F303DF" w:rsidR="00F303DF">
        <w:t xml:space="preserve"> </w:t>
      </w:r>
      <w:r w:rsidR="00836865">
        <w:t>s</w:t>
      </w:r>
      <w:r w:rsidRPr="00F303DF" w:rsidR="00F303DF">
        <w:t xml:space="preserve">ite visits and interviews </w:t>
      </w:r>
      <w:r w:rsidR="008E57C5">
        <w:t xml:space="preserve">are </w:t>
      </w:r>
      <w:r w:rsidRPr="00F303DF" w:rsidR="00F303DF">
        <w:t>not feasible due to COVID-19</w:t>
      </w:r>
      <w:r w:rsidR="00F303DF">
        <w:t>, the</w:t>
      </w:r>
      <w:r w:rsidR="00836865">
        <w:t xml:space="preserve"> </w:t>
      </w:r>
      <w:r w:rsidR="008E57C5">
        <w:t xml:space="preserve">study team will conduct </w:t>
      </w:r>
      <w:r w:rsidR="00836865">
        <w:t>k</w:t>
      </w:r>
      <w:r w:rsidRPr="00836865" w:rsidR="00836865">
        <w:t>ey informant interview</w:t>
      </w:r>
      <w:r w:rsidR="008E57C5">
        <w:t xml:space="preserve">s by video conference using </w:t>
      </w:r>
      <w:r w:rsidR="00AF037B">
        <w:t xml:space="preserve">available platforms, such as </w:t>
      </w:r>
      <w:r w:rsidR="008E57C5">
        <w:t>Web</w:t>
      </w:r>
      <w:r w:rsidR="00AF037B">
        <w:t>E</w:t>
      </w:r>
      <w:r w:rsidR="008E57C5">
        <w:t>x or Zoom. We also will work with the program staff to explore conducting in-depth interviews with veterans using the same technology</w:t>
      </w:r>
      <w:r w:rsidRPr="00836865" w:rsidR="00836865">
        <w:t>.</w:t>
      </w:r>
      <w:r w:rsidR="00F303DF">
        <w:t xml:space="preserve"> </w:t>
      </w:r>
      <w:r w:rsidRPr="008B35E1" w:rsidR="008F160D">
        <w:t xml:space="preserve"> </w:t>
      </w:r>
    </w:p>
    <w:p w:rsidRPr="008B35E1" w:rsidR="00D5210E" w:rsidP="00335859" w:rsidRDefault="00D5210E" w14:paraId="4DD45BFB" w14:textId="65EA7192">
      <w:pPr>
        <w:pStyle w:val="H4Number"/>
      </w:pPr>
      <w:bookmarkStart w:name="_Toc63827177" w:id="23"/>
      <w:bookmarkStart w:name="_Toc70752926" w:id="24"/>
      <w:bookmarkStart w:name="_Toc213228318" w:id="25"/>
      <w:bookmarkStart w:name="_Toc276390666" w:id="26"/>
      <w:bookmarkStart w:name="_Toc276988155" w:id="27"/>
      <w:bookmarkStart w:name="_Toc277079574" w:id="28"/>
      <w:bookmarkStart w:name="_Toc283908714" w:id="29"/>
      <w:bookmarkStart w:name="_Toc298415684" w:id="30"/>
      <w:bookmarkStart w:name="_Toc298418565" w:id="31"/>
      <w:bookmarkStart w:name="_Toc374099824" w:id="32"/>
      <w:bookmarkStart w:name="_Toc428361284" w:id="33"/>
      <w:bookmarkStart w:name="_Toc428361447" w:id="34"/>
      <w:r w:rsidRPr="008B35E1">
        <w:t>4.</w:t>
      </w:r>
      <w:r w:rsidRPr="008B35E1">
        <w:tab/>
      </w:r>
      <w:r w:rsidRPr="00A969D3" w:rsidR="00167F38">
        <w:rPr>
          <w:rFonts w:ascii="Times New Roman" w:hAnsi="Times New Roman"/>
          <w:b w:val="0"/>
          <w:i/>
        </w:rPr>
        <w:t>Describe efforts to identify duplication. Show specifically why any similar information already available cannot be used or modified for use for the purposes described in Item 2 above.</w:t>
      </w:r>
      <w:bookmarkEnd w:id="23"/>
      <w:bookmarkEnd w:id="24"/>
      <w:bookmarkEnd w:id="25"/>
      <w:bookmarkEnd w:id="26"/>
      <w:bookmarkEnd w:id="27"/>
      <w:bookmarkEnd w:id="28"/>
      <w:bookmarkEnd w:id="29"/>
      <w:bookmarkEnd w:id="30"/>
      <w:bookmarkEnd w:id="31"/>
      <w:bookmarkEnd w:id="32"/>
      <w:bookmarkEnd w:id="33"/>
      <w:bookmarkEnd w:id="34"/>
    </w:p>
    <w:p w:rsidRPr="008B35E1" w:rsidR="008F160D" w:rsidP="008F160D" w:rsidRDefault="0025742F" w14:paraId="0781C22C" w14:textId="1304733E">
      <w:pPr>
        <w:pStyle w:val="NormalSS"/>
      </w:pPr>
      <w:r w:rsidRPr="008B35E1">
        <w:t xml:space="preserve">The </w:t>
      </w:r>
      <w:r w:rsidR="0096263D">
        <w:t>HVRP evaluation will not require collection of information that is available through alternate sources.  T</w:t>
      </w:r>
      <w:r w:rsidR="005A5F1B">
        <w:t xml:space="preserve">he grantee </w:t>
      </w:r>
      <w:r w:rsidRPr="005A5F1B" w:rsidR="005A5F1B">
        <w:t>survey</w:t>
      </w:r>
      <w:r w:rsidR="005A5F1B">
        <w:t xml:space="preserve">, key informant interviews, </w:t>
      </w:r>
      <w:r w:rsidR="0096263D">
        <w:t>and in-depth</w:t>
      </w:r>
      <w:r w:rsidR="00F001AE">
        <w:t xml:space="preserve"> </w:t>
      </w:r>
      <w:r w:rsidR="0096263D">
        <w:t>interviews</w:t>
      </w:r>
      <w:r w:rsidR="00CD0C6D">
        <w:t xml:space="preserve"> with HVRP and </w:t>
      </w:r>
      <w:r w:rsidR="002E1523">
        <w:t>non-HVRP veteran</w:t>
      </w:r>
      <w:r w:rsidR="00CD0C6D">
        <w:t>s</w:t>
      </w:r>
      <w:r w:rsidRPr="005A5F1B" w:rsidR="005A5F1B">
        <w:t xml:space="preserve"> </w:t>
      </w:r>
      <w:r w:rsidR="005A5F1B">
        <w:t xml:space="preserve">are </w:t>
      </w:r>
      <w:r w:rsidR="0096263D">
        <w:t xml:space="preserve">collecting </w:t>
      </w:r>
      <w:r w:rsidR="005A5F1B">
        <w:t xml:space="preserve">new data </w:t>
      </w:r>
      <w:r w:rsidR="00191DF2">
        <w:t>that</w:t>
      </w:r>
      <w:r w:rsidR="005A5F1B">
        <w:t xml:space="preserve"> </w:t>
      </w:r>
      <w:r w:rsidR="00EB199E">
        <w:t>are</w:t>
      </w:r>
      <w:r w:rsidR="0096263D">
        <w:t xml:space="preserve"> not available elsewhere.</w:t>
      </w:r>
      <w:r w:rsidR="00884BC7">
        <w:t xml:space="preserve"> </w:t>
      </w:r>
    </w:p>
    <w:p w:rsidRPr="008B35E1" w:rsidR="00D5210E" w:rsidP="00335859" w:rsidRDefault="00D5210E" w14:paraId="649E9629" w14:textId="0940C4E5">
      <w:pPr>
        <w:pStyle w:val="H4Number"/>
      </w:pPr>
      <w:bookmarkStart w:name="_Toc63827178" w:id="35"/>
      <w:bookmarkStart w:name="_Toc70752927" w:id="36"/>
      <w:bookmarkStart w:name="_Toc213228319" w:id="37"/>
      <w:bookmarkStart w:name="_Toc276390667" w:id="38"/>
      <w:bookmarkStart w:name="_Toc276988156" w:id="39"/>
      <w:bookmarkStart w:name="_Toc277079575" w:id="40"/>
      <w:bookmarkStart w:name="_Toc283908715" w:id="41"/>
      <w:bookmarkStart w:name="_Toc298415685" w:id="42"/>
      <w:bookmarkStart w:name="_Toc298418566" w:id="43"/>
      <w:bookmarkStart w:name="_Toc374099825" w:id="44"/>
      <w:bookmarkStart w:name="_Toc428361285" w:id="45"/>
      <w:bookmarkStart w:name="_Toc428361448" w:id="46"/>
      <w:r w:rsidRPr="008B35E1">
        <w:t>5.</w:t>
      </w:r>
      <w:r w:rsidRPr="008B35E1">
        <w:tab/>
      </w:r>
      <w:bookmarkEnd w:id="35"/>
      <w:bookmarkEnd w:id="36"/>
      <w:bookmarkEnd w:id="37"/>
      <w:bookmarkEnd w:id="38"/>
      <w:bookmarkEnd w:id="39"/>
      <w:bookmarkEnd w:id="40"/>
      <w:bookmarkEnd w:id="41"/>
      <w:bookmarkEnd w:id="42"/>
      <w:bookmarkEnd w:id="43"/>
      <w:bookmarkEnd w:id="44"/>
      <w:bookmarkEnd w:id="45"/>
      <w:bookmarkEnd w:id="46"/>
      <w:r w:rsidRPr="00A969D3" w:rsidR="00167F38">
        <w:rPr>
          <w:rFonts w:ascii="Times New Roman" w:hAnsi="Times New Roman"/>
          <w:b w:val="0"/>
          <w:i/>
        </w:rPr>
        <w:t>If the collection of information impacts small businesses or other small entities, describe any methods used to minimize burden</w:t>
      </w:r>
      <w:r w:rsidR="00A969D3">
        <w:rPr>
          <w:rFonts w:ascii="Times New Roman" w:hAnsi="Times New Roman"/>
          <w:b w:val="0"/>
          <w:i/>
        </w:rPr>
        <w:t>.</w:t>
      </w:r>
    </w:p>
    <w:p w:rsidRPr="008B35E1" w:rsidR="00390ADF" w:rsidP="00390ADF" w:rsidRDefault="00390ADF" w14:paraId="0FF236F1" w14:textId="2C34D5EF">
      <w:pPr>
        <w:pStyle w:val="NormalSS"/>
      </w:pPr>
      <w:r w:rsidRPr="008B35E1">
        <w:t xml:space="preserve">The data collection effort </w:t>
      </w:r>
      <w:r w:rsidR="00421A6B">
        <w:t>might include</w:t>
      </w:r>
      <w:r w:rsidRPr="008B35E1">
        <w:t xml:space="preserve"> small businesses</w:t>
      </w:r>
      <w:r w:rsidR="00421A6B">
        <w:t xml:space="preserve"> or small, nonprofit organizations. The study team will minimize burden for respondents by </w:t>
      </w:r>
      <w:r w:rsidRPr="00C74482" w:rsidR="00421A6B">
        <w:t>restricting the interview length to the minimum required and conducting interviews at times convenient for the respondents</w:t>
      </w:r>
      <w:r w:rsidRPr="008B35E1">
        <w:t>.</w:t>
      </w:r>
    </w:p>
    <w:p w:rsidRPr="008B35E1" w:rsidR="00D5210E" w:rsidP="00335859" w:rsidRDefault="00D5210E" w14:paraId="1E6ED658" w14:textId="5EDE5D74">
      <w:pPr>
        <w:pStyle w:val="H4Number"/>
      </w:pPr>
      <w:bookmarkStart w:name="_Toc63827179" w:id="47"/>
      <w:bookmarkStart w:name="_Toc70752928" w:id="48"/>
      <w:bookmarkStart w:name="_Toc213228320" w:id="49"/>
      <w:bookmarkStart w:name="_Toc276390668" w:id="50"/>
      <w:bookmarkStart w:name="_Toc276988157" w:id="51"/>
      <w:bookmarkStart w:name="_Toc277079576" w:id="52"/>
      <w:bookmarkStart w:name="_Toc283908716" w:id="53"/>
      <w:bookmarkStart w:name="_Toc298415686" w:id="54"/>
      <w:bookmarkStart w:name="_Toc298418567" w:id="55"/>
      <w:bookmarkStart w:name="_Toc374099826" w:id="56"/>
      <w:bookmarkStart w:name="_Toc428361286" w:id="57"/>
      <w:bookmarkStart w:name="_Toc428361449" w:id="58"/>
      <w:r w:rsidRPr="008B35E1">
        <w:lastRenderedPageBreak/>
        <w:t>6.</w:t>
      </w:r>
      <w:r w:rsidRPr="008B35E1">
        <w:tab/>
      </w:r>
      <w:r w:rsidRPr="00A969D3" w:rsidR="00167F38">
        <w:rPr>
          <w:rFonts w:ascii="Times New Roman" w:hAnsi="Times New Roman"/>
          <w:b w:val="0"/>
          <w:i/>
        </w:rPr>
        <w:t>Describe the consequence to Federal program or policy activities if the collection is not conducted or is conducted less frequently, as well as any technical or legal obstacles to reducing burden.</w:t>
      </w:r>
      <w:bookmarkEnd w:id="47"/>
      <w:bookmarkEnd w:id="48"/>
      <w:bookmarkEnd w:id="49"/>
      <w:bookmarkEnd w:id="50"/>
      <w:bookmarkEnd w:id="51"/>
      <w:bookmarkEnd w:id="52"/>
      <w:bookmarkEnd w:id="53"/>
      <w:bookmarkEnd w:id="54"/>
      <w:bookmarkEnd w:id="55"/>
      <w:bookmarkEnd w:id="56"/>
      <w:bookmarkEnd w:id="57"/>
      <w:bookmarkEnd w:id="58"/>
    </w:p>
    <w:p w:rsidRPr="008B35E1" w:rsidR="006B6AE3" w:rsidP="002E6D04" w:rsidRDefault="006B6AE3" w14:paraId="606D8E97" w14:textId="539BEF28">
      <w:pPr>
        <w:pStyle w:val="NormalSS"/>
      </w:pPr>
      <w:r w:rsidRPr="008B35E1">
        <w:t xml:space="preserve"> </w:t>
      </w:r>
      <w:r w:rsidRPr="008B35E1" w:rsidR="00164621">
        <w:t xml:space="preserve">If these </w:t>
      </w:r>
      <w:r w:rsidRPr="008B35E1" w:rsidR="0025742F">
        <w:t xml:space="preserve">one-time </w:t>
      </w:r>
      <w:r w:rsidRPr="008B35E1" w:rsidR="00164621">
        <w:t>data are not collected, DOL will not have a thorough understanding of the structure and implementation of the</w:t>
      </w:r>
      <w:r w:rsidRPr="008B35E1" w:rsidR="007E1AA0">
        <w:t xml:space="preserve"> </w:t>
      </w:r>
      <w:r w:rsidRPr="008B35E1" w:rsidR="000C407B">
        <w:t>current set of</w:t>
      </w:r>
      <w:r w:rsidRPr="008B35E1" w:rsidR="00B22526">
        <w:t xml:space="preserve"> HVRP</w:t>
      </w:r>
      <w:r w:rsidRPr="008B35E1" w:rsidR="00164621">
        <w:t xml:space="preserve"> grantees. </w:t>
      </w:r>
      <w:r w:rsidRPr="008B35E1" w:rsidR="00772C3A">
        <w:t>Th</w:t>
      </w:r>
      <w:r w:rsidRPr="008B35E1" w:rsidR="000C407B">
        <w:t xml:space="preserve">e </w:t>
      </w:r>
      <w:r w:rsidR="00F8356C">
        <w:t xml:space="preserve">implementation study data also provide critical contextual information to help interpret findings from the impact study. Without this information, DOL will not be able to identify those program components that </w:t>
      </w:r>
      <w:r w:rsidR="00E06A15">
        <w:t xml:space="preserve">may be </w:t>
      </w:r>
      <w:r w:rsidR="00F8356C">
        <w:t>contribut</w:t>
      </w:r>
      <w:r w:rsidR="00E06A15">
        <w:t>ing to any achieved</w:t>
      </w:r>
      <w:r w:rsidR="00F8356C">
        <w:t xml:space="preserve"> positive participant outcomes. </w:t>
      </w:r>
    </w:p>
    <w:p w:rsidRPr="00A969D3" w:rsidR="00167F38" w:rsidP="00D355A1" w:rsidRDefault="00D5210E" w14:paraId="5118F04F" w14:textId="13B410E5">
      <w:pPr>
        <w:pStyle w:val="H4Number"/>
        <w:rPr>
          <w:rFonts w:ascii="Times New Roman" w:hAnsi="Times New Roman"/>
          <w:b w:val="0"/>
          <w:i/>
        </w:rPr>
      </w:pPr>
      <w:bookmarkStart w:name="_Toc63827180" w:id="59"/>
      <w:bookmarkStart w:name="_Toc70752929" w:id="60"/>
      <w:bookmarkStart w:name="_Toc213228321" w:id="61"/>
      <w:bookmarkStart w:name="_Toc276390669" w:id="62"/>
      <w:bookmarkStart w:name="_Toc276988158" w:id="63"/>
      <w:bookmarkStart w:name="_Toc277079577" w:id="64"/>
      <w:bookmarkStart w:name="_Toc283908717" w:id="65"/>
      <w:bookmarkStart w:name="_Toc298415687" w:id="66"/>
      <w:bookmarkStart w:name="_Toc298418568" w:id="67"/>
      <w:bookmarkStart w:name="_Toc374099827" w:id="68"/>
      <w:bookmarkStart w:name="_Toc428361287" w:id="69"/>
      <w:bookmarkStart w:name="_Toc428361450" w:id="70"/>
      <w:r w:rsidRPr="008B35E1">
        <w:t>7.</w:t>
      </w:r>
      <w:r w:rsidRPr="008B35E1">
        <w:tab/>
      </w:r>
      <w:r w:rsidRPr="00A969D3" w:rsidR="00167F38">
        <w:rPr>
          <w:rFonts w:ascii="Times New Roman" w:hAnsi="Times New Roman"/>
          <w:b w:val="0"/>
          <w:i/>
        </w:rPr>
        <w:t>Explain any special circumstances that would cause an information collection to be conducted in a manner:</w:t>
      </w:r>
    </w:p>
    <w:p w:rsidRPr="00A969D3" w:rsidR="00167F38" w:rsidP="00D355A1" w:rsidRDefault="00C07D08" w14:paraId="44C7E1D0" w14:textId="6BB95EA6">
      <w:pPr>
        <w:pStyle w:val="H4Number"/>
        <w:tabs>
          <w:tab w:val="clear" w:pos="432"/>
          <w:tab w:val="left" w:pos="360"/>
        </w:tabs>
        <w:ind w:left="360" w:hanging="360"/>
        <w:rPr>
          <w:rFonts w:ascii="Times New Roman" w:hAnsi="Times New Roman"/>
          <w:b w:val="0"/>
          <w:i/>
        </w:rPr>
      </w:pPr>
      <w:r w:rsidRPr="00A969D3">
        <w:rPr>
          <w:rFonts w:ascii="Times New Roman" w:hAnsi="Times New Roman"/>
          <w:b w:val="0"/>
          <w:i/>
        </w:rPr>
        <w:tab/>
      </w:r>
      <w:r w:rsidRPr="00A969D3" w:rsidR="00167F38">
        <w:rPr>
          <w:rFonts w:ascii="Times New Roman" w:hAnsi="Times New Roman"/>
          <w:b w:val="0"/>
          <w:i/>
        </w:rPr>
        <w:t>* Requiring respondents to report information to the agency more often than</w:t>
      </w:r>
      <w:r w:rsidRPr="00A969D3" w:rsidR="00D355A1">
        <w:rPr>
          <w:rFonts w:ascii="Times New Roman" w:hAnsi="Times New Roman"/>
          <w:b w:val="0"/>
          <w:i/>
        </w:rPr>
        <w:t xml:space="preserve"> </w:t>
      </w:r>
      <w:r w:rsidRPr="00A969D3" w:rsidR="00167F38">
        <w:rPr>
          <w:rFonts w:ascii="Times New Roman" w:hAnsi="Times New Roman"/>
          <w:b w:val="0"/>
          <w:i/>
        </w:rPr>
        <w:t xml:space="preserve">quarterly; </w:t>
      </w:r>
    </w:p>
    <w:p w:rsidRPr="00A969D3" w:rsidR="00167F38" w:rsidP="00D355A1" w:rsidRDefault="00C07D08" w14:paraId="432EBD9B" w14:textId="4170FAF8">
      <w:pPr>
        <w:pStyle w:val="H4Number"/>
        <w:rPr>
          <w:rFonts w:ascii="Times New Roman" w:hAnsi="Times New Roman"/>
          <w:b w:val="0"/>
          <w:i/>
        </w:rPr>
      </w:pPr>
      <w:r w:rsidRPr="00A969D3">
        <w:rPr>
          <w:rFonts w:ascii="Times New Roman" w:hAnsi="Times New Roman"/>
          <w:b w:val="0"/>
          <w:i/>
        </w:rPr>
        <w:tab/>
      </w:r>
      <w:r w:rsidRPr="00A969D3" w:rsidR="00167F38">
        <w:rPr>
          <w:rFonts w:ascii="Times New Roman" w:hAnsi="Times New Roman"/>
          <w:b w:val="0"/>
          <w:i/>
        </w:rPr>
        <w:t xml:space="preserve">* Requiring respondents to prepare a written response to a collection of information in fewer than 30 days after receipt of it; </w:t>
      </w:r>
    </w:p>
    <w:p w:rsidRPr="00A969D3" w:rsidR="00167F38" w:rsidP="00D355A1" w:rsidRDefault="00C07D08" w14:paraId="732CC35D" w14:textId="2658CEE4">
      <w:pPr>
        <w:pStyle w:val="H4Number"/>
        <w:rPr>
          <w:rFonts w:ascii="Times New Roman" w:hAnsi="Times New Roman"/>
          <w:b w:val="0"/>
          <w:i/>
        </w:rPr>
      </w:pPr>
      <w:r w:rsidRPr="00A969D3">
        <w:rPr>
          <w:rFonts w:ascii="Times New Roman" w:hAnsi="Times New Roman"/>
          <w:b w:val="0"/>
          <w:i/>
        </w:rPr>
        <w:tab/>
      </w:r>
      <w:r w:rsidRPr="00A969D3" w:rsidR="00167F38">
        <w:rPr>
          <w:rFonts w:ascii="Times New Roman" w:hAnsi="Times New Roman"/>
          <w:b w:val="0"/>
          <w:i/>
        </w:rPr>
        <w:t xml:space="preserve">* Requiring respondents to submit more than an original and two copies of any document; </w:t>
      </w:r>
    </w:p>
    <w:p w:rsidRPr="00A969D3" w:rsidR="00167F38" w:rsidP="00D355A1" w:rsidRDefault="00C07D08" w14:paraId="174FC1BF" w14:textId="3805CFA7">
      <w:pPr>
        <w:pStyle w:val="H4Number"/>
        <w:rPr>
          <w:rFonts w:ascii="Times New Roman" w:hAnsi="Times New Roman"/>
          <w:b w:val="0"/>
          <w:i/>
        </w:rPr>
      </w:pPr>
      <w:r w:rsidRPr="00A969D3">
        <w:rPr>
          <w:rFonts w:ascii="Times New Roman" w:hAnsi="Times New Roman"/>
          <w:b w:val="0"/>
          <w:i/>
        </w:rPr>
        <w:tab/>
      </w:r>
      <w:r w:rsidRPr="00A969D3" w:rsidR="00167F38">
        <w:rPr>
          <w:rFonts w:ascii="Times New Roman" w:hAnsi="Times New Roman"/>
          <w:b w:val="0"/>
          <w:i/>
        </w:rPr>
        <w:t xml:space="preserve">* Requiring respondents to retain records, other than health, medical, government contract, grant-in-aid, or tax records, for more than three years; </w:t>
      </w:r>
    </w:p>
    <w:p w:rsidRPr="00A969D3" w:rsidR="00167F38" w:rsidP="00D355A1" w:rsidRDefault="00C07D08" w14:paraId="69C872B5" w14:textId="51FC16CE">
      <w:pPr>
        <w:pStyle w:val="H4Number"/>
        <w:rPr>
          <w:rFonts w:ascii="Times New Roman" w:hAnsi="Times New Roman"/>
          <w:b w:val="0"/>
          <w:i/>
        </w:rPr>
      </w:pPr>
      <w:r w:rsidRPr="00A969D3">
        <w:rPr>
          <w:rFonts w:ascii="Times New Roman" w:hAnsi="Times New Roman"/>
          <w:b w:val="0"/>
          <w:i/>
        </w:rPr>
        <w:tab/>
      </w:r>
      <w:r w:rsidRPr="00A969D3" w:rsidR="00167F38">
        <w:rPr>
          <w:rFonts w:ascii="Times New Roman" w:hAnsi="Times New Roman"/>
          <w:b w:val="0"/>
          <w:i/>
        </w:rPr>
        <w:t xml:space="preserve">* In connection with a statistical survey, that is not designed to produce valid and reliable results that can be generalized to the universe of study; </w:t>
      </w:r>
    </w:p>
    <w:p w:rsidRPr="00A969D3" w:rsidR="00167F38" w:rsidP="00D355A1" w:rsidRDefault="00C07D08" w14:paraId="49E57E0B" w14:textId="4F03AE35">
      <w:pPr>
        <w:pStyle w:val="H4Number"/>
        <w:rPr>
          <w:rFonts w:ascii="Times New Roman" w:hAnsi="Times New Roman"/>
          <w:b w:val="0"/>
          <w:i/>
        </w:rPr>
      </w:pPr>
      <w:r w:rsidRPr="00A969D3">
        <w:rPr>
          <w:rFonts w:ascii="Times New Roman" w:hAnsi="Times New Roman"/>
          <w:b w:val="0"/>
          <w:i/>
        </w:rPr>
        <w:tab/>
      </w:r>
      <w:r w:rsidRPr="00A969D3" w:rsidR="00167F38">
        <w:rPr>
          <w:rFonts w:ascii="Times New Roman" w:hAnsi="Times New Roman"/>
          <w:b w:val="0"/>
          <w:i/>
        </w:rPr>
        <w:t xml:space="preserve">* Requiring the use of a statistical data classification that has not been reviewed and approved by OMB; </w:t>
      </w:r>
    </w:p>
    <w:p w:rsidRPr="00A969D3" w:rsidR="00167F38" w:rsidP="00D355A1" w:rsidRDefault="00C07D08" w14:paraId="0421423E" w14:textId="5B3F0B22">
      <w:pPr>
        <w:pStyle w:val="H4Number"/>
        <w:rPr>
          <w:rFonts w:ascii="Times New Roman" w:hAnsi="Times New Roman"/>
          <w:b w:val="0"/>
          <w:i/>
        </w:rPr>
      </w:pPr>
      <w:r w:rsidRPr="00A969D3">
        <w:rPr>
          <w:rFonts w:ascii="Times New Roman" w:hAnsi="Times New Roman"/>
          <w:b w:val="0"/>
          <w:i/>
        </w:rPr>
        <w:tab/>
      </w:r>
      <w:r w:rsidRPr="00A969D3" w:rsidR="00167F38">
        <w:rPr>
          <w:rFonts w:ascii="Times New Roman" w:hAnsi="Times New Roman"/>
          <w:b w:val="0"/>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8B35E1" w:rsidR="00D5210E" w:rsidP="00D355A1" w:rsidRDefault="00C07D08" w14:paraId="50B97451" w14:textId="1AB49DF2">
      <w:pPr>
        <w:pStyle w:val="H4Number"/>
      </w:pPr>
      <w:r w:rsidRPr="00A969D3">
        <w:rPr>
          <w:rFonts w:ascii="Times New Roman" w:hAnsi="Times New Roman"/>
          <w:b w:val="0"/>
          <w:i/>
        </w:rPr>
        <w:tab/>
      </w:r>
      <w:r w:rsidRPr="00A969D3" w:rsidR="00167F38">
        <w:rPr>
          <w:rFonts w:ascii="Times New Roman" w:hAnsi="Times New Roman"/>
          <w:b w:val="0"/>
          <w:i/>
        </w:rPr>
        <w:t>* Requiring respondents to submit proprietary trade secrets, or other confidential information unless the agency can demonstrate that it has instituted procedures to protect the information's confidentiality to the extent permitted by law.</w:t>
      </w:r>
      <w:bookmarkEnd w:id="59"/>
      <w:bookmarkEnd w:id="60"/>
      <w:bookmarkEnd w:id="61"/>
      <w:bookmarkEnd w:id="62"/>
      <w:bookmarkEnd w:id="63"/>
      <w:bookmarkEnd w:id="64"/>
      <w:bookmarkEnd w:id="65"/>
      <w:bookmarkEnd w:id="66"/>
      <w:bookmarkEnd w:id="67"/>
      <w:bookmarkEnd w:id="68"/>
      <w:bookmarkEnd w:id="69"/>
      <w:bookmarkEnd w:id="70"/>
    </w:p>
    <w:p w:rsidRPr="008B35E1" w:rsidR="00D5210E" w:rsidP="002E6D04" w:rsidRDefault="00B97A43" w14:paraId="75B03AD1" w14:textId="3FF902CB">
      <w:pPr>
        <w:pStyle w:val="NormalSS"/>
      </w:pPr>
      <w:r w:rsidRPr="008B35E1">
        <w:rPr>
          <w:bCs/>
        </w:rPr>
        <w:t>There are n</w:t>
      </w:r>
      <w:r w:rsidRPr="008B35E1" w:rsidR="00D5210E">
        <w:t xml:space="preserve">o special circumstances </w:t>
      </w:r>
      <w:r w:rsidRPr="008B35E1">
        <w:t>for the proposed data collection.</w:t>
      </w:r>
      <w:bookmarkStart w:name="_Toc63827181" w:id="71"/>
      <w:bookmarkStart w:name="_Toc70752930" w:id="72"/>
      <w:bookmarkStart w:name="_Toc213228322" w:id="73"/>
      <w:bookmarkStart w:name="_Toc276390670" w:id="74"/>
      <w:bookmarkStart w:name="_Toc276988159" w:id="75"/>
      <w:bookmarkStart w:name="_Toc277079578" w:id="76"/>
      <w:bookmarkStart w:name="_Toc283908718" w:id="77"/>
      <w:bookmarkStart w:name="_Toc298415688" w:id="78"/>
      <w:bookmarkStart w:name="_Toc298418569" w:id="79"/>
    </w:p>
    <w:p w:rsidRPr="008B35E1" w:rsidR="00497713" w:rsidP="00335859" w:rsidRDefault="00D5210E" w14:paraId="30B4DCC5" w14:textId="4EB9DFB3">
      <w:pPr>
        <w:pStyle w:val="H4Number"/>
      </w:pPr>
      <w:bookmarkStart w:name="_Toc374099828" w:id="80"/>
      <w:bookmarkStart w:name="_Toc428361288" w:id="81"/>
      <w:bookmarkStart w:name="_Toc428361451" w:id="82"/>
      <w:r w:rsidRPr="008B35E1">
        <w:t>8.</w:t>
      </w:r>
      <w:r w:rsidRPr="008B35E1">
        <w:tab/>
      </w:r>
      <w:r w:rsidRPr="00546B61" w:rsidR="00167F38">
        <w:rPr>
          <w:rFonts w:ascii="Times New Roman" w:hAnsi="Times New Roman"/>
          <w:b w:val="0"/>
          <w:i/>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w:t>
      </w:r>
      <w:r w:rsidRPr="00546B61" w:rsidR="00167F38">
        <w:rPr>
          <w:rFonts w:ascii="Times New Roman" w:hAnsi="Times New Roman"/>
          <w:b w:val="0"/>
          <w:i/>
        </w:rPr>
        <w:lastRenderedPageBreak/>
        <w:t>in response to that notice and describe actions taken by the agency in response to these comments. Specifically address comments received on cost and hour burden.</w:t>
      </w:r>
      <w:r w:rsidR="00497713">
        <w:rPr>
          <w:i/>
        </w:rPr>
        <w:t xml:space="preserve"> </w:t>
      </w:r>
      <w:bookmarkEnd w:id="71"/>
      <w:bookmarkEnd w:id="72"/>
      <w:bookmarkEnd w:id="73"/>
      <w:bookmarkEnd w:id="74"/>
      <w:bookmarkEnd w:id="75"/>
      <w:bookmarkEnd w:id="76"/>
      <w:bookmarkEnd w:id="77"/>
      <w:bookmarkEnd w:id="78"/>
      <w:bookmarkEnd w:id="79"/>
      <w:bookmarkEnd w:id="80"/>
      <w:bookmarkEnd w:id="81"/>
      <w:bookmarkEnd w:id="82"/>
    </w:p>
    <w:p w:rsidRPr="008B35E1" w:rsidR="00DC2CFD" w:rsidP="002E6D04" w:rsidRDefault="00DC2CFD" w14:paraId="56ED395C" w14:textId="7A3E21DD">
      <w:pPr>
        <w:pStyle w:val="NormalSS"/>
      </w:pPr>
      <w:r w:rsidRPr="008B35E1">
        <w:t xml:space="preserve">The 60-day notice to solicit public comments was published </w:t>
      </w:r>
      <w:r w:rsidRPr="008B35E1" w:rsidR="00890E9A">
        <w:t xml:space="preserve">in the </w:t>
      </w:r>
      <w:r w:rsidRPr="008B35E1" w:rsidR="00890E9A">
        <w:rPr>
          <w:i/>
        </w:rPr>
        <w:t xml:space="preserve">Federal Register, </w:t>
      </w:r>
      <w:r w:rsidRPr="00516240" w:rsidR="00890E9A">
        <w:t>83</w:t>
      </w:r>
      <w:r w:rsidRPr="00516240" w:rsidR="00D62F6F">
        <w:t xml:space="preserve"> </w:t>
      </w:r>
      <w:r w:rsidRPr="00516240" w:rsidR="00890E9A">
        <w:t xml:space="preserve">FR </w:t>
      </w:r>
      <w:r w:rsidRPr="00516240" w:rsidR="00EB6AA5">
        <w:t>40087</w:t>
      </w:r>
      <w:r w:rsidRPr="00516240" w:rsidR="00890E9A">
        <w:t>-</w:t>
      </w:r>
      <w:r w:rsidRPr="00516240" w:rsidR="00EB6AA5">
        <w:t>4088</w:t>
      </w:r>
      <w:r w:rsidRPr="008B35E1" w:rsidR="00890E9A">
        <w:t xml:space="preserve"> </w:t>
      </w:r>
      <w:r w:rsidRPr="008B35E1" w:rsidR="00B97A43">
        <w:t xml:space="preserve">on </w:t>
      </w:r>
      <w:r w:rsidRPr="008B35E1" w:rsidR="00890E9A">
        <w:t>August 13, 2018</w:t>
      </w:r>
      <w:r w:rsidRPr="008B35E1" w:rsidR="00EB6AA5">
        <w:t>.</w:t>
      </w:r>
      <w:r w:rsidRPr="008B35E1" w:rsidR="00B97A43">
        <w:t xml:space="preserve"> </w:t>
      </w:r>
      <w:r w:rsidRPr="00516240" w:rsidR="00B97A43">
        <w:t>No public comments were received.</w:t>
      </w:r>
      <w:r w:rsidRPr="008B35E1">
        <w:t xml:space="preserve"> </w:t>
      </w:r>
    </w:p>
    <w:p w:rsidR="00EB5129" w:rsidP="00EB5129" w:rsidRDefault="00EB5129" w14:paraId="25C71B95" w14:textId="541DA1C6">
      <w:pPr>
        <w:spacing w:line="240" w:lineRule="auto"/>
        <w:rPr>
          <w:i/>
        </w:rPr>
      </w:pPr>
      <w:r w:rsidRPr="00946B48">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9068AA" w:rsidR="00EB5129" w:rsidP="009068AA" w:rsidRDefault="00EB5129" w14:paraId="0FD41893" w14:textId="77777777">
      <w:pPr>
        <w:spacing w:line="240" w:lineRule="auto"/>
        <w:rPr>
          <w:i/>
        </w:rPr>
      </w:pPr>
    </w:p>
    <w:p w:rsidR="00EB5129" w:rsidP="00EB5129" w:rsidRDefault="00EB5129" w14:paraId="67FBFF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rPr>
      </w:pPr>
      <w:r w:rsidRPr="00946B48">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B5129" w:rsidP="009068AA" w:rsidRDefault="00EB5129" w14:paraId="5EFB4111" w14:textId="77777777">
      <w:pPr>
        <w:pStyle w:val="NormalSS"/>
        <w:ind w:firstLine="0"/>
      </w:pPr>
    </w:p>
    <w:p w:rsidRPr="008B35E1" w:rsidR="007E1AA0" w:rsidP="002E6D04" w:rsidRDefault="00D420F0" w14:paraId="02D00368" w14:textId="31FF2F52">
      <w:pPr>
        <w:pStyle w:val="NormalSS"/>
      </w:pPr>
      <w:r w:rsidRPr="008B35E1">
        <w:t xml:space="preserve">The </w:t>
      </w:r>
      <w:r w:rsidR="00CD66B8">
        <w:t>study</w:t>
      </w:r>
      <w:r w:rsidRPr="008B35E1" w:rsidR="00CD66B8">
        <w:t xml:space="preserve"> </w:t>
      </w:r>
      <w:r w:rsidRPr="008B35E1">
        <w:t>team</w:t>
      </w:r>
      <w:r w:rsidRPr="008B35E1" w:rsidR="00D5210E">
        <w:t xml:space="preserve"> consulted </w:t>
      </w:r>
      <w:r w:rsidRPr="008B35E1" w:rsidR="007E1AA0">
        <w:t xml:space="preserve">with </w:t>
      </w:r>
      <w:r w:rsidRPr="008B35E1" w:rsidR="00890E9A">
        <w:t xml:space="preserve">current and former </w:t>
      </w:r>
      <w:r w:rsidRPr="008B35E1" w:rsidR="007E1AA0">
        <w:t>providers of technical assistance to HVRP grantees through the National Veterans Technical Assistance Center.</w:t>
      </w:r>
      <w:r w:rsidRPr="008B35E1" w:rsidR="0025742F">
        <w:t xml:space="preserve"> We discussed with them the nature of HVRP to help inform the content of the survey.</w:t>
      </w:r>
      <w:r w:rsidRPr="008B35E1" w:rsidR="007E1AA0">
        <w:t xml:space="preserve"> </w:t>
      </w:r>
      <w:r w:rsidRPr="008B35E1" w:rsidR="00E73C7C">
        <w:t>These experts are listed in Table A.2.</w:t>
      </w:r>
    </w:p>
    <w:p w:rsidRPr="008B35E1" w:rsidR="00E73C7C" w:rsidP="00E73C7C" w:rsidRDefault="00E73C7C" w14:paraId="41DA9FE1" w14:textId="5EB870A7">
      <w:pPr>
        <w:pStyle w:val="MarkforTableTitle"/>
      </w:pPr>
      <w:r w:rsidRPr="008B35E1">
        <w:t>Table A.2. Individuals providing consultation on HVRP evaluation design</w:t>
      </w:r>
    </w:p>
    <w:tbl>
      <w:tblPr>
        <w:tblStyle w:val="MPRBaseTable"/>
        <w:tblW w:w="4952" w:type="pct"/>
        <w:tblLook w:val="04A0" w:firstRow="1" w:lastRow="0" w:firstColumn="1" w:lastColumn="0" w:noHBand="0" w:noVBand="1"/>
      </w:tblPr>
      <w:tblGrid>
        <w:gridCol w:w="9270"/>
      </w:tblGrid>
      <w:tr w:rsidRPr="008B35E1" w:rsidR="00E73C7C" w:rsidTr="002B2F47" w14:paraId="364D449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Borders>
              <w:top w:val="single" w:color="auto" w:sz="4" w:space="0"/>
            </w:tcBorders>
            <w:shd w:val="clear" w:color="auto" w:fill="FFFFFF" w:themeFill="background1"/>
          </w:tcPr>
          <w:p w:rsidRPr="008B35E1" w:rsidR="00E73C7C" w:rsidP="00E73C7C" w:rsidRDefault="002C2850" w14:paraId="6443D88F" w14:textId="2E1D1C66">
            <w:pPr>
              <w:spacing w:before="0" w:line="240" w:lineRule="auto"/>
              <w:ind w:firstLine="0"/>
              <w:contextualSpacing/>
              <w:textboxTightWrap w:val="none"/>
              <w:rPr>
                <w:rFonts w:ascii="Times New Roman" w:hAnsi="Times New Roman"/>
                <w:b w:val="0"/>
                <w:color w:val="auto"/>
                <w:position w:val="0"/>
                <w:sz w:val="24"/>
              </w:rPr>
            </w:pPr>
            <w:r w:rsidRPr="008B35E1">
              <w:rPr>
                <w:rFonts w:ascii="Times New Roman" w:hAnsi="Times New Roman"/>
                <w:b w:val="0"/>
                <w:color w:val="auto"/>
                <w:position w:val="0"/>
                <w:sz w:val="24"/>
              </w:rPr>
              <w:t>John Rio</w:t>
            </w:r>
          </w:p>
          <w:p w:rsidRPr="008B35E1" w:rsidR="002C2850" w:rsidP="00E73C7C" w:rsidRDefault="002C2850" w14:paraId="5CEDE954" w14:textId="77777777">
            <w:pPr>
              <w:spacing w:before="0" w:line="240" w:lineRule="auto"/>
              <w:ind w:firstLine="0"/>
              <w:contextualSpacing/>
              <w:textboxTightWrap w:val="none"/>
              <w:rPr>
                <w:rFonts w:ascii="Times New Roman" w:hAnsi="Times New Roman"/>
                <w:b w:val="0"/>
                <w:color w:val="auto"/>
                <w:position w:val="0"/>
                <w:sz w:val="24"/>
              </w:rPr>
            </w:pPr>
            <w:r w:rsidRPr="008B35E1">
              <w:rPr>
                <w:rFonts w:ascii="Times New Roman" w:hAnsi="Times New Roman"/>
                <w:b w:val="0"/>
                <w:color w:val="auto"/>
                <w:position w:val="0"/>
                <w:sz w:val="24"/>
              </w:rPr>
              <w:t>Deputy Director, Advocates for Human Potential, Inc.</w:t>
            </w:r>
          </w:p>
          <w:p w:rsidRPr="00516240" w:rsidR="00A400B1" w:rsidP="00516240" w:rsidRDefault="00A400B1" w14:paraId="7A865656" w14:textId="77777777">
            <w:pPr>
              <w:spacing w:before="0" w:line="240" w:lineRule="auto"/>
              <w:ind w:firstLine="0"/>
              <w:contextualSpacing/>
              <w:textboxTightWrap w:val="none"/>
              <w:rPr>
                <w:rFonts w:ascii="Times New Roman" w:hAnsi="Times New Roman"/>
                <w:b w:val="0"/>
                <w:color w:val="auto"/>
                <w:position w:val="0"/>
                <w:sz w:val="24"/>
              </w:rPr>
            </w:pPr>
            <w:r w:rsidRPr="002B2F47">
              <w:rPr>
                <w:rFonts w:ascii="Times New Roman" w:hAnsi="Times New Roman"/>
                <w:b w:val="0"/>
                <w:color w:val="auto"/>
                <w:position w:val="0"/>
                <w:sz w:val="24"/>
              </w:rPr>
              <w:t>41 State Street, Suite 500</w:t>
            </w:r>
          </w:p>
          <w:p w:rsidRPr="008B35E1" w:rsidR="002C2850" w:rsidP="00E73C7C" w:rsidRDefault="00A400B1" w14:paraId="15E2BBDA" w14:textId="1D2832CE">
            <w:pPr>
              <w:spacing w:before="0" w:line="240" w:lineRule="auto"/>
              <w:ind w:firstLine="0"/>
              <w:contextualSpacing/>
              <w:textboxTightWrap w:val="none"/>
              <w:rPr>
                <w:rFonts w:ascii="Times New Roman" w:hAnsi="Times New Roman"/>
                <w:b w:val="0"/>
                <w:color w:val="auto"/>
                <w:position w:val="0"/>
                <w:sz w:val="24"/>
              </w:rPr>
            </w:pPr>
            <w:r w:rsidRPr="002B2F47">
              <w:rPr>
                <w:rFonts w:ascii="Times New Roman" w:hAnsi="Times New Roman"/>
                <w:b w:val="0"/>
                <w:color w:val="auto"/>
                <w:position w:val="0"/>
                <w:sz w:val="24"/>
              </w:rPr>
              <w:t>Albany, NY 12207</w:t>
            </w:r>
          </w:p>
        </w:tc>
      </w:tr>
      <w:tr w:rsidRPr="008B35E1" w:rsidR="002C2850" w:rsidTr="00B52451" w14:paraId="63131C4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Pr="008B35E1" w:rsidR="002C2850" w:rsidP="00B52451" w:rsidRDefault="002C2850" w14:paraId="3E5BCEA3" w14:textId="77777777">
            <w:pPr>
              <w:spacing w:line="240" w:lineRule="auto"/>
              <w:ind w:firstLine="0"/>
            </w:pPr>
          </w:p>
        </w:tc>
      </w:tr>
      <w:tr w:rsidRPr="008B35E1" w:rsidR="00E73C7C" w:rsidTr="00B52451" w14:paraId="06088B5B" w14:textId="777777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rsidRPr="008B35E1" w:rsidR="00E73C7C" w:rsidP="00B52451" w:rsidRDefault="002C2850" w14:paraId="4D4DC0CE" w14:textId="01BBFC9D">
            <w:pPr>
              <w:spacing w:line="240" w:lineRule="auto"/>
              <w:ind w:firstLine="0"/>
              <w:textboxTightWrap w:val="none"/>
              <w:rPr>
                <w:rFonts w:ascii="Times New Roman" w:hAnsi="Times New Roman"/>
                <w:sz w:val="24"/>
              </w:rPr>
            </w:pPr>
            <w:r w:rsidRPr="008B35E1">
              <w:rPr>
                <w:rFonts w:ascii="Times New Roman" w:hAnsi="Times New Roman"/>
                <w:sz w:val="24"/>
              </w:rPr>
              <w:t>Cindy Borden</w:t>
            </w:r>
          </w:p>
          <w:p w:rsidRPr="008B35E1" w:rsidR="00E73C7C" w:rsidP="00B52451" w:rsidRDefault="00E73C7C" w14:paraId="3AEA7827" w14:textId="38157195">
            <w:pPr>
              <w:spacing w:line="240" w:lineRule="auto"/>
              <w:ind w:firstLine="0"/>
              <w:textboxTightWrap w:val="none"/>
              <w:rPr>
                <w:rFonts w:ascii="Times New Roman" w:hAnsi="Times New Roman"/>
                <w:sz w:val="24"/>
              </w:rPr>
            </w:pPr>
            <w:r w:rsidRPr="008B35E1">
              <w:rPr>
                <w:rFonts w:ascii="Times New Roman" w:hAnsi="Times New Roman"/>
                <w:sz w:val="24"/>
              </w:rPr>
              <w:t>Director</w:t>
            </w:r>
            <w:r w:rsidRPr="008B35E1" w:rsidR="002C2850">
              <w:rPr>
                <w:rFonts w:ascii="Times New Roman" w:hAnsi="Times New Roman"/>
                <w:sz w:val="24"/>
              </w:rPr>
              <w:t xml:space="preserve"> TA and Training, National Coalition for Homeless Veterans (NCHV)</w:t>
            </w:r>
          </w:p>
          <w:p w:rsidRPr="008B35E1" w:rsidR="00A400B1" w:rsidP="002B2F47" w:rsidRDefault="00A400B1" w14:paraId="41FC500B" w14:textId="2A31D0D8">
            <w:pPr>
              <w:spacing w:after="60" w:line="240" w:lineRule="auto"/>
              <w:ind w:firstLine="0"/>
              <w:textboxTightWrap w:val="none"/>
              <w:rPr>
                <w:rFonts w:ascii="Times New Roman" w:hAnsi="Times New Roman"/>
                <w:sz w:val="24"/>
              </w:rPr>
            </w:pPr>
            <w:r w:rsidRPr="002B2F47">
              <w:rPr>
                <w:rFonts w:ascii="Times New Roman" w:hAnsi="Times New Roman"/>
                <w:sz w:val="24"/>
              </w:rPr>
              <w:t xml:space="preserve">1730 M Street, NW Suite 705 </w:t>
            </w:r>
          </w:p>
          <w:p w:rsidRPr="008B35E1" w:rsidR="00E73C7C" w:rsidP="002B2F47" w:rsidRDefault="00A400B1" w14:paraId="26898D90" w14:textId="45F5CDBA">
            <w:pPr>
              <w:spacing w:after="60" w:line="240" w:lineRule="auto"/>
              <w:ind w:firstLine="0"/>
              <w:textboxTightWrap w:val="none"/>
              <w:rPr>
                <w:rFonts w:ascii="Times New Roman" w:hAnsi="Times New Roman"/>
                <w:sz w:val="24"/>
              </w:rPr>
            </w:pPr>
            <w:r w:rsidRPr="002B2F47">
              <w:rPr>
                <w:rFonts w:ascii="Times New Roman" w:hAnsi="Times New Roman"/>
                <w:sz w:val="24"/>
              </w:rPr>
              <w:t>Washington, DC 20036</w:t>
            </w:r>
          </w:p>
        </w:tc>
      </w:tr>
    </w:tbl>
    <w:p w:rsidR="00BC33AE" w:rsidP="00335859" w:rsidRDefault="00BC33AE" w14:paraId="4F695784" w14:textId="77777777">
      <w:pPr>
        <w:pStyle w:val="H4Number"/>
        <w:rPr>
          <w:b w:val="0"/>
          <w:szCs w:val="24"/>
        </w:rPr>
      </w:pPr>
    </w:p>
    <w:p w:rsidRPr="008B35E1" w:rsidR="00D5210E" w:rsidP="00335859" w:rsidRDefault="00D5210E" w14:paraId="57BED801" w14:textId="55908500">
      <w:pPr>
        <w:pStyle w:val="H4Number"/>
      </w:pPr>
      <w:bookmarkStart w:name="_Toc63827182" w:id="83"/>
      <w:bookmarkStart w:name="_Toc70752931" w:id="84"/>
      <w:bookmarkStart w:name="_Toc213228323" w:id="85"/>
      <w:bookmarkStart w:name="_Toc276390671" w:id="86"/>
      <w:bookmarkStart w:name="_Toc276988160" w:id="87"/>
      <w:bookmarkStart w:name="_Toc277079579" w:id="88"/>
      <w:bookmarkStart w:name="_Toc283908719" w:id="89"/>
      <w:bookmarkStart w:name="_Toc298415689" w:id="90"/>
      <w:bookmarkStart w:name="_Toc298418570" w:id="91"/>
      <w:bookmarkStart w:name="_Toc374099829" w:id="92"/>
      <w:bookmarkStart w:name="_Toc428361292" w:id="93"/>
      <w:bookmarkStart w:name="_Toc428361452" w:id="94"/>
      <w:r w:rsidRPr="008B35E1">
        <w:t>9.</w:t>
      </w:r>
      <w:r w:rsidRPr="008B35E1">
        <w:tab/>
      </w:r>
      <w:r w:rsidRPr="00CE799D" w:rsidR="00167F38">
        <w:rPr>
          <w:rFonts w:ascii="Times New Roman" w:hAnsi="Times New Roman"/>
          <w:b w:val="0"/>
          <w:i/>
        </w:rPr>
        <w:t>Explain any decision to provide any payment or gift to respondents, other than remuneration of contractors or grantees.</w:t>
      </w:r>
      <w:bookmarkEnd w:id="83"/>
      <w:bookmarkEnd w:id="84"/>
      <w:bookmarkEnd w:id="85"/>
      <w:bookmarkEnd w:id="86"/>
      <w:bookmarkEnd w:id="87"/>
      <w:bookmarkEnd w:id="88"/>
      <w:bookmarkEnd w:id="89"/>
      <w:bookmarkEnd w:id="90"/>
      <w:bookmarkEnd w:id="91"/>
      <w:bookmarkEnd w:id="92"/>
      <w:bookmarkEnd w:id="93"/>
      <w:bookmarkEnd w:id="94"/>
    </w:p>
    <w:p w:rsidRPr="008B35E1" w:rsidR="00D5210E" w:rsidP="002E6D04" w:rsidRDefault="00FF13E4" w14:paraId="4F71749B" w14:textId="55BF6356">
      <w:pPr>
        <w:pStyle w:val="NormalSS"/>
      </w:pPr>
      <w:r w:rsidRPr="008B35E1">
        <w:t xml:space="preserve">Respondents </w:t>
      </w:r>
      <w:r w:rsidRPr="008B35E1" w:rsidR="00890E9A">
        <w:t xml:space="preserve">to the grantee survey and grantee and partner staff participating in site visits </w:t>
      </w:r>
      <w:r w:rsidRPr="008B35E1">
        <w:t>will not receive payments.</w:t>
      </w:r>
      <w:r w:rsidRPr="008B35E1" w:rsidR="00D5210E">
        <w:t xml:space="preserve"> </w:t>
      </w:r>
    </w:p>
    <w:p w:rsidR="00EA0C76" w:rsidP="00EA0C76" w:rsidRDefault="00EA0C76" w14:paraId="436E7A9B" w14:textId="77777777">
      <w:pPr>
        <w:spacing w:after="240" w:line="240" w:lineRule="auto"/>
      </w:pPr>
      <w:r>
        <w:t xml:space="preserve">Incentives for this data collection are planned for </w:t>
      </w:r>
      <w:r w:rsidRPr="00735A13">
        <w:t>HVRP and non-HVRP veterans who participate in an in-depth interview.</w:t>
      </w:r>
      <w:r>
        <w:t xml:space="preserve"> </w:t>
      </w:r>
      <w:r w:rsidRPr="00735A13">
        <w:t xml:space="preserve">Each HVRP veteran who participates in a 90-minute in-depth interview will receive a $50 gift card in appreciation of his or her contributions toward the research. Each non-HVRP veteran </w:t>
      </w:r>
      <w:r>
        <w:t xml:space="preserve">who </w:t>
      </w:r>
      <w:r w:rsidRPr="00735A13">
        <w:t>participat</w:t>
      </w:r>
      <w:r>
        <w:t>es</w:t>
      </w:r>
      <w:r w:rsidRPr="00735A13">
        <w:t xml:space="preserve"> will receive a $25 gift card in appreciation</w:t>
      </w:r>
      <w:r>
        <w:t xml:space="preserve">, given the </w:t>
      </w:r>
      <w:r w:rsidRPr="00735A13">
        <w:t>shorter 45-minute interview</w:t>
      </w:r>
      <w:r>
        <w:t xml:space="preserve"> length</w:t>
      </w:r>
      <w:r w:rsidRPr="00735A13">
        <w:t xml:space="preserve">. </w:t>
      </w:r>
    </w:p>
    <w:p w:rsidRPr="004433A8" w:rsidR="00A65D7B" w:rsidP="00A65D7B" w:rsidRDefault="00A65D7B" w14:paraId="73D3E983" w14:textId="359E12BE">
      <w:pPr>
        <w:spacing w:after="240" w:line="240" w:lineRule="auto"/>
      </w:pPr>
      <w:r>
        <w:t xml:space="preserve">The veteran interviews were originally planned to be conducted in-person, facilitated by the program sites from which they are receiving services. The in-person format would have mitigated some of the barriers to veteran participation, for example, by providing a safe and private environment where participants could speak to a researcher. Due to COVID-19, these interviews will take place by phone, increasing the barriers to participation. For example, for programs that are limiting in-person interactions with clients, phone is the most likely way to reach them to ask them to participate in an interview for the evaluation. If participants have limited phone plans or prepaid cell phone minutes, they may be less likely to participate in an interview because of the cell phone costs and difficulty in reaching willing participants if their minutes have run out. For programs that have offices that are open to participants, transportation costs to the site can also be a barrier to participation in an interview. </w:t>
      </w:r>
      <w:r w:rsidRPr="00735A13">
        <w:t>The planned incentive amount help</w:t>
      </w:r>
      <w:r>
        <w:t>s to</w:t>
      </w:r>
      <w:r w:rsidRPr="00735A13">
        <w:t xml:space="preserve"> </w:t>
      </w:r>
      <w:r>
        <w:t>ease</w:t>
      </w:r>
      <w:r w:rsidRPr="00735A13">
        <w:t xml:space="preserve"> the financial burden that many participants will incur as a result of participation, </w:t>
      </w:r>
      <w:r>
        <w:t xml:space="preserve">including cell phone costs or traveling to a program site. Considerable experimental evidence has also demonstrated that offering incentives encourages those </w:t>
      </w:r>
      <w:r>
        <w:lastRenderedPageBreak/>
        <w:t>less interested in the research to participate.</w:t>
      </w:r>
      <w:r>
        <w:rPr>
          <w:rStyle w:val="FootnoteReference"/>
        </w:rPr>
        <w:footnoteReference w:id="2"/>
      </w:r>
      <w:r>
        <w:rPr>
          <w:vertAlign w:val="superscript"/>
        </w:rPr>
        <w:t>,</w:t>
      </w:r>
      <w:r>
        <w:rPr>
          <w:rStyle w:val="FootnoteReference"/>
        </w:rPr>
        <w:footnoteReference w:id="3"/>
      </w:r>
      <w:r>
        <w:rPr>
          <w:vertAlign w:val="superscript"/>
        </w:rPr>
        <w:t xml:space="preserve"> </w:t>
      </w:r>
      <w:r>
        <w:t>Therefore, providing an incentive for the veteran interviews can help reduce systematic nonresponse among those for whom cost is a barrier, or who have less interest in study participation.</w:t>
      </w:r>
    </w:p>
    <w:p w:rsidRPr="008B35E1" w:rsidR="00890E9A" w:rsidP="00AC0076" w:rsidRDefault="00A65D7B" w14:paraId="76F141CE" w14:textId="70317C3A">
      <w:pPr>
        <w:pStyle w:val="ESParagraph"/>
        <w:ind w:firstLine="432"/>
      </w:pPr>
      <w:r w:rsidRPr="00735A13">
        <w:rPr>
          <w:rFonts w:ascii="Times New Roman" w:hAnsi="Times New Roman" w:eastAsia="Times New Roman" w:cs="Times New Roman"/>
          <w:sz w:val="24"/>
          <w:szCs w:val="20"/>
        </w:rPr>
        <w:t>A previous study assessing the effect of Supplemental Nutrition Assistance Program on Food Security (OMB Control Number 0584-0563, Discontinued 9/19/11) offered a $30 incentive to a disadvantaged target population for a 90-minute in-depth interview, similar to the population targeted for HVRP. As there were difficulties completing in-depth interviews for this study, a subsequent study with a similar population used $50 incentives effectively to recruit demonstration project participants for in-depth interviews (Evaluation of Demonstration Projects to End Childhood Hunger; OMB Control Number 0584-0603; Discontinued 8/31/18).</w:t>
      </w:r>
      <w:r>
        <w:rPr>
          <w:rFonts w:ascii="Times New Roman" w:hAnsi="Times New Roman" w:eastAsia="Times New Roman" w:cs="Times New Roman"/>
          <w:sz w:val="24"/>
          <w:szCs w:val="20"/>
        </w:rPr>
        <w:t xml:space="preserve"> However, the in-depth interviews for both of these studies were done in-person, to facilitate access to hard-to-reach individuals, like the veterans sought for the current study. Shifting to fully remote data collection as a result of the COVID-19 pandemic increases the challenges of engaging program sites to contact and help recruit veterans to participate in a remote interview. In promoting HVRP and non-HVRP veteran participation, the planned incentives for the current study may help limit the amount of time program sites and contractor staff will need to expend to recruit a sufficient number of willing study participants. The Strengthening Relationship Education and Marriage Services </w:t>
      </w:r>
      <w:r w:rsidRPr="006D1BCC">
        <w:rPr>
          <w:rFonts w:ascii="Times New Roman" w:hAnsi="Times New Roman" w:eastAsia="Times New Roman" w:cs="Times New Roman"/>
          <w:sz w:val="24"/>
          <w:szCs w:val="20"/>
        </w:rPr>
        <w:t>(OMB Control Number 0970-0481</w:t>
      </w:r>
      <w:r>
        <w:rPr>
          <w:rFonts w:ascii="Times New Roman" w:hAnsi="Times New Roman" w:eastAsia="Times New Roman" w:cs="Times New Roman"/>
          <w:sz w:val="24"/>
          <w:szCs w:val="20"/>
        </w:rPr>
        <w:t>, Expires 4/30/22</w:t>
      </w:r>
      <w:r w:rsidRPr="006D1BCC">
        <w:rPr>
          <w:rFonts w:ascii="Times New Roman" w:hAnsi="Times New Roman" w:eastAsia="Times New Roman" w:cs="Times New Roman"/>
          <w:sz w:val="24"/>
          <w:szCs w:val="20"/>
        </w:rPr>
        <w:t>)</w:t>
      </w:r>
      <w:r>
        <w:rPr>
          <w:rFonts w:ascii="Times New Roman" w:hAnsi="Times New Roman" w:eastAsia="Times New Roman" w:cs="Times New Roman"/>
          <w:sz w:val="24"/>
          <w:szCs w:val="20"/>
        </w:rPr>
        <w:t xml:space="preserve"> faced lower than expected response rates for the follow-up survey in the spring of 2020 as the pandemic began, and therefore could not utilize in-person field locating to promote participation. In early 2020, the</w:t>
      </w:r>
      <w:r w:rsidRPr="00787682">
        <w:t xml:space="preserve"> </w:t>
      </w:r>
      <w:r w:rsidRPr="00787682">
        <w:rPr>
          <w:rFonts w:ascii="Times New Roman" w:hAnsi="Times New Roman" w:eastAsia="Times New Roman" w:cs="Times New Roman"/>
          <w:sz w:val="24"/>
          <w:szCs w:val="20"/>
        </w:rPr>
        <w:t xml:space="preserve">Evaluation of Employment Coaching for TANF and Related Populations </w:t>
      </w:r>
      <w:r w:rsidRPr="00787682">
        <w:rPr>
          <w:rFonts w:ascii="Times New Roman" w:hAnsi="Times New Roman" w:eastAsia="Times New Roman" w:cs="Times New Roman"/>
          <w:sz w:val="24"/>
          <w:szCs w:val="20"/>
        </w:rPr>
        <w:lastRenderedPageBreak/>
        <w:t>(OMB Control Number 0970-0506</w:t>
      </w:r>
      <w:r>
        <w:rPr>
          <w:rFonts w:ascii="Times New Roman" w:hAnsi="Times New Roman" w:eastAsia="Times New Roman" w:cs="Times New Roman"/>
          <w:sz w:val="24"/>
          <w:szCs w:val="20"/>
        </w:rPr>
        <w:t>, Expires 4/30/22</w:t>
      </w:r>
      <w:r w:rsidRPr="00787682">
        <w:rPr>
          <w:rFonts w:ascii="Times New Roman" w:hAnsi="Times New Roman" w:eastAsia="Times New Roman" w:cs="Times New Roman"/>
          <w:sz w:val="24"/>
          <w:szCs w:val="20"/>
        </w:rPr>
        <w:t>)</w:t>
      </w:r>
      <w:r>
        <w:rPr>
          <w:rFonts w:ascii="Times New Roman" w:hAnsi="Times New Roman" w:eastAsia="Times New Roman" w:cs="Times New Roman"/>
          <w:sz w:val="24"/>
          <w:szCs w:val="20"/>
        </w:rPr>
        <w:t xml:space="preserve"> also faced lower responses rates in some program sites, which site staff attributed to increased housing costs and homelessness among study participants. Consequently, OMB approved an increase in the offered incentive for the low-income, hard to reach population targeted by both studies, raising the amount to $40 or $50 for a 45-minute interview. The current study can be expected to face similar challenges in recruiting hard to reach veterans for virtual interviews.</w:t>
      </w:r>
    </w:p>
    <w:p w:rsidRPr="008B35E1" w:rsidR="00D5210E" w:rsidP="00335859" w:rsidRDefault="00D5210E" w14:paraId="014276F4" w14:textId="5AA2EFF9">
      <w:pPr>
        <w:pStyle w:val="H4Number"/>
      </w:pPr>
      <w:bookmarkStart w:name="_Toc63827183" w:id="95"/>
      <w:bookmarkStart w:name="_Toc70752932" w:id="96"/>
      <w:bookmarkStart w:name="_Toc213228324" w:id="97"/>
      <w:bookmarkStart w:name="_Toc276390672" w:id="98"/>
      <w:bookmarkStart w:name="_Toc276988161" w:id="99"/>
      <w:bookmarkStart w:name="_Toc277079580" w:id="100"/>
      <w:bookmarkStart w:name="_Toc283908720" w:id="101"/>
      <w:bookmarkStart w:name="_Toc298415690" w:id="102"/>
      <w:bookmarkStart w:name="_Toc298418571" w:id="103"/>
      <w:bookmarkStart w:name="_Toc374099830" w:id="104"/>
      <w:bookmarkStart w:name="_Toc428361293" w:id="105"/>
      <w:bookmarkStart w:name="_Toc428361453" w:id="106"/>
      <w:r w:rsidRPr="008B35E1">
        <w:t>10.</w:t>
      </w:r>
      <w:r w:rsidRPr="008B35E1">
        <w:tab/>
      </w:r>
      <w:r w:rsidRPr="00CE799D" w:rsidR="00167F38">
        <w:rPr>
          <w:rFonts w:ascii="Times New Roman" w:hAnsi="Times New Roman"/>
          <w:b w:val="0"/>
          <w:i/>
        </w:rPr>
        <w:t>Describe any assurance of privacy provided to respondents and the basis for the assurance in statute, regulation, or agency policy.</w:t>
      </w:r>
      <w:bookmarkEnd w:id="95"/>
      <w:bookmarkEnd w:id="96"/>
      <w:bookmarkEnd w:id="97"/>
      <w:bookmarkEnd w:id="98"/>
      <w:bookmarkEnd w:id="99"/>
      <w:bookmarkEnd w:id="100"/>
      <w:bookmarkEnd w:id="101"/>
      <w:bookmarkEnd w:id="102"/>
      <w:bookmarkEnd w:id="103"/>
      <w:bookmarkEnd w:id="104"/>
      <w:bookmarkEnd w:id="105"/>
      <w:bookmarkEnd w:id="106"/>
    </w:p>
    <w:p w:rsidRPr="008B35E1" w:rsidR="00347CA4" w:rsidP="002E6D04" w:rsidRDefault="000164DE" w14:paraId="5092AA53" w14:textId="7EAAA104">
      <w:pPr>
        <w:pStyle w:val="NormalSS"/>
      </w:pPr>
      <w:r w:rsidRPr="008B35E1">
        <w:t xml:space="preserve">Information collected </w:t>
      </w:r>
      <w:r w:rsidR="002B2F47">
        <w:t>will</w:t>
      </w:r>
      <w:r w:rsidRPr="008B35E1">
        <w:t xml:space="preserve"> be kept private to the extent permitted by </w:t>
      </w:r>
      <w:r w:rsidRPr="008B35E1" w:rsidR="00100E24">
        <w:t>law. The</w:t>
      </w:r>
      <w:r w:rsidRPr="008B35E1" w:rsidR="00347CA4">
        <w:t xml:space="preserve"> study team will protect the full privacy of all individuals who provide data. The study will not have data associated with personally identifiable information (PII), as study staff will assign random ID numbers to all data records and then strip any PII</w:t>
      </w:r>
      <w:r w:rsidR="00FA441A">
        <w:t>, such as name,</w:t>
      </w:r>
      <w:r w:rsidRPr="008B35E1" w:rsidR="00347CA4">
        <w:t xml:space="preserve"> from the data records. In addition to the data safeguards described here, the study team will ensure that no respondent or organization names are identified in publicly available reports or findings, and if necessary, the study team will mask distinguishing characteristics.</w:t>
      </w:r>
    </w:p>
    <w:p w:rsidRPr="008B35E1" w:rsidR="00D5210E" w:rsidP="00335859" w:rsidRDefault="00867DB4" w14:paraId="0208C66B" w14:textId="3BBF59B3">
      <w:pPr>
        <w:pStyle w:val="H4Number"/>
      </w:pPr>
      <w:bookmarkStart w:name="_Toc63827184" w:id="107"/>
      <w:bookmarkStart w:name="_Toc70752933" w:id="108"/>
      <w:bookmarkStart w:name="_Toc213228325" w:id="109"/>
      <w:bookmarkStart w:name="_Toc276390673" w:id="110"/>
      <w:bookmarkStart w:name="_Toc276988162" w:id="111"/>
      <w:bookmarkStart w:name="_Toc277079581" w:id="112"/>
      <w:bookmarkStart w:name="_Toc283908721" w:id="113"/>
      <w:bookmarkStart w:name="_Toc298415691" w:id="114"/>
      <w:bookmarkStart w:name="_Toc298418572" w:id="115"/>
      <w:bookmarkStart w:name="_Toc374099831" w:id="116"/>
      <w:bookmarkStart w:name="_Toc428361294" w:id="117"/>
      <w:bookmarkStart w:name="_Toc428361454" w:id="118"/>
      <w:r w:rsidRPr="008B35E1">
        <w:t>11.</w:t>
      </w:r>
      <w:r w:rsidRPr="008B35E1">
        <w:tab/>
      </w:r>
      <w:r w:rsidRPr="00CE799D" w:rsidR="00167F38">
        <w:rPr>
          <w:rFonts w:ascii="Times New Roman" w:hAnsi="Times New Roman"/>
          <w:b w:val="0"/>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107"/>
      <w:bookmarkEnd w:id="108"/>
      <w:bookmarkEnd w:id="109"/>
      <w:bookmarkEnd w:id="110"/>
      <w:bookmarkEnd w:id="111"/>
      <w:bookmarkEnd w:id="112"/>
      <w:bookmarkEnd w:id="113"/>
      <w:bookmarkEnd w:id="114"/>
      <w:bookmarkEnd w:id="115"/>
      <w:bookmarkEnd w:id="116"/>
      <w:bookmarkEnd w:id="117"/>
      <w:bookmarkEnd w:id="118"/>
    </w:p>
    <w:p w:rsidRPr="008B35E1" w:rsidR="00347CA4" w:rsidP="00347CA4" w:rsidRDefault="00347CA4" w14:paraId="41A977E2" w14:textId="41E72EEB">
      <w:pPr>
        <w:pStyle w:val="NormalSS"/>
      </w:pPr>
      <w:r w:rsidRPr="008B35E1">
        <w:t xml:space="preserve">No questions of a sensitive nature will be included in </w:t>
      </w:r>
      <w:r w:rsidRPr="008B35E1" w:rsidR="00DA1C38">
        <w:t>the grantee survey</w:t>
      </w:r>
      <w:r w:rsidR="002E1523">
        <w:t xml:space="preserve"> or</w:t>
      </w:r>
      <w:r w:rsidRPr="008B35E1" w:rsidR="00DA1C38">
        <w:t xml:space="preserve"> </w:t>
      </w:r>
      <w:r w:rsidR="00BC33AE">
        <w:t xml:space="preserve">key </w:t>
      </w:r>
      <w:r w:rsidRPr="008B35E1" w:rsidR="00DA1C38">
        <w:t xml:space="preserve">informant interviews. The </w:t>
      </w:r>
      <w:r w:rsidRPr="00FA441A" w:rsidR="002E1523">
        <w:t xml:space="preserve">HVRP </w:t>
      </w:r>
      <w:r w:rsidR="00DC2F57">
        <w:t xml:space="preserve">and non-HVRP </w:t>
      </w:r>
      <w:r w:rsidRPr="00FA441A" w:rsidR="00E62B77">
        <w:t xml:space="preserve">veteran </w:t>
      </w:r>
      <w:r w:rsidRPr="00FA441A" w:rsidR="00DA1C38">
        <w:t xml:space="preserve">interview </w:t>
      </w:r>
      <w:r w:rsidRPr="00FA441A" w:rsidR="00195CCB">
        <w:t>guide</w:t>
      </w:r>
      <w:r w:rsidR="00DC2F57">
        <w:t>s</w:t>
      </w:r>
      <w:r w:rsidRPr="00FA441A" w:rsidR="002E1523">
        <w:t xml:space="preserve"> </w:t>
      </w:r>
      <w:r w:rsidRPr="00FA441A" w:rsidR="00DA1C38">
        <w:t xml:space="preserve">do ask questions that could be </w:t>
      </w:r>
      <w:r w:rsidRPr="00FA441A" w:rsidR="00BB5FD9">
        <w:t>considered</w:t>
      </w:r>
      <w:r w:rsidRPr="00FA441A" w:rsidR="00DA1C38">
        <w:t xml:space="preserve"> sensitive</w:t>
      </w:r>
      <w:r w:rsidRPr="008B35E1" w:rsidR="00DA1C38">
        <w:t xml:space="preserve">. </w:t>
      </w:r>
      <w:r w:rsidRPr="008B35E1" w:rsidR="00D726F2">
        <w:t>These</w:t>
      </w:r>
      <w:r w:rsidRPr="008B35E1" w:rsidR="00D62F6F">
        <w:t xml:space="preserve"> questions seek to </w:t>
      </w:r>
      <w:r w:rsidRPr="008B35E1" w:rsidR="00DA1C38">
        <w:t xml:space="preserve">understand the challenges that participants have faced resulting in their homelessness. These questions are justified so that the study team can document the circumstances that bring veterans into </w:t>
      </w:r>
      <w:r w:rsidRPr="008B35E1" w:rsidR="00D62F6F">
        <w:t>HVRP</w:t>
      </w:r>
      <w:r w:rsidRPr="008B35E1" w:rsidR="00DA1C38">
        <w:t xml:space="preserve"> </w:t>
      </w:r>
      <w:r w:rsidRPr="008B35E1" w:rsidR="00FA441A">
        <w:t>and</w:t>
      </w:r>
      <w:r w:rsidR="00FA441A">
        <w:t xml:space="preserve"> other services, and </w:t>
      </w:r>
      <w:r w:rsidRPr="008B35E1" w:rsidR="00DA1C38">
        <w:t>the</w:t>
      </w:r>
      <w:r w:rsidRPr="008B35E1" w:rsidR="00D62F6F">
        <w:t xml:space="preserve">ir understanding for how </w:t>
      </w:r>
      <w:r w:rsidRPr="008B35E1" w:rsidR="00DA1C38">
        <w:t>the program</w:t>
      </w:r>
      <w:r w:rsidR="00FA441A">
        <w:t>s</w:t>
      </w:r>
      <w:r w:rsidRPr="008B35E1" w:rsidR="00DA1C38">
        <w:t xml:space="preserve"> help them. These interviews will be valuable in that they will add the participants’ perspectives to the research.</w:t>
      </w:r>
    </w:p>
    <w:p w:rsidRPr="00CE799D" w:rsidR="00D355A1" w:rsidP="00D355A1" w:rsidRDefault="00D5210E" w14:paraId="2A17A2AA" w14:textId="36E0F401">
      <w:pPr>
        <w:pStyle w:val="H4Number"/>
        <w:rPr>
          <w:rFonts w:ascii="Times New Roman" w:hAnsi="Times New Roman"/>
          <w:b w:val="0"/>
          <w:i/>
        </w:rPr>
      </w:pPr>
      <w:bookmarkStart w:name="_Toc63827185" w:id="119"/>
      <w:bookmarkStart w:name="_Toc70752934" w:id="120"/>
      <w:bookmarkStart w:name="_Toc213228326" w:id="121"/>
      <w:bookmarkStart w:name="_Toc276390674" w:id="122"/>
      <w:bookmarkStart w:name="_Toc276988163" w:id="123"/>
      <w:bookmarkStart w:name="_Toc277079582" w:id="124"/>
      <w:bookmarkStart w:name="_Toc283908722" w:id="125"/>
      <w:bookmarkStart w:name="_Toc298415692" w:id="126"/>
      <w:bookmarkStart w:name="_Toc298418573" w:id="127"/>
      <w:bookmarkStart w:name="_Toc374099832" w:id="128"/>
      <w:bookmarkStart w:name="_Toc428361295" w:id="129"/>
      <w:bookmarkStart w:name="_Toc428361455" w:id="130"/>
      <w:r w:rsidRPr="008B35E1">
        <w:t>12.</w:t>
      </w:r>
      <w:r w:rsidRPr="008B35E1">
        <w:tab/>
      </w:r>
      <w:r w:rsidRPr="00CE799D" w:rsidR="00167F38">
        <w:rPr>
          <w:rFonts w:ascii="Times New Roman" w:hAnsi="Times New Roman"/>
          <w:b w:val="0"/>
          <w:i/>
        </w:rPr>
        <w:t>Provide estimates of the hour burden of the collection of information.</w:t>
      </w:r>
    </w:p>
    <w:p w:rsidRPr="00CE799D" w:rsidR="00D355A1" w:rsidP="00D355A1" w:rsidRDefault="00D355A1" w14:paraId="4800B080" w14:textId="447C0DB4">
      <w:pPr>
        <w:pStyle w:val="H4Number"/>
        <w:rPr>
          <w:rFonts w:ascii="Times New Roman" w:hAnsi="Times New Roman"/>
          <w:b w:val="0"/>
          <w:i/>
        </w:rPr>
      </w:pPr>
      <w:r w:rsidRPr="00CE799D">
        <w:rPr>
          <w:rFonts w:ascii="Times New Roman" w:hAnsi="Times New Roman"/>
          <w:b w:val="0"/>
          <w:i/>
        </w:rPr>
        <w:tab/>
      </w:r>
      <w:r w:rsidRPr="00CE799D" w:rsidR="00167F38">
        <w:rPr>
          <w:rFonts w:ascii="Times New Roman" w:hAnsi="Times New Roman"/>
          <w:b w:val="0"/>
          <w:i/>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t>
      </w:r>
      <w:r w:rsidRPr="00CE799D" w:rsidR="00167F38">
        <w:rPr>
          <w:rFonts w:ascii="Times New Roman" w:hAnsi="Times New Roman"/>
          <w:b w:val="0"/>
          <w:i/>
        </w:rPr>
        <w:lastRenderedPageBreak/>
        <w:t>widely because of differences in activity, size, or complexity, show the range of estimated hour burden, and explain the reasons for the variance.  Generally, estimates should not include burden hours for customary and usual business practices.</w:t>
      </w:r>
    </w:p>
    <w:p w:rsidRPr="00CE799D" w:rsidR="00D355A1" w:rsidP="00167F38" w:rsidRDefault="00114141" w14:paraId="3697C3D4" w14:textId="2D41F5E5">
      <w:pPr>
        <w:pStyle w:val="H4Number"/>
        <w:rPr>
          <w:rFonts w:ascii="Times New Roman" w:hAnsi="Times New Roman"/>
          <w:b w:val="0"/>
          <w:i/>
        </w:rPr>
      </w:pPr>
      <w:r w:rsidRPr="00CE799D">
        <w:rPr>
          <w:rFonts w:ascii="Times New Roman" w:hAnsi="Times New Roman"/>
          <w:b w:val="0"/>
          <w:i/>
        </w:rPr>
        <w:tab/>
      </w:r>
      <w:r w:rsidRPr="00CE799D" w:rsidR="00167F38">
        <w:rPr>
          <w:rFonts w:ascii="Times New Roman" w:hAnsi="Times New Roman"/>
          <w:b w:val="0"/>
          <w:i/>
        </w:rPr>
        <w:t xml:space="preserve">* If this request for approval covers more than one form, provide separate hour burden estimates for each form and aggregate the hour burdens. </w:t>
      </w:r>
      <w:r w:rsidRPr="00CE799D" w:rsidR="00D355A1">
        <w:rPr>
          <w:rFonts w:ascii="Times New Roman" w:hAnsi="Times New Roman"/>
          <w:b w:val="0"/>
          <w:i/>
        </w:rPr>
        <w:t xml:space="preserve">* </w:t>
      </w:r>
    </w:p>
    <w:p w:rsidR="003C2755" w:rsidP="003C2755" w:rsidRDefault="00114141" w14:paraId="22127EF4" w14:textId="3A9D1189">
      <w:pPr>
        <w:pStyle w:val="H4Number"/>
      </w:pPr>
      <w:r w:rsidRPr="00CE799D">
        <w:rPr>
          <w:rFonts w:ascii="Times New Roman" w:hAnsi="Times New Roman"/>
          <w:b w:val="0"/>
          <w:i/>
        </w:rPr>
        <w:tab/>
      </w:r>
      <w:r w:rsidRPr="00CE799D" w:rsidR="00D355A1">
        <w:rPr>
          <w:rFonts w:ascii="Times New Roman" w:hAnsi="Times New Roman"/>
          <w:b w:val="0"/>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bookmarkStart w:name="_Toc63827186" w:id="131"/>
      <w:bookmarkStart w:name="_Toc70752935" w:id="132"/>
      <w:bookmarkStart w:name="_Toc213228327" w:id="133"/>
      <w:bookmarkStart w:name="_Toc276390675" w:id="134"/>
      <w:bookmarkStart w:name="_Toc276988164" w:id="135"/>
      <w:bookmarkStart w:name="_Toc277079583" w:id="136"/>
      <w:bookmarkStart w:name="_Toc283908723" w:id="137"/>
      <w:bookmarkStart w:name="_Toc298415693" w:id="138"/>
      <w:bookmarkStart w:name="_Toc298418574" w:id="139"/>
      <w:bookmarkEnd w:id="119"/>
      <w:bookmarkEnd w:id="120"/>
      <w:bookmarkEnd w:id="121"/>
      <w:bookmarkEnd w:id="122"/>
      <w:bookmarkEnd w:id="123"/>
      <w:bookmarkEnd w:id="124"/>
      <w:bookmarkEnd w:id="125"/>
      <w:bookmarkEnd w:id="126"/>
      <w:bookmarkEnd w:id="127"/>
      <w:bookmarkEnd w:id="128"/>
      <w:bookmarkEnd w:id="129"/>
      <w:bookmarkEnd w:id="130"/>
    </w:p>
    <w:p w:rsidRPr="005C14DA" w:rsidR="005C14DA" w:rsidP="005C14DA" w:rsidRDefault="005C14DA" w14:paraId="63FFB037" w14:textId="790BD8B1">
      <w:pPr>
        <w:pStyle w:val="NormalSS"/>
      </w:pPr>
      <w:r w:rsidRPr="008B35E1">
        <w:t>Table A.3 provides annual burden estimates for each of the data collection activities for which this package requests clearance. All of the activities covered by this request will take place within about a three-year period. To calculate the estimated cost burden for respondents, average hourly wages from the U.S. Bureau of Labor Statistics</w:t>
      </w:r>
      <w:r w:rsidRPr="00516240">
        <w:t>, National, State, Metropolitan, and Nonmetropolitan Area Occupational Employment and Wage Estimates for May</w:t>
      </w:r>
      <w:r w:rsidRPr="008B35E1">
        <w:t xml:space="preserve"> 201</w:t>
      </w:r>
      <w:r w:rsidR="00016CFA">
        <w:t>9</w:t>
      </w:r>
      <w:r w:rsidRPr="008B35E1">
        <w:t xml:space="preserve"> were multiplied by the number of hours per respondent type. The following summarizes the annual burden estimates for each of the four data collection activities:</w:t>
      </w:r>
    </w:p>
    <w:p w:rsidRPr="008B35E1" w:rsidR="00A72824" w:rsidP="003E0C02" w:rsidRDefault="00A72824" w14:paraId="4ADD6436" w14:textId="73C87B2A">
      <w:pPr>
        <w:pStyle w:val="NumberedBullet"/>
        <w:numPr>
          <w:ilvl w:val="0"/>
          <w:numId w:val="52"/>
        </w:numPr>
        <w:ind w:left="432" w:hanging="432"/>
      </w:pPr>
      <w:r w:rsidRPr="008B35E1">
        <w:rPr>
          <w:b/>
        </w:rPr>
        <w:t>Grantee survey.</w:t>
      </w:r>
      <w:r w:rsidRPr="008B35E1">
        <w:t xml:space="preserve"> We will administer the grantee survey </w:t>
      </w:r>
      <w:r w:rsidR="00773FA4">
        <w:t xml:space="preserve">to </w:t>
      </w:r>
      <w:r w:rsidR="00421A6B">
        <w:t>149 awardees</w:t>
      </w:r>
      <w:r w:rsidR="00773FA4">
        <w:t xml:space="preserve">, with </w:t>
      </w:r>
      <w:r w:rsidR="00421A6B">
        <w:t>134</w:t>
      </w:r>
      <w:r w:rsidR="00773FA4">
        <w:t xml:space="preserve"> expected completes </w:t>
      </w:r>
      <w:r w:rsidR="00304403">
        <w:t xml:space="preserve">(90 percent of </w:t>
      </w:r>
      <w:r w:rsidR="00421A6B">
        <w:t>149 awardees</w:t>
      </w:r>
      <w:r w:rsidR="00304403">
        <w:t xml:space="preserve">) </w:t>
      </w:r>
      <w:r w:rsidRPr="008B35E1">
        <w:t xml:space="preserve">using a web-based format. Each survey will take </w:t>
      </w:r>
      <w:r w:rsidR="003830A6">
        <w:t>one</w:t>
      </w:r>
      <w:r w:rsidRPr="008B35E1" w:rsidR="008B35E1">
        <w:t xml:space="preserve"> </w:t>
      </w:r>
      <w:r w:rsidRPr="008B35E1">
        <w:t xml:space="preserve">hour to complete. The total burden for the grantee survey is </w:t>
      </w:r>
      <w:r w:rsidR="00304403">
        <w:t>1</w:t>
      </w:r>
      <w:r w:rsidR="00421A6B">
        <w:t>34</w:t>
      </w:r>
      <w:r w:rsidRPr="008B35E1" w:rsidR="00304403">
        <w:t xml:space="preserve"> </w:t>
      </w:r>
      <w:r w:rsidRPr="008B35E1">
        <w:t>hours</w:t>
      </w:r>
      <w:r w:rsidRPr="008B35E1" w:rsidR="00DD733C">
        <w:t xml:space="preserve"> (</w:t>
      </w:r>
      <w:r w:rsidR="00E17453">
        <w:t>1</w:t>
      </w:r>
      <w:r w:rsidR="00421A6B">
        <w:t>3</w:t>
      </w:r>
      <w:r w:rsidR="00E17453">
        <w:t>4</w:t>
      </w:r>
      <w:r w:rsidRPr="008B35E1" w:rsidR="00E17453">
        <w:t xml:space="preserve"> </w:t>
      </w:r>
      <w:r w:rsidRPr="008B35E1" w:rsidR="00DD733C">
        <w:t>× 1 hour)</w:t>
      </w:r>
      <w:r w:rsidRPr="008B35E1">
        <w:t xml:space="preserve">; the annualized burden is </w:t>
      </w:r>
      <w:r w:rsidR="00304403">
        <w:t>4</w:t>
      </w:r>
      <w:r w:rsidR="00FA441A">
        <w:t>5</w:t>
      </w:r>
      <w:r w:rsidRPr="008B35E1">
        <w:t xml:space="preserve"> hours.</w:t>
      </w:r>
    </w:p>
    <w:p w:rsidRPr="008B35E1" w:rsidR="00A72824" w:rsidP="00A72824" w:rsidRDefault="00A72824" w14:paraId="2A5A587D" w14:textId="1634288B">
      <w:pPr>
        <w:pStyle w:val="NumberedBullet"/>
      </w:pPr>
      <w:r w:rsidRPr="008B35E1">
        <w:rPr>
          <w:b/>
        </w:rPr>
        <w:t xml:space="preserve">Key informant </w:t>
      </w:r>
      <w:r w:rsidR="004D5E83">
        <w:rPr>
          <w:b/>
        </w:rPr>
        <w:t xml:space="preserve">interview </w:t>
      </w:r>
      <w:r w:rsidR="00D142BD">
        <w:rPr>
          <w:b/>
        </w:rPr>
        <w:t>guide</w:t>
      </w:r>
      <w:r w:rsidRPr="008B35E1">
        <w:rPr>
          <w:b/>
        </w:rPr>
        <w:t>.</w:t>
      </w:r>
      <w:r w:rsidRPr="008B35E1">
        <w:t xml:space="preserve"> We will conduct interviews with key informants on visits to eight grantees. We assume that we will conduct interviews</w:t>
      </w:r>
      <w:r w:rsidR="002B2F47">
        <w:t xml:space="preserve"> lasting an average of one hour</w:t>
      </w:r>
      <w:r w:rsidRPr="008B35E1">
        <w:t xml:space="preserve"> with approximately </w:t>
      </w:r>
      <w:r w:rsidRPr="008B35E1" w:rsidR="00DD733C">
        <w:t>16</w:t>
      </w:r>
      <w:r w:rsidRPr="008B35E1">
        <w:t xml:space="preserve"> respondents per visit. The total burden estimate </w:t>
      </w:r>
      <w:r w:rsidRPr="008B35E1" w:rsidR="00EB72EB">
        <w:t xml:space="preserve">for the protocol </w:t>
      </w:r>
      <w:r w:rsidRPr="008B35E1">
        <w:t xml:space="preserve">is </w:t>
      </w:r>
      <w:r w:rsidRPr="008B35E1" w:rsidR="00EB72EB">
        <w:t>1</w:t>
      </w:r>
      <w:r w:rsidR="00A51815">
        <w:t>2</w:t>
      </w:r>
      <w:r w:rsidRPr="008B35E1" w:rsidR="00EB72EB">
        <w:t xml:space="preserve">8 hours </w:t>
      </w:r>
      <w:r w:rsidRPr="008B35E1" w:rsidR="00DD733C">
        <w:t>(</w:t>
      </w:r>
      <w:r w:rsidRPr="008B35E1" w:rsidR="00EB72EB">
        <w:t xml:space="preserve">8 grantees × </w:t>
      </w:r>
      <w:r w:rsidRPr="008B35E1" w:rsidR="00DD733C">
        <w:t>16</w:t>
      </w:r>
      <w:r w:rsidRPr="008B35E1" w:rsidR="00EB72EB">
        <w:t xml:space="preserve"> respondents × 1 hour)</w:t>
      </w:r>
      <w:r w:rsidRPr="008B35E1" w:rsidR="00E572BE">
        <w:t>;</w:t>
      </w:r>
      <w:r w:rsidRPr="008B35E1">
        <w:t xml:space="preserve"> the annualized burden is </w:t>
      </w:r>
      <w:r w:rsidR="00A51815">
        <w:t>4</w:t>
      </w:r>
      <w:r w:rsidR="00FA441A">
        <w:t>3</w:t>
      </w:r>
      <w:r w:rsidRPr="008B35E1">
        <w:t xml:space="preserve"> hours.</w:t>
      </w:r>
    </w:p>
    <w:p w:rsidR="00DD733C" w:rsidP="00A72824" w:rsidRDefault="00A51815" w14:paraId="0D65789C" w14:textId="6D6776C1">
      <w:pPr>
        <w:pStyle w:val="NumberedBullet"/>
      </w:pPr>
      <w:r>
        <w:rPr>
          <w:b/>
        </w:rPr>
        <w:t xml:space="preserve">HVRP </w:t>
      </w:r>
      <w:r w:rsidR="00E62B77">
        <w:rPr>
          <w:b/>
        </w:rPr>
        <w:t>veteran</w:t>
      </w:r>
      <w:r w:rsidRPr="00516240" w:rsidR="00DD733C">
        <w:rPr>
          <w:b/>
        </w:rPr>
        <w:t xml:space="preserve"> interview guide</w:t>
      </w:r>
      <w:r w:rsidRPr="008B35E1" w:rsidR="00DD733C">
        <w:t xml:space="preserve">. We will use the guide to conduct in-depth interviews with </w:t>
      </w:r>
      <w:r w:rsidR="00D64A79">
        <w:t>64</w:t>
      </w:r>
      <w:r w:rsidRPr="008B35E1" w:rsidR="00D64A79">
        <w:t xml:space="preserve"> </w:t>
      </w:r>
      <w:r w:rsidRPr="008B35E1" w:rsidR="00DD733C">
        <w:t xml:space="preserve">current and former HVRP participants. Each interview will last approximately </w:t>
      </w:r>
      <w:r w:rsidRPr="008B35E1" w:rsidR="008B35E1">
        <w:t>1.5 hours</w:t>
      </w:r>
      <w:r w:rsidRPr="008B35E1" w:rsidR="00DD733C">
        <w:t xml:space="preserve">. The total burden estimate for the guide is </w:t>
      </w:r>
      <w:r w:rsidR="00321DEC">
        <w:t>96</w:t>
      </w:r>
      <w:r w:rsidRPr="008B35E1" w:rsidR="00321DEC">
        <w:t xml:space="preserve"> </w:t>
      </w:r>
      <w:r w:rsidRPr="008B35E1" w:rsidR="00DD733C">
        <w:t>hours (</w:t>
      </w:r>
      <w:r>
        <w:t>8</w:t>
      </w:r>
      <w:r w:rsidRPr="008B35E1">
        <w:t xml:space="preserve"> </w:t>
      </w:r>
      <w:r w:rsidRPr="008B35E1" w:rsidR="00DD733C">
        <w:t xml:space="preserve">grantees × </w:t>
      </w:r>
      <w:r w:rsidR="00321DEC">
        <w:t>8</w:t>
      </w:r>
      <w:r w:rsidRPr="008B35E1" w:rsidR="00DD733C">
        <w:t xml:space="preserve"> participants × 1.5 hours); the annualized burden is </w:t>
      </w:r>
      <w:r w:rsidR="00321DEC">
        <w:t>32</w:t>
      </w:r>
      <w:r w:rsidRPr="008B35E1" w:rsidR="00321DEC">
        <w:t xml:space="preserve"> </w:t>
      </w:r>
      <w:r w:rsidRPr="008B35E1" w:rsidR="00DD733C">
        <w:t>hours.</w:t>
      </w:r>
    </w:p>
    <w:p w:rsidRPr="008B35E1" w:rsidR="005570F5" w:rsidP="005570F5" w:rsidRDefault="005570F5" w14:paraId="197BE144" w14:textId="3543AEBE">
      <w:pPr>
        <w:pStyle w:val="NumberedBullet"/>
      </w:pPr>
      <w:r>
        <w:rPr>
          <w:b/>
        </w:rPr>
        <w:t>Non-HVRP veteran</w:t>
      </w:r>
      <w:r w:rsidRPr="00516240">
        <w:rPr>
          <w:b/>
        </w:rPr>
        <w:t xml:space="preserve"> interview guide</w:t>
      </w:r>
      <w:r w:rsidRPr="008B35E1">
        <w:t xml:space="preserve">. We will use the guide to conduct interviews with </w:t>
      </w:r>
      <w:r w:rsidR="00D64A79">
        <w:t>64</w:t>
      </w:r>
      <w:r w:rsidRPr="008B35E1" w:rsidR="00D64A79">
        <w:t xml:space="preserve"> </w:t>
      </w:r>
      <w:r>
        <w:t>non-</w:t>
      </w:r>
      <w:r w:rsidRPr="008B35E1">
        <w:t xml:space="preserve">HVRP participants. Each interview will last approximately </w:t>
      </w:r>
      <w:r>
        <w:t>.75</w:t>
      </w:r>
      <w:r w:rsidRPr="008B35E1">
        <w:t xml:space="preserve"> hours. The total burden estimate for the guide is </w:t>
      </w:r>
      <w:r w:rsidR="00321DEC">
        <w:t>48</w:t>
      </w:r>
      <w:r w:rsidRPr="008B35E1" w:rsidR="00321DEC">
        <w:t xml:space="preserve"> </w:t>
      </w:r>
      <w:r w:rsidRPr="008B35E1">
        <w:t>hours (</w:t>
      </w:r>
      <w:r>
        <w:t>8</w:t>
      </w:r>
      <w:r w:rsidRPr="008B35E1">
        <w:t xml:space="preserve"> grantees × </w:t>
      </w:r>
      <w:r w:rsidR="00321DEC">
        <w:t>8</w:t>
      </w:r>
      <w:r w:rsidRPr="008B35E1">
        <w:t xml:space="preserve"> participants × .</w:t>
      </w:r>
      <w:r>
        <w:t>7</w:t>
      </w:r>
      <w:r w:rsidRPr="008B35E1">
        <w:t xml:space="preserve">5 hours); the annualized burden is </w:t>
      </w:r>
      <w:r w:rsidR="00321DEC">
        <w:t>16</w:t>
      </w:r>
      <w:r w:rsidRPr="008B35E1">
        <w:t xml:space="preserve"> hours.</w:t>
      </w:r>
    </w:p>
    <w:p w:rsidRPr="008B35E1" w:rsidR="005570F5" w:rsidP="005570F5" w:rsidRDefault="005570F5" w14:paraId="56A88179" w14:textId="77777777">
      <w:pPr>
        <w:pStyle w:val="NumberedBullet"/>
        <w:numPr>
          <w:ilvl w:val="0"/>
          <w:numId w:val="0"/>
        </w:numPr>
        <w:ind w:left="432"/>
      </w:pPr>
    </w:p>
    <w:p w:rsidRPr="008B35E1" w:rsidR="00BB387E" w:rsidP="00BB387E" w:rsidRDefault="00BB387E" w14:paraId="7F54966A" w14:textId="54A7BFDE">
      <w:pPr>
        <w:pStyle w:val="MarkforTableTitle"/>
      </w:pPr>
      <w:r w:rsidRPr="008B35E1">
        <w:lastRenderedPageBreak/>
        <w:t>Table A.</w:t>
      </w:r>
      <w:r w:rsidRPr="008B35E1" w:rsidR="00054D47">
        <w:t>3</w:t>
      </w:r>
      <w:r w:rsidRPr="008B35E1">
        <w:t xml:space="preserve">. </w:t>
      </w:r>
      <w:r w:rsidRPr="008B35E1" w:rsidR="00717DEA">
        <w:t xml:space="preserve">Estimated </w:t>
      </w:r>
      <w:r w:rsidRPr="008B35E1" w:rsidR="00DE2955">
        <w:t>a</w:t>
      </w:r>
      <w:r w:rsidRPr="008B35E1" w:rsidR="00717DEA">
        <w:t xml:space="preserve">nnualized </w:t>
      </w:r>
      <w:r w:rsidRPr="008B35E1" w:rsidR="00DE2955">
        <w:t>r</w:t>
      </w:r>
      <w:r w:rsidRPr="008B35E1" w:rsidR="00717DEA">
        <w:t xml:space="preserve">espondent </w:t>
      </w:r>
      <w:r w:rsidRPr="008B35E1" w:rsidR="00DE2955">
        <w:t>h</w:t>
      </w:r>
      <w:r w:rsidRPr="008B35E1" w:rsidR="00717DEA">
        <w:t xml:space="preserve">our and </w:t>
      </w:r>
      <w:r w:rsidRPr="008B35E1" w:rsidR="00DE2955">
        <w:t>c</w:t>
      </w:r>
      <w:r w:rsidRPr="008B35E1" w:rsidR="00717DEA">
        <w:t xml:space="preserve">ost </w:t>
      </w:r>
      <w:r w:rsidRPr="008B35E1" w:rsidR="00DE2955">
        <w:t>b</w:t>
      </w:r>
      <w:r w:rsidRPr="008B35E1" w:rsidR="00717DEA">
        <w:t>urden</w:t>
      </w:r>
    </w:p>
    <w:tbl>
      <w:tblPr>
        <w:tblStyle w:val="SMPRTableBlack"/>
        <w:tblW w:w="5433" w:type="pct"/>
        <w:tblInd w:w="90" w:type="dxa"/>
        <w:tblLayout w:type="fixed"/>
        <w:tblLook w:val="0000" w:firstRow="0" w:lastRow="0" w:firstColumn="0" w:lastColumn="0" w:noHBand="0" w:noVBand="0"/>
      </w:tblPr>
      <w:tblGrid>
        <w:gridCol w:w="1380"/>
        <w:gridCol w:w="1336"/>
        <w:gridCol w:w="1247"/>
        <w:gridCol w:w="1176"/>
        <w:gridCol w:w="1086"/>
        <w:gridCol w:w="1336"/>
        <w:gridCol w:w="1261"/>
        <w:gridCol w:w="1349"/>
      </w:tblGrid>
      <w:tr w:rsidRPr="008B35E1" w:rsidR="00394240" w:rsidTr="00E238AF" w14:paraId="0E796062" w14:textId="77777777">
        <w:trPr>
          <w:cantSplit/>
          <w:trHeight w:val="1383"/>
        </w:trPr>
        <w:tc>
          <w:tcPr>
            <w:tcW w:w="678" w:type="pct"/>
            <w:tcBorders>
              <w:top w:val="nil"/>
              <w:bottom w:val="single" w:color="auto" w:sz="4" w:space="0"/>
            </w:tcBorders>
            <w:shd w:val="clear" w:color="auto" w:fill="808080" w:themeFill="background1" w:themeFillShade="80"/>
          </w:tcPr>
          <w:p w:rsidRPr="00E238AF" w:rsidR="00BB387E" w:rsidP="00E238AF" w:rsidRDefault="00A033D2" w14:paraId="28C5E8F7" w14:textId="71230D45">
            <w:pPr>
              <w:pStyle w:val="TableHeaderLeft"/>
              <w:rPr>
                <w:rFonts w:cs="Arial"/>
                <w:szCs w:val="18"/>
              </w:rPr>
            </w:pPr>
            <w:r w:rsidRPr="00E238AF">
              <w:rPr>
                <w:rFonts w:cs="Arial"/>
                <w:szCs w:val="18"/>
              </w:rPr>
              <w:t xml:space="preserve">Data </w:t>
            </w:r>
            <w:r w:rsidR="00E238AF">
              <w:rPr>
                <w:rFonts w:cs="Arial"/>
                <w:szCs w:val="18"/>
              </w:rPr>
              <w:t>collection a</w:t>
            </w:r>
            <w:r w:rsidRPr="00E238AF">
              <w:rPr>
                <w:rFonts w:cs="Arial"/>
                <w:szCs w:val="18"/>
              </w:rPr>
              <w:t>ctivity</w:t>
            </w:r>
          </w:p>
        </w:tc>
        <w:tc>
          <w:tcPr>
            <w:tcW w:w="657" w:type="pct"/>
            <w:tcBorders>
              <w:top w:val="nil"/>
              <w:bottom w:val="single" w:color="auto" w:sz="4" w:space="0"/>
            </w:tcBorders>
            <w:shd w:val="clear" w:color="auto" w:fill="808080" w:themeFill="background1" w:themeFillShade="80"/>
          </w:tcPr>
          <w:p w:rsidRPr="00E238AF" w:rsidR="00BB387E" w:rsidP="00A033D2" w:rsidRDefault="00A033D2" w14:paraId="4B8717EF" w14:textId="5253F690">
            <w:pPr>
              <w:pStyle w:val="TableHeaderCenter"/>
              <w:rPr>
                <w:rFonts w:cs="Arial"/>
                <w:szCs w:val="18"/>
              </w:rPr>
            </w:pPr>
            <w:r w:rsidRPr="00E238AF">
              <w:rPr>
                <w:rFonts w:cs="Arial"/>
                <w:szCs w:val="18"/>
              </w:rPr>
              <w:t>Annual n</w:t>
            </w:r>
            <w:r w:rsidRPr="00E238AF" w:rsidR="00BB387E">
              <w:rPr>
                <w:rFonts w:cs="Arial"/>
                <w:szCs w:val="18"/>
              </w:rPr>
              <w:t xml:space="preserve">umber of </w:t>
            </w:r>
            <w:r w:rsidRPr="00E238AF">
              <w:rPr>
                <w:rFonts w:cs="Arial"/>
                <w:szCs w:val="18"/>
              </w:rPr>
              <w:t>r</w:t>
            </w:r>
            <w:r w:rsidRPr="00E238AF" w:rsidR="00BB387E">
              <w:rPr>
                <w:rFonts w:cs="Arial"/>
                <w:szCs w:val="18"/>
              </w:rPr>
              <w:t xml:space="preserve">espondents </w:t>
            </w:r>
          </w:p>
        </w:tc>
        <w:tc>
          <w:tcPr>
            <w:tcW w:w="613" w:type="pct"/>
            <w:tcBorders>
              <w:top w:val="nil"/>
              <w:bottom w:val="single" w:color="auto" w:sz="4" w:space="0"/>
            </w:tcBorders>
            <w:shd w:val="clear" w:color="auto" w:fill="808080" w:themeFill="background1" w:themeFillShade="80"/>
          </w:tcPr>
          <w:p w:rsidRPr="00E238AF" w:rsidR="00BB387E" w:rsidP="00E27EF9" w:rsidRDefault="00BB387E" w14:paraId="18ADFB40" w14:textId="22699956">
            <w:pPr>
              <w:pStyle w:val="TableHeaderCenter"/>
              <w:rPr>
                <w:rFonts w:cs="Arial"/>
                <w:szCs w:val="18"/>
              </w:rPr>
            </w:pPr>
            <w:r w:rsidRPr="00E238AF">
              <w:rPr>
                <w:rFonts w:cs="Arial"/>
                <w:szCs w:val="18"/>
              </w:rPr>
              <w:t xml:space="preserve">Number of </w:t>
            </w:r>
            <w:r w:rsidRPr="00E238AF" w:rsidR="00A033D2">
              <w:rPr>
                <w:rFonts w:cs="Arial"/>
                <w:szCs w:val="18"/>
              </w:rPr>
              <w:t>r</w:t>
            </w:r>
            <w:r w:rsidRPr="00E238AF">
              <w:rPr>
                <w:rFonts w:cs="Arial"/>
                <w:szCs w:val="18"/>
              </w:rPr>
              <w:t xml:space="preserve">esponses </w:t>
            </w:r>
            <w:r w:rsidRPr="00E238AF" w:rsidR="00A033D2">
              <w:rPr>
                <w:rFonts w:cs="Arial"/>
                <w:szCs w:val="18"/>
              </w:rPr>
              <w:t>p</w:t>
            </w:r>
            <w:r w:rsidRPr="00E238AF">
              <w:rPr>
                <w:rFonts w:cs="Arial"/>
                <w:szCs w:val="18"/>
              </w:rPr>
              <w:t xml:space="preserve">er </w:t>
            </w:r>
            <w:r w:rsidRPr="00E238AF" w:rsidR="00A033D2">
              <w:rPr>
                <w:rFonts w:cs="Arial"/>
                <w:szCs w:val="18"/>
              </w:rPr>
              <w:t>r</w:t>
            </w:r>
            <w:r w:rsidRPr="00E238AF">
              <w:rPr>
                <w:rFonts w:cs="Arial"/>
                <w:szCs w:val="18"/>
              </w:rPr>
              <w:t>espondent</w:t>
            </w:r>
          </w:p>
        </w:tc>
        <w:tc>
          <w:tcPr>
            <w:tcW w:w="578" w:type="pct"/>
            <w:tcBorders>
              <w:top w:val="nil"/>
              <w:bottom w:val="single" w:color="auto" w:sz="4" w:space="0"/>
            </w:tcBorders>
            <w:shd w:val="clear" w:color="auto" w:fill="808080" w:themeFill="background1" w:themeFillShade="80"/>
          </w:tcPr>
          <w:p w:rsidRPr="00E238AF" w:rsidR="00BB387E" w:rsidP="00E27EF9" w:rsidRDefault="00BB387E" w14:paraId="658C8E67" w14:textId="629B97BF">
            <w:pPr>
              <w:pStyle w:val="TableHeaderCenter"/>
              <w:rPr>
                <w:rFonts w:cs="Arial"/>
                <w:szCs w:val="18"/>
              </w:rPr>
            </w:pPr>
            <w:r w:rsidRPr="00E238AF">
              <w:rPr>
                <w:rFonts w:cs="Arial"/>
                <w:szCs w:val="18"/>
              </w:rPr>
              <w:t xml:space="preserve">Total </w:t>
            </w:r>
            <w:r w:rsidRPr="00E238AF" w:rsidR="00A033D2">
              <w:rPr>
                <w:rFonts w:cs="Arial"/>
                <w:szCs w:val="18"/>
              </w:rPr>
              <w:t>n</w:t>
            </w:r>
            <w:r w:rsidRPr="00E238AF">
              <w:rPr>
                <w:rFonts w:cs="Arial"/>
                <w:szCs w:val="18"/>
              </w:rPr>
              <w:t xml:space="preserve">umber of </w:t>
            </w:r>
            <w:r w:rsidRPr="00E238AF" w:rsidR="00A033D2">
              <w:rPr>
                <w:rFonts w:cs="Arial"/>
                <w:szCs w:val="18"/>
              </w:rPr>
              <w:t>r</w:t>
            </w:r>
            <w:r w:rsidRPr="00E238AF">
              <w:rPr>
                <w:rFonts w:cs="Arial"/>
                <w:szCs w:val="18"/>
              </w:rPr>
              <w:t>esponses</w:t>
            </w:r>
          </w:p>
        </w:tc>
        <w:tc>
          <w:tcPr>
            <w:tcW w:w="534" w:type="pct"/>
            <w:tcBorders>
              <w:top w:val="nil"/>
              <w:bottom w:val="single" w:color="auto" w:sz="4" w:space="0"/>
            </w:tcBorders>
            <w:shd w:val="clear" w:color="auto" w:fill="808080" w:themeFill="background1" w:themeFillShade="80"/>
          </w:tcPr>
          <w:p w:rsidRPr="00E238AF" w:rsidR="00BB387E" w:rsidP="00E27EF9" w:rsidRDefault="00BB387E" w14:paraId="5C40028C" w14:textId="49C556D6">
            <w:pPr>
              <w:pStyle w:val="TableHeaderCenter"/>
              <w:rPr>
                <w:rFonts w:cs="Arial"/>
                <w:szCs w:val="18"/>
              </w:rPr>
            </w:pPr>
            <w:r w:rsidRPr="00E238AF">
              <w:rPr>
                <w:rFonts w:cs="Arial"/>
                <w:szCs w:val="18"/>
              </w:rPr>
              <w:t xml:space="preserve">Average </w:t>
            </w:r>
            <w:r w:rsidRPr="00E238AF" w:rsidR="00A033D2">
              <w:rPr>
                <w:rFonts w:cs="Arial"/>
                <w:szCs w:val="18"/>
              </w:rPr>
              <w:t>b</w:t>
            </w:r>
            <w:r w:rsidRPr="00E238AF">
              <w:rPr>
                <w:rFonts w:cs="Arial"/>
                <w:szCs w:val="18"/>
              </w:rPr>
              <w:t xml:space="preserve">urden </w:t>
            </w:r>
            <w:r w:rsidRPr="00E238AF" w:rsidR="00A033D2">
              <w:rPr>
                <w:rFonts w:cs="Arial"/>
                <w:szCs w:val="18"/>
              </w:rPr>
              <w:t>p</w:t>
            </w:r>
            <w:r w:rsidRPr="00E238AF">
              <w:rPr>
                <w:rFonts w:cs="Arial"/>
                <w:szCs w:val="18"/>
              </w:rPr>
              <w:t xml:space="preserve">er </w:t>
            </w:r>
            <w:r w:rsidRPr="00E238AF" w:rsidR="00A033D2">
              <w:rPr>
                <w:rFonts w:cs="Arial"/>
                <w:szCs w:val="18"/>
              </w:rPr>
              <w:t>r</w:t>
            </w:r>
            <w:r w:rsidRPr="00E238AF">
              <w:rPr>
                <w:rFonts w:cs="Arial"/>
                <w:szCs w:val="18"/>
              </w:rPr>
              <w:t xml:space="preserve">esponse (in </w:t>
            </w:r>
            <w:r w:rsidRPr="00E238AF" w:rsidR="00A033D2">
              <w:rPr>
                <w:rFonts w:cs="Arial"/>
                <w:szCs w:val="18"/>
              </w:rPr>
              <w:t>h</w:t>
            </w:r>
            <w:r w:rsidRPr="00E238AF">
              <w:rPr>
                <w:rFonts w:cs="Arial"/>
                <w:szCs w:val="18"/>
              </w:rPr>
              <w:t>ours)</w:t>
            </w:r>
          </w:p>
        </w:tc>
        <w:tc>
          <w:tcPr>
            <w:tcW w:w="657" w:type="pct"/>
            <w:tcBorders>
              <w:top w:val="nil"/>
              <w:bottom w:val="single" w:color="auto" w:sz="4" w:space="0"/>
            </w:tcBorders>
            <w:shd w:val="clear" w:color="auto" w:fill="808080" w:themeFill="background1" w:themeFillShade="80"/>
          </w:tcPr>
          <w:p w:rsidRPr="00E238AF" w:rsidR="00BB387E" w:rsidP="00A033D2" w:rsidRDefault="00A033D2" w14:paraId="1EAE9BBD" w14:textId="3AB332BF">
            <w:pPr>
              <w:pStyle w:val="TableHeaderCenter"/>
              <w:rPr>
                <w:rFonts w:cs="Arial"/>
                <w:szCs w:val="18"/>
              </w:rPr>
            </w:pPr>
            <w:r w:rsidRPr="00E238AF">
              <w:rPr>
                <w:rFonts w:cs="Arial"/>
                <w:szCs w:val="18"/>
              </w:rPr>
              <w:t>Annual e</w:t>
            </w:r>
            <w:r w:rsidRPr="00E238AF" w:rsidR="00BB387E">
              <w:rPr>
                <w:rFonts w:cs="Arial"/>
                <w:szCs w:val="18"/>
              </w:rPr>
              <w:t xml:space="preserve">stimated  </w:t>
            </w:r>
            <w:r w:rsidRPr="00E238AF">
              <w:rPr>
                <w:rFonts w:cs="Arial"/>
                <w:szCs w:val="18"/>
              </w:rPr>
              <w:t>b</w:t>
            </w:r>
            <w:r w:rsidRPr="00E238AF" w:rsidR="00BB387E">
              <w:rPr>
                <w:rFonts w:cs="Arial"/>
                <w:szCs w:val="18"/>
              </w:rPr>
              <w:t xml:space="preserve">urden </w:t>
            </w:r>
            <w:r w:rsidRPr="00E238AF">
              <w:rPr>
                <w:rFonts w:cs="Arial"/>
                <w:szCs w:val="18"/>
              </w:rPr>
              <w:t>h</w:t>
            </w:r>
            <w:r w:rsidRPr="00E238AF" w:rsidR="00BB387E">
              <w:rPr>
                <w:rFonts w:cs="Arial"/>
                <w:szCs w:val="18"/>
              </w:rPr>
              <w:t>ours</w:t>
            </w:r>
          </w:p>
        </w:tc>
        <w:tc>
          <w:tcPr>
            <w:tcW w:w="620" w:type="pct"/>
            <w:tcBorders>
              <w:top w:val="nil"/>
              <w:bottom w:val="single" w:color="auto" w:sz="4" w:space="0"/>
            </w:tcBorders>
            <w:shd w:val="clear" w:color="auto" w:fill="808080" w:themeFill="background1" w:themeFillShade="80"/>
          </w:tcPr>
          <w:p w:rsidRPr="00E238AF" w:rsidR="00BB387E" w:rsidP="00E238AF" w:rsidRDefault="00BB387E" w14:paraId="2B996433" w14:textId="73AA2F92">
            <w:pPr>
              <w:pStyle w:val="TableHeaderCenter"/>
              <w:rPr>
                <w:rFonts w:cs="Arial"/>
                <w:szCs w:val="18"/>
              </w:rPr>
            </w:pPr>
            <w:r w:rsidRPr="00E238AF">
              <w:rPr>
                <w:rFonts w:cs="Arial"/>
                <w:szCs w:val="18"/>
              </w:rPr>
              <w:t xml:space="preserve">Average </w:t>
            </w:r>
            <w:r w:rsidR="00E238AF">
              <w:rPr>
                <w:rFonts w:cs="Arial"/>
                <w:szCs w:val="18"/>
              </w:rPr>
              <w:t>h</w:t>
            </w:r>
            <w:r w:rsidRPr="00E238AF">
              <w:rPr>
                <w:rFonts w:cs="Arial"/>
                <w:szCs w:val="18"/>
              </w:rPr>
              <w:t>ourly</w:t>
            </w:r>
            <w:r w:rsidR="00E238AF">
              <w:rPr>
                <w:rFonts w:cs="Arial"/>
                <w:szCs w:val="18"/>
              </w:rPr>
              <w:t xml:space="preserve"> wage</w:t>
            </w:r>
            <w:r w:rsidRPr="00E238AF" w:rsidR="00A033D2">
              <w:rPr>
                <w:rFonts w:cs="Arial"/>
                <w:szCs w:val="18"/>
                <w:vertAlign w:val="superscript"/>
              </w:rPr>
              <w:t>a</w:t>
            </w:r>
            <w:r w:rsidRPr="00E238AF">
              <w:rPr>
                <w:rFonts w:cs="Arial"/>
                <w:szCs w:val="18"/>
              </w:rPr>
              <w:t xml:space="preserve"> </w:t>
            </w:r>
          </w:p>
        </w:tc>
        <w:tc>
          <w:tcPr>
            <w:tcW w:w="663" w:type="pct"/>
            <w:tcBorders>
              <w:top w:val="nil"/>
              <w:bottom w:val="single" w:color="auto" w:sz="4" w:space="0"/>
            </w:tcBorders>
            <w:shd w:val="clear" w:color="auto" w:fill="808080" w:themeFill="background1" w:themeFillShade="80"/>
          </w:tcPr>
          <w:p w:rsidRPr="00E238AF" w:rsidR="00BB387E" w:rsidP="00E27EF9" w:rsidRDefault="00BB387E" w14:paraId="36A5B765" w14:textId="31CB3812">
            <w:pPr>
              <w:pStyle w:val="TableHeaderCenter"/>
              <w:rPr>
                <w:rFonts w:cs="Arial"/>
                <w:szCs w:val="18"/>
              </w:rPr>
            </w:pPr>
            <w:r w:rsidRPr="00E238AF">
              <w:rPr>
                <w:rFonts w:cs="Arial"/>
                <w:szCs w:val="18"/>
              </w:rPr>
              <w:t xml:space="preserve">Annual </w:t>
            </w:r>
            <w:r w:rsidRPr="00E238AF" w:rsidR="00A033D2">
              <w:rPr>
                <w:rFonts w:cs="Arial"/>
                <w:szCs w:val="18"/>
              </w:rPr>
              <w:t xml:space="preserve">monetized </w:t>
            </w:r>
            <w:r w:rsidRPr="00E238AF">
              <w:rPr>
                <w:rFonts w:cs="Arial"/>
                <w:szCs w:val="18"/>
              </w:rPr>
              <w:t>burden costs</w:t>
            </w:r>
          </w:p>
        </w:tc>
      </w:tr>
      <w:tr w:rsidRPr="008B35E1" w:rsidR="005B676B" w:rsidTr="005B676B" w14:paraId="2EB8CB48" w14:textId="77777777">
        <w:trPr>
          <w:trHeight w:val="440"/>
        </w:trPr>
        <w:tc>
          <w:tcPr>
            <w:tcW w:w="678" w:type="pct"/>
            <w:tcBorders>
              <w:top w:val="single" w:color="auto" w:sz="4" w:space="0"/>
              <w:bottom w:val="single" w:color="auto" w:sz="4" w:space="0"/>
            </w:tcBorders>
          </w:tcPr>
          <w:p w:rsidRPr="008B35E1" w:rsidR="00BB387E" w:rsidP="001F26E1" w:rsidRDefault="001F26E1" w14:paraId="6DEA0299" w14:textId="50C184DD">
            <w:pPr>
              <w:pStyle w:val="TableText"/>
              <w:spacing w:before="120"/>
              <w:rPr>
                <w:rFonts w:cs="Arial"/>
                <w:szCs w:val="18"/>
              </w:rPr>
            </w:pPr>
            <w:r w:rsidRPr="008B35E1">
              <w:rPr>
                <w:rFonts w:cs="Arial"/>
                <w:szCs w:val="18"/>
              </w:rPr>
              <w:t>Grantee s</w:t>
            </w:r>
            <w:r w:rsidRPr="008B35E1" w:rsidR="00BB387E">
              <w:rPr>
                <w:rFonts w:cs="Arial"/>
                <w:szCs w:val="18"/>
              </w:rPr>
              <w:t>urvey</w:t>
            </w:r>
          </w:p>
        </w:tc>
        <w:tc>
          <w:tcPr>
            <w:tcW w:w="657" w:type="pct"/>
            <w:tcBorders>
              <w:top w:val="single" w:color="auto" w:sz="4" w:space="0"/>
              <w:bottom w:val="single" w:color="auto" w:sz="4" w:space="0"/>
            </w:tcBorders>
          </w:tcPr>
          <w:p w:rsidRPr="008B35E1" w:rsidR="00BB387E" w:rsidP="00E27EF9" w:rsidRDefault="00A51815" w14:paraId="4572A7B6" w14:textId="7B3B4384">
            <w:pPr>
              <w:pStyle w:val="TableText"/>
              <w:spacing w:before="120"/>
              <w:jc w:val="center"/>
              <w:rPr>
                <w:rFonts w:cs="Arial"/>
                <w:szCs w:val="18"/>
                <w:vertAlign w:val="superscript"/>
              </w:rPr>
            </w:pPr>
            <w:r>
              <w:rPr>
                <w:rFonts w:cs="Arial"/>
                <w:szCs w:val="18"/>
              </w:rPr>
              <w:t>45</w:t>
            </w:r>
          </w:p>
        </w:tc>
        <w:tc>
          <w:tcPr>
            <w:tcW w:w="613" w:type="pct"/>
            <w:tcBorders>
              <w:top w:val="single" w:color="auto" w:sz="4" w:space="0"/>
              <w:bottom w:val="single" w:color="auto" w:sz="4" w:space="0"/>
            </w:tcBorders>
          </w:tcPr>
          <w:p w:rsidRPr="008B35E1" w:rsidR="00BB387E" w:rsidP="00E27EF9" w:rsidRDefault="00BB387E" w14:paraId="5A98BBF8" w14:textId="77777777">
            <w:pPr>
              <w:pStyle w:val="TableText"/>
              <w:spacing w:before="120"/>
              <w:jc w:val="center"/>
              <w:rPr>
                <w:rFonts w:cs="Arial"/>
                <w:szCs w:val="18"/>
              </w:rPr>
            </w:pPr>
            <w:r w:rsidRPr="008B35E1">
              <w:rPr>
                <w:rFonts w:cs="Arial"/>
                <w:szCs w:val="18"/>
              </w:rPr>
              <w:t>1</w:t>
            </w:r>
          </w:p>
        </w:tc>
        <w:tc>
          <w:tcPr>
            <w:tcW w:w="578" w:type="pct"/>
            <w:tcBorders>
              <w:top w:val="single" w:color="auto" w:sz="4" w:space="0"/>
              <w:bottom w:val="single" w:color="auto" w:sz="4" w:space="0"/>
            </w:tcBorders>
          </w:tcPr>
          <w:p w:rsidRPr="008B35E1" w:rsidR="00BB387E" w:rsidP="00304403" w:rsidRDefault="00A51815" w14:paraId="3070048B" w14:textId="2B9A0947">
            <w:pPr>
              <w:pStyle w:val="TableText"/>
              <w:spacing w:before="120"/>
              <w:jc w:val="center"/>
              <w:rPr>
                <w:rFonts w:cs="Arial"/>
                <w:szCs w:val="18"/>
              </w:rPr>
            </w:pPr>
            <w:r>
              <w:rPr>
                <w:rFonts w:cs="Arial"/>
                <w:szCs w:val="18"/>
              </w:rPr>
              <w:t>45</w:t>
            </w:r>
          </w:p>
        </w:tc>
        <w:tc>
          <w:tcPr>
            <w:tcW w:w="534" w:type="pct"/>
            <w:tcBorders>
              <w:top w:val="single" w:color="auto" w:sz="4" w:space="0"/>
              <w:bottom w:val="single" w:color="auto" w:sz="4" w:space="0"/>
            </w:tcBorders>
          </w:tcPr>
          <w:p w:rsidRPr="008B35E1" w:rsidR="00BB387E" w:rsidP="00E27EF9" w:rsidRDefault="00BB387E" w14:paraId="546B0E1B" w14:textId="77777777">
            <w:pPr>
              <w:pStyle w:val="TableText"/>
              <w:spacing w:before="120"/>
              <w:jc w:val="center"/>
              <w:rPr>
                <w:rFonts w:cs="Arial"/>
                <w:szCs w:val="18"/>
              </w:rPr>
            </w:pPr>
            <w:r w:rsidRPr="008B35E1">
              <w:rPr>
                <w:rFonts w:cs="Arial"/>
                <w:szCs w:val="18"/>
              </w:rPr>
              <w:t>1</w:t>
            </w:r>
          </w:p>
        </w:tc>
        <w:tc>
          <w:tcPr>
            <w:tcW w:w="657" w:type="pct"/>
            <w:tcBorders>
              <w:top w:val="single" w:color="auto" w:sz="4" w:space="0"/>
              <w:bottom w:val="single" w:color="auto" w:sz="4" w:space="0"/>
            </w:tcBorders>
          </w:tcPr>
          <w:p w:rsidRPr="008B35E1" w:rsidR="00BB387E" w:rsidP="00304403" w:rsidRDefault="005570F5" w14:paraId="2A08F1D5" w14:textId="4F62B90A">
            <w:pPr>
              <w:pStyle w:val="TableText"/>
              <w:tabs>
                <w:tab w:val="decimal" w:pos="590"/>
              </w:tabs>
              <w:spacing w:before="120"/>
              <w:ind w:right="136"/>
              <w:jc w:val="center"/>
              <w:rPr>
                <w:rFonts w:cs="Arial"/>
                <w:szCs w:val="18"/>
              </w:rPr>
            </w:pPr>
            <w:r>
              <w:rPr>
                <w:rFonts w:cs="Arial"/>
                <w:szCs w:val="18"/>
              </w:rPr>
              <w:t>4</w:t>
            </w:r>
            <w:r w:rsidR="00A51815">
              <w:rPr>
                <w:rFonts w:cs="Arial"/>
                <w:szCs w:val="18"/>
              </w:rPr>
              <w:t>5</w:t>
            </w:r>
          </w:p>
        </w:tc>
        <w:tc>
          <w:tcPr>
            <w:tcW w:w="620" w:type="pct"/>
            <w:tcBorders>
              <w:top w:val="single" w:color="auto" w:sz="4" w:space="0"/>
              <w:bottom w:val="single" w:color="auto" w:sz="4" w:space="0"/>
            </w:tcBorders>
          </w:tcPr>
          <w:p w:rsidRPr="008B35E1" w:rsidR="00BB387E" w:rsidDel="00584494" w:rsidP="006962B5" w:rsidRDefault="00BB387E" w14:paraId="343251EB" w14:textId="4AE6AC63">
            <w:pPr>
              <w:pStyle w:val="TableText"/>
              <w:tabs>
                <w:tab w:val="decimal" w:pos="590"/>
              </w:tabs>
              <w:spacing w:before="120"/>
              <w:ind w:right="136"/>
              <w:jc w:val="center"/>
              <w:rPr>
                <w:rFonts w:cs="Arial"/>
                <w:szCs w:val="18"/>
              </w:rPr>
            </w:pPr>
            <w:r w:rsidRPr="00516240">
              <w:rPr>
                <w:rFonts w:cs="Arial"/>
                <w:szCs w:val="18"/>
              </w:rPr>
              <w:t>$</w:t>
            </w:r>
            <w:r w:rsidRPr="008B35E1" w:rsidR="00551A40">
              <w:rPr>
                <w:rFonts w:cs="Arial"/>
                <w:szCs w:val="18"/>
              </w:rPr>
              <w:t>59.</w:t>
            </w:r>
            <w:r w:rsidR="00DF041E">
              <w:rPr>
                <w:rFonts w:cs="Arial"/>
                <w:szCs w:val="18"/>
              </w:rPr>
              <w:t>15</w:t>
            </w:r>
          </w:p>
        </w:tc>
        <w:tc>
          <w:tcPr>
            <w:tcW w:w="663" w:type="pct"/>
            <w:tcBorders>
              <w:top w:val="single" w:color="auto" w:sz="4" w:space="0"/>
              <w:bottom w:val="single" w:color="auto" w:sz="4" w:space="0"/>
            </w:tcBorders>
          </w:tcPr>
          <w:p w:rsidRPr="008B35E1" w:rsidR="00BB387E" w:rsidP="00C74482" w:rsidRDefault="00895C8E" w14:paraId="097D8089" w14:textId="7E6EA8DE">
            <w:pPr>
              <w:pStyle w:val="TableText"/>
              <w:tabs>
                <w:tab w:val="decimal" w:pos="706"/>
              </w:tabs>
              <w:spacing w:before="120"/>
              <w:ind w:right="115"/>
              <w:jc w:val="center"/>
              <w:rPr>
                <w:rFonts w:cs="Arial"/>
                <w:szCs w:val="18"/>
              </w:rPr>
            </w:pPr>
            <w:r w:rsidRPr="008B35E1">
              <w:rPr>
                <w:rFonts w:cs="Arial"/>
                <w:szCs w:val="18"/>
              </w:rPr>
              <w:t>$</w:t>
            </w:r>
            <w:r w:rsidR="00304403">
              <w:rPr>
                <w:rFonts w:cs="Arial"/>
                <w:szCs w:val="18"/>
              </w:rPr>
              <w:t>2,</w:t>
            </w:r>
            <w:r w:rsidR="00A51815">
              <w:rPr>
                <w:rFonts w:cs="Arial"/>
                <w:szCs w:val="18"/>
              </w:rPr>
              <w:t>6</w:t>
            </w:r>
            <w:r w:rsidR="00DF041E">
              <w:rPr>
                <w:rFonts w:cs="Arial"/>
                <w:szCs w:val="18"/>
              </w:rPr>
              <w:t>61.75</w:t>
            </w:r>
          </w:p>
        </w:tc>
      </w:tr>
      <w:tr w:rsidRPr="008B35E1" w:rsidR="005B676B" w:rsidTr="005B676B" w14:paraId="3CA8AAE4" w14:textId="77777777">
        <w:trPr>
          <w:trHeight w:val="440"/>
        </w:trPr>
        <w:tc>
          <w:tcPr>
            <w:tcW w:w="678" w:type="pct"/>
            <w:tcBorders>
              <w:top w:val="single" w:color="auto" w:sz="4" w:space="0"/>
              <w:bottom w:val="single" w:color="auto" w:sz="4" w:space="0"/>
            </w:tcBorders>
          </w:tcPr>
          <w:p w:rsidRPr="008B35E1" w:rsidR="001F26E1" w:rsidP="00304403" w:rsidRDefault="001F26E1" w14:paraId="171961DF" w14:textId="742344AF">
            <w:pPr>
              <w:pStyle w:val="TableText"/>
              <w:spacing w:before="120"/>
              <w:rPr>
                <w:rFonts w:cs="Arial"/>
                <w:szCs w:val="18"/>
              </w:rPr>
            </w:pPr>
            <w:r w:rsidRPr="008B35E1">
              <w:rPr>
                <w:rFonts w:cs="Arial"/>
                <w:szCs w:val="18"/>
              </w:rPr>
              <w:t>Key informa</w:t>
            </w:r>
            <w:r w:rsidR="00304403">
              <w:rPr>
                <w:rFonts w:cs="Arial"/>
                <w:szCs w:val="18"/>
              </w:rPr>
              <w:t>nt</w:t>
            </w:r>
            <w:r w:rsidRPr="008B35E1">
              <w:rPr>
                <w:rFonts w:cs="Arial"/>
                <w:szCs w:val="18"/>
              </w:rPr>
              <w:t xml:space="preserve"> interview guide</w:t>
            </w:r>
          </w:p>
        </w:tc>
        <w:tc>
          <w:tcPr>
            <w:tcW w:w="657" w:type="pct"/>
            <w:tcBorders>
              <w:top w:val="single" w:color="auto" w:sz="4" w:space="0"/>
              <w:bottom w:val="single" w:color="auto" w:sz="4" w:space="0"/>
            </w:tcBorders>
          </w:tcPr>
          <w:p w:rsidRPr="008B35E1" w:rsidR="001F26E1" w:rsidP="00E27EF9" w:rsidRDefault="00FA441A" w14:paraId="43CC5951" w14:textId="68877ECF">
            <w:pPr>
              <w:pStyle w:val="TableText"/>
              <w:spacing w:before="120"/>
              <w:jc w:val="center"/>
              <w:rPr>
                <w:rFonts w:cs="Arial"/>
                <w:szCs w:val="18"/>
              </w:rPr>
            </w:pPr>
            <w:r>
              <w:rPr>
                <w:rFonts w:cs="Arial"/>
                <w:szCs w:val="18"/>
              </w:rPr>
              <w:t>43</w:t>
            </w:r>
          </w:p>
        </w:tc>
        <w:tc>
          <w:tcPr>
            <w:tcW w:w="613" w:type="pct"/>
            <w:tcBorders>
              <w:top w:val="single" w:color="auto" w:sz="4" w:space="0"/>
              <w:bottom w:val="single" w:color="auto" w:sz="4" w:space="0"/>
            </w:tcBorders>
          </w:tcPr>
          <w:p w:rsidRPr="008B35E1" w:rsidR="001F26E1" w:rsidP="00E27EF9" w:rsidRDefault="001F26E1" w14:paraId="118B3FD6" w14:textId="13DD1244">
            <w:pPr>
              <w:pStyle w:val="TableText"/>
              <w:spacing w:before="120"/>
              <w:jc w:val="center"/>
              <w:rPr>
                <w:rFonts w:cs="Arial"/>
                <w:szCs w:val="18"/>
              </w:rPr>
            </w:pPr>
            <w:r w:rsidRPr="008B35E1">
              <w:rPr>
                <w:rFonts w:cs="Arial"/>
                <w:szCs w:val="18"/>
              </w:rPr>
              <w:t>1</w:t>
            </w:r>
          </w:p>
        </w:tc>
        <w:tc>
          <w:tcPr>
            <w:tcW w:w="578" w:type="pct"/>
            <w:tcBorders>
              <w:top w:val="single" w:color="auto" w:sz="4" w:space="0"/>
              <w:bottom w:val="single" w:color="auto" w:sz="4" w:space="0"/>
            </w:tcBorders>
          </w:tcPr>
          <w:p w:rsidRPr="008B35E1" w:rsidR="001F26E1" w:rsidP="00FA441A" w:rsidRDefault="00FA441A" w14:paraId="261CAC31" w14:textId="3118B3BA">
            <w:pPr>
              <w:pStyle w:val="TableText"/>
              <w:spacing w:before="120"/>
              <w:jc w:val="center"/>
              <w:rPr>
                <w:rFonts w:cs="Arial"/>
                <w:szCs w:val="18"/>
              </w:rPr>
            </w:pPr>
            <w:r>
              <w:rPr>
                <w:rFonts w:cs="Arial"/>
                <w:szCs w:val="18"/>
              </w:rPr>
              <w:t>43</w:t>
            </w:r>
          </w:p>
        </w:tc>
        <w:tc>
          <w:tcPr>
            <w:tcW w:w="534" w:type="pct"/>
            <w:tcBorders>
              <w:top w:val="single" w:color="auto" w:sz="4" w:space="0"/>
              <w:bottom w:val="single" w:color="auto" w:sz="4" w:space="0"/>
            </w:tcBorders>
          </w:tcPr>
          <w:p w:rsidRPr="008B35E1" w:rsidR="001F26E1" w:rsidP="00E27EF9" w:rsidRDefault="001F26E1" w14:paraId="3506972A" w14:textId="23126531">
            <w:pPr>
              <w:pStyle w:val="TableText"/>
              <w:spacing w:before="120"/>
              <w:jc w:val="center"/>
              <w:rPr>
                <w:rFonts w:cs="Arial"/>
                <w:szCs w:val="18"/>
              </w:rPr>
            </w:pPr>
            <w:r w:rsidRPr="008B35E1">
              <w:rPr>
                <w:rFonts w:cs="Arial"/>
                <w:szCs w:val="18"/>
              </w:rPr>
              <w:t>1</w:t>
            </w:r>
          </w:p>
        </w:tc>
        <w:tc>
          <w:tcPr>
            <w:tcW w:w="657" w:type="pct"/>
            <w:tcBorders>
              <w:top w:val="single" w:color="auto" w:sz="4" w:space="0"/>
              <w:bottom w:val="single" w:color="auto" w:sz="4" w:space="0"/>
            </w:tcBorders>
          </w:tcPr>
          <w:p w:rsidRPr="008B35E1" w:rsidR="001F26E1" w:rsidP="00FA441A" w:rsidRDefault="00FA441A" w14:paraId="58E1E50C" w14:textId="1BB3A8F6">
            <w:pPr>
              <w:pStyle w:val="TableText"/>
              <w:tabs>
                <w:tab w:val="decimal" w:pos="590"/>
              </w:tabs>
              <w:spacing w:before="120"/>
              <w:ind w:right="136"/>
              <w:jc w:val="center"/>
              <w:rPr>
                <w:rFonts w:cs="Arial"/>
                <w:szCs w:val="18"/>
              </w:rPr>
            </w:pPr>
            <w:r>
              <w:rPr>
                <w:rFonts w:cs="Arial"/>
                <w:szCs w:val="18"/>
              </w:rPr>
              <w:t>43</w:t>
            </w:r>
          </w:p>
        </w:tc>
        <w:tc>
          <w:tcPr>
            <w:tcW w:w="620" w:type="pct"/>
            <w:tcBorders>
              <w:top w:val="single" w:color="auto" w:sz="4" w:space="0"/>
              <w:bottom w:val="single" w:color="auto" w:sz="4" w:space="0"/>
            </w:tcBorders>
          </w:tcPr>
          <w:p w:rsidRPr="008B35E1" w:rsidR="001F26E1" w:rsidP="00E27EF9" w:rsidRDefault="00551A40" w14:paraId="6D1CDF70" w14:textId="3791420F">
            <w:pPr>
              <w:pStyle w:val="TableText"/>
              <w:tabs>
                <w:tab w:val="decimal" w:pos="590"/>
              </w:tabs>
              <w:spacing w:before="120"/>
              <w:ind w:right="136"/>
              <w:jc w:val="center"/>
              <w:rPr>
                <w:rFonts w:cs="Arial"/>
                <w:szCs w:val="18"/>
              </w:rPr>
            </w:pPr>
            <w:r w:rsidRPr="008B35E1">
              <w:rPr>
                <w:rFonts w:cs="Arial"/>
                <w:szCs w:val="18"/>
              </w:rPr>
              <w:t>$59.</w:t>
            </w:r>
            <w:r w:rsidR="00DF041E">
              <w:rPr>
                <w:rFonts w:cs="Arial"/>
                <w:szCs w:val="18"/>
              </w:rPr>
              <w:t>15</w:t>
            </w:r>
          </w:p>
        </w:tc>
        <w:tc>
          <w:tcPr>
            <w:tcW w:w="663" w:type="pct"/>
            <w:tcBorders>
              <w:top w:val="single" w:color="auto" w:sz="4" w:space="0"/>
              <w:bottom w:val="single" w:color="auto" w:sz="4" w:space="0"/>
            </w:tcBorders>
          </w:tcPr>
          <w:p w:rsidRPr="008B35E1" w:rsidR="001F26E1" w:rsidP="00EB7C39" w:rsidRDefault="00551A40" w14:paraId="07B4C2FA" w14:textId="316B28D9">
            <w:pPr>
              <w:pStyle w:val="TableText"/>
              <w:tabs>
                <w:tab w:val="decimal" w:pos="706"/>
              </w:tabs>
              <w:spacing w:before="120"/>
              <w:ind w:right="115"/>
              <w:jc w:val="center"/>
              <w:rPr>
                <w:rFonts w:cs="Arial"/>
                <w:szCs w:val="18"/>
              </w:rPr>
            </w:pPr>
            <w:r w:rsidRPr="008B35E1">
              <w:rPr>
                <w:rFonts w:cs="Arial"/>
                <w:szCs w:val="18"/>
              </w:rPr>
              <w:t>$</w:t>
            </w:r>
            <w:r w:rsidR="00FA441A">
              <w:rPr>
                <w:rFonts w:cs="Arial"/>
                <w:szCs w:val="18"/>
              </w:rPr>
              <w:t>2,</w:t>
            </w:r>
            <w:r w:rsidR="00DF041E">
              <w:rPr>
                <w:rFonts w:cs="Arial"/>
                <w:szCs w:val="18"/>
              </w:rPr>
              <w:t>543.45</w:t>
            </w:r>
          </w:p>
        </w:tc>
      </w:tr>
      <w:tr w:rsidRPr="008B35E1" w:rsidR="005B676B" w:rsidTr="005B676B" w14:paraId="1093E0FB" w14:textId="77777777">
        <w:trPr>
          <w:trHeight w:val="440"/>
        </w:trPr>
        <w:tc>
          <w:tcPr>
            <w:tcW w:w="678" w:type="pct"/>
            <w:tcBorders>
              <w:top w:val="single" w:color="auto" w:sz="4" w:space="0"/>
              <w:bottom w:val="single" w:color="auto" w:sz="4" w:space="0"/>
            </w:tcBorders>
          </w:tcPr>
          <w:p w:rsidRPr="008B35E1" w:rsidR="001F26E1" w:rsidP="00E27EF9" w:rsidRDefault="004F58E4" w14:paraId="625C2E78" w14:textId="6F68647E">
            <w:pPr>
              <w:pStyle w:val="TableText"/>
              <w:spacing w:before="120"/>
              <w:rPr>
                <w:rFonts w:cs="Arial"/>
                <w:szCs w:val="18"/>
              </w:rPr>
            </w:pPr>
            <w:r>
              <w:rPr>
                <w:rFonts w:cs="Arial"/>
                <w:szCs w:val="18"/>
              </w:rPr>
              <w:t>HVRP</w:t>
            </w:r>
            <w:r w:rsidR="005A497E">
              <w:rPr>
                <w:rFonts w:cs="Arial"/>
                <w:szCs w:val="18"/>
              </w:rPr>
              <w:t xml:space="preserve"> </w:t>
            </w:r>
            <w:r w:rsidR="00304403">
              <w:rPr>
                <w:rFonts w:cs="Arial"/>
                <w:szCs w:val="18"/>
              </w:rPr>
              <w:t xml:space="preserve">veteran </w:t>
            </w:r>
            <w:r w:rsidRPr="008B35E1" w:rsidR="001F26E1">
              <w:rPr>
                <w:rFonts w:cs="Arial"/>
                <w:szCs w:val="18"/>
              </w:rPr>
              <w:t>interview guide</w:t>
            </w:r>
          </w:p>
        </w:tc>
        <w:tc>
          <w:tcPr>
            <w:tcW w:w="657" w:type="pct"/>
            <w:tcBorders>
              <w:top w:val="single" w:color="auto" w:sz="4" w:space="0"/>
              <w:bottom w:val="single" w:color="auto" w:sz="4" w:space="0"/>
            </w:tcBorders>
          </w:tcPr>
          <w:p w:rsidRPr="008B35E1" w:rsidR="001F26E1" w:rsidP="00E27EF9" w:rsidRDefault="00321DEC" w14:paraId="056F9C85" w14:textId="3F33A0B3">
            <w:pPr>
              <w:pStyle w:val="TableText"/>
              <w:spacing w:before="120"/>
              <w:jc w:val="center"/>
              <w:rPr>
                <w:rFonts w:cs="Arial"/>
                <w:szCs w:val="18"/>
              </w:rPr>
            </w:pPr>
            <w:r>
              <w:rPr>
                <w:rFonts w:cs="Arial"/>
                <w:szCs w:val="18"/>
              </w:rPr>
              <w:t>21</w:t>
            </w:r>
          </w:p>
        </w:tc>
        <w:tc>
          <w:tcPr>
            <w:tcW w:w="613" w:type="pct"/>
            <w:tcBorders>
              <w:top w:val="single" w:color="auto" w:sz="4" w:space="0"/>
              <w:bottom w:val="single" w:color="auto" w:sz="4" w:space="0"/>
            </w:tcBorders>
          </w:tcPr>
          <w:p w:rsidRPr="008B35E1" w:rsidR="001F26E1" w:rsidP="00E27EF9" w:rsidRDefault="00E27EF9" w14:paraId="25D45583" w14:textId="0A29D254">
            <w:pPr>
              <w:pStyle w:val="TableText"/>
              <w:spacing w:before="120"/>
              <w:jc w:val="center"/>
              <w:rPr>
                <w:rFonts w:cs="Arial"/>
                <w:szCs w:val="18"/>
              </w:rPr>
            </w:pPr>
            <w:r w:rsidRPr="008B35E1">
              <w:rPr>
                <w:rFonts w:cs="Arial"/>
                <w:szCs w:val="18"/>
              </w:rPr>
              <w:t>1</w:t>
            </w:r>
          </w:p>
        </w:tc>
        <w:tc>
          <w:tcPr>
            <w:tcW w:w="578" w:type="pct"/>
            <w:tcBorders>
              <w:top w:val="single" w:color="auto" w:sz="4" w:space="0"/>
              <w:bottom w:val="single" w:color="auto" w:sz="4" w:space="0"/>
            </w:tcBorders>
          </w:tcPr>
          <w:p w:rsidRPr="008B35E1" w:rsidR="001F26E1" w:rsidP="00321DEC" w:rsidRDefault="00321DEC" w14:paraId="5DE14919" w14:textId="3AA8C646">
            <w:pPr>
              <w:pStyle w:val="TableText"/>
              <w:spacing w:before="120"/>
              <w:jc w:val="center"/>
              <w:rPr>
                <w:rFonts w:cs="Arial"/>
                <w:szCs w:val="18"/>
              </w:rPr>
            </w:pPr>
            <w:r>
              <w:rPr>
                <w:rFonts w:cs="Arial"/>
                <w:szCs w:val="18"/>
              </w:rPr>
              <w:t>2</w:t>
            </w:r>
            <w:r w:rsidRPr="008B35E1" w:rsidR="00E27EF9">
              <w:rPr>
                <w:rFonts w:cs="Arial"/>
                <w:szCs w:val="18"/>
              </w:rPr>
              <w:t>1</w:t>
            </w:r>
          </w:p>
        </w:tc>
        <w:tc>
          <w:tcPr>
            <w:tcW w:w="534" w:type="pct"/>
            <w:tcBorders>
              <w:top w:val="single" w:color="auto" w:sz="4" w:space="0"/>
              <w:bottom w:val="single" w:color="auto" w:sz="4" w:space="0"/>
            </w:tcBorders>
          </w:tcPr>
          <w:p w:rsidRPr="008B35E1" w:rsidR="001F26E1" w:rsidP="00E27EF9" w:rsidRDefault="00E27EF9" w14:paraId="26BE1B00" w14:textId="3EAAB6D7">
            <w:pPr>
              <w:pStyle w:val="TableText"/>
              <w:spacing w:before="120"/>
              <w:jc w:val="center"/>
              <w:rPr>
                <w:rFonts w:cs="Arial"/>
                <w:szCs w:val="18"/>
              </w:rPr>
            </w:pPr>
            <w:r w:rsidRPr="008B35E1">
              <w:rPr>
                <w:rFonts w:cs="Arial"/>
                <w:szCs w:val="18"/>
              </w:rPr>
              <w:t>1.5</w:t>
            </w:r>
          </w:p>
        </w:tc>
        <w:tc>
          <w:tcPr>
            <w:tcW w:w="657" w:type="pct"/>
            <w:tcBorders>
              <w:top w:val="single" w:color="auto" w:sz="4" w:space="0"/>
              <w:bottom w:val="single" w:color="auto" w:sz="4" w:space="0"/>
            </w:tcBorders>
          </w:tcPr>
          <w:p w:rsidRPr="008B35E1" w:rsidR="001F26E1" w:rsidP="00E27EF9" w:rsidRDefault="00321DEC" w14:paraId="661E9D73" w14:textId="77CB3DB3">
            <w:pPr>
              <w:pStyle w:val="TableText"/>
              <w:tabs>
                <w:tab w:val="decimal" w:pos="590"/>
              </w:tabs>
              <w:spacing w:before="120"/>
              <w:ind w:right="136"/>
              <w:jc w:val="center"/>
              <w:rPr>
                <w:rFonts w:cs="Arial"/>
                <w:szCs w:val="18"/>
              </w:rPr>
            </w:pPr>
            <w:r>
              <w:rPr>
                <w:rFonts w:cs="Arial"/>
                <w:szCs w:val="18"/>
              </w:rPr>
              <w:t>32</w:t>
            </w:r>
          </w:p>
        </w:tc>
        <w:tc>
          <w:tcPr>
            <w:tcW w:w="620" w:type="pct"/>
            <w:tcBorders>
              <w:top w:val="single" w:color="auto" w:sz="4" w:space="0"/>
              <w:bottom w:val="single" w:color="auto" w:sz="4" w:space="0"/>
            </w:tcBorders>
          </w:tcPr>
          <w:p w:rsidRPr="008B35E1" w:rsidR="001F26E1" w:rsidP="00E27EF9" w:rsidRDefault="007F548A" w14:paraId="3F8B256F" w14:textId="12E43228">
            <w:pPr>
              <w:pStyle w:val="TableText"/>
              <w:tabs>
                <w:tab w:val="decimal" w:pos="590"/>
              </w:tabs>
              <w:spacing w:before="120"/>
              <w:ind w:right="136"/>
              <w:jc w:val="center"/>
              <w:rPr>
                <w:rFonts w:cs="Arial"/>
                <w:szCs w:val="18"/>
              </w:rPr>
            </w:pPr>
            <w:r w:rsidRPr="008B35E1">
              <w:rPr>
                <w:rFonts w:cs="Arial"/>
                <w:szCs w:val="18"/>
              </w:rPr>
              <w:t>$7.</w:t>
            </w:r>
            <w:r w:rsidR="00A51815">
              <w:rPr>
                <w:rFonts w:cs="Arial"/>
                <w:szCs w:val="18"/>
              </w:rPr>
              <w:t>2</w:t>
            </w:r>
            <w:r w:rsidRPr="008B35E1">
              <w:rPr>
                <w:rFonts w:cs="Arial"/>
                <w:szCs w:val="18"/>
              </w:rPr>
              <w:t>5</w:t>
            </w:r>
          </w:p>
        </w:tc>
        <w:tc>
          <w:tcPr>
            <w:tcW w:w="663" w:type="pct"/>
            <w:tcBorders>
              <w:top w:val="single" w:color="auto" w:sz="4" w:space="0"/>
              <w:bottom w:val="single" w:color="auto" w:sz="4" w:space="0"/>
            </w:tcBorders>
          </w:tcPr>
          <w:p w:rsidRPr="008B35E1" w:rsidR="001F26E1" w:rsidP="00321DEC" w:rsidRDefault="007F548A" w14:paraId="5827F94D" w14:textId="4B0AE6CD">
            <w:pPr>
              <w:pStyle w:val="TableText"/>
              <w:tabs>
                <w:tab w:val="decimal" w:pos="706"/>
              </w:tabs>
              <w:spacing w:before="120"/>
              <w:ind w:right="115"/>
              <w:jc w:val="center"/>
              <w:rPr>
                <w:rFonts w:cs="Arial"/>
                <w:szCs w:val="18"/>
              </w:rPr>
            </w:pPr>
            <w:r w:rsidRPr="008B35E1">
              <w:rPr>
                <w:rFonts w:cs="Arial"/>
                <w:szCs w:val="18"/>
              </w:rPr>
              <w:t>$</w:t>
            </w:r>
            <w:r w:rsidR="00321DEC">
              <w:rPr>
                <w:rFonts w:cs="Arial"/>
                <w:szCs w:val="18"/>
              </w:rPr>
              <w:t>232</w:t>
            </w:r>
          </w:p>
        </w:tc>
      </w:tr>
      <w:tr w:rsidRPr="008B35E1" w:rsidR="005570F5" w:rsidTr="005B676B" w14:paraId="4889A6D0" w14:textId="77777777">
        <w:trPr>
          <w:trHeight w:val="440"/>
        </w:trPr>
        <w:tc>
          <w:tcPr>
            <w:tcW w:w="678" w:type="pct"/>
            <w:tcBorders>
              <w:top w:val="single" w:color="auto" w:sz="4" w:space="0"/>
              <w:bottom w:val="single" w:color="auto" w:sz="4" w:space="0"/>
            </w:tcBorders>
          </w:tcPr>
          <w:p w:rsidRPr="008B35E1" w:rsidR="005570F5" w:rsidP="00E27EF9" w:rsidRDefault="005570F5" w14:paraId="4D71057D" w14:textId="0783B379">
            <w:pPr>
              <w:pStyle w:val="TableText"/>
              <w:spacing w:before="120"/>
              <w:rPr>
                <w:rFonts w:cs="Arial"/>
                <w:szCs w:val="18"/>
              </w:rPr>
            </w:pPr>
            <w:r>
              <w:rPr>
                <w:rFonts w:cs="Arial"/>
                <w:szCs w:val="18"/>
              </w:rPr>
              <w:t>Non-</w:t>
            </w:r>
            <w:r w:rsidRPr="005570F5">
              <w:rPr>
                <w:rFonts w:cs="Arial"/>
                <w:szCs w:val="18"/>
              </w:rPr>
              <w:t>HVRP veteran interview guide</w:t>
            </w:r>
          </w:p>
        </w:tc>
        <w:tc>
          <w:tcPr>
            <w:tcW w:w="657" w:type="pct"/>
            <w:tcBorders>
              <w:top w:val="single" w:color="auto" w:sz="4" w:space="0"/>
              <w:bottom w:val="single" w:color="auto" w:sz="4" w:space="0"/>
            </w:tcBorders>
          </w:tcPr>
          <w:p w:rsidRPr="008B35E1" w:rsidR="005570F5" w:rsidP="00E27EF9" w:rsidRDefault="00321DEC" w14:paraId="03EC6BF3" w14:textId="7C451A2A">
            <w:pPr>
              <w:pStyle w:val="TableText"/>
              <w:spacing w:before="120"/>
              <w:jc w:val="center"/>
              <w:rPr>
                <w:rFonts w:cs="Arial"/>
                <w:szCs w:val="18"/>
              </w:rPr>
            </w:pPr>
            <w:r>
              <w:rPr>
                <w:rFonts w:cs="Arial"/>
                <w:szCs w:val="18"/>
              </w:rPr>
              <w:t>21</w:t>
            </w:r>
          </w:p>
        </w:tc>
        <w:tc>
          <w:tcPr>
            <w:tcW w:w="613" w:type="pct"/>
            <w:tcBorders>
              <w:top w:val="single" w:color="auto" w:sz="4" w:space="0"/>
              <w:bottom w:val="single" w:color="auto" w:sz="4" w:space="0"/>
            </w:tcBorders>
          </w:tcPr>
          <w:p w:rsidRPr="008B35E1" w:rsidR="005570F5" w:rsidP="00E27EF9" w:rsidRDefault="005570F5" w14:paraId="1FF5ED18" w14:textId="377A8020">
            <w:pPr>
              <w:pStyle w:val="TableText"/>
              <w:spacing w:before="120"/>
              <w:jc w:val="center"/>
              <w:rPr>
                <w:rFonts w:cs="Arial"/>
                <w:szCs w:val="18"/>
              </w:rPr>
            </w:pPr>
            <w:r>
              <w:rPr>
                <w:rFonts w:cs="Arial"/>
                <w:szCs w:val="18"/>
              </w:rPr>
              <w:t>1</w:t>
            </w:r>
          </w:p>
        </w:tc>
        <w:tc>
          <w:tcPr>
            <w:tcW w:w="578" w:type="pct"/>
            <w:tcBorders>
              <w:top w:val="single" w:color="auto" w:sz="4" w:space="0"/>
              <w:bottom w:val="single" w:color="auto" w:sz="4" w:space="0"/>
            </w:tcBorders>
          </w:tcPr>
          <w:p w:rsidRPr="008B35E1" w:rsidR="005570F5" w:rsidP="00E27EF9" w:rsidRDefault="00321DEC" w14:paraId="389584D1" w14:textId="0209B958">
            <w:pPr>
              <w:pStyle w:val="TableText"/>
              <w:spacing w:before="120"/>
              <w:jc w:val="center"/>
              <w:rPr>
                <w:rFonts w:cs="Arial"/>
                <w:szCs w:val="18"/>
              </w:rPr>
            </w:pPr>
            <w:r>
              <w:rPr>
                <w:rFonts w:cs="Arial"/>
                <w:szCs w:val="18"/>
              </w:rPr>
              <w:t>2</w:t>
            </w:r>
            <w:r w:rsidR="005570F5">
              <w:rPr>
                <w:rFonts w:cs="Arial"/>
                <w:szCs w:val="18"/>
              </w:rPr>
              <w:t>1</w:t>
            </w:r>
          </w:p>
        </w:tc>
        <w:tc>
          <w:tcPr>
            <w:tcW w:w="534" w:type="pct"/>
            <w:tcBorders>
              <w:top w:val="single" w:color="auto" w:sz="4" w:space="0"/>
              <w:bottom w:val="single" w:color="auto" w:sz="4" w:space="0"/>
            </w:tcBorders>
          </w:tcPr>
          <w:p w:rsidRPr="008B35E1" w:rsidR="005570F5" w:rsidP="00E27EF9" w:rsidRDefault="005570F5" w14:paraId="5B150A42" w14:textId="0F40F192">
            <w:pPr>
              <w:pStyle w:val="TableText"/>
              <w:spacing w:before="120"/>
              <w:jc w:val="center"/>
              <w:rPr>
                <w:rFonts w:cs="Arial"/>
                <w:szCs w:val="18"/>
              </w:rPr>
            </w:pPr>
            <w:r>
              <w:rPr>
                <w:rFonts w:cs="Arial"/>
                <w:szCs w:val="18"/>
              </w:rPr>
              <w:t>.75</w:t>
            </w:r>
          </w:p>
        </w:tc>
        <w:tc>
          <w:tcPr>
            <w:tcW w:w="657" w:type="pct"/>
            <w:tcBorders>
              <w:top w:val="single" w:color="auto" w:sz="4" w:space="0"/>
              <w:bottom w:val="single" w:color="auto" w:sz="4" w:space="0"/>
            </w:tcBorders>
          </w:tcPr>
          <w:p w:rsidRPr="008B35E1" w:rsidR="005570F5" w:rsidP="00E27EF9" w:rsidRDefault="00321DEC" w14:paraId="513778FE" w14:textId="4A1810A7">
            <w:pPr>
              <w:pStyle w:val="TableText"/>
              <w:tabs>
                <w:tab w:val="decimal" w:pos="590"/>
              </w:tabs>
              <w:spacing w:before="120"/>
              <w:ind w:right="136"/>
              <w:jc w:val="center"/>
              <w:rPr>
                <w:rFonts w:cs="Arial"/>
                <w:szCs w:val="18"/>
              </w:rPr>
            </w:pPr>
            <w:r>
              <w:rPr>
                <w:rFonts w:cs="Arial"/>
                <w:szCs w:val="18"/>
              </w:rPr>
              <w:t>16</w:t>
            </w:r>
          </w:p>
        </w:tc>
        <w:tc>
          <w:tcPr>
            <w:tcW w:w="620" w:type="pct"/>
            <w:tcBorders>
              <w:top w:val="single" w:color="auto" w:sz="4" w:space="0"/>
              <w:bottom w:val="single" w:color="auto" w:sz="4" w:space="0"/>
            </w:tcBorders>
          </w:tcPr>
          <w:p w:rsidRPr="008B35E1" w:rsidR="005570F5" w:rsidP="00E27EF9" w:rsidRDefault="005570F5" w14:paraId="58297B25" w14:textId="520028BB">
            <w:pPr>
              <w:pStyle w:val="TableText"/>
              <w:tabs>
                <w:tab w:val="decimal" w:pos="590"/>
              </w:tabs>
              <w:spacing w:before="120"/>
              <w:ind w:right="136"/>
              <w:jc w:val="center"/>
              <w:rPr>
                <w:rFonts w:cs="Arial"/>
                <w:szCs w:val="18"/>
              </w:rPr>
            </w:pPr>
            <w:r>
              <w:rPr>
                <w:rFonts w:cs="Arial"/>
                <w:szCs w:val="18"/>
              </w:rPr>
              <w:t>$7.25</w:t>
            </w:r>
          </w:p>
        </w:tc>
        <w:tc>
          <w:tcPr>
            <w:tcW w:w="663" w:type="pct"/>
            <w:tcBorders>
              <w:top w:val="single" w:color="auto" w:sz="4" w:space="0"/>
              <w:bottom w:val="single" w:color="auto" w:sz="4" w:space="0"/>
            </w:tcBorders>
          </w:tcPr>
          <w:p w:rsidRPr="008B35E1" w:rsidR="005570F5" w:rsidP="00321DEC" w:rsidRDefault="005570F5" w14:paraId="4A66103C" w14:textId="1843AC8A">
            <w:pPr>
              <w:pStyle w:val="TableText"/>
              <w:tabs>
                <w:tab w:val="decimal" w:pos="706"/>
              </w:tabs>
              <w:spacing w:before="120"/>
              <w:ind w:right="115"/>
              <w:jc w:val="center"/>
              <w:rPr>
                <w:rFonts w:cs="Arial"/>
                <w:szCs w:val="18"/>
              </w:rPr>
            </w:pPr>
            <w:r>
              <w:rPr>
                <w:rFonts w:cs="Arial"/>
                <w:szCs w:val="18"/>
              </w:rPr>
              <w:t>$</w:t>
            </w:r>
            <w:r w:rsidR="00321DEC">
              <w:rPr>
                <w:rFonts w:cs="Arial"/>
                <w:szCs w:val="18"/>
              </w:rPr>
              <w:t>116</w:t>
            </w:r>
          </w:p>
        </w:tc>
      </w:tr>
      <w:tr w:rsidRPr="008B35E1" w:rsidR="005B676B" w:rsidTr="005B676B" w14:paraId="2E3F2AF8" w14:textId="77777777">
        <w:trPr>
          <w:trHeight w:val="440"/>
        </w:trPr>
        <w:tc>
          <w:tcPr>
            <w:tcW w:w="678" w:type="pct"/>
            <w:tcBorders>
              <w:top w:val="single" w:color="auto" w:sz="4" w:space="0"/>
              <w:bottom w:val="single" w:color="auto" w:sz="4" w:space="0"/>
            </w:tcBorders>
          </w:tcPr>
          <w:p w:rsidRPr="008B35E1" w:rsidR="00E27EF9" w:rsidP="00E27EF9" w:rsidRDefault="00E27EF9" w14:paraId="550D4374" w14:textId="486039F2">
            <w:pPr>
              <w:pStyle w:val="TableText"/>
              <w:spacing w:before="120"/>
              <w:rPr>
                <w:rFonts w:cs="Arial"/>
                <w:b/>
                <w:szCs w:val="18"/>
              </w:rPr>
            </w:pPr>
            <w:r w:rsidRPr="008B35E1">
              <w:rPr>
                <w:rFonts w:cs="Arial"/>
                <w:b/>
                <w:szCs w:val="18"/>
              </w:rPr>
              <w:t>Unduplicated total</w:t>
            </w:r>
          </w:p>
        </w:tc>
        <w:tc>
          <w:tcPr>
            <w:tcW w:w="657" w:type="pct"/>
            <w:tcBorders>
              <w:top w:val="single" w:color="auto" w:sz="4" w:space="0"/>
              <w:bottom w:val="single" w:color="auto" w:sz="4" w:space="0"/>
            </w:tcBorders>
          </w:tcPr>
          <w:p w:rsidRPr="008B35E1" w:rsidR="00E27EF9" w:rsidP="0016540F" w:rsidRDefault="00394240" w14:paraId="78E195D3" w14:textId="773EFAC1">
            <w:pPr>
              <w:pStyle w:val="TableText"/>
              <w:spacing w:before="120"/>
              <w:jc w:val="center"/>
              <w:rPr>
                <w:rFonts w:cs="Arial"/>
                <w:szCs w:val="18"/>
              </w:rPr>
            </w:pPr>
            <w:r>
              <w:rPr>
                <w:rFonts w:cs="Arial"/>
                <w:szCs w:val="18"/>
              </w:rPr>
              <w:t>1</w:t>
            </w:r>
            <w:r w:rsidR="00321DEC">
              <w:rPr>
                <w:rFonts w:cs="Arial"/>
                <w:szCs w:val="18"/>
              </w:rPr>
              <w:t>30</w:t>
            </w:r>
          </w:p>
        </w:tc>
        <w:tc>
          <w:tcPr>
            <w:tcW w:w="613" w:type="pct"/>
            <w:tcBorders>
              <w:top w:val="single" w:color="auto" w:sz="4" w:space="0"/>
              <w:bottom w:val="single" w:color="auto" w:sz="4" w:space="0"/>
            </w:tcBorders>
          </w:tcPr>
          <w:p w:rsidRPr="008B35E1" w:rsidR="00E27EF9" w:rsidP="00E27EF9" w:rsidRDefault="00E27EF9" w14:paraId="013DB3F2" w14:textId="295BBA06">
            <w:pPr>
              <w:pStyle w:val="TableText"/>
              <w:spacing w:before="120"/>
              <w:jc w:val="center"/>
              <w:rPr>
                <w:rFonts w:cs="Arial"/>
                <w:szCs w:val="18"/>
              </w:rPr>
            </w:pPr>
            <w:r w:rsidRPr="008B35E1">
              <w:rPr>
                <w:rFonts w:cs="Arial"/>
                <w:szCs w:val="18"/>
              </w:rPr>
              <w:t>--</w:t>
            </w:r>
          </w:p>
        </w:tc>
        <w:tc>
          <w:tcPr>
            <w:tcW w:w="578" w:type="pct"/>
            <w:tcBorders>
              <w:top w:val="single" w:color="auto" w:sz="4" w:space="0"/>
              <w:bottom w:val="single" w:color="auto" w:sz="4" w:space="0"/>
            </w:tcBorders>
          </w:tcPr>
          <w:p w:rsidRPr="008B35E1" w:rsidR="00E27EF9" w:rsidP="00321DEC" w:rsidRDefault="00321DEC" w14:paraId="372CFACB" w14:textId="542F9FE6">
            <w:pPr>
              <w:pStyle w:val="TableText"/>
              <w:spacing w:before="120"/>
              <w:jc w:val="center"/>
              <w:rPr>
                <w:rFonts w:cs="Arial"/>
                <w:szCs w:val="18"/>
              </w:rPr>
            </w:pPr>
            <w:r>
              <w:rPr>
                <w:rFonts w:cs="Arial"/>
                <w:szCs w:val="18"/>
              </w:rPr>
              <w:t>130</w:t>
            </w:r>
          </w:p>
        </w:tc>
        <w:tc>
          <w:tcPr>
            <w:tcW w:w="534" w:type="pct"/>
            <w:tcBorders>
              <w:top w:val="single" w:color="auto" w:sz="4" w:space="0"/>
              <w:bottom w:val="single" w:color="auto" w:sz="4" w:space="0"/>
            </w:tcBorders>
          </w:tcPr>
          <w:p w:rsidRPr="008B35E1" w:rsidR="00E27EF9" w:rsidP="00E27EF9" w:rsidRDefault="00E27EF9" w14:paraId="539E1A35" w14:textId="6BE9F4C7">
            <w:pPr>
              <w:pStyle w:val="TableText"/>
              <w:spacing w:before="120"/>
              <w:jc w:val="center"/>
              <w:rPr>
                <w:rFonts w:cs="Arial"/>
                <w:szCs w:val="18"/>
              </w:rPr>
            </w:pPr>
            <w:r w:rsidRPr="008B35E1">
              <w:rPr>
                <w:rFonts w:cs="Arial"/>
                <w:szCs w:val="18"/>
              </w:rPr>
              <w:t>--</w:t>
            </w:r>
          </w:p>
        </w:tc>
        <w:tc>
          <w:tcPr>
            <w:tcW w:w="657" w:type="pct"/>
            <w:tcBorders>
              <w:top w:val="single" w:color="auto" w:sz="4" w:space="0"/>
              <w:bottom w:val="single" w:color="auto" w:sz="4" w:space="0"/>
            </w:tcBorders>
          </w:tcPr>
          <w:p w:rsidRPr="008B35E1" w:rsidR="00E27EF9" w:rsidP="0016540F" w:rsidRDefault="00321DEC" w14:paraId="73604E19" w14:textId="3005A93C">
            <w:pPr>
              <w:pStyle w:val="TableText"/>
              <w:tabs>
                <w:tab w:val="decimal" w:pos="590"/>
              </w:tabs>
              <w:spacing w:before="120"/>
              <w:ind w:right="136"/>
              <w:jc w:val="center"/>
              <w:rPr>
                <w:rFonts w:cs="Arial"/>
                <w:szCs w:val="18"/>
              </w:rPr>
            </w:pPr>
            <w:r>
              <w:rPr>
                <w:rFonts w:cs="Arial"/>
                <w:szCs w:val="18"/>
              </w:rPr>
              <w:t>136</w:t>
            </w:r>
          </w:p>
        </w:tc>
        <w:tc>
          <w:tcPr>
            <w:tcW w:w="620" w:type="pct"/>
            <w:tcBorders>
              <w:top w:val="single" w:color="auto" w:sz="4" w:space="0"/>
              <w:bottom w:val="single" w:color="auto" w:sz="4" w:space="0"/>
            </w:tcBorders>
          </w:tcPr>
          <w:p w:rsidRPr="008B35E1" w:rsidR="00E27EF9" w:rsidP="00E27EF9" w:rsidRDefault="007F548A" w14:paraId="50A11608" w14:textId="4AF665A5">
            <w:pPr>
              <w:pStyle w:val="TableText"/>
              <w:tabs>
                <w:tab w:val="decimal" w:pos="590"/>
              </w:tabs>
              <w:spacing w:before="120"/>
              <w:ind w:right="136"/>
              <w:jc w:val="center"/>
              <w:rPr>
                <w:rFonts w:cs="Arial"/>
                <w:szCs w:val="18"/>
              </w:rPr>
            </w:pPr>
            <w:r w:rsidRPr="008B35E1">
              <w:rPr>
                <w:rFonts w:cs="Arial"/>
                <w:szCs w:val="18"/>
              </w:rPr>
              <w:t>--</w:t>
            </w:r>
          </w:p>
        </w:tc>
        <w:tc>
          <w:tcPr>
            <w:tcW w:w="663" w:type="pct"/>
            <w:tcBorders>
              <w:top w:val="single" w:color="auto" w:sz="4" w:space="0"/>
              <w:bottom w:val="single" w:color="auto" w:sz="4" w:space="0"/>
            </w:tcBorders>
          </w:tcPr>
          <w:p w:rsidRPr="008B35E1" w:rsidR="00E27EF9" w:rsidP="00321DEC" w:rsidRDefault="00394240" w14:paraId="4ED721F9" w14:textId="7782D136">
            <w:pPr>
              <w:pStyle w:val="TableText"/>
              <w:tabs>
                <w:tab w:val="decimal" w:pos="706"/>
              </w:tabs>
              <w:spacing w:before="120"/>
              <w:ind w:right="115"/>
              <w:jc w:val="center"/>
              <w:rPr>
                <w:rFonts w:cs="Arial"/>
                <w:szCs w:val="18"/>
              </w:rPr>
            </w:pPr>
            <w:r>
              <w:rPr>
                <w:rFonts w:cs="Arial"/>
                <w:szCs w:val="18"/>
              </w:rPr>
              <w:t>$</w:t>
            </w:r>
            <w:r w:rsidR="0016540F">
              <w:rPr>
                <w:rFonts w:cs="Arial"/>
                <w:szCs w:val="18"/>
              </w:rPr>
              <w:t>5,</w:t>
            </w:r>
            <w:r w:rsidR="00DF041E">
              <w:rPr>
                <w:rFonts w:cs="Arial"/>
                <w:szCs w:val="18"/>
              </w:rPr>
              <w:t>553.2</w:t>
            </w:r>
          </w:p>
        </w:tc>
      </w:tr>
    </w:tbl>
    <w:p w:rsidRPr="008B35E1" w:rsidR="00551A40" w:rsidP="00551A40" w:rsidRDefault="00551A40" w14:paraId="647178AF" w14:textId="7E09CCF8">
      <w:pPr>
        <w:pStyle w:val="TableFootnoteCaption"/>
      </w:pPr>
      <w:r w:rsidRPr="008B35E1">
        <w:rPr>
          <w:vertAlign w:val="superscript"/>
        </w:rPr>
        <w:t>a</w:t>
      </w:r>
      <w:r w:rsidRPr="008B35E1">
        <w:t xml:space="preserve"> The average hourly wage was obtained from the U.S. Bureau of Labor Statistics, National, State, Metropolitan, and Nonmetropolitan Area Occupational Employment and Wage Estimates, May 201</w:t>
      </w:r>
      <w:r w:rsidR="00DF041E">
        <w:t>9</w:t>
      </w:r>
      <w:r w:rsidRPr="008B35E1">
        <w:t xml:space="preserve">. Estimates are based on the </w:t>
      </w:r>
      <w:r w:rsidR="006962B5">
        <w:t>national mean hourly</w:t>
      </w:r>
      <w:r w:rsidRPr="008B35E1" w:rsidR="006962B5">
        <w:t xml:space="preserve"> </w:t>
      </w:r>
      <w:r w:rsidRPr="008B35E1">
        <w:t>wage for “General and Operations Managers” of $59.</w:t>
      </w:r>
      <w:r w:rsidR="00DF041E">
        <w:t>15</w:t>
      </w:r>
      <w:r w:rsidRPr="008B35E1">
        <w:t xml:space="preserve">. </w:t>
      </w:r>
      <w:r w:rsidR="004F58E4">
        <w:t xml:space="preserve">The hourly wage for the in-depth interviews with veterans is the federal minimum wage. </w:t>
      </w:r>
    </w:p>
    <w:p w:rsidRPr="008B35E1" w:rsidR="007F548A" w:rsidP="00516240" w:rsidRDefault="007F548A" w14:paraId="69A653C4" w14:textId="77777777">
      <w:pPr>
        <w:pStyle w:val="H4Number"/>
      </w:pPr>
    </w:p>
    <w:p w:rsidRPr="00CE799D" w:rsidR="00901D8B" w:rsidP="00901D8B" w:rsidRDefault="00D5210E" w14:paraId="05E0E68B" w14:textId="009386C5">
      <w:pPr>
        <w:pStyle w:val="H4Number"/>
        <w:rPr>
          <w:rFonts w:ascii="Times New Roman" w:hAnsi="Times New Roman"/>
          <w:b w:val="0"/>
          <w:i/>
        </w:rPr>
      </w:pPr>
      <w:bookmarkStart w:name="_Toc374099833" w:id="140"/>
      <w:bookmarkStart w:name="_Toc428361296" w:id="141"/>
      <w:bookmarkStart w:name="_Toc428361456" w:id="142"/>
      <w:r w:rsidRPr="008B35E1">
        <w:t>13.</w:t>
      </w:r>
      <w:r w:rsidRPr="008B35E1">
        <w:tab/>
      </w:r>
      <w:bookmarkEnd w:id="131"/>
      <w:bookmarkEnd w:id="132"/>
      <w:bookmarkEnd w:id="133"/>
      <w:bookmarkEnd w:id="134"/>
      <w:bookmarkEnd w:id="135"/>
      <w:bookmarkEnd w:id="136"/>
      <w:bookmarkEnd w:id="137"/>
      <w:bookmarkEnd w:id="138"/>
      <w:bookmarkEnd w:id="139"/>
      <w:bookmarkEnd w:id="140"/>
      <w:bookmarkEnd w:id="141"/>
      <w:bookmarkEnd w:id="142"/>
      <w:r w:rsidRPr="00CE799D" w:rsidR="00901D8B">
        <w:rPr>
          <w:rFonts w:ascii="Times New Roman" w:hAnsi="Times New Roman"/>
          <w:b w:val="0"/>
          <w:i/>
        </w:rPr>
        <w:t>Provide an estimate for the total annual cost burden to respondents or record keepers resulting from the collection of information. (Do not include the cost of any hour burden already reflected on the burden worksheet).</w:t>
      </w:r>
    </w:p>
    <w:p w:rsidRPr="00CE799D" w:rsidR="00901D8B" w:rsidP="00901D8B" w:rsidRDefault="00901D8B" w14:paraId="1FF91F7D" w14:textId="3FBFB2DB">
      <w:pPr>
        <w:pStyle w:val="H4Number"/>
        <w:rPr>
          <w:rFonts w:ascii="Times New Roman" w:hAnsi="Times New Roman"/>
          <w:b w:val="0"/>
          <w:i/>
        </w:rPr>
      </w:pPr>
      <w:r w:rsidRPr="00CE799D">
        <w:rPr>
          <w:rFonts w:ascii="Times New Roman" w:hAnsi="Times New Roman"/>
          <w:b w:val="0"/>
          <w:i/>
        </w:rPr>
        <w:tab/>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CE799D" w:rsidR="00901D8B" w:rsidP="00901D8B" w:rsidRDefault="00901D8B" w14:paraId="3339D2B5" w14:textId="383D62D0">
      <w:pPr>
        <w:pStyle w:val="H4Number"/>
        <w:rPr>
          <w:rFonts w:ascii="Times New Roman" w:hAnsi="Times New Roman"/>
          <w:b w:val="0"/>
          <w:i/>
        </w:rPr>
      </w:pPr>
      <w:r w:rsidRPr="00CE799D">
        <w:rPr>
          <w:rFonts w:ascii="Times New Roman" w:hAnsi="Times New Roman"/>
          <w:b w:val="0"/>
          <w:i/>
        </w:rPr>
        <w:tab/>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w:t>
      </w:r>
      <w:r w:rsidRPr="00CE799D">
        <w:rPr>
          <w:rFonts w:ascii="Times New Roman" w:hAnsi="Times New Roman"/>
          <w:b w:val="0"/>
          <w:i/>
        </w:rPr>
        <w:lastRenderedPageBreak/>
        <w:t>comment process and use existing economic or regulatory impact analysis associated with the rulemaking containing the information collection, as appropriate.</w:t>
      </w:r>
    </w:p>
    <w:p w:rsidRPr="00CE799D" w:rsidR="00901D8B" w:rsidP="00901D8B" w:rsidRDefault="00901D8B" w14:paraId="4C552A7E" w14:textId="26048494">
      <w:pPr>
        <w:pStyle w:val="H4Number"/>
        <w:rPr>
          <w:rFonts w:ascii="Times New Roman" w:hAnsi="Times New Roman"/>
          <w:b w:val="0"/>
          <w:i/>
        </w:rPr>
      </w:pPr>
      <w:r w:rsidRPr="00CE799D">
        <w:rPr>
          <w:rFonts w:ascii="Times New Roman" w:hAnsi="Times New Roman"/>
          <w:b w:val="0"/>
          <w:i/>
        </w:rPr>
        <w:tab/>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01D8B" w:rsidP="00546B61" w:rsidRDefault="00901D8B" w14:paraId="09AFB4B1" w14:textId="04D1604F">
      <w:pPr>
        <w:pStyle w:val="NormalSS"/>
        <w:spacing w:before="240"/>
      </w:pPr>
      <w:bookmarkStart w:name="_Toc63827188" w:id="143"/>
      <w:bookmarkStart w:name="_Toc70752937" w:id="144"/>
      <w:bookmarkStart w:name="_Toc213228329" w:id="145"/>
      <w:bookmarkStart w:name="_Toc276390677" w:id="146"/>
      <w:bookmarkStart w:name="_Toc276988166" w:id="147"/>
      <w:bookmarkStart w:name="_Toc277079585" w:id="148"/>
      <w:bookmarkStart w:name="_Toc283908725" w:id="149"/>
      <w:bookmarkStart w:name="_Toc298415695" w:id="150"/>
      <w:bookmarkStart w:name="_Toc298418576" w:id="151"/>
      <w:bookmarkStart w:name="_Toc374099835" w:id="152"/>
      <w:r w:rsidRPr="008B35E1">
        <w:t>There are no additional costs to respondents other than their time.</w:t>
      </w:r>
    </w:p>
    <w:p w:rsidRPr="008B35E1" w:rsidR="008617AD" w:rsidP="008617AD" w:rsidRDefault="00867DB4" w14:paraId="7E62D190" w14:textId="79195D13">
      <w:pPr>
        <w:pStyle w:val="H4Number"/>
      </w:pPr>
      <w:r w:rsidRPr="008B35E1">
        <w:t>14.</w:t>
      </w:r>
      <w:r w:rsidRPr="008B35E1">
        <w:tab/>
      </w:r>
      <w:r w:rsidRPr="00CE799D" w:rsidR="002F72D8">
        <w:rPr>
          <w:rFonts w:ascii="Times New Roman" w:hAnsi="Times New Roman"/>
          <w:b w:val="0"/>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8B35E1" w:rsidR="00551A40" w:rsidP="00516240" w:rsidRDefault="004F0ABC" w14:paraId="49275E27" w14:textId="2AA7DD96">
      <w:pPr>
        <w:pStyle w:val="NormalSS"/>
      </w:pPr>
      <w:r>
        <w:t>The total cost to the Fe</w:t>
      </w:r>
      <w:r w:rsidR="00C27D06">
        <w:t>deral government over the three years</w:t>
      </w:r>
      <w:r w:rsidR="00643E71">
        <w:t xml:space="preserve"> is $3,058,062</w:t>
      </w:r>
      <w:r>
        <w:t>, and t</w:t>
      </w:r>
      <w:r w:rsidR="00C27D06">
        <w:t xml:space="preserve">he </w:t>
      </w:r>
      <w:r w:rsidRPr="008B35E1" w:rsidR="00551A40">
        <w:t xml:space="preserve">annualized cost </w:t>
      </w:r>
      <w:r w:rsidRPr="004F0ABC" w:rsidR="00551A40">
        <w:t xml:space="preserve">is </w:t>
      </w:r>
      <w:r w:rsidRPr="009068AA" w:rsidR="007F548A">
        <w:t>$</w:t>
      </w:r>
      <w:r w:rsidRPr="00C27D06" w:rsidR="00C27D06">
        <w:t>1</w:t>
      </w:r>
      <w:r w:rsidR="00C27D06">
        <w:t>,</w:t>
      </w:r>
      <w:r w:rsidR="00643E71">
        <w:t>019</w:t>
      </w:r>
      <w:r w:rsidR="00C27D06">
        <w:t>,</w:t>
      </w:r>
      <w:r w:rsidR="00643E71">
        <w:t>354</w:t>
      </w:r>
      <w:r w:rsidRPr="008B35E1" w:rsidR="00551A40">
        <w:t xml:space="preserve">. Costs result from the following categories: </w:t>
      </w:r>
    </w:p>
    <w:p w:rsidRPr="008B35E1" w:rsidR="008F1462" w:rsidP="00C27D06" w:rsidRDefault="008F1462" w14:paraId="5F2640EB" w14:textId="68293946">
      <w:pPr>
        <w:pStyle w:val="BulletLastSS"/>
        <w:numPr>
          <w:ilvl w:val="0"/>
          <w:numId w:val="54"/>
        </w:numPr>
      </w:pPr>
      <w:r w:rsidRPr="008B35E1">
        <w:t xml:space="preserve">The </w:t>
      </w:r>
      <w:bookmarkStart w:name="_Hlk39846986" w:id="153"/>
      <w:r w:rsidRPr="008B35E1" w:rsidR="00BB387E">
        <w:t xml:space="preserve">annualized </w:t>
      </w:r>
      <w:r w:rsidRPr="008B35E1">
        <w:t xml:space="preserve">cost to the federal government for the contractor </w:t>
      </w:r>
      <w:bookmarkEnd w:id="153"/>
      <w:r w:rsidRPr="008B35E1">
        <w:t xml:space="preserve">to carry out this study is </w:t>
      </w:r>
      <w:r w:rsidR="00C27D06">
        <w:t>$9</w:t>
      </w:r>
      <w:r w:rsidRPr="00516240" w:rsidR="00C1262C">
        <w:t>9</w:t>
      </w:r>
      <w:r w:rsidR="00C27D06">
        <w:t>9,588</w:t>
      </w:r>
      <w:r w:rsidRPr="003258C7" w:rsidR="003258C7">
        <w:rPr>
          <w:szCs w:val="24"/>
          <w:u w:color="000080"/>
          <w:vertAlign w:val="superscript"/>
        </w:rPr>
        <w:footnoteReference w:id="4"/>
      </w:r>
      <w:r w:rsidRPr="008B35E1">
        <w:t>.</w:t>
      </w:r>
      <w:r w:rsidRPr="008B35E1" w:rsidR="00C1262C">
        <w:t xml:space="preserve"> The total cost of the </w:t>
      </w:r>
      <w:r w:rsidRPr="008B35E1" w:rsidR="00717DEA">
        <w:t>evaluation</w:t>
      </w:r>
      <w:r w:rsidR="00C27D06">
        <w:t xml:space="preserve"> for three</w:t>
      </w:r>
      <w:r w:rsidRPr="008B35E1" w:rsidR="00C1262C">
        <w:t xml:space="preserve"> years is </w:t>
      </w:r>
      <w:r w:rsidRPr="00476D9B" w:rsidR="00C1262C">
        <w:t>$</w:t>
      </w:r>
      <w:bookmarkStart w:name="_Hlk40277602" w:id="154"/>
      <w:r w:rsidRPr="00476D9B" w:rsidR="00C1262C">
        <w:t>2,998,764</w:t>
      </w:r>
      <w:bookmarkEnd w:id="154"/>
      <w:r w:rsidR="00C27D06">
        <w:t xml:space="preserve">. Therefore, the </w:t>
      </w:r>
      <w:r w:rsidRPr="008B35E1" w:rsidR="00C1262C">
        <w:t>annualized cost is $2</w:t>
      </w:r>
      <w:r w:rsidR="00C27D06">
        <w:t>,998,764 / 3</w:t>
      </w:r>
      <w:r w:rsidRPr="00516240" w:rsidR="00C1262C">
        <w:t xml:space="preserve"> years = $</w:t>
      </w:r>
      <w:r w:rsidRPr="00C27D06" w:rsidR="00C27D06">
        <w:t>999</w:t>
      </w:r>
      <w:r w:rsidR="00C27D06">
        <w:t>,</w:t>
      </w:r>
      <w:r w:rsidRPr="00C27D06" w:rsidR="00C27D06">
        <w:t>588</w:t>
      </w:r>
      <w:r w:rsidRPr="008B35E1" w:rsidR="00C1262C">
        <w:t>.</w:t>
      </w:r>
      <w:r w:rsidRPr="008B35E1">
        <w:t xml:space="preserve">  </w:t>
      </w:r>
    </w:p>
    <w:p w:rsidR="00C27D06" w:rsidP="00C27D06" w:rsidRDefault="00C27D06" w14:paraId="260AAD60" w14:textId="75C83F17">
      <w:pPr>
        <w:pStyle w:val="NormalSS"/>
        <w:numPr>
          <w:ilvl w:val="0"/>
          <w:numId w:val="54"/>
        </w:numPr>
      </w:pPr>
      <w:r>
        <w:t xml:space="preserve">The annual cost borne by DOL for federal technical staff to oversee the contract is estimated to be $19,766. We expect the annual level of effort to perform these duties will require 200 hours for one federal GS 14 step 4 employee based in Washington, D.C., earning $61.77 per hour. (See Office of Personnel Management 2019 Hourly Salary Table at </w:t>
      </w:r>
      <w:hyperlink w:history="1" r:id="rId11">
        <w:r w:rsidRPr="00FE72B7">
          <w:rPr>
            <w:rStyle w:val="Hyperlink"/>
          </w:rPr>
          <w:t>https://www.opm.gov/policy-data-oversight/pay-leave/salaries-wages/salary-tables/pdf/2019/DCB_h.pdf</w:t>
        </w:r>
      </w:hyperlink>
      <w:r>
        <w:t>. To account for fringe benefits and other overhead costs, the agency has applied multiplication factor of 1.6:</w:t>
      </w:r>
    </w:p>
    <w:p w:rsidR="00C27D06" w:rsidP="00C27D06" w:rsidRDefault="00C27D06" w14:paraId="7AF78451" w14:textId="77777777">
      <w:pPr>
        <w:pStyle w:val="NormalSS"/>
      </w:pPr>
      <w:r>
        <w:t>200 hours × $61.77 × 1.6 = $19,766.</w:t>
      </w:r>
    </w:p>
    <w:p w:rsidRPr="00884BC7" w:rsidR="005A5F35" w:rsidP="00D0551A" w:rsidRDefault="004A492D" w14:paraId="3EB01386" w14:textId="5A96B7C7">
      <w:pPr>
        <w:pStyle w:val="NormalSS"/>
        <w:ind w:left="450" w:firstLine="0"/>
      </w:pPr>
      <w:r w:rsidRPr="00884BC7">
        <w:lastRenderedPageBreak/>
        <w:t>Thus, t</w:t>
      </w:r>
      <w:r w:rsidRPr="00884BC7" w:rsidR="00C141A4">
        <w:t>he total annualized cost t</w:t>
      </w:r>
      <w:r w:rsidRPr="00884BC7" w:rsidR="00A42D4E">
        <w:t xml:space="preserve">o the federal government </w:t>
      </w:r>
      <w:r w:rsidRPr="00884BC7" w:rsidR="007F548A">
        <w:t xml:space="preserve">for this evaluation </w:t>
      </w:r>
      <w:r w:rsidR="00B65EFC">
        <w:t>is $1,019,354</w:t>
      </w:r>
      <w:r w:rsidR="00C27D06">
        <w:t xml:space="preserve"> ($999,588</w:t>
      </w:r>
      <w:r w:rsidRPr="00884BC7" w:rsidR="00C141A4">
        <w:t xml:space="preserve"> + $</w:t>
      </w:r>
      <w:r w:rsidR="00C27D06">
        <w:t>19</w:t>
      </w:r>
      <w:r w:rsidRPr="00884BC7" w:rsidR="00A42D4E">
        <w:t>,</w:t>
      </w:r>
      <w:r w:rsidR="00C27D06">
        <w:t>766</w:t>
      </w:r>
      <w:r w:rsidRPr="00884BC7" w:rsidR="005A497E">
        <w:t xml:space="preserve"> </w:t>
      </w:r>
      <w:r w:rsidRPr="00884BC7" w:rsidR="00C141A4">
        <w:t>= $</w:t>
      </w:r>
      <w:r w:rsidRPr="00C27D06" w:rsidR="00C27D06">
        <w:t xml:space="preserve"> 1</w:t>
      </w:r>
      <w:r w:rsidR="00C27D06">
        <w:t>,</w:t>
      </w:r>
      <w:r w:rsidRPr="00C27D06" w:rsidR="00C27D06">
        <w:t>019</w:t>
      </w:r>
      <w:r w:rsidR="00C27D06">
        <w:t>,</w:t>
      </w:r>
      <w:r w:rsidRPr="00C27D06" w:rsidR="00C27D06">
        <w:t>354</w:t>
      </w:r>
      <w:r w:rsidRPr="00884BC7" w:rsidR="00717DEA">
        <w:t>).</w:t>
      </w:r>
    </w:p>
    <w:p w:rsidRPr="008B35E1" w:rsidR="00D5210E" w:rsidP="00335859" w:rsidRDefault="00D5210E" w14:paraId="3DBC19D9" w14:textId="446C83B3">
      <w:pPr>
        <w:pStyle w:val="H4Number"/>
      </w:pPr>
      <w:bookmarkStart w:name="_Toc428361298" w:id="155"/>
      <w:bookmarkStart w:name="_Toc428361458" w:id="156"/>
      <w:r w:rsidRPr="008B35E1">
        <w:t>15.</w:t>
      </w:r>
      <w:r w:rsidRPr="008B35E1">
        <w:tab/>
      </w:r>
      <w:r w:rsidRPr="00926DA4" w:rsidR="002F72D8">
        <w:rPr>
          <w:rFonts w:ascii="Times New Roman" w:hAnsi="Times New Roman"/>
          <w:b w:val="0"/>
          <w:i/>
        </w:rPr>
        <w:t>Explain the reasons for any program changes or adjustments reported on the burden worksheet.</w:t>
      </w:r>
      <w:bookmarkEnd w:id="143"/>
      <w:bookmarkEnd w:id="144"/>
      <w:bookmarkEnd w:id="145"/>
      <w:bookmarkEnd w:id="146"/>
      <w:bookmarkEnd w:id="147"/>
      <w:bookmarkEnd w:id="148"/>
      <w:bookmarkEnd w:id="149"/>
      <w:bookmarkEnd w:id="150"/>
      <w:bookmarkEnd w:id="151"/>
      <w:bookmarkEnd w:id="152"/>
      <w:bookmarkEnd w:id="155"/>
      <w:bookmarkEnd w:id="156"/>
    </w:p>
    <w:p w:rsidRPr="008B35E1" w:rsidR="00D5210E" w:rsidP="002E6D04" w:rsidRDefault="00D5210E" w14:paraId="743866C8" w14:textId="1798C718">
      <w:pPr>
        <w:pStyle w:val="NormalSS"/>
      </w:pPr>
      <w:r w:rsidRPr="008B35E1">
        <w:t>This is a new</w:t>
      </w:r>
      <w:r w:rsidRPr="008B35E1" w:rsidR="00C141A4">
        <w:t xml:space="preserve"> </w:t>
      </w:r>
      <w:r w:rsidRPr="008B35E1" w:rsidR="000D1A62">
        <w:t>information collection.</w:t>
      </w:r>
      <w:r w:rsidR="00C05E27">
        <w:t xml:space="preserve"> </w:t>
      </w:r>
      <w:r w:rsidRPr="00C05E27" w:rsidR="00C05E27">
        <w:t xml:space="preserve"> </w:t>
      </w:r>
    </w:p>
    <w:p w:rsidRPr="002F72D8" w:rsidR="002F72D8" w:rsidP="00D71855" w:rsidRDefault="00D5210E" w14:paraId="3FE71912" w14:textId="12C76EEE">
      <w:pPr>
        <w:pStyle w:val="H4Number"/>
      </w:pPr>
      <w:bookmarkStart w:name="_Toc63827189" w:id="157"/>
      <w:bookmarkStart w:name="_Toc70752938" w:id="158"/>
      <w:bookmarkStart w:name="_Toc213228330" w:id="159"/>
      <w:bookmarkStart w:name="_Toc276390678" w:id="160"/>
      <w:bookmarkStart w:name="_Toc276988167" w:id="161"/>
      <w:bookmarkStart w:name="_Toc277079586" w:id="162"/>
      <w:bookmarkStart w:name="_Toc283908726" w:id="163"/>
      <w:bookmarkStart w:name="_Toc298415696" w:id="164"/>
      <w:bookmarkStart w:name="_Toc298418577" w:id="165"/>
      <w:bookmarkStart w:name="_Toc374099836" w:id="166"/>
      <w:bookmarkStart w:name="_Toc428361299" w:id="167"/>
      <w:bookmarkStart w:name="_Toc428361459" w:id="168"/>
      <w:r w:rsidRPr="008B35E1">
        <w:t>16.</w:t>
      </w:r>
      <w:r w:rsidRPr="008B35E1">
        <w:tab/>
      </w:r>
      <w:bookmarkEnd w:id="157"/>
      <w:bookmarkEnd w:id="158"/>
      <w:bookmarkEnd w:id="159"/>
      <w:bookmarkEnd w:id="160"/>
      <w:bookmarkEnd w:id="161"/>
      <w:bookmarkEnd w:id="162"/>
      <w:bookmarkEnd w:id="163"/>
      <w:bookmarkEnd w:id="164"/>
      <w:bookmarkEnd w:id="165"/>
      <w:bookmarkEnd w:id="166"/>
      <w:bookmarkEnd w:id="167"/>
      <w:bookmarkEnd w:id="168"/>
      <w:r w:rsidRPr="00926DA4" w:rsidR="002F72D8">
        <w:rPr>
          <w:rFonts w:ascii="Times New Roman" w:hAnsi="Times New Roman"/>
          <w:b w:val="0"/>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B35E1" w:rsidR="00E27EF9" w:rsidP="00E27EF9" w:rsidRDefault="00E27EF9" w14:paraId="398455EC" w14:textId="77777777">
      <w:pPr>
        <w:pStyle w:val="H4Number"/>
      </w:pPr>
      <w:r w:rsidRPr="008B35E1">
        <w:rPr>
          <w:rFonts w:ascii="Times New Roman" w:hAnsi="Times New Roman"/>
          <w:sz w:val="24"/>
        </w:rPr>
        <w:t>1.</w:t>
      </w:r>
      <w:r w:rsidRPr="008B35E1">
        <w:rPr>
          <w:rFonts w:ascii="Times New Roman" w:hAnsi="Times New Roman"/>
          <w:sz w:val="24"/>
        </w:rPr>
        <w:tab/>
        <w:t>Analysis plan</w:t>
      </w:r>
    </w:p>
    <w:p w:rsidRPr="008B35E1" w:rsidR="00DA1449" w:rsidP="00DA1449" w:rsidRDefault="00DA1449" w14:paraId="215D8168" w14:textId="77777777">
      <w:pPr>
        <w:pStyle w:val="NormalSS"/>
      </w:pPr>
      <w:r w:rsidRPr="008B35E1">
        <w:t xml:space="preserve">Our analysis plans for each component are described below: </w:t>
      </w:r>
    </w:p>
    <w:p w:rsidR="00FB33A3" w:rsidP="00FB33A3" w:rsidRDefault="00DA1449" w14:paraId="3E2F0D72" w14:textId="60D031F0">
      <w:pPr>
        <w:pStyle w:val="Bullet"/>
        <w:ind w:left="360"/>
      </w:pPr>
      <w:r w:rsidRPr="008B35E1">
        <w:rPr>
          <w:b/>
        </w:rPr>
        <w:t>For the grantee survey:</w:t>
      </w:r>
      <w:r w:rsidRPr="008B35E1">
        <w:t xml:space="preserve"> We will summarize the quantitative data using basic descriptive statistics. Our analysis will follow similar steps: data cleaning, variable construction, and computation of descriptive statistics.</w:t>
      </w:r>
      <w:r w:rsidR="00FB33A3">
        <w:t xml:space="preserve"> Despite best efforts to encourage full response to the survey instrument, respondents will likely leave some missing or incomplete items. During</w:t>
      </w:r>
      <w:r w:rsidRPr="009901B1" w:rsidR="00FB33A3">
        <w:t xml:space="preserve"> data cleaning, </w:t>
      </w:r>
      <w:r w:rsidR="00FB33A3">
        <w:t xml:space="preserve">the </w:t>
      </w:r>
      <w:r w:rsidR="005D1CB5">
        <w:t>study team</w:t>
      </w:r>
      <w:r w:rsidRPr="009901B1" w:rsidR="00FB33A3">
        <w:t xml:space="preserve"> will look for unusual patterns of item nonresponse</w:t>
      </w:r>
      <w:r w:rsidR="00FB33A3">
        <w:t xml:space="preserve">. If item nonresponse is less than 10 percent, the study report will simply indicate the proportion missing. If it is greater than 10 percent, the </w:t>
      </w:r>
      <w:r w:rsidR="005D1CB5">
        <w:t>study</w:t>
      </w:r>
      <w:r w:rsidR="00FB33A3">
        <w:t xml:space="preserve"> team will examine the types of respondents that did not respond and determine whether the data item suffers from nonresponse bias. Some items of less significance could be dropped from the analysis. Others could be presented in reports, but the study report will provide clear information on the nonresponse issue and describe any cautions that readers should take in interpreting the results. </w:t>
      </w:r>
    </w:p>
    <w:p w:rsidRPr="008B35E1" w:rsidR="00DA1449" w:rsidP="00D43403" w:rsidRDefault="00DA1449" w14:paraId="1B3A45E1" w14:textId="6B922DF2">
      <w:pPr>
        <w:pStyle w:val="Bullet"/>
        <w:numPr>
          <w:ilvl w:val="0"/>
          <w:numId w:val="0"/>
        </w:numPr>
        <w:ind w:left="360"/>
      </w:pPr>
      <w:r w:rsidRPr="008B35E1">
        <w:t xml:space="preserve">To facilitate analysis, we will create variables to address the implementation constructs of interest and then, to prepare the data for analysis, we will run a series of data checks, examine frequencies and means, and assess the extent of missing data.  We will use these data to identify key ingredients of the HVRP model and to create a typology of service approaches and to classify HVRP grantees using this framework. </w:t>
      </w:r>
    </w:p>
    <w:p w:rsidRPr="008B35E1" w:rsidR="00DA1449" w:rsidP="00DA1449" w:rsidRDefault="00DA1449" w14:paraId="345EA111" w14:textId="085B2495">
      <w:pPr>
        <w:pStyle w:val="Bullet"/>
        <w:ind w:left="360"/>
      </w:pPr>
      <w:r w:rsidRPr="008B35E1">
        <w:rPr>
          <w:b/>
        </w:rPr>
        <w:t>For the key informant interviews:</w:t>
      </w:r>
      <w:r w:rsidRPr="008B35E1">
        <w:t xml:space="preserve"> We will analyze the data to develop common themes from the research questions as well as site profiles.  These common themes for site visit </w:t>
      </w:r>
      <w:r w:rsidR="002B2F47">
        <w:t xml:space="preserve">interviews </w:t>
      </w:r>
      <w:r w:rsidRPr="008B35E1">
        <w:t xml:space="preserve">will be organized by the interview guide framework: </w:t>
      </w:r>
      <w:r w:rsidRPr="008B35E1">
        <w:rPr>
          <w:rFonts w:eastAsia="AppleGothic"/>
        </w:rPr>
        <w:t xml:space="preserve">(1) target </w:t>
      </w:r>
      <w:r w:rsidRPr="008B35E1">
        <w:rPr>
          <w:rFonts w:eastAsia="AppleGothic"/>
        </w:rPr>
        <w:lastRenderedPageBreak/>
        <w:t xml:space="preserve">population and enrollment process; (2) key components of the HVRP program model; (3) HVRP partners; </w:t>
      </w:r>
      <w:r w:rsidR="006F5EF5">
        <w:rPr>
          <w:rFonts w:eastAsia="AppleGothic"/>
        </w:rPr>
        <w:t xml:space="preserve">and </w:t>
      </w:r>
      <w:r w:rsidRPr="008B35E1">
        <w:rPr>
          <w:rFonts w:eastAsia="AppleGothic"/>
        </w:rPr>
        <w:t xml:space="preserve">(4) implementation challenges and facilitators. The common themes for the comparison area interviews will focus on: (1) available services for homeless veterans, (2) community </w:t>
      </w:r>
      <w:r w:rsidRPr="008B35E1" w:rsidR="00DA2BC9">
        <w:rPr>
          <w:rFonts w:eastAsia="AppleGothic"/>
        </w:rPr>
        <w:t>partnerships</w:t>
      </w:r>
      <w:r w:rsidRPr="008B35E1">
        <w:rPr>
          <w:rFonts w:eastAsia="AppleGothic"/>
        </w:rPr>
        <w:t>, and (</w:t>
      </w:r>
      <w:r w:rsidR="00C14C02">
        <w:rPr>
          <w:rFonts w:eastAsia="AppleGothic"/>
        </w:rPr>
        <w:t>3</w:t>
      </w:r>
      <w:r w:rsidRPr="008B35E1">
        <w:rPr>
          <w:rFonts w:eastAsia="AppleGothic"/>
        </w:rPr>
        <w:t xml:space="preserve">) the system for providing services. </w:t>
      </w:r>
    </w:p>
    <w:p w:rsidRPr="008B35E1" w:rsidR="00DA1449" w:rsidP="00DA1449" w:rsidRDefault="00DA1449" w14:paraId="5C65C075" w14:textId="5490705F">
      <w:pPr>
        <w:pStyle w:val="Bullet"/>
        <w:ind w:left="360"/>
      </w:pPr>
      <w:r w:rsidRPr="008B35E1">
        <w:rPr>
          <w:b/>
        </w:rPr>
        <w:t xml:space="preserve">For the qualitative data from the </w:t>
      </w:r>
      <w:r w:rsidR="00C74482">
        <w:rPr>
          <w:b/>
        </w:rPr>
        <w:t>HVRP and non-HVRP</w:t>
      </w:r>
      <w:r w:rsidRPr="008B35E1">
        <w:t xml:space="preserve"> </w:t>
      </w:r>
      <w:r w:rsidRPr="0064557A" w:rsidR="00F001AE">
        <w:rPr>
          <w:b/>
        </w:rPr>
        <w:t>veteran</w:t>
      </w:r>
      <w:r w:rsidR="00F001AE">
        <w:t xml:space="preserve"> </w:t>
      </w:r>
      <w:r w:rsidRPr="008B35E1">
        <w:rPr>
          <w:b/>
        </w:rPr>
        <w:t>interviews</w:t>
      </w:r>
      <w:r w:rsidRPr="008B35E1">
        <w:t>: We will use NVivo, a qualitative data analysis software, to create a uniform coding scheme aligned with the interview guide.  We will code this data and identify common themes that emerge from the interviews.</w:t>
      </w:r>
    </w:p>
    <w:p w:rsidRPr="008B35E1" w:rsidR="0086666D" w:rsidP="003E0C02" w:rsidRDefault="0086666D" w14:paraId="49C5A554" w14:textId="77777777">
      <w:pPr>
        <w:pStyle w:val="H4Number"/>
      </w:pPr>
      <w:r w:rsidRPr="008B35E1">
        <w:rPr>
          <w:rFonts w:ascii="Times New Roman" w:hAnsi="Times New Roman"/>
          <w:sz w:val="24"/>
        </w:rPr>
        <w:t>2.</w:t>
      </w:r>
      <w:r w:rsidRPr="008B35E1">
        <w:rPr>
          <w:rFonts w:ascii="Times New Roman" w:hAnsi="Times New Roman"/>
          <w:sz w:val="24"/>
        </w:rPr>
        <w:tab/>
        <w:t>Publications</w:t>
      </w:r>
    </w:p>
    <w:p w:rsidRPr="008B35E1" w:rsidR="00DA1449" w:rsidP="00E27EF9" w:rsidRDefault="0086666D" w14:paraId="03D5F1E1" w14:textId="29B1F37C">
      <w:pPr>
        <w:pStyle w:val="NormalSS"/>
      </w:pPr>
      <w:r w:rsidRPr="008B35E1">
        <w:t xml:space="preserve">In </w:t>
      </w:r>
      <w:r w:rsidRPr="00516240">
        <w:t>early 2022</w:t>
      </w:r>
      <w:r w:rsidRPr="008B35E1">
        <w:t xml:space="preserve">, we will produce a report on the implementation and impact evaluations as well as other dissemination products such as fact sheets and issue briefs on topics of interest to DOL. </w:t>
      </w:r>
    </w:p>
    <w:p w:rsidRPr="008B35E1" w:rsidR="00D5210E" w:rsidP="00335859" w:rsidRDefault="00D5210E" w14:paraId="175D07BD" w14:textId="5112F120">
      <w:pPr>
        <w:pStyle w:val="H4Number"/>
      </w:pPr>
      <w:bookmarkStart w:name="_Toc374099837" w:id="169"/>
      <w:bookmarkStart w:name="_Toc428361300" w:id="170"/>
      <w:bookmarkStart w:name="_Toc428361460" w:id="171"/>
      <w:r w:rsidRPr="008B35E1">
        <w:t>17.</w:t>
      </w:r>
      <w:r w:rsidRPr="008B35E1">
        <w:tab/>
      </w:r>
      <w:r w:rsidRPr="00926DA4" w:rsidR="002F72D8">
        <w:rPr>
          <w:rFonts w:ascii="Times New Roman" w:hAnsi="Times New Roman"/>
          <w:b w:val="0"/>
          <w:i/>
        </w:rPr>
        <w:t>If seeking approval to not display the expiration date for OMB approval of the information collection, explain the reasons that display would be inappropriate.</w:t>
      </w:r>
      <w:bookmarkEnd w:id="169"/>
      <w:bookmarkEnd w:id="170"/>
      <w:bookmarkEnd w:id="171"/>
    </w:p>
    <w:p w:rsidRPr="008B35E1" w:rsidR="00D5210E" w:rsidP="002E6D04" w:rsidRDefault="00D5210E" w14:paraId="66FEA836" w14:textId="00688B7C">
      <w:pPr>
        <w:pStyle w:val="NormalSS"/>
      </w:pPr>
      <w:r w:rsidRPr="008B35E1">
        <w:t>The</w:t>
      </w:r>
      <w:r w:rsidRPr="008B35E1" w:rsidR="00C141A4">
        <w:t xml:space="preserve"> OMB approval number and expiration date will be displayed or cited on all forms completed as part of the data collection.</w:t>
      </w:r>
    </w:p>
    <w:p w:rsidRPr="008B35E1" w:rsidR="00E33FB4" w:rsidP="00335859" w:rsidRDefault="00D5210E" w14:paraId="30D6EB01" w14:textId="4D1F3170">
      <w:pPr>
        <w:pStyle w:val="H4Number"/>
      </w:pPr>
      <w:bookmarkStart w:name="_Toc374099838" w:id="172"/>
      <w:bookmarkStart w:name="_Toc428361301" w:id="173"/>
      <w:bookmarkStart w:name="_Toc428361461" w:id="174"/>
      <w:r w:rsidRPr="008B35E1">
        <w:t>18.</w:t>
      </w:r>
      <w:r w:rsidRPr="008B35E1">
        <w:tab/>
      </w:r>
      <w:r w:rsidRPr="00926DA4" w:rsidR="002F72D8">
        <w:rPr>
          <w:rFonts w:ascii="Times New Roman" w:hAnsi="Times New Roman"/>
          <w:b w:val="0"/>
          <w:i/>
        </w:rPr>
        <w:t>Explain each exception to the topics of the certification statement identified in “Certification for Paperwork Reduction Act Submissions.”</w:t>
      </w:r>
      <w:bookmarkEnd w:id="172"/>
      <w:bookmarkEnd w:id="173"/>
      <w:bookmarkEnd w:id="174"/>
    </w:p>
    <w:p w:rsidRPr="003C2755" w:rsidR="009C1342" w:rsidP="003C2755" w:rsidRDefault="004168A4" w14:paraId="08413484" w14:textId="36B685C5">
      <w:pPr>
        <w:pStyle w:val="NormalSS"/>
      </w:pPr>
      <w:r w:rsidRPr="008B35E1">
        <w:t>No exceptions</w:t>
      </w:r>
      <w:r w:rsidRPr="008B35E1" w:rsidR="00FF13E4">
        <w:t xml:space="preserve"> are necessary for this information collection.</w:t>
      </w:r>
    </w:p>
    <w:sectPr w:rsidRPr="003C2755" w:rsidR="009C1342" w:rsidSect="00AA739C">
      <w:headerReference w:type="default" r:id="rId12"/>
      <w:footerReference w:type="default" r:id="rId13"/>
      <w:headerReference w:type="first" r:id="rId14"/>
      <w:endnotePr>
        <w:numFmt w:val="decimal"/>
      </w:endnotePr>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4ADB4" w14:textId="77777777" w:rsidR="00C110F6" w:rsidRDefault="00C110F6"/>
  </w:endnote>
  <w:endnote w:type="continuationSeparator" w:id="0">
    <w:p w14:paraId="3C600603" w14:textId="77777777" w:rsidR="00C110F6" w:rsidRDefault="00C110F6"/>
  </w:endnote>
  <w:endnote w:type="continuationNotice" w:id="1">
    <w:p w14:paraId="2CA45F35" w14:textId="77777777" w:rsidR="00C110F6" w:rsidRDefault="00C110F6"/>
    <w:p w14:paraId="38E52E2D" w14:textId="77777777" w:rsidR="00C110F6" w:rsidRDefault="00C110F6"/>
    <w:p w14:paraId="4B29377C" w14:textId="77777777" w:rsidR="00C110F6" w:rsidRDefault="00C110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\\mathematica.Net\NDrive\Project\50510_HVRP\NJ1\03a. Data collection instruments\OMB, IRB, and pretest\6. Package revised 2019 7\HVRP_OMB Part A_DRAFT PACKAGE_toDOL_track changes_2019.8.22.docx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00000000" w:usb1="69D77CFB" w:usb2="00000030" w:usb3="00000000" w:csb0="0008009F" w:csb1="00000000"/>
  </w:font>
  <w:font w:name="AppleGothic">
    <w:charset w:val="4F"/>
    <w:family w:val="auto"/>
    <w:pitch w:val="variable"/>
    <w:sig w:usb0="00000001" w:usb1="00000000" w:usb2="01002406"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CA85" w14:textId="77777777" w:rsidR="00E27EF9" w:rsidRPr="00A12B64" w:rsidRDefault="00E27EF9" w:rsidP="00B20757">
    <w:pPr>
      <w:pStyle w:val="Footer"/>
      <w:pBdr>
        <w:bottom w:val="none" w:sz="0" w:space="0" w:color="auto"/>
      </w:pBdr>
      <w:tabs>
        <w:tab w:val="clear" w:pos="4320"/>
        <w:tab w:val="right" w:leader="underscore" w:pos="8539"/>
      </w:tabs>
      <w:spacing w:line="192" w:lineRule="auto"/>
      <w:rPr>
        <w:rFonts w:cs="Arial"/>
        <w:snapToGrid w:val="0"/>
        <w:szCs w:val="14"/>
      </w:rPr>
    </w:pPr>
  </w:p>
  <w:p w14:paraId="34FD0D29" w14:textId="77777777" w:rsidR="00E27EF9" w:rsidRDefault="00E27EF9" w:rsidP="00B20757">
    <w:pPr>
      <w:pStyle w:val="Footer"/>
      <w:pBdr>
        <w:top w:val="single" w:sz="2" w:space="1" w:color="auto"/>
        <w:bottom w:val="none" w:sz="0" w:space="0" w:color="auto"/>
      </w:pBdr>
      <w:spacing w:line="192" w:lineRule="auto"/>
      <w:rPr>
        <w:rStyle w:val="PageNumber"/>
      </w:rPr>
    </w:pPr>
  </w:p>
  <w:p w14:paraId="27C2E7CE" w14:textId="0A3899E4" w:rsidR="00E27EF9" w:rsidRPr="00B20757" w:rsidRDefault="00E27EF9" w:rsidP="00B20757">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26CDD">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42AF" w14:textId="77777777" w:rsidR="00C110F6" w:rsidRDefault="00C110F6">
      <w:r>
        <w:separator/>
      </w:r>
    </w:p>
  </w:footnote>
  <w:footnote w:type="continuationSeparator" w:id="0">
    <w:p w14:paraId="3D497372" w14:textId="77777777" w:rsidR="00C110F6" w:rsidRDefault="00C110F6">
      <w:r>
        <w:separator/>
      </w:r>
    </w:p>
    <w:p w14:paraId="45DEA76B" w14:textId="77777777" w:rsidR="00C110F6" w:rsidRDefault="00C110F6">
      <w:pPr>
        <w:rPr>
          <w:i/>
        </w:rPr>
      </w:pPr>
      <w:r>
        <w:rPr>
          <w:i/>
        </w:rPr>
        <w:t>(continued)</w:t>
      </w:r>
    </w:p>
  </w:footnote>
  <w:footnote w:type="continuationNotice" w:id="1">
    <w:p w14:paraId="1348BC90" w14:textId="77777777" w:rsidR="00C110F6" w:rsidRDefault="00C110F6">
      <w:pPr>
        <w:pStyle w:val="Footer"/>
      </w:pPr>
    </w:p>
  </w:footnote>
  <w:footnote w:id="2">
    <w:p w14:paraId="44448FC6" w14:textId="57626702" w:rsidR="00A65D7B" w:rsidRDefault="00A65D7B" w:rsidP="00A65D7B">
      <w:pPr>
        <w:pStyle w:val="FootnoteText"/>
      </w:pPr>
      <w:r>
        <w:rPr>
          <w:rStyle w:val="FootnoteReference"/>
        </w:rPr>
        <w:footnoteRef/>
      </w:r>
      <w:r>
        <w:t xml:space="preserve"> Groves R. M., M. P. Couper, S. Presser, E. Singer, R. Tourangeau, G. Acosta, and L. Nelson. “Experiments in Producing Nonresponse Bias.”  </w:t>
      </w:r>
      <w:r w:rsidRPr="00EB0776">
        <w:rPr>
          <w:i/>
        </w:rPr>
        <w:t>Public Opinion Quarterly</w:t>
      </w:r>
      <w:r>
        <w:rPr>
          <w:i/>
        </w:rPr>
        <w:t xml:space="preserve">, </w:t>
      </w:r>
      <w:r>
        <w:t>vol. 70, no. 5, 2006, pp. 720–736.</w:t>
      </w:r>
    </w:p>
  </w:footnote>
  <w:footnote w:id="3">
    <w:p w14:paraId="154C7061" w14:textId="77777777" w:rsidR="00A65D7B" w:rsidRDefault="00A65D7B" w:rsidP="00A65D7B">
      <w:pPr>
        <w:pStyle w:val="FootnoteText"/>
      </w:pPr>
      <w:r>
        <w:rPr>
          <w:rStyle w:val="FootnoteReference"/>
        </w:rPr>
        <w:footnoteRef/>
      </w:r>
      <w:r>
        <w:t xml:space="preserve"> Singer, E., and R. A. Kulka. “Paying Respondents for Survey Participation.” In </w:t>
      </w:r>
      <w:r>
        <w:rPr>
          <w:i/>
          <w:iCs/>
        </w:rPr>
        <w:t xml:space="preserve">Studies of Welfare Populations: Data Collection and </w:t>
      </w:r>
      <w:r w:rsidRPr="004D6277">
        <w:rPr>
          <w:i/>
          <w:iCs/>
        </w:rPr>
        <w:t>R</w:t>
      </w:r>
      <w:r>
        <w:rPr>
          <w:i/>
          <w:iCs/>
        </w:rPr>
        <w:t xml:space="preserve">esearch Issues. </w:t>
      </w:r>
      <w:r w:rsidRPr="00AD391B">
        <w:rPr>
          <w:iCs/>
        </w:rPr>
        <w:t>Panel on Data and Methods for Measuring the Effects of Changes in Social Welfare Programs,</w:t>
      </w:r>
      <w:r>
        <w:t xml:space="preserve"> edited by Michele Ver Ploeg, Robert A. Moffitt, and Constance F. Citro. Committee on National Statistics, Division of Behavioral and Social Sciences and Education. Washington, DC: National Academy Press, 2002, pp. 105–128.</w:t>
      </w:r>
    </w:p>
    <w:p w14:paraId="307FFDB9" w14:textId="77777777" w:rsidR="00A65D7B" w:rsidRDefault="00A65D7B" w:rsidP="00A65D7B">
      <w:pPr>
        <w:pStyle w:val="FootnoteText"/>
      </w:pPr>
    </w:p>
  </w:footnote>
  <w:footnote w:id="4">
    <w:p w14:paraId="7CD7C32D" w14:textId="46DEEC08" w:rsidR="003258C7" w:rsidRDefault="003258C7" w:rsidP="003258C7">
      <w:pPr>
        <w:pStyle w:val="FootnoteText"/>
      </w:pPr>
      <w:r>
        <w:rPr>
          <w:rStyle w:val="FootnoteReference"/>
        </w:rPr>
        <w:footnoteRef/>
      </w:r>
      <w:r>
        <w:t xml:space="preserve"> The </w:t>
      </w:r>
      <w:r w:rsidR="00205793" w:rsidRPr="00205793">
        <w:t xml:space="preserve">annualized cost to the federal government for the contractor </w:t>
      </w:r>
      <w:r>
        <w:t xml:space="preserve">includes cost for </w:t>
      </w:r>
      <w:r w:rsidRPr="0021159E">
        <w:t>$5</w:t>
      </w:r>
      <w:r w:rsidR="00205793">
        <w:t>0</w:t>
      </w:r>
      <w:r w:rsidRPr="0021159E">
        <w:t xml:space="preserve"> gift card</w:t>
      </w:r>
      <w:r>
        <w:t xml:space="preserve">s paid to </w:t>
      </w:r>
      <w:r w:rsidR="00205793" w:rsidRPr="00205793">
        <w:t>HVRP vetera</w:t>
      </w:r>
      <w:r w:rsidR="00205793">
        <w:t>ns</w:t>
      </w:r>
      <w:r w:rsidR="00205793" w:rsidRPr="00205793">
        <w:t xml:space="preserve"> who participat</w:t>
      </w:r>
      <w:r w:rsidR="00205793">
        <w:t>e</w:t>
      </w:r>
      <w:r w:rsidR="00205793" w:rsidRPr="00205793">
        <w:t xml:space="preserve"> in a 90-minute in-depth interview</w:t>
      </w:r>
      <w:r w:rsidR="00205793">
        <w:t xml:space="preserve"> and $25 gift cards paid to </w:t>
      </w:r>
      <w:r w:rsidR="00205793" w:rsidRPr="00205793">
        <w:t>non-HVRP veteran</w:t>
      </w:r>
      <w:r w:rsidR="00205793">
        <w:t>s who</w:t>
      </w:r>
      <w:r w:rsidR="00205793" w:rsidRPr="00205793">
        <w:t xml:space="preserve"> participat</w:t>
      </w:r>
      <w:r w:rsidR="00205793">
        <w:t>e</w:t>
      </w:r>
      <w:r w:rsidR="00205793" w:rsidRPr="00205793">
        <w:t xml:space="preserve"> in </w:t>
      </w:r>
      <w:r w:rsidR="00205793">
        <w:t>a</w:t>
      </w:r>
      <w:r w:rsidR="00205793" w:rsidRPr="00205793">
        <w:t xml:space="preserve"> 45-minute interview</w:t>
      </w:r>
      <w:r w:rsidRPr="0021159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A909D" w14:textId="6818CBBC" w:rsidR="00E27EF9" w:rsidRPr="00B20757" w:rsidRDefault="00E27EF9" w:rsidP="00B20757">
    <w:pPr>
      <w:pStyle w:val="Header"/>
      <w:pBdr>
        <w:bottom w:val="single" w:sz="2" w:space="2"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A4303" w14:textId="713A6F24" w:rsidR="007B5E82" w:rsidRDefault="008F29B1" w:rsidP="007B5E82">
    <w:pPr>
      <w:pStyle w:val="Header"/>
      <w:pBdr>
        <w:bottom w:val="single" w:sz="2" w:space="2" w:color="auto"/>
      </w:pBdr>
    </w:pPr>
    <w:r>
      <w:t xml:space="preserve">part a: justification for </w:t>
    </w:r>
    <w:r w:rsidR="007B5E82">
      <w:t>eVALUATION OF THE HOMELESS VETERaNS’ REINTEGRATION PROGRAM)</w:t>
    </w:r>
  </w:p>
  <w:p w14:paraId="01D9B265" w14:textId="77777777" w:rsidR="007B5E82" w:rsidRDefault="007B5E82" w:rsidP="007B5E82">
    <w:pPr>
      <w:pStyle w:val="Header"/>
      <w:pBdr>
        <w:bottom w:val="single" w:sz="2" w:space="2" w:color="auto"/>
      </w:pBdr>
    </w:pPr>
    <w:r>
      <w:t>omb nO. 1290-0NEW</w:t>
    </w:r>
  </w:p>
  <w:p w14:paraId="02C04C81" w14:textId="7163C078" w:rsidR="007B5E82" w:rsidRDefault="00621EDA" w:rsidP="007B5E82">
    <w:pPr>
      <w:pStyle w:val="Header"/>
      <w:pBdr>
        <w:bottom w:val="single" w:sz="2" w:space="2" w:color="auto"/>
      </w:pBdr>
    </w:pPr>
    <w:r w:rsidRPr="004717C7">
      <w:t xml:space="preserve">May </w:t>
    </w:r>
    <w:r w:rsidR="007B5E82" w:rsidRPr="004717C7">
      <w:t>20</w:t>
    </w:r>
    <w:r w:rsidRPr="004717C7">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3E0360"/>
    <w:multiLevelType w:val="hybridMultilevel"/>
    <w:tmpl w:val="FA7E3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46D71"/>
    <w:multiLevelType w:val="hybridMultilevel"/>
    <w:tmpl w:val="BFB04582"/>
    <w:lvl w:ilvl="0" w:tplc="E2380916">
      <w:start w:val="1"/>
      <w:numFmt w:val="bullet"/>
      <w:lvlText w:val=""/>
      <w:lvlJc w:val="left"/>
      <w:pPr>
        <w:tabs>
          <w:tab w:val="num" w:pos="720"/>
        </w:tabs>
        <w:ind w:left="720" w:hanging="360"/>
      </w:pPr>
      <w:rPr>
        <w:rFonts w:ascii="Wingdings" w:hAnsi="Wingdings" w:hint="default"/>
      </w:rPr>
    </w:lvl>
    <w:lvl w:ilvl="1" w:tplc="CC8804A2">
      <w:start w:val="1228"/>
      <w:numFmt w:val="bullet"/>
      <w:lvlText w:val="–"/>
      <w:lvlJc w:val="left"/>
      <w:pPr>
        <w:tabs>
          <w:tab w:val="num" w:pos="1440"/>
        </w:tabs>
        <w:ind w:left="1440" w:hanging="360"/>
      </w:pPr>
      <w:rPr>
        <w:rFonts w:ascii="Arial" w:hAnsi="Arial" w:hint="default"/>
      </w:rPr>
    </w:lvl>
    <w:lvl w:ilvl="2" w:tplc="3D4CD894" w:tentative="1">
      <w:start w:val="1"/>
      <w:numFmt w:val="bullet"/>
      <w:lvlText w:val=""/>
      <w:lvlJc w:val="left"/>
      <w:pPr>
        <w:tabs>
          <w:tab w:val="num" w:pos="2160"/>
        </w:tabs>
        <w:ind w:left="2160" w:hanging="360"/>
      </w:pPr>
      <w:rPr>
        <w:rFonts w:ascii="Wingdings" w:hAnsi="Wingdings" w:hint="default"/>
      </w:rPr>
    </w:lvl>
    <w:lvl w:ilvl="3" w:tplc="2456715A" w:tentative="1">
      <w:start w:val="1"/>
      <w:numFmt w:val="bullet"/>
      <w:lvlText w:val=""/>
      <w:lvlJc w:val="left"/>
      <w:pPr>
        <w:tabs>
          <w:tab w:val="num" w:pos="2880"/>
        </w:tabs>
        <w:ind w:left="2880" w:hanging="360"/>
      </w:pPr>
      <w:rPr>
        <w:rFonts w:ascii="Wingdings" w:hAnsi="Wingdings" w:hint="default"/>
      </w:rPr>
    </w:lvl>
    <w:lvl w:ilvl="4" w:tplc="295AE09A" w:tentative="1">
      <w:start w:val="1"/>
      <w:numFmt w:val="bullet"/>
      <w:lvlText w:val=""/>
      <w:lvlJc w:val="left"/>
      <w:pPr>
        <w:tabs>
          <w:tab w:val="num" w:pos="3600"/>
        </w:tabs>
        <w:ind w:left="3600" w:hanging="360"/>
      </w:pPr>
      <w:rPr>
        <w:rFonts w:ascii="Wingdings" w:hAnsi="Wingdings" w:hint="default"/>
      </w:rPr>
    </w:lvl>
    <w:lvl w:ilvl="5" w:tplc="045ED5C6" w:tentative="1">
      <w:start w:val="1"/>
      <w:numFmt w:val="bullet"/>
      <w:lvlText w:val=""/>
      <w:lvlJc w:val="left"/>
      <w:pPr>
        <w:tabs>
          <w:tab w:val="num" w:pos="4320"/>
        </w:tabs>
        <w:ind w:left="4320" w:hanging="360"/>
      </w:pPr>
      <w:rPr>
        <w:rFonts w:ascii="Wingdings" w:hAnsi="Wingdings" w:hint="default"/>
      </w:rPr>
    </w:lvl>
    <w:lvl w:ilvl="6" w:tplc="CAF24A5A" w:tentative="1">
      <w:start w:val="1"/>
      <w:numFmt w:val="bullet"/>
      <w:lvlText w:val=""/>
      <w:lvlJc w:val="left"/>
      <w:pPr>
        <w:tabs>
          <w:tab w:val="num" w:pos="5040"/>
        </w:tabs>
        <w:ind w:left="5040" w:hanging="360"/>
      </w:pPr>
      <w:rPr>
        <w:rFonts w:ascii="Wingdings" w:hAnsi="Wingdings" w:hint="default"/>
      </w:rPr>
    </w:lvl>
    <w:lvl w:ilvl="7" w:tplc="CAE8C8D6" w:tentative="1">
      <w:start w:val="1"/>
      <w:numFmt w:val="bullet"/>
      <w:lvlText w:val=""/>
      <w:lvlJc w:val="left"/>
      <w:pPr>
        <w:tabs>
          <w:tab w:val="num" w:pos="5760"/>
        </w:tabs>
        <w:ind w:left="5760" w:hanging="360"/>
      </w:pPr>
      <w:rPr>
        <w:rFonts w:ascii="Wingdings" w:hAnsi="Wingdings" w:hint="default"/>
      </w:rPr>
    </w:lvl>
    <w:lvl w:ilvl="8" w:tplc="2D906C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E52D8D"/>
    <w:multiLevelType w:val="hybridMultilevel"/>
    <w:tmpl w:val="543C0CE6"/>
    <w:lvl w:ilvl="0" w:tplc="3310345A">
      <w:start w:val="1"/>
      <w:numFmt w:val="bullet"/>
      <w:lvlText w:val=""/>
      <w:lvlJc w:val="left"/>
      <w:pPr>
        <w:tabs>
          <w:tab w:val="num" w:pos="720"/>
        </w:tabs>
        <w:ind w:left="720" w:hanging="360"/>
      </w:pPr>
      <w:rPr>
        <w:rFonts w:ascii="Wingdings" w:hAnsi="Wingdings" w:hint="default"/>
      </w:rPr>
    </w:lvl>
    <w:lvl w:ilvl="1" w:tplc="DF50B76C">
      <w:start w:val="1136"/>
      <w:numFmt w:val="bullet"/>
      <w:lvlText w:val="–"/>
      <w:lvlJc w:val="left"/>
      <w:pPr>
        <w:tabs>
          <w:tab w:val="num" w:pos="1440"/>
        </w:tabs>
        <w:ind w:left="1440" w:hanging="360"/>
      </w:pPr>
      <w:rPr>
        <w:rFonts w:ascii="Arial" w:hAnsi="Arial" w:hint="default"/>
      </w:rPr>
    </w:lvl>
    <w:lvl w:ilvl="2" w:tplc="41803808" w:tentative="1">
      <w:start w:val="1"/>
      <w:numFmt w:val="bullet"/>
      <w:lvlText w:val=""/>
      <w:lvlJc w:val="left"/>
      <w:pPr>
        <w:tabs>
          <w:tab w:val="num" w:pos="2160"/>
        </w:tabs>
        <w:ind w:left="2160" w:hanging="360"/>
      </w:pPr>
      <w:rPr>
        <w:rFonts w:ascii="Wingdings" w:hAnsi="Wingdings" w:hint="default"/>
      </w:rPr>
    </w:lvl>
    <w:lvl w:ilvl="3" w:tplc="1BE43E0C" w:tentative="1">
      <w:start w:val="1"/>
      <w:numFmt w:val="bullet"/>
      <w:lvlText w:val=""/>
      <w:lvlJc w:val="left"/>
      <w:pPr>
        <w:tabs>
          <w:tab w:val="num" w:pos="2880"/>
        </w:tabs>
        <w:ind w:left="2880" w:hanging="360"/>
      </w:pPr>
      <w:rPr>
        <w:rFonts w:ascii="Wingdings" w:hAnsi="Wingdings" w:hint="default"/>
      </w:rPr>
    </w:lvl>
    <w:lvl w:ilvl="4" w:tplc="B204D408" w:tentative="1">
      <w:start w:val="1"/>
      <w:numFmt w:val="bullet"/>
      <w:lvlText w:val=""/>
      <w:lvlJc w:val="left"/>
      <w:pPr>
        <w:tabs>
          <w:tab w:val="num" w:pos="3600"/>
        </w:tabs>
        <w:ind w:left="3600" w:hanging="360"/>
      </w:pPr>
      <w:rPr>
        <w:rFonts w:ascii="Wingdings" w:hAnsi="Wingdings" w:hint="default"/>
      </w:rPr>
    </w:lvl>
    <w:lvl w:ilvl="5" w:tplc="E0B8930C" w:tentative="1">
      <w:start w:val="1"/>
      <w:numFmt w:val="bullet"/>
      <w:lvlText w:val=""/>
      <w:lvlJc w:val="left"/>
      <w:pPr>
        <w:tabs>
          <w:tab w:val="num" w:pos="4320"/>
        </w:tabs>
        <w:ind w:left="4320" w:hanging="360"/>
      </w:pPr>
      <w:rPr>
        <w:rFonts w:ascii="Wingdings" w:hAnsi="Wingdings" w:hint="default"/>
      </w:rPr>
    </w:lvl>
    <w:lvl w:ilvl="6" w:tplc="A3B6214E" w:tentative="1">
      <w:start w:val="1"/>
      <w:numFmt w:val="bullet"/>
      <w:lvlText w:val=""/>
      <w:lvlJc w:val="left"/>
      <w:pPr>
        <w:tabs>
          <w:tab w:val="num" w:pos="5040"/>
        </w:tabs>
        <w:ind w:left="5040" w:hanging="360"/>
      </w:pPr>
      <w:rPr>
        <w:rFonts w:ascii="Wingdings" w:hAnsi="Wingdings" w:hint="default"/>
      </w:rPr>
    </w:lvl>
    <w:lvl w:ilvl="7" w:tplc="3900031E" w:tentative="1">
      <w:start w:val="1"/>
      <w:numFmt w:val="bullet"/>
      <w:lvlText w:val=""/>
      <w:lvlJc w:val="left"/>
      <w:pPr>
        <w:tabs>
          <w:tab w:val="num" w:pos="5760"/>
        </w:tabs>
        <w:ind w:left="5760" w:hanging="360"/>
      </w:pPr>
      <w:rPr>
        <w:rFonts w:ascii="Wingdings" w:hAnsi="Wingdings" w:hint="default"/>
      </w:rPr>
    </w:lvl>
    <w:lvl w:ilvl="8" w:tplc="0362FF2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9"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14739"/>
    <w:multiLevelType w:val="hybridMultilevel"/>
    <w:tmpl w:val="3F82C2D2"/>
    <w:lvl w:ilvl="0" w:tplc="AE0C81F4">
      <w:start w:val="1"/>
      <w:numFmt w:val="bullet"/>
      <w:lvlText w:val=""/>
      <w:lvlJc w:val="left"/>
      <w:pPr>
        <w:tabs>
          <w:tab w:val="num" w:pos="720"/>
        </w:tabs>
        <w:ind w:left="720" w:hanging="360"/>
      </w:pPr>
      <w:rPr>
        <w:rFonts w:ascii="Wingdings" w:hAnsi="Wingdings" w:hint="default"/>
      </w:rPr>
    </w:lvl>
    <w:lvl w:ilvl="1" w:tplc="F0F6D81E" w:tentative="1">
      <w:start w:val="1"/>
      <w:numFmt w:val="bullet"/>
      <w:lvlText w:val=""/>
      <w:lvlJc w:val="left"/>
      <w:pPr>
        <w:tabs>
          <w:tab w:val="num" w:pos="1440"/>
        </w:tabs>
        <w:ind w:left="1440" w:hanging="360"/>
      </w:pPr>
      <w:rPr>
        <w:rFonts w:ascii="Wingdings" w:hAnsi="Wingdings" w:hint="default"/>
      </w:rPr>
    </w:lvl>
    <w:lvl w:ilvl="2" w:tplc="AC0CF0EE" w:tentative="1">
      <w:start w:val="1"/>
      <w:numFmt w:val="bullet"/>
      <w:lvlText w:val=""/>
      <w:lvlJc w:val="left"/>
      <w:pPr>
        <w:tabs>
          <w:tab w:val="num" w:pos="2160"/>
        </w:tabs>
        <w:ind w:left="2160" w:hanging="360"/>
      </w:pPr>
      <w:rPr>
        <w:rFonts w:ascii="Wingdings" w:hAnsi="Wingdings" w:hint="default"/>
      </w:rPr>
    </w:lvl>
    <w:lvl w:ilvl="3" w:tplc="8F505E06" w:tentative="1">
      <w:start w:val="1"/>
      <w:numFmt w:val="bullet"/>
      <w:lvlText w:val=""/>
      <w:lvlJc w:val="left"/>
      <w:pPr>
        <w:tabs>
          <w:tab w:val="num" w:pos="2880"/>
        </w:tabs>
        <w:ind w:left="2880" w:hanging="360"/>
      </w:pPr>
      <w:rPr>
        <w:rFonts w:ascii="Wingdings" w:hAnsi="Wingdings" w:hint="default"/>
      </w:rPr>
    </w:lvl>
    <w:lvl w:ilvl="4" w:tplc="76B2EC46" w:tentative="1">
      <w:start w:val="1"/>
      <w:numFmt w:val="bullet"/>
      <w:lvlText w:val=""/>
      <w:lvlJc w:val="left"/>
      <w:pPr>
        <w:tabs>
          <w:tab w:val="num" w:pos="3600"/>
        </w:tabs>
        <w:ind w:left="3600" w:hanging="360"/>
      </w:pPr>
      <w:rPr>
        <w:rFonts w:ascii="Wingdings" w:hAnsi="Wingdings" w:hint="default"/>
      </w:rPr>
    </w:lvl>
    <w:lvl w:ilvl="5" w:tplc="E6EEE9FC" w:tentative="1">
      <w:start w:val="1"/>
      <w:numFmt w:val="bullet"/>
      <w:lvlText w:val=""/>
      <w:lvlJc w:val="left"/>
      <w:pPr>
        <w:tabs>
          <w:tab w:val="num" w:pos="4320"/>
        </w:tabs>
        <w:ind w:left="4320" w:hanging="360"/>
      </w:pPr>
      <w:rPr>
        <w:rFonts w:ascii="Wingdings" w:hAnsi="Wingdings" w:hint="default"/>
      </w:rPr>
    </w:lvl>
    <w:lvl w:ilvl="6" w:tplc="2AA68D52" w:tentative="1">
      <w:start w:val="1"/>
      <w:numFmt w:val="bullet"/>
      <w:lvlText w:val=""/>
      <w:lvlJc w:val="left"/>
      <w:pPr>
        <w:tabs>
          <w:tab w:val="num" w:pos="5040"/>
        </w:tabs>
        <w:ind w:left="5040" w:hanging="360"/>
      </w:pPr>
      <w:rPr>
        <w:rFonts w:ascii="Wingdings" w:hAnsi="Wingdings" w:hint="default"/>
      </w:rPr>
    </w:lvl>
    <w:lvl w:ilvl="7" w:tplc="E5E62650" w:tentative="1">
      <w:start w:val="1"/>
      <w:numFmt w:val="bullet"/>
      <w:lvlText w:val=""/>
      <w:lvlJc w:val="left"/>
      <w:pPr>
        <w:tabs>
          <w:tab w:val="num" w:pos="5760"/>
        </w:tabs>
        <w:ind w:left="5760" w:hanging="360"/>
      </w:pPr>
      <w:rPr>
        <w:rFonts w:ascii="Wingdings" w:hAnsi="Wingdings" w:hint="default"/>
      </w:rPr>
    </w:lvl>
    <w:lvl w:ilvl="8" w:tplc="3452A7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32E19"/>
    <w:multiLevelType w:val="hybridMultilevel"/>
    <w:tmpl w:val="47C60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35600"/>
    <w:multiLevelType w:val="hybridMultilevel"/>
    <w:tmpl w:val="6AC22552"/>
    <w:lvl w:ilvl="0" w:tplc="0FAA64D4">
      <w:start w:val="1"/>
      <w:numFmt w:val="decimal"/>
      <w:lvlText w:val="%1."/>
      <w:lvlJc w:val="left"/>
      <w:pPr>
        <w:ind w:left="792" w:hanging="360"/>
      </w:pPr>
      <w:rPr>
        <w:rFonts w:ascii="Times New Roman" w:hAnsi="Times New Roman" w:cs="Times New Roman"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962A1B"/>
    <w:multiLevelType w:val="hybridMultilevel"/>
    <w:tmpl w:val="F06CF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B5362E"/>
    <w:multiLevelType w:val="hybridMultilevel"/>
    <w:tmpl w:val="6644B946"/>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FB3294A"/>
    <w:multiLevelType w:val="hybridMultilevel"/>
    <w:tmpl w:val="4BF44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FBB4F11"/>
    <w:multiLevelType w:val="hybridMultilevel"/>
    <w:tmpl w:val="F1C254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D2359A"/>
    <w:multiLevelType w:val="hybridMultilevel"/>
    <w:tmpl w:val="13C4A144"/>
    <w:lvl w:ilvl="0" w:tplc="04090001">
      <w:start w:val="1"/>
      <w:numFmt w:val="bullet"/>
      <w:lvlText w:val=""/>
      <w:lvlJc w:val="left"/>
      <w:pPr>
        <w:ind w:left="792" w:hanging="360"/>
      </w:pPr>
      <w:rPr>
        <w:rFonts w:ascii="Symbol" w:hAnsi="Symbol"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49C6048B"/>
    <w:multiLevelType w:val="singleLevel"/>
    <w:tmpl w:val="08DE816E"/>
    <w:lvl w:ilvl="0">
      <w:start w:val="1"/>
      <w:numFmt w:val="decimal"/>
      <w:pStyle w:val="NumberedBullet"/>
      <w:lvlText w:val="%1."/>
      <w:lvlJc w:val="left"/>
      <w:pPr>
        <w:tabs>
          <w:tab w:val="num" w:pos="540"/>
        </w:tabs>
        <w:ind w:left="540" w:hanging="360"/>
      </w:pPr>
      <w:rPr>
        <w:rFonts w:hint="default"/>
      </w:rPr>
    </w:lvl>
  </w:abstractNum>
  <w:abstractNum w:abstractNumId="2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77001E"/>
    <w:multiLevelType w:val="hybridMultilevel"/>
    <w:tmpl w:val="C7268A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2B46D05"/>
    <w:multiLevelType w:val="hybridMultilevel"/>
    <w:tmpl w:val="652223A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678613F"/>
    <w:multiLevelType w:val="hybridMultilevel"/>
    <w:tmpl w:val="44F60062"/>
    <w:lvl w:ilvl="0" w:tplc="A3A0BE50">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7C966A27"/>
    <w:multiLevelType w:val="hybridMultilevel"/>
    <w:tmpl w:val="E62EFB5A"/>
    <w:lvl w:ilvl="0" w:tplc="9D86A3A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3" w15:restartNumberingAfterBreak="0">
    <w:nsid w:val="7D2D7435"/>
    <w:multiLevelType w:val="hybridMultilevel"/>
    <w:tmpl w:val="D6AC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9"/>
  </w:num>
  <w:num w:numId="3">
    <w:abstractNumId w:val="32"/>
  </w:num>
  <w:num w:numId="4">
    <w:abstractNumId w:val="9"/>
  </w:num>
  <w:num w:numId="5">
    <w:abstractNumId w:val="7"/>
  </w:num>
  <w:num w:numId="6">
    <w:abstractNumId w:val="41"/>
  </w:num>
  <w:num w:numId="7">
    <w:abstractNumId w:val="35"/>
  </w:num>
  <w:num w:numId="8">
    <w:abstractNumId w:val="10"/>
  </w:num>
  <w:num w:numId="9">
    <w:abstractNumId w:val="11"/>
  </w:num>
  <w:num w:numId="10">
    <w:abstractNumId w:val="29"/>
  </w:num>
  <w:num w:numId="11">
    <w:abstractNumId w:val="5"/>
  </w:num>
  <w:num w:numId="12">
    <w:abstractNumId w:val="13"/>
  </w:num>
  <w:num w:numId="13">
    <w:abstractNumId w:val="6"/>
  </w:num>
  <w:num w:numId="14">
    <w:abstractNumId w:val="43"/>
  </w:num>
  <w:num w:numId="15">
    <w:abstractNumId w:val="2"/>
  </w:num>
  <w:num w:numId="16">
    <w:abstractNumId w:val="25"/>
  </w:num>
  <w:num w:numId="17">
    <w:abstractNumId w:val="19"/>
  </w:num>
  <w:num w:numId="18">
    <w:abstractNumId w:val="42"/>
  </w:num>
  <w:num w:numId="19">
    <w:abstractNumId w:val="42"/>
    <w:lvlOverride w:ilvl="0">
      <w:startOverride w:val="1"/>
    </w:lvlOverride>
  </w:num>
  <w:num w:numId="20">
    <w:abstractNumId w:val="15"/>
  </w:num>
  <w:num w:numId="21">
    <w:abstractNumId w:val="42"/>
  </w:num>
  <w:num w:numId="22">
    <w:abstractNumId w:val="24"/>
  </w:num>
  <w:num w:numId="23">
    <w:abstractNumId w:val="37"/>
  </w:num>
  <w:num w:numId="24">
    <w:abstractNumId w:val="26"/>
  </w:num>
  <w:num w:numId="25">
    <w:abstractNumId w:val="40"/>
  </w:num>
  <w:num w:numId="26">
    <w:abstractNumId w:val="38"/>
  </w:num>
  <w:num w:numId="27">
    <w:abstractNumId w:val="33"/>
  </w:num>
  <w:num w:numId="28">
    <w:abstractNumId w:val="0"/>
  </w:num>
  <w:num w:numId="29">
    <w:abstractNumId w:val="17"/>
  </w:num>
  <w:num w:numId="30">
    <w:abstractNumId w:val="27"/>
  </w:num>
  <w:num w:numId="31">
    <w:abstractNumId w:val="28"/>
  </w:num>
  <w:num w:numId="32">
    <w:abstractNumId w:val="3"/>
  </w:num>
  <w:num w:numId="33">
    <w:abstractNumId w:val="22"/>
  </w:num>
  <w:num w:numId="34">
    <w:abstractNumId w:val="36"/>
  </w:num>
  <w:num w:numId="35">
    <w:abstractNumId w:val="8"/>
  </w:num>
  <w:num w:numId="36">
    <w:abstractNumId w:val="1"/>
  </w:num>
  <w:num w:numId="37">
    <w:abstractNumId w:val="12"/>
  </w:num>
  <w:num w:numId="38">
    <w:abstractNumId w:val="23"/>
  </w:num>
  <w:num w:numId="39">
    <w:abstractNumId w:val="34"/>
  </w:num>
  <w:num w:numId="40">
    <w:abstractNumId w:val="30"/>
  </w:num>
  <w:num w:numId="41">
    <w:abstractNumId w:val="4"/>
  </w:num>
  <w:num w:numId="42">
    <w:abstractNumId w:val="16"/>
  </w:num>
  <w:num w:numId="43">
    <w:abstractNumId w:val="25"/>
    <w:lvlOverride w:ilvl="0">
      <w:startOverride w:val="1"/>
    </w:lvlOverride>
  </w:num>
  <w:num w:numId="44">
    <w:abstractNumId w:val="25"/>
    <w:lvlOverride w:ilvl="0">
      <w:startOverride w:val="1"/>
    </w:lvlOverride>
  </w:num>
  <w:num w:numId="45">
    <w:abstractNumId w:val="25"/>
    <w:lvlOverride w:ilvl="0">
      <w:startOverride w:val="1"/>
    </w:lvlOverride>
  </w:num>
  <w:num w:numId="46">
    <w:abstractNumId w:val="21"/>
  </w:num>
  <w:num w:numId="47">
    <w:abstractNumId w:val="14"/>
  </w:num>
  <w:num w:numId="48">
    <w:abstractNumId w:val="31"/>
  </w:num>
  <w:num w:numId="49">
    <w:abstractNumId w:val="18"/>
  </w:num>
  <w:num w:numId="50">
    <w:abstractNumId w:val="25"/>
    <w:lvlOverride w:ilvl="0">
      <w:startOverride w:val="1"/>
    </w:lvlOverride>
  </w:num>
  <w:num w:numId="51">
    <w:abstractNumId w:val="25"/>
    <w:lvlOverride w:ilvl="0">
      <w:startOverride w:val="1"/>
    </w:lvlOverride>
  </w:num>
  <w:num w:numId="52">
    <w:abstractNumId w:val="25"/>
    <w:lvlOverride w:ilvl="0">
      <w:startOverride w:val="1"/>
    </w:lvlOverride>
  </w:num>
  <w:num w:numId="53">
    <w:abstractNumId w:val="25"/>
    <w:lvlOverride w:ilvl="0">
      <w:startOverride w:val="1"/>
    </w:lvlOverride>
  </w:num>
  <w:num w:numId="54">
    <w:abstractNumId w:val="20"/>
  </w:num>
  <w:num w:numId="55">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25"/>
    <w:rsid w:val="000010AC"/>
    <w:rsid w:val="00001F98"/>
    <w:rsid w:val="00002EB5"/>
    <w:rsid w:val="00004CC2"/>
    <w:rsid w:val="00005A7A"/>
    <w:rsid w:val="00005D2C"/>
    <w:rsid w:val="0000682A"/>
    <w:rsid w:val="00011965"/>
    <w:rsid w:val="0001459C"/>
    <w:rsid w:val="000164DE"/>
    <w:rsid w:val="00016CFA"/>
    <w:rsid w:val="000171AD"/>
    <w:rsid w:val="00022ACC"/>
    <w:rsid w:val="0002488D"/>
    <w:rsid w:val="00024B62"/>
    <w:rsid w:val="00026EC4"/>
    <w:rsid w:val="00032BA2"/>
    <w:rsid w:val="000346CB"/>
    <w:rsid w:val="00037098"/>
    <w:rsid w:val="00037A95"/>
    <w:rsid w:val="0004669D"/>
    <w:rsid w:val="00046BE6"/>
    <w:rsid w:val="00054D47"/>
    <w:rsid w:val="00061B58"/>
    <w:rsid w:val="00066B82"/>
    <w:rsid w:val="00066BBC"/>
    <w:rsid w:val="00070239"/>
    <w:rsid w:val="000732BC"/>
    <w:rsid w:val="00074B06"/>
    <w:rsid w:val="00075C9F"/>
    <w:rsid w:val="00081240"/>
    <w:rsid w:val="00081296"/>
    <w:rsid w:val="000812AE"/>
    <w:rsid w:val="00081D47"/>
    <w:rsid w:val="000857EF"/>
    <w:rsid w:val="00086A4B"/>
    <w:rsid w:val="0008712B"/>
    <w:rsid w:val="0009131D"/>
    <w:rsid w:val="00091D60"/>
    <w:rsid w:val="0009470B"/>
    <w:rsid w:val="000A0494"/>
    <w:rsid w:val="000A1C9E"/>
    <w:rsid w:val="000A256E"/>
    <w:rsid w:val="000A2C10"/>
    <w:rsid w:val="000A41E7"/>
    <w:rsid w:val="000A4583"/>
    <w:rsid w:val="000B23EC"/>
    <w:rsid w:val="000B3A77"/>
    <w:rsid w:val="000B5947"/>
    <w:rsid w:val="000B6405"/>
    <w:rsid w:val="000C0118"/>
    <w:rsid w:val="000C0CC4"/>
    <w:rsid w:val="000C407B"/>
    <w:rsid w:val="000C4565"/>
    <w:rsid w:val="000C7340"/>
    <w:rsid w:val="000C74A7"/>
    <w:rsid w:val="000C7C20"/>
    <w:rsid w:val="000D10D6"/>
    <w:rsid w:val="000D1A62"/>
    <w:rsid w:val="000D3D9F"/>
    <w:rsid w:val="000D6962"/>
    <w:rsid w:val="000E303A"/>
    <w:rsid w:val="000E3F10"/>
    <w:rsid w:val="000E56C5"/>
    <w:rsid w:val="000E617E"/>
    <w:rsid w:val="000E67DE"/>
    <w:rsid w:val="000E6D11"/>
    <w:rsid w:val="000E7E60"/>
    <w:rsid w:val="000F1804"/>
    <w:rsid w:val="000F2C6B"/>
    <w:rsid w:val="000F40D7"/>
    <w:rsid w:val="000F5F5B"/>
    <w:rsid w:val="00100E24"/>
    <w:rsid w:val="00102392"/>
    <w:rsid w:val="001025D2"/>
    <w:rsid w:val="001027BD"/>
    <w:rsid w:val="00105BA9"/>
    <w:rsid w:val="00105D23"/>
    <w:rsid w:val="0010739B"/>
    <w:rsid w:val="001122E0"/>
    <w:rsid w:val="00113141"/>
    <w:rsid w:val="00113196"/>
    <w:rsid w:val="00114141"/>
    <w:rsid w:val="001165A3"/>
    <w:rsid w:val="001168B2"/>
    <w:rsid w:val="001210A6"/>
    <w:rsid w:val="00123C13"/>
    <w:rsid w:val="001246A3"/>
    <w:rsid w:val="00124882"/>
    <w:rsid w:val="00124D02"/>
    <w:rsid w:val="00126CDD"/>
    <w:rsid w:val="00127F66"/>
    <w:rsid w:val="00131C3D"/>
    <w:rsid w:val="0013282C"/>
    <w:rsid w:val="00133CBE"/>
    <w:rsid w:val="0013623C"/>
    <w:rsid w:val="00136BD3"/>
    <w:rsid w:val="001449D3"/>
    <w:rsid w:val="001453EE"/>
    <w:rsid w:val="001455B9"/>
    <w:rsid w:val="00147943"/>
    <w:rsid w:val="00150F17"/>
    <w:rsid w:val="00153833"/>
    <w:rsid w:val="00154B1E"/>
    <w:rsid w:val="00154C4B"/>
    <w:rsid w:val="0015584A"/>
    <w:rsid w:val="0015682C"/>
    <w:rsid w:val="00157625"/>
    <w:rsid w:val="001606AD"/>
    <w:rsid w:val="00160C66"/>
    <w:rsid w:val="00162B67"/>
    <w:rsid w:val="0016420B"/>
    <w:rsid w:val="00164621"/>
    <w:rsid w:val="00165212"/>
    <w:rsid w:val="0016540F"/>
    <w:rsid w:val="00167F38"/>
    <w:rsid w:val="00175139"/>
    <w:rsid w:val="001774FF"/>
    <w:rsid w:val="00181F2E"/>
    <w:rsid w:val="0018504D"/>
    <w:rsid w:val="00185333"/>
    <w:rsid w:val="0018578B"/>
    <w:rsid w:val="00190529"/>
    <w:rsid w:val="00191DF2"/>
    <w:rsid w:val="00191E3F"/>
    <w:rsid w:val="001933B1"/>
    <w:rsid w:val="00193793"/>
    <w:rsid w:val="00195CCB"/>
    <w:rsid w:val="001963CD"/>
    <w:rsid w:val="001A07D4"/>
    <w:rsid w:val="001A2304"/>
    <w:rsid w:val="001A3C26"/>
    <w:rsid w:val="001B4119"/>
    <w:rsid w:val="001B5F35"/>
    <w:rsid w:val="001B60FF"/>
    <w:rsid w:val="001B69FF"/>
    <w:rsid w:val="001B6F79"/>
    <w:rsid w:val="001B79FD"/>
    <w:rsid w:val="001B7A9B"/>
    <w:rsid w:val="001C2A03"/>
    <w:rsid w:val="001D09E9"/>
    <w:rsid w:val="001D0D85"/>
    <w:rsid w:val="001D152E"/>
    <w:rsid w:val="001D1D44"/>
    <w:rsid w:val="001D5A10"/>
    <w:rsid w:val="001E046D"/>
    <w:rsid w:val="001E07B0"/>
    <w:rsid w:val="001E2345"/>
    <w:rsid w:val="001E3FC4"/>
    <w:rsid w:val="001F26E1"/>
    <w:rsid w:val="001F37D0"/>
    <w:rsid w:val="001F44C9"/>
    <w:rsid w:val="001F681F"/>
    <w:rsid w:val="001F7CFD"/>
    <w:rsid w:val="00200B10"/>
    <w:rsid w:val="00202ECD"/>
    <w:rsid w:val="002055F9"/>
    <w:rsid w:val="00205793"/>
    <w:rsid w:val="002066B1"/>
    <w:rsid w:val="00206AA2"/>
    <w:rsid w:val="00206C50"/>
    <w:rsid w:val="002072FB"/>
    <w:rsid w:val="00207979"/>
    <w:rsid w:val="00213C07"/>
    <w:rsid w:val="00213FED"/>
    <w:rsid w:val="0021544D"/>
    <w:rsid w:val="00217619"/>
    <w:rsid w:val="00220C89"/>
    <w:rsid w:val="00220F73"/>
    <w:rsid w:val="00222564"/>
    <w:rsid w:val="00224064"/>
    <w:rsid w:val="0022567F"/>
    <w:rsid w:val="00226302"/>
    <w:rsid w:val="00233971"/>
    <w:rsid w:val="00234271"/>
    <w:rsid w:val="00234F44"/>
    <w:rsid w:val="0023652F"/>
    <w:rsid w:val="00237911"/>
    <w:rsid w:val="00240A96"/>
    <w:rsid w:val="00241DF6"/>
    <w:rsid w:val="002440F3"/>
    <w:rsid w:val="002475E8"/>
    <w:rsid w:val="00251C09"/>
    <w:rsid w:val="00251CAA"/>
    <w:rsid w:val="002528DA"/>
    <w:rsid w:val="00252EF3"/>
    <w:rsid w:val="002545AB"/>
    <w:rsid w:val="0025655F"/>
    <w:rsid w:val="00257151"/>
    <w:rsid w:val="002571BD"/>
    <w:rsid w:val="0025742F"/>
    <w:rsid w:val="00257DAF"/>
    <w:rsid w:val="002615C7"/>
    <w:rsid w:val="002736BA"/>
    <w:rsid w:val="002801C0"/>
    <w:rsid w:val="002849EE"/>
    <w:rsid w:val="00290D15"/>
    <w:rsid w:val="00291BCB"/>
    <w:rsid w:val="002936B8"/>
    <w:rsid w:val="0029501E"/>
    <w:rsid w:val="00297907"/>
    <w:rsid w:val="002979D8"/>
    <w:rsid w:val="002A39AE"/>
    <w:rsid w:val="002A4BC3"/>
    <w:rsid w:val="002A53E9"/>
    <w:rsid w:val="002A5F13"/>
    <w:rsid w:val="002B0EA0"/>
    <w:rsid w:val="002B2F47"/>
    <w:rsid w:val="002B32DC"/>
    <w:rsid w:val="002B5571"/>
    <w:rsid w:val="002B626F"/>
    <w:rsid w:val="002B6846"/>
    <w:rsid w:val="002C2850"/>
    <w:rsid w:val="002C413C"/>
    <w:rsid w:val="002D0D31"/>
    <w:rsid w:val="002D234E"/>
    <w:rsid w:val="002D45D6"/>
    <w:rsid w:val="002E1523"/>
    <w:rsid w:val="002E2286"/>
    <w:rsid w:val="002E2A8C"/>
    <w:rsid w:val="002E6D04"/>
    <w:rsid w:val="002E75A7"/>
    <w:rsid w:val="002E7DBE"/>
    <w:rsid w:val="002F1243"/>
    <w:rsid w:val="002F319E"/>
    <w:rsid w:val="002F610B"/>
    <w:rsid w:val="002F6EC9"/>
    <w:rsid w:val="002F72D8"/>
    <w:rsid w:val="002F7C83"/>
    <w:rsid w:val="00300BE8"/>
    <w:rsid w:val="00300E06"/>
    <w:rsid w:val="00301F5F"/>
    <w:rsid w:val="0030248C"/>
    <w:rsid w:val="00304403"/>
    <w:rsid w:val="00305971"/>
    <w:rsid w:val="00307B69"/>
    <w:rsid w:val="003101DF"/>
    <w:rsid w:val="00314358"/>
    <w:rsid w:val="00317AC5"/>
    <w:rsid w:val="00317C2F"/>
    <w:rsid w:val="00320E21"/>
    <w:rsid w:val="00321445"/>
    <w:rsid w:val="00321703"/>
    <w:rsid w:val="00321DEC"/>
    <w:rsid w:val="00321F08"/>
    <w:rsid w:val="003240B6"/>
    <w:rsid w:val="003258C7"/>
    <w:rsid w:val="003277EE"/>
    <w:rsid w:val="00330918"/>
    <w:rsid w:val="003328FB"/>
    <w:rsid w:val="003338D0"/>
    <w:rsid w:val="00335859"/>
    <w:rsid w:val="00336A60"/>
    <w:rsid w:val="00337D8B"/>
    <w:rsid w:val="003411E6"/>
    <w:rsid w:val="003418FF"/>
    <w:rsid w:val="00342CD8"/>
    <w:rsid w:val="00346BFE"/>
    <w:rsid w:val="00347CA4"/>
    <w:rsid w:val="00350F94"/>
    <w:rsid w:val="00351851"/>
    <w:rsid w:val="00352B5D"/>
    <w:rsid w:val="00352B9C"/>
    <w:rsid w:val="003540ED"/>
    <w:rsid w:val="00354CA9"/>
    <w:rsid w:val="00356D81"/>
    <w:rsid w:val="0036221F"/>
    <w:rsid w:val="00362C5E"/>
    <w:rsid w:val="003634D3"/>
    <w:rsid w:val="00364873"/>
    <w:rsid w:val="003648B2"/>
    <w:rsid w:val="0036675F"/>
    <w:rsid w:val="00366780"/>
    <w:rsid w:val="003667C3"/>
    <w:rsid w:val="00366AEF"/>
    <w:rsid w:val="00367C60"/>
    <w:rsid w:val="00373515"/>
    <w:rsid w:val="003772D0"/>
    <w:rsid w:val="003820AE"/>
    <w:rsid w:val="00382356"/>
    <w:rsid w:val="003830A6"/>
    <w:rsid w:val="00384E5E"/>
    <w:rsid w:val="00390ADF"/>
    <w:rsid w:val="0039164A"/>
    <w:rsid w:val="00393DE0"/>
    <w:rsid w:val="00394240"/>
    <w:rsid w:val="0039542A"/>
    <w:rsid w:val="00395726"/>
    <w:rsid w:val="00395F60"/>
    <w:rsid w:val="003A06B9"/>
    <w:rsid w:val="003A1230"/>
    <w:rsid w:val="003A1506"/>
    <w:rsid w:val="003A1774"/>
    <w:rsid w:val="003A17E0"/>
    <w:rsid w:val="003A21DB"/>
    <w:rsid w:val="003A26BB"/>
    <w:rsid w:val="003A2BFB"/>
    <w:rsid w:val="003A49EE"/>
    <w:rsid w:val="003A7D1C"/>
    <w:rsid w:val="003A7F3C"/>
    <w:rsid w:val="003B0B3E"/>
    <w:rsid w:val="003B1BE7"/>
    <w:rsid w:val="003B4444"/>
    <w:rsid w:val="003B746D"/>
    <w:rsid w:val="003C04B0"/>
    <w:rsid w:val="003C2488"/>
    <w:rsid w:val="003C2755"/>
    <w:rsid w:val="003C5D02"/>
    <w:rsid w:val="003D0875"/>
    <w:rsid w:val="003D16CC"/>
    <w:rsid w:val="003D2158"/>
    <w:rsid w:val="003D31D3"/>
    <w:rsid w:val="003D4A2B"/>
    <w:rsid w:val="003D52FB"/>
    <w:rsid w:val="003D61EE"/>
    <w:rsid w:val="003D73B0"/>
    <w:rsid w:val="003E0C02"/>
    <w:rsid w:val="003E207D"/>
    <w:rsid w:val="003E21F9"/>
    <w:rsid w:val="003E2960"/>
    <w:rsid w:val="003E6CFB"/>
    <w:rsid w:val="003F2717"/>
    <w:rsid w:val="003F7E2D"/>
    <w:rsid w:val="00400142"/>
    <w:rsid w:val="0040075D"/>
    <w:rsid w:val="004034C1"/>
    <w:rsid w:val="0040394A"/>
    <w:rsid w:val="00405525"/>
    <w:rsid w:val="00410157"/>
    <w:rsid w:val="00410AA5"/>
    <w:rsid w:val="0041133C"/>
    <w:rsid w:val="00412AE3"/>
    <w:rsid w:val="00413600"/>
    <w:rsid w:val="0041523D"/>
    <w:rsid w:val="004168A4"/>
    <w:rsid w:val="00417B7A"/>
    <w:rsid w:val="00420824"/>
    <w:rsid w:val="00421A6B"/>
    <w:rsid w:val="0042207A"/>
    <w:rsid w:val="00423944"/>
    <w:rsid w:val="00437026"/>
    <w:rsid w:val="00440266"/>
    <w:rsid w:val="00441644"/>
    <w:rsid w:val="00444EBE"/>
    <w:rsid w:val="00445CEC"/>
    <w:rsid w:val="00446CE2"/>
    <w:rsid w:val="004470CB"/>
    <w:rsid w:val="00452B3D"/>
    <w:rsid w:val="00454DC3"/>
    <w:rsid w:val="00457E3C"/>
    <w:rsid w:val="00457FE7"/>
    <w:rsid w:val="00460F85"/>
    <w:rsid w:val="004670AB"/>
    <w:rsid w:val="00470B4C"/>
    <w:rsid w:val="004717C7"/>
    <w:rsid w:val="00471F49"/>
    <w:rsid w:val="004730EA"/>
    <w:rsid w:val="0047478B"/>
    <w:rsid w:val="00476D9B"/>
    <w:rsid w:val="004808F7"/>
    <w:rsid w:val="004820AA"/>
    <w:rsid w:val="00482973"/>
    <w:rsid w:val="00484D74"/>
    <w:rsid w:val="00485D6C"/>
    <w:rsid w:val="00491B52"/>
    <w:rsid w:val="00492D08"/>
    <w:rsid w:val="00496585"/>
    <w:rsid w:val="00497713"/>
    <w:rsid w:val="004A0CBB"/>
    <w:rsid w:val="004A0DFF"/>
    <w:rsid w:val="004A3A83"/>
    <w:rsid w:val="004A46BC"/>
    <w:rsid w:val="004A492D"/>
    <w:rsid w:val="004A4EB2"/>
    <w:rsid w:val="004A7E54"/>
    <w:rsid w:val="004B0D54"/>
    <w:rsid w:val="004B5739"/>
    <w:rsid w:val="004B7B5F"/>
    <w:rsid w:val="004C044E"/>
    <w:rsid w:val="004C0D47"/>
    <w:rsid w:val="004C1B91"/>
    <w:rsid w:val="004C3514"/>
    <w:rsid w:val="004C69F4"/>
    <w:rsid w:val="004D2D98"/>
    <w:rsid w:val="004D32E6"/>
    <w:rsid w:val="004D35F4"/>
    <w:rsid w:val="004D57FA"/>
    <w:rsid w:val="004D5E83"/>
    <w:rsid w:val="004D62CD"/>
    <w:rsid w:val="004D6BDE"/>
    <w:rsid w:val="004D7589"/>
    <w:rsid w:val="004D7F6B"/>
    <w:rsid w:val="004E3342"/>
    <w:rsid w:val="004E5707"/>
    <w:rsid w:val="004E5897"/>
    <w:rsid w:val="004E60E3"/>
    <w:rsid w:val="004E6CE8"/>
    <w:rsid w:val="004F0ABC"/>
    <w:rsid w:val="004F22F1"/>
    <w:rsid w:val="004F26F7"/>
    <w:rsid w:val="004F2819"/>
    <w:rsid w:val="004F5639"/>
    <w:rsid w:val="004F58E4"/>
    <w:rsid w:val="004F593F"/>
    <w:rsid w:val="00500F07"/>
    <w:rsid w:val="00501276"/>
    <w:rsid w:val="00501744"/>
    <w:rsid w:val="00504720"/>
    <w:rsid w:val="00510DF9"/>
    <w:rsid w:val="0051489D"/>
    <w:rsid w:val="00515656"/>
    <w:rsid w:val="005158FF"/>
    <w:rsid w:val="00516240"/>
    <w:rsid w:val="005164DB"/>
    <w:rsid w:val="00520594"/>
    <w:rsid w:val="0052581A"/>
    <w:rsid w:val="00525F88"/>
    <w:rsid w:val="00531424"/>
    <w:rsid w:val="0053360D"/>
    <w:rsid w:val="00534257"/>
    <w:rsid w:val="005351ED"/>
    <w:rsid w:val="00536E90"/>
    <w:rsid w:val="00540F18"/>
    <w:rsid w:val="0054288B"/>
    <w:rsid w:val="00542C1B"/>
    <w:rsid w:val="00546B61"/>
    <w:rsid w:val="00547145"/>
    <w:rsid w:val="0054790B"/>
    <w:rsid w:val="00551A40"/>
    <w:rsid w:val="005535BD"/>
    <w:rsid w:val="005555A3"/>
    <w:rsid w:val="005570F5"/>
    <w:rsid w:val="0056567A"/>
    <w:rsid w:val="005662E0"/>
    <w:rsid w:val="005666AC"/>
    <w:rsid w:val="00566F54"/>
    <w:rsid w:val="0056766E"/>
    <w:rsid w:val="005709B4"/>
    <w:rsid w:val="005721E4"/>
    <w:rsid w:val="00573960"/>
    <w:rsid w:val="005741CC"/>
    <w:rsid w:val="00577D43"/>
    <w:rsid w:val="0058065E"/>
    <w:rsid w:val="005806A3"/>
    <w:rsid w:val="00581EE2"/>
    <w:rsid w:val="0058407C"/>
    <w:rsid w:val="00585AEC"/>
    <w:rsid w:val="00591AE6"/>
    <w:rsid w:val="00593334"/>
    <w:rsid w:val="00593F4B"/>
    <w:rsid w:val="00595B97"/>
    <w:rsid w:val="005A1D63"/>
    <w:rsid w:val="005A355C"/>
    <w:rsid w:val="005A497E"/>
    <w:rsid w:val="005A5716"/>
    <w:rsid w:val="005A5F1B"/>
    <w:rsid w:val="005A5F35"/>
    <w:rsid w:val="005A632B"/>
    <w:rsid w:val="005A66CB"/>
    <w:rsid w:val="005B06E3"/>
    <w:rsid w:val="005B121E"/>
    <w:rsid w:val="005B2526"/>
    <w:rsid w:val="005B676B"/>
    <w:rsid w:val="005B728D"/>
    <w:rsid w:val="005B72FD"/>
    <w:rsid w:val="005B7F4E"/>
    <w:rsid w:val="005C0691"/>
    <w:rsid w:val="005C14DA"/>
    <w:rsid w:val="005C24B3"/>
    <w:rsid w:val="005C2F2F"/>
    <w:rsid w:val="005C373F"/>
    <w:rsid w:val="005C39E8"/>
    <w:rsid w:val="005C3DAE"/>
    <w:rsid w:val="005C3DCF"/>
    <w:rsid w:val="005C4954"/>
    <w:rsid w:val="005C5085"/>
    <w:rsid w:val="005C59E2"/>
    <w:rsid w:val="005D044B"/>
    <w:rsid w:val="005D1CB5"/>
    <w:rsid w:val="005D7BD1"/>
    <w:rsid w:val="005D7FD8"/>
    <w:rsid w:val="005E1938"/>
    <w:rsid w:val="005E2357"/>
    <w:rsid w:val="005E4512"/>
    <w:rsid w:val="005F06F0"/>
    <w:rsid w:val="005F27FE"/>
    <w:rsid w:val="005F5663"/>
    <w:rsid w:val="00600523"/>
    <w:rsid w:val="00602E49"/>
    <w:rsid w:val="00602FC6"/>
    <w:rsid w:val="0060461C"/>
    <w:rsid w:val="006049D3"/>
    <w:rsid w:val="00605A26"/>
    <w:rsid w:val="0060636A"/>
    <w:rsid w:val="00607ACE"/>
    <w:rsid w:val="006115A9"/>
    <w:rsid w:val="00612E37"/>
    <w:rsid w:val="00614EC0"/>
    <w:rsid w:val="006150A8"/>
    <w:rsid w:val="00615B21"/>
    <w:rsid w:val="00616A20"/>
    <w:rsid w:val="00617030"/>
    <w:rsid w:val="00617767"/>
    <w:rsid w:val="00617B26"/>
    <w:rsid w:val="0062102D"/>
    <w:rsid w:val="00621773"/>
    <w:rsid w:val="00621EDA"/>
    <w:rsid w:val="00622464"/>
    <w:rsid w:val="00622543"/>
    <w:rsid w:val="00627380"/>
    <w:rsid w:val="0063083E"/>
    <w:rsid w:val="00630F37"/>
    <w:rsid w:val="00631786"/>
    <w:rsid w:val="00632281"/>
    <w:rsid w:val="00632BE7"/>
    <w:rsid w:val="00633FBA"/>
    <w:rsid w:val="00634585"/>
    <w:rsid w:val="006354AE"/>
    <w:rsid w:val="00635EC3"/>
    <w:rsid w:val="006361C1"/>
    <w:rsid w:val="00641AC0"/>
    <w:rsid w:val="00643E71"/>
    <w:rsid w:val="0064557A"/>
    <w:rsid w:val="00646AC7"/>
    <w:rsid w:val="00650A2B"/>
    <w:rsid w:val="006536C0"/>
    <w:rsid w:val="00653ACE"/>
    <w:rsid w:val="00653E08"/>
    <w:rsid w:val="00655ECC"/>
    <w:rsid w:val="00665E53"/>
    <w:rsid w:val="00666BC5"/>
    <w:rsid w:val="00670F38"/>
    <w:rsid w:val="00673A9B"/>
    <w:rsid w:val="006750A6"/>
    <w:rsid w:val="00676F8F"/>
    <w:rsid w:val="00682DA3"/>
    <w:rsid w:val="00687840"/>
    <w:rsid w:val="00687A2D"/>
    <w:rsid w:val="00690B57"/>
    <w:rsid w:val="006959AF"/>
    <w:rsid w:val="00695F75"/>
    <w:rsid w:val="006962B5"/>
    <w:rsid w:val="006A69A3"/>
    <w:rsid w:val="006A7614"/>
    <w:rsid w:val="006A7716"/>
    <w:rsid w:val="006B2886"/>
    <w:rsid w:val="006B33EE"/>
    <w:rsid w:val="006B60C0"/>
    <w:rsid w:val="006B6970"/>
    <w:rsid w:val="006B6AE3"/>
    <w:rsid w:val="006B7A51"/>
    <w:rsid w:val="006C0EF2"/>
    <w:rsid w:val="006C2354"/>
    <w:rsid w:val="006C482F"/>
    <w:rsid w:val="006C4EA8"/>
    <w:rsid w:val="006D0359"/>
    <w:rsid w:val="006D1FDF"/>
    <w:rsid w:val="006E2195"/>
    <w:rsid w:val="006E2AEF"/>
    <w:rsid w:val="006E3DE1"/>
    <w:rsid w:val="006E7ECC"/>
    <w:rsid w:val="006F053F"/>
    <w:rsid w:val="006F22EE"/>
    <w:rsid w:val="006F59DF"/>
    <w:rsid w:val="006F5EF5"/>
    <w:rsid w:val="006F7CDA"/>
    <w:rsid w:val="007023AD"/>
    <w:rsid w:val="00702FF8"/>
    <w:rsid w:val="007075F8"/>
    <w:rsid w:val="0071222F"/>
    <w:rsid w:val="0071240A"/>
    <w:rsid w:val="00712A21"/>
    <w:rsid w:val="00716AAC"/>
    <w:rsid w:val="00716F9E"/>
    <w:rsid w:val="00717DEA"/>
    <w:rsid w:val="007214EF"/>
    <w:rsid w:val="00722755"/>
    <w:rsid w:val="00724E5A"/>
    <w:rsid w:val="0072531C"/>
    <w:rsid w:val="00725AB3"/>
    <w:rsid w:val="00726364"/>
    <w:rsid w:val="00726DD4"/>
    <w:rsid w:val="00730863"/>
    <w:rsid w:val="00731D67"/>
    <w:rsid w:val="0073380A"/>
    <w:rsid w:val="00734A6A"/>
    <w:rsid w:val="00734E6F"/>
    <w:rsid w:val="007363BB"/>
    <w:rsid w:val="007370C5"/>
    <w:rsid w:val="007376CC"/>
    <w:rsid w:val="0073791D"/>
    <w:rsid w:val="00741B29"/>
    <w:rsid w:val="0074468D"/>
    <w:rsid w:val="00744776"/>
    <w:rsid w:val="00747B99"/>
    <w:rsid w:val="00752D8A"/>
    <w:rsid w:val="00753FF4"/>
    <w:rsid w:val="00754009"/>
    <w:rsid w:val="00754B6E"/>
    <w:rsid w:val="00756E26"/>
    <w:rsid w:val="00757856"/>
    <w:rsid w:val="00760F0C"/>
    <w:rsid w:val="00762691"/>
    <w:rsid w:val="00763304"/>
    <w:rsid w:val="007666A9"/>
    <w:rsid w:val="00767462"/>
    <w:rsid w:val="007709C7"/>
    <w:rsid w:val="00771010"/>
    <w:rsid w:val="00771A37"/>
    <w:rsid w:val="00772C3A"/>
    <w:rsid w:val="007735ED"/>
    <w:rsid w:val="00773CD5"/>
    <w:rsid w:val="00773FA4"/>
    <w:rsid w:val="00777894"/>
    <w:rsid w:val="00784A1C"/>
    <w:rsid w:val="00786466"/>
    <w:rsid w:val="0079177D"/>
    <w:rsid w:val="00793AB9"/>
    <w:rsid w:val="00794464"/>
    <w:rsid w:val="00794A21"/>
    <w:rsid w:val="007959B1"/>
    <w:rsid w:val="007A15FF"/>
    <w:rsid w:val="007A7086"/>
    <w:rsid w:val="007B1CE5"/>
    <w:rsid w:val="007B2B26"/>
    <w:rsid w:val="007B50F6"/>
    <w:rsid w:val="007B5133"/>
    <w:rsid w:val="007B5E82"/>
    <w:rsid w:val="007C23DE"/>
    <w:rsid w:val="007C2F9E"/>
    <w:rsid w:val="007C3261"/>
    <w:rsid w:val="007C4167"/>
    <w:rsid w:val="007C4EC8"/>
    <w:rsid w:val="007D037A"/>
    <w:rsid w:val="007D1CED"/>
    <w:rsid w:val="007D618D"/>
    <w:rsid w:val="007D64C8"/>
    <w:rsid w:val="007D752D"/>
    <w:rsid w:val="007E1AA0"/>
    <w:rsid w:val="007E2114"/>
    <w:rsid w:val="007E2AB5"/>
    <w:rsid w:val="007E4B90"/>
    <w:rsid w:val="007E6A9A"/>
    <w:rsid w:val="007E70C9"/>
    <w:rsid w:val="007F1B90"/>
    <w:rsid w:val="007F1C0F"/>
    <w:rsid w:val="007F217C"/>
    <w:rsid w:val="007F31A0"/>
    <w:rsid w:val="007F40EE"/>
    <w:rsid w:val="007F548A"/>
    <w:rsid w:val="007F686C"/>
    <w:rsid w:val="007F76BA"/>
    <w:rsid w:val="008005FF"/>
    <w:rsid w:val="00802594"/>
    <w:rsid w:val="00803181"/>
    <w:rsid w:val="0080337A"/>
    <w:rsid w:val="008038AF"/>
    <w:rsid w:val="00803F4A"/>
    <w:rsid w:val="00804A1A"/>
    <w:rsid w:val="008079AA"/>
    <w:rsid w:val="00810A8A"/>
    <w:rsid w:val="00810B39"/>
    <w:rsid w:val="00810CBD"/>
    <w:rsid w:val="00811978"/>
    <w:rsid w:val="00811C9A"/>
    <w:rsid w:val="00816DF1"/>
    <w:rsid w:val="00825ABF"/>
    <w:rsid w:val="00825FD5"/>
    <w:rsid w:val="00827086"/>
    <w:rsid w:val="00836865"/>
    <w:rsid w:val="008370CF"/>
    <w:rsid w:val="008438BF"/>
    <w:rsid w:val="00844DF1"/>
    <w:rsid w:val="00846844"/>
    <w:rsid w:val="00846988"/>
    <w:rsid w:val="008472B3"/>
    <w:rsid w:val="0084799D"/>
    <w:rsid w:val="008507CB"/>
    <w:rsid w:val="008516D3"/>
    <w:rsid w:val="00852605"/>
    <w:rsid w:val="0085412E"/>
    <w:rsid w:val="0085639B"/>
    <w:rsid w:val="00857863"/>
    <w:rsid w:val="008617AD"/>
    <w:rsid w:val="00861824"/>
    <w:rsid w:val="0086314C"/>
    <w:rsid w:val="008633CC"/>
    <w:rsid w:val="008641A3"/>
    <w:rsid w:val="008649C3"/>
    <w:rsid w:val="0086666D"/>
    <w:rsid w:val="00866D68"/>
    <w:rsid w:val="00866EDE"/>
    <w:rsid w:val="00867DB4"/>
    <w:rsid w:val="0087467F"/>
    <w:rsid w:val="008776B4"/>
    <w:rsid w:val="0088081C"/>
    <w:rsid w:val="00884BC7"/>
    <w:rsid w:val="00885CFE"/>
    <w:rsid w:val="00886EB7"/>
    <w:rsid w:val="008873A8"/>
    <w:rsid w:val="00890E9A"/>
    <w:rsid w:val="008911D6"/>
    <w:rsid w:val="00892082"/>
    <w:rsid w:val="00892FF5"/>
    <w:rsid w:val="00893209"/>
    <w:rsid w:val="00893B1D"/>
    <w:rsid w:val="00893C59"/>
    <w:rsid w:val="008949CD"/>
    <w:rsid w:val="00894E2B"/>
    <w:rsid w:val="00895A2A"/>
    <w:rsid w:val="00895C8E"/>
    <w:rsid w:val="00897CF7"/>
    <w:rsid w:val="00897D99"/>
    <w:rsid w:val="008A0392"/>
    <w:rsid w:val="008A404E"/>
    <w:rsid w:val="008A5623"/>
    <w:rsid w:val="008B032B"/>
    <w:rsid w:val="008B128D"/>
    <w:rsid w:val="008B2308"/>
    <w:rsid w:val="008B35E1"/>
    <w:rsid w:val="008B4508"/>
    <w:rsid w:val="008B5B66"/>
    <w:rsid w:val="008B6EE5"/>
    <w:rsid w:val="008C13F6"/>
    <w:rsid w:val="008C1A57"/>
    <w:rsid w:val="008C7D77"/>
    <w:rsid w:val="008D1DDA"/>
    <w:rsid w:val="008D46B3"/>
    <w:rsid w:val="008D7AA0"/>
    <w:rsid w:val="008E0667"/>
    <w:rsid w:val="008E0BC8"/>
    <w:rsid w:val="008E0D20"/>
    <w:rsid w:val="008E13E9"/>
    <w:rsid w:val="008E27F1"/>
    <w:rsid w:val="008E45C3"/>
    <w:rsid w:val="008E5497"/>
    <w:rsid w:val="008E57C5"/>
    <w:rsid w:val="008E6C9C"/>
    <w:rsid w:val="008F1462"/>
    <w:rsid w:val="008F160D"/>
    <w:rsid w:val="008F1ACB"/>
    <w:rsid w:val="008F29B1"/>
    <w:rsid w:val="008F2E30"/>
    <w:rsid w:val="008F340B"/>
    <w:rsid w:val="008F5624"/>
    <w:rsid w:val="008F5A8F"/>
    <w:rsid w:val="008F66BB"/>
    <w:rsid w:val="009009D0"/>
    <w:rsid w:val="00901D8B"/>
    <w:rsid w:val="00902B68"/>
    <w:rsid w:val="00904CB3"/>
    <w:rsid w:val="009068AA"/>
    <w:rsid w:val="00906E34"/>
    <w:rsid w:val="00906F06"/>
    <w:rsid w:val="00912344"/>
    <w:rsid w:val="009131BD"/>
    <w:rsid w:val="00915289"/>
    <w:rsid w:val="00923338"/>
    <w:rsid w:val="00925120"/>
    <w:rsid w:val="00926DA4"/>
    <w:rsid w:val="0093005F"/>
    <w:rsid w:val="00931023"/>
    <w:rsid w:val="009316BF"/>
    <w:rsid w:val="00931BDB"/>
    <w:rsid w:val="00931D35"/>
    <w:rsid w:val="00936367"/>
    <w:rsid w:val="00936377"/>
    <w:rsid w:val="009408EA"/>
    <w:rsid w:val="00943A50"/>
    <w:rsid w:val="00943DCA"/>
    <w:rsid w:val="00950AE0"/>
    <w:rsid w:val="00951746"/>
    <w:rsid w:val="00952B4B"/>
    <w:rsid w:val="009537C0"/>
    <w:rsid w:val="0095754B"/>
    <w:rsid w:val="009621E0"/>
    <w:rsid w:val="0096263D"/>
    <w:rsid w:val="009660C9"/>
    <w:rsid w:val="009718E8"/>
    <w:rsid w:val="00972616"/>
    <w:rsid w:val="0097437B"/>
    <w:rsid w:val="00974880"/>
    <w:rsid w:val="00980DB0"/>
    <w:rsid w:val="00985D71"/>
    <w:rsid w:val="00987321"/>
    <w:rsid w:val="00990FC4"/>
    <w:rsid w:val="0099119D"/>
    <w:rsid w:val="00992523"/>
    <w:rsid w:val="00994EDD"/>
    <w:rsid w:val="009963DC"/>
    <w:rsid w:val="00997375"/>
    <w:rsid w:val="009A2921"/>
    <w:rsid w:val="009A3C96"/>
    <w:rsid w:val="009A3FF8"/>
    <w:rsid w:val="009A6EE0"/>
    <w:rsid w:val="009B20BD"/>
    <w:rsid w:val="009B61A1"/>
    <w:rsid w:val="009B7110"/>
    <w:rsid w:val="009C1342"/>
    <w:rsid w:val="009C5CAB"/>
    <w:rsid w:val="009C6EF9"/>
    <w:rsid w:val="009D08C9"/>
    <w:rsid w:val="009D2163"/>
    <w:rsid w:val="009D4495"/>
    <w:rsid w:val="009E0C25"/>
    <w:rsid w:val="009E5315"/>
    <w:rsid w:val="009F0AF1"/>
    <w:rsid w:val="009F0DDD"/>
    <w:rsid w:val="009F3F0A"/>
    <w:rsid w:val="009F7810"/>
    <w:rsid w:val="009F7B3E"/>
    <w:rsid w:val="009F7CBD"/>
    <w:rsid w:val="00A02231"/>
    <w:rsid w:val="00A028F4"/>
    <w:rsid w:val="00A033D2"/>
    <w:rsid w:val="00A03CB9"/>
    <w:rsid w:val="00A042E9"/>
    <w:rsid w:val="00A04CE7"/>
    <w:rsid w:val="00A0524D"/>
    <w:rsid w:val="00A05706"/>
    <w:rsid w:val="00A075A3"/>
    <w:rsid w:val="00A150AE"/>
    <w:rsid w:val="00A2095F"/>
    <w:rsid w:val="00A22BDF"/>
    <w:rsid w:val="00A33507"/>
    <w:rsid w:val="00A34B94"/>
    <w:rsid w:val="00A400B1"/>
    <w:rsid w:val="00A42D4E"/>
    <w:rsid w:val="00A453E6"/>
    <w:rsid w:val="00A50406"/>
    <w:rsid w:val="00A51526"/>
    <w:rsid w:val="00A51815"/>
    <w:rsid w:val="00A51F50"/>
    <w:rsid w:val="00A542E0"/>
    <w:rsid w:val="00A54B88"/>
    <w:rsid w:val="00A568F0"/>
    <w:rsid w:val="00A60CFC"/>
    <w:rsid w:val="00A60FFF"/>
    <w:rsid w:val="00A61D37"/>
    <w:rsid w:val="00A62893"/>
    <w:rsid w:val="00A65D7B"/>
    <w:rsid w:val="00A6600E"/>
    <w:rsid w:val="00A6698A"/>
    <w:rsid w:val="00A70FA6"/>
    <w:rsid w:val="00A72824"/>
    <w:rsid w:val="00A7323E"/>
    <w:rsid w:val="00A73327"/>
    <w:rsid w:val="00A73526"/>
    <w:rsid w:val="00A75B6A"/>
    <w:rsid w:val="00A77313"/>
    <w:rsid w:val="00A806F6"/>
    <w:rsid w:val="00A80A4F"/>
    <w:rsid w:val="00A84209"/>
    <w:rsid w:val="00A85C3D"/>
    <w:rsid w:val="00A87E04"/>
    <w:rsid w:val="00A91F1F"/>
    <w:rsid w:val="00A945B6"/>
    <w:rsid w:val="00A962EA"/>
    <w:rsid w:val="00A969D3"/>
    <w:rsid w:val="00A976DB"/>
    <w:rsid w:val="00AA07BB"/>
    <w:rsid w:val="00AA550D"/>
    <w:rsid w:val="00AA5601"/>
    <w:rsid w:val="00AA739C"/>
    <w:rsid w:val="00AB20D8"/>
    <w:rsid w:val="00AB27D6"/>
    <w:rsid w:val="00AB424E"/>
    <w:rsid w:val="00AC0076"/>
    <w:rsid w:val="00AC022D"/>
    <w:rsid w:val="00AC035C"/>
    <w:rsid w:val="00AC77A8"/>
    <w:rsid w:val="00AD3596"/>
    <w:rsid w:val="00AD77B5"/>
    <w:rsid w:val="00AD77CB"/>
    <w:rsid w:val="00AE2511"/>
    <w:rsid w:val="00AE3EA6"/>
    <w:rsid w:val="00AF028E"/>
    <w:rsid w:val="00AF037B"/>
    <w:rsid w:val="00AF0470"/>
    <w:rsid w:val="00AF07E6"/>
    <w:rsid w:val="00AF17DB"/>
    <w:rsid w:val="00AF4319"/>
    <w:rsid w:val="00AF4AF5"/>
    <w:rsid w:val="00AF5189"/>
    <w:rsid w:val="00AF5A0B"/>
    <w:rsid w:val="00AF6E7B"/>
    <w:rsid w:val="00AF7172"/>
    <w:rsid w:val="00B0088A"/>
    <w:rsid w:val="00B0186E"/>
    <w:rsid w:val="00B02110"/>
    <w:rsid w:val="00B05BA6"/>
    <w:rsid w:val="00B11521"/>
    <w:rsid w:val="00B118BF"/>
    <w:rsid w:val="00B13000"/>
    <w:rsid w:val="00B153E5"/>
    <w:rsid w:val="00B176BA"/>
    <w:rsid w:val="00B17BFD"/>
    <w:rsid w:val="00B20757"/>
    <w:rsid w:val="00B22526"/>
    <w:rsid w:val="00B2346C"/>
    <w:rsid w:val="00B25E1D"/>
    <w:rsid w:val="00B27E14"/>
    <w:rsid w:val="00B27FF2"/>
    <w:rsid w:val="00B30140"/>
    <w:rsid w:val="00B34492"/>
    <w:rsid w:val="00B36326"/>
    <w:rsid w:val="00B369BA"/>
    <w:rsid w:val="00B36CB3"/>
    <w:rsid w:val="00B407A2"/>
    <w:rsid w:val="00B4116C"/>
    <w:rsid w:val="00B45ED0"/>
    <w:rsid w:val="00B53DC3"/>
    <w:rsid w:val="00B54A78"/>
    <w:rsid w:val="00B54F6E"/>
    <w:rsid w:val="00B6276F"/>
    <w:rsid w:val="00B62788"/>
    <w:rsid w:val="00B64AAE"/>
    <w:rsid w:val="00B65B0A"/>
    <w:rsid w:val="00B65EFC"/>
    <w:rsid w:val="00B675AF"/>
    <w:rsid w:val="00B67F1C"/>
    <w:rsid w:val="00B7063C"/>
    <w:rsid w:val="00B714B7"/>
    <w:rsid w:val="00B71FC5"/>
    <w:rsid w:val="00B73541"/>
    <w:rsid w:val="00B7359B"/>
    <w:rsid w:val="00B74408"/>
    <w:rsid w:val="00B76037"/>
    <w:rsid w:val="00B765FE"/>
    <w:rsid w:val="00B76C05"/>
    <w:rsid w:val="00B81CC8"/>
    <w:rsid w:val="00B82E71"/>
    <w:rsid w:val="00B83432"/>
    <w:rsid w:val="00B83493"/>
    <w:rsid w:val="00B846C0"/>
    <w:rsid w:val="00B91627"/>
    <w:rsid w:val="00B931D5"/>
    <w:rsid w:val="00B95DCA"/>
    <w:rsid w:val="00B9670B"/>
    <w:rsid w:val="00B96A9C"/>
    <w:rsid w:val="00B97A43"/>
    <w:rsid w:val="00BA47C5"/>
    <w:rsid w:val="00BA65A5"/>
    <w:rsid w:val="00BB061F"/>
    <w:rsid w:val="00BB387E"/>
    <w:rsid w:val="00BB4966"/>
    <w:rsid w:val="00BB4995"/>
    <w:rsid w:val="00BB5FD9"/>
    <w:rsid w:val="00BC33AE"/>
    <w:rsid w:val="00BC4980"/>
    <w:rsid w:val="00BC4ED3"/>
    <w:rsid w:val="00BC4FEA"/>
    <w:rsid w:val="00BC6C0B"/>
    <w:rsid w:val="00BD5C3B"/>
    <w:rsid w:val="00BD7DE4"/>
    <w:rsid w:val="00BD7E2F"/>
    <w:rsid w:val="00BE368B"/>
    <w:rsid w:val="00BE3AA7"/>
    <w:rsid w:val="00BE61CF"/>
    <w:rsid w:val="00BE6C99"/>
    <w:rsid w:val="00BE7960"/>
    <w:rsid w:val="00BF0A54"/>
    <w:rsid w:val="00BF18F1"/>
    <w:rsid w:val="00BF6B1F"/>
    <w:rsid w:val="00C025AB"/>
    <w:rsid w:val="00C025B4"/>
    <w:rsid w:val="00C02760"/>
    <w:rsid w:val="00C03263"/>
    <w:rsid w:val="00C05E27"/>
    <w:rsid w:val="00C075CC"/>
    <w:rsid w:val="00C07D08"/>
    <w:rsid w:val="00C07DF3"/>
    <w:rsid w:val="00C110F6"/>
    <w:rsid w:val="00C1262C"/>
    <w:rsid w:val="00C141A4"/>
    <w:rsid w:val="00C14296"/>
    <w:rsid w:val="00C14C02"/>
    <w:rsid w:val="00C17125"/>
    <w:rsid w:val="00C20201"/>
    <w:rsid w:val="00C223A5"/>
    <w:rsid w:val="00C25173"/>
    <w:rsid w:val="00C267C9"/>
    <w:rsid w:val="00C2695D"/>
    <w:rsid w:val="00C27D06"/>
    <w:rsid w:val="00C33F8A"/>
    <w:rsid w:val="00C35201"/>
    <w:rsid w:val="00C36B41"/>
    <w:rsid w:val="00C450AE"/>
    <w:rsid w:val="00C46C20"/>
    <w:rsid w:val="00C46C8D"/>
    <w:rsid w:val="00C47BA8"/>
    <w:rsid w:val="00C47FC4"/>
    <w:rsid w:val="00C5154C"/>
    <w:rsid w:val="00C5636A"/>
    <w:rsid w:val="00C6073B"/>
    <w:rsid w:val="00C617FE"/>
    <w:rsid w:val="00C620FF"/>
    <w:rsid w:val="00C637D3"/>
    <w:rsid w:val="00C6387B"/>
    <w:rsid w:val="00C647A8"/>
    <w:rsid w:val="00C72BE7"/>
    <w:rsid w:val="00C734BD"/>
    <w:rsid w:val="00C73C2A"/>
    <w:rsid w:val="00C74482"/>
    <w:rsid w:val="00C74C2D"/>
    <w:rsid w:val="00C758F5"/>
    <w:rsid w:val="00C76A8C"/>
    <w:rsid w:val="00C76D3D"/>
    <w:rsid w:val="00C801E2"/>
    <w:rsid w:val="00C81179"/>
    <w:rsid w:val="00C83CBA"/>
    <w:rsid w:val="00C87112"/>
    <w:rsid w:val="00C90E85"/>
    <w:rsid w:val="00C9263F"/>
    <w:rsid w:val="00C92E5D"/>
    <w:rsid w:val="00C93509"/>
    <w:rsid w:val="00C954F3"/>
    <w:rsid w:val="00C95F74"/>
    <w:rsid w:val="00C9777C"/>
    <w:rsid w:val="00C97E12"/>
    <w:rsid w:val="00CA031D"/>
    <w:rsid w:val="00CA04B4"/>
    <w:rsid w:val="00CA559D"/>
    <w:rsid w:val="00CA58CB"/>
    <w:rsid w:val="00CA685B"/>
    <w:rsid w:val="00CA6EB3"/>
    <w:rsid w:val="00CA6F7A"/>
    <w:rsid w:val="00CA73DD"/>
    <w:rsid w:val="00CB137C"/>
    <w:rsid w:val="00CB2330"/>
    <w:rsid w:val="00CB2635"/>
    <w:rsid w:val="00CB3253"/>
    <w:rsid w:val="00CB3B3E"/>
    <w:rsid w:val="00CB4CD2"/>
    <w:rsid w:val="00CB4E54"/>
    <w:rsid w:val="00CC2A37"/>
    <w:rsid w:val="00CC602E"/>
    <w:rsid w:val="00CD0B19"/>
    <w:rsid w:val="00CD0C6D"/>
    <w:rsid w:val="00CD115F"/>
    <w:rsid w:val="00CD31E2"/>
    <w:rsid w:val="00CD46BC"/>
    <w:rsid w:val="00CD66B8"/>
    <w:rsid w:val="00CD6A1D"/>
    <w:rsid w:val="00CD6F65"/>
    <w:rsid w:val="00CE072E"/>
    <w:rsid w:val="00CE16E0"/>
    <w:rsid w:val="00CE3E99"/>
    <w:rsid w:val="00CE448D"/>
    <w:rsid w:val="00CE5CFE"/>
    <w:rsid w:val="00CE6717"/>
    <w:rsid w:val="00CE799D"/>
    <w:rsid w:val="00CF606C"/>
    <w:rsid w:val="00CF714B"/>
    <w:rsid w:val="00D01545"/>
    <w:rsid w:val="00D03050"/>
    <w:rsid w:val="00D04CD1"/>
    <w:rsid w:val="00D0551A"/>
    <w:rsid w:val="00D10685"/>
    <w:rsid w:val="00D11A80"/>
    <w:rsid w:val="00D142BD"/>
    <w:rsid w:val="00D14A2B"/>
    <w:rsid w:val="00D14FDB"/>
    <w:rsid w:val="00D20BD0"/>
    <w:rsid w:val="00D24145"/>
    <w:rsid w:val="00D30AC6"/>
    <w:rsid w:val="00D31EF6"/>
    <w:rsid w:val="00D32126"/>
    <w:rsid w:val="00D355A1"/>
    <w:rsid w:val="00D36ED2"/>
    <w:rsid w:val="00D420F0"/>
    <w:rsid w:val="00D42C39"/>
    <w:rsid w:val="00D43403"/>
    <w:rsid w:val="00D44710"/>
    <w:rsid w:val="00D4472A"/>
    <w:rsid w:val="00D451FE"/>
    <w:rsid w:val="00D45C9B"/>
    <w:rsid w:val="00D479ED"/>
    <w:rsid w:val="00D47D6E"/>
    <w:rsid w:val="00D50089"/>
    <w:rsid w:val="00D507F1"/>
    <w:rsid w:val="00D51425"/>
    <w:rsid w:val="00D516F8"/>
    <w:rsid w:val="00D51875"/>
    <w:rsid w:val="00D51C30"/>
    <w:rsid w:val="00D5210E"/>
    <w:rsid w:val="00D54346"/>
    <w:rsid w:val="00D54525"/>
    <w:rsid w:val="00D54CA0"/>
    <w:rsid w:val="00D555BB"/>
    <w:rsid w:val="00D557D3"/>
    <w:rsid w:val="00D60327"/>
    <w:rsid w:val="00D605AC"/>
    <w:rsid w:val="00D62AA3"/>
    <w:rsid w:val="00D62F6F"/>
    <w:rsid w:val="00D64A79"/>
    <w:rsid w:val="00D657A7"/>
    <w:rsid w:val="00D6768A"/>
    <w:rsid w:val="00D71855"/>
    <w:rsid w:val="00D720EB"/>
    <w:rsid w:val="00D726F2"/>
    <w:rsid w:val="00D726FA"/>
    <w:rsid w:val="00D73338"/>
    <w:rsid w:val="00D745D6"/>
    <w:rsid w:val="00D76BA7"/>
    <w:rsid w:val="00D77067"/>
    <w:rsid w:val="00D77566"/>
    <w:rsid w:val="00D82CCF"/>
    <w:rsid w:val="00D83D69"/>
    <w:rsid w:val="00D8479A"/>
    <w:rsid w:val="00D8743D"/>
    <w:rsid w:val="00D87CD7"/>
    <w:rsid w:val="00D9163D"/>
    <w:rsid w:val="00D91F5E"/>
    <w:rsid w:val="00DA1449"/>
    <w:rsid w:val="00DA1C38"/>
    <w:rsid w:val="00DA2BC9"/>
    <w:rsid w:val="00DA327E"/>
    <w:rsid w:val="00DA39C5"/>
    <w:rsid w:val="00DA4777"/>
    <w:rsid w:val="00DA5836"/>
    <w:rsid w:val="00DA64A1"/>
    <w:rsid w:val="00DB01C8"/>
    <w:rsid w:val="00DB265A"/>
    <w:rsid w:val="00DB4281"/>
    <w:rsid w:val="00DB4712"/>
    <w:rsid w:val="00DB53B7"/>
    <w:rsid w:val="00DC05C1"/>
    <w:rsid w:val="00DC0853"/>
    <w:rsid w:val="00DC2167"/>
    <w:rsid w:val="00DC2CFD"/>
    <w:rsid w:val="00DC2F57"/>
    <w:rsid w:val="00DC3AAF"/>
    <w:rsid w:val="00DC60AD"/>
    <w:rsid w:val="00DC7FB5"/>
    <w:rsid w:val="00DD01B3"/>
    <w:rsid w:val="00DD237B"/>
    <w:rsid w:val="00DD6AB8"/>
    <w:rsid w:val="00DD733C"/>
    <w:rsid w:val="00DD7A83"/>
    <w:rsid w:val="00DE2955"/>
    <w:rsid w:val="00DE6221"/>
    <w:rsid w:val="00DF00FB"/>
    <w:rsid w:val="00DF041E"/>
    <w:rsid w:val="00DF065B"/>
    <w:rsid w:val="00DF1D37"/>
    <w:rsid w:val="00DF5CDA"/>
    <w:rsid w:val="00DF7423"/>
    <w:rsid w:val="00DF7ECB"/>
    <w:rsid w:val="00DF7FB2"/>
    <w:rsid w:val="00E02683"/>
    <w:rsid w:val="00E028D3"/>
    <w:rsid w:val="00E03491"/>
    <w:rsid w:val="00E0544B"/>
    <w:rsid w:val="00E06A15"/>
    <w:rsid w:val="00E13840"/>
    <w:rsid w:val="00E13A1A"/>
    <w:rsid w:val="00E13CA7"/>
    <w:rsid w:val="00E15CF8"/>
    <w:rsid w:val="00E17226"/>
    <w:rsid w:val="00E17453"/>
    <w:rsid w:val="00E215A8"/>
    <w:rsid w:val="00E21F3B"/>
    <w:rsid w:val="00E238AF"/>
    <w:rsid w:val="00E23A3A"/>
    <w:rsid w:val="00E2451C"/>
    <w:rsid w:val="00E24A18"/>
    <w:rsid w:val="00E2710C"/>
    <w:rsid w:val="00E27EF9"/>
    <w:rsid w:val="00E3321D"/>
    <w:rsid w:val="00E3361F"/>
    <w:rsid w:val="00E33FB4"/>
    <w:rsid w:val="00E352D3"/>
    <w:rsid w:val="00E3547F"/>
    <w:rsid w:val="00E35802"/>
    <w:rsid w:val="00E3723D"/>
    <w:rsid w:val="00E41B33"/>
    <w:rsid w:val="00E456B9"/>
    <w:rsid w:val="00E46380"/>
    <w:rsid w:val="00E46A33"/>
    <w:rsid w:val="00E5110D"/>
    <w:rsid w:val="00E5200E"/>
    <w:rsid w:val="00E535CB"/>
    <w:rsid w:val="00E53D42"/>
    <w:rsid w:val="00E54BC8"/>
    <w:rsid w:val="00E55517"/>
    <w:rsid w:val="00E56C77"/>
    <w:rsid w:val="00E572BE"/>
    <w:rsid w:val="00E575BF"/>
    <w:rsid w:val="00E60ADF"/>
    <w:rsid w:val="00E62380"/>
    <w:rsid w:val="00E62B77"/>
    <w:rsid w:val="00E65765"/>
    <w:rsid w:val="00E65DF7"/>
    <w:rsid w:val="00E719BA"/>
    <w:rsid w:val="00E728C8"/>
    <w:rsid w:val="00E73C7C"/>
    <w:rsid w:val="00E7530C"/>
    <w:rsid w:val="00E76FAC"/>
    <w:rsid w:val="00E77FDD"/>
    <w:rsid w:val="00E84B2B"/>
    <w:rsid w:val="00E87592"/>
    <w:rsid w:val="00E90AFD"/>
    <w:rsid w:val="00E93754"/>
    <w:rsid w:val="00E9479A"/>
    <w:rsid w:val="00E9605A"/>
    <w:rsid w:val="00E9610B"/>
    <w:rsid w:val="00E96A78"/>
    <w:rsid w:val="00EA0C76"/>
    <w:rsid w:val="00EA1225"/>
    <w:rsid w:val="00EA1E6E"/>
    <w:rsid w:val="00EA2106"/>
    <w:rsid w:val="00EA2E69"/>
    <w:rsid w:val="00EA4050"/>
    <w:rsid w:val="00EA4062"/>
    <w:rsid w:val="00EA423B"/>
    <w:rsid w:val="00EA6715"/>
    <w:rsid w:val="00EA6B9E"/>
    <w:rsid w:val="00EB112E"/>
    <w:rsid w:val="00EB199E"/>
    <w:rsid w:val="00EB2DF0"/>
    <w:rsid w:val="00EB5129"/>
    <w:rsid w:val="00EB6AA5"/>
    <w:rsid w:val="00EB72EB"/>
    <w:rsid w:val="00EB7C39"/>
    <w:rsid w:val="00EC04A9"/>
    <w:rsid w:val="00EC1A6C"/>
    <w:rsid w:val="00EC2860"/>
    <w:rsid w:val="00EC3AC5"/>
    <w:rsid w:val="00EC3B6E"/>
    <w:rsid w:val="00EC4AE7"/>
    <w:rsid w:val="00EC576E"/>
    <w:rsid w:val="00EC7B9C"/>
    <w:rsid w:val="00ED36DA"/>
    <w:rsid w:val="00ED47C6"/>
    <w:rsid w:val="00ED4CB1"/>
    <w:rsid w:val="00ED643E"/>
    <w:rsid w:val="00EE08BB"/>
    <w:rsid w:val="00EE5EE9"/>
    <w:rsid w:val="00EE7E35"/>
    <w:rsid w:val="00EF04B3"/>
    <w:rsid w:val="00EF1A37"/>
    <w:rsid w:val="00EF1A38"/>
    <w:rsid w:val="00EF2576"/>
    <w:rsid w:val="00EF5F8D"/>
    <w:rsid w:val="00EF776D"/>
    <w:rsid w:val="00F001AE"/>
    <w:rsid w:val="00F01426"/>
    <w:rsid w:val="00F0240A"/>
    <w:rsid w:val="00F05536"/>
    <w:rsid w:val="00F07107"/>
    <w:rsid w:val="00F12B18"/>
    <w:rsid w:val="00F142BF"/>
    <w:rsid w:val="00F15E29"/>
    <w:rsid w:val="00F169B8"/>
    <w:rsid w:val="00F1796C"/>
    <w:rsid w:val="00F209B0"/>
    <w:rsid w:val="00F24F28"/>
    <w:rsid w:val="00F256FB"/>
    <w:rsid w:val="00F25AEF"/>
    <w:rsid w:val="00F277CD"/>
    <w:rsid w:val="00F303DF"/>
    <w:rsid w:val="00F3074B"/>
    <w:rsid w:val="00F332C9"/>
    <w:rsid w:val="00F40B1A"/>
    <w:rsid w:val="00F40E54"/>
    <w:rsid w:val="00F4203B"/>
    <w:rsid w:val="00F45261"/>
    <w:rsid w:val="00F50ABA"/>
    <w:rsid w:val="00F5243D"/>
    <w:rsid w:val="00F52549"/>
    <w:rsid w:val="00F54902"/>
    <w:rsid w:val="00F55F66"/>
    <w:rsid w:val="00F5607A"/>
    <w:rsid w:val="00F603CC"/>
    <w:rsid w:val="00F63958"/>
    <w:rsid w:val="00F645BF"/>
    <w:rsid w:val="00F67784"/>
    <w:rsid w:val="00F709F8"/>
    <w:rsid w:val="00F725FE"/>
    <w:rsid w:val="00F74C6A"/>
    <w:rsid w:val="00F81022"/>
    <w:rsid w:val="00F82DF6"/>
    <w:rsid w:val="00F8356C"/>
    <w:rsid w:val="00F85A79"/>
    <w:rsid w:val="00F9106D"/>
    <w:rsid w:val="00F9173A"/>
    <w:rsid w:val="00F9190D"/>
    <w:rsid w:val="00F92A37"/>
    <w:rsid w:val="00F92F43"/>
    <w:rsid w:val="00F935B0"/>
    <w:rsid w:val="00F954B4"/>
    <w:rsid w:val="00F95A67"/>
    <w:rsid w:val="00FA0A20"/>
    <w:rsid w:val="00FA3D76"/>
    <w:rsid w:val="00FA441A"/>
    <w:rsid w:val="00FA4910"/>
    <w:rsid w:val="00FB0836"/>
    <w:rsid w:val="00FB1FFE"/>
    <w:rsid w:val="00FB22F9"/>
    <w:rsid w:val="00FB33A3"/>
    <w:rsid w:val="00FB5CCE"/>
    <w:rsid w:val="00FB62A3"/>
    <w:rsid w:val="00FB70DE"/>
    <w:rsid w:val="00FC111B"/>
    <w:rsid w:val="00FC131F"/>
    <w:rsid w:val="00FC5611"/>
    <w:rsid w:val="00FD01D1"/>
    <w:rsid w:val="00FD19FB"/>
    <w:rsid w:val="00FD1ADD"/>
    <w:rsid w:val="00FD2F34"/>
    <w:rsid w:val="00FD5F04"/>
    <w:rsid w:val="00FD7A57"/>
    <w:rsid w:val="00FE0245"/>
    <w:rsid w:val="00FE3484"/>
    <w:rsid w:val="00FE6D58"/>
    <w:rsid w:val="00FF13E4"/>
    <w:rsid w:val="00FF37C7"/>
    <w:rsid w:val="00FF5767"/>
    <w:rsid w:val="00FF5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E041BF"/>
  <w15:docId w15:val="{14C79DD3-44C7-430C-A1FC-40B65B9A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07A"/>
    <w:pPr>
      <w:spacing w:line="480" w:lineRule="auto"/>
      <w:ind w:firstLine="432"/>
    </w:pPr>
    <w:rPr>
      <w:szCs w:val="20"/>
    </w:rPr>
  </w:style>
  <w:style w:type="paragraph" w:styleId="Heading1">
    <w:name w:val="heading 1"/>
    <w:basedOn w:val="Normal"/>
    <w:next w:val="NormalSS"/>
    <w:link w:val="Heading1Char"/>
    <w:qFormat/>
    <w:rsid w:val="0042207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2207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2207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2207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2207A"/>
    <w:pPr>
      <w:keepNext/>
      <w:framePr w:wrap="around" w:vAnchor="text" w:hAnchor="text" w:y="1"/>
      <w:numPr>
        <w:ilvl w:val="4"/>
        <w:numId w:val="4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2207A"/>
    <w:pPr>
      <w:keepNext/>
      <w:numPr>
        <w:ilvl w:val="5"/>
        <w:numId w:val="42"/>
      </w:numPr>
      <w:spacing w:after="120" w:line="240" w:lineRule="auto"/>
      <w:outlineLvl w:val="5"/>
    </w:pPr>
  </w:style>
  <w:style w:type="paragraph" w:styleId="Heading7">
    <w:name w:val="heading 7"/>
    <w:aliases w:val="Heading 7 (business proposal only)"/>
    <w:basedOn w:val="Normal"/>
    <w:next w:val="Normal"/>
    <w:link w:val="Heading7Char"/>
    <w:qFormat/>
    <w:rsid w:val="0042207A"/>
    <w:pPr>
      <w:keepNext/>
      <w:numPr>
        <w:ilvl w:val="6"/>
        <w:numId w:val="42"/>
      </w:numPr>
      <w:spacing w:after="120" w:line="240" w:lineRule="auto"/>
      <w:outlineLvl w:val="6"/>
    </w:pPr>
  </w:style>
  <w:style w:type="paragraph" w:styleId="Heading8">
    <w:name w:val="heading 8"/>
    <w:aliases w:val="Heading 8 (business proposal only)"/>
    <w:basedOn w:val="Normal"/>
    <w:next w:val="Normal"/>
    <w:link w:val="Heading8Char"/>
    <w:qFormat/>
    <w:rsid w:val="0042207A"/>
    <w:pPr>
      <w:keepNext/>
      <w:numPr>
        <w:ilvl w:val="7"/>
        <w:numId w:val="42"/>
      </w:numPr>
      <w:spacing w:after="120" w:line="240" w:lineRule="auto"/>
      <w:outlineLvl w:val="7"/>
    </w:pPr>
  </w:style>
  <w:style w:type="paragraph" w:styleId="Heading9">
    <w:name w:val="heading 9"/>
    <w:aliases w:val="Heading 9 (business proposal only)"/>
    <w:basedOn w:val="Normal"/>
    <w:next w:val="Normal"/>
    <w:link w:val="Heading9Char"/>
    <w:rsid w:val="0042207A"/>
    <w:pPr>
      <w:keepNext/>
      <w:numPr>
        <w:ilvl w:val="8"/>
        <w:numId w:val="4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2207A"/>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42207A"/>
    <w:pPr>
      <w:spacing w:after="240" w:line="240" w:lineRule="auto"/>
    </w:pPr>
  </w:style>
  <w:style w:type="paragraph" w:styleId="Footer">
    <w:name w:val="footer"/>
    <w:basedOn w:val="Normal"/>
    <w:link w:val="FooterChar"/>
    <w:qFormat/>
    <w:rsid w:val="0042207A"/>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42207A"/>
    <w:rPr>
      <w:rFonts w:ascii="Arial" w:hAnsi="Arial"/>
      <w:color w:val="auto"/>
      <w:sz w:val="20"/>
      <w:bdr w:val="none" w:sz="0" w:space="0" w:color="auto"/>
    </w:rPr>
  </w:style>
  <w:style w:type="paragraph" w:customStyle="1" w:styleId="Bullet">
    <w:name w:val="Bullet"/>
    <w:basedOn w:val="Normal"/>
    <w:qFormat/>
    <w:rsid w:val="0042207A"/>
    <w:pPr>
      <w:numPr>
        <w:numId w:val="23"/>
      </w:numPr>
      <w:tabs>
        <w:tab w:val="left" w:pos="432"/>
      </w:tabs>
      <w:spacing w:after="120" w:line="240" w:lineRule="auto"/>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2207A"/>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2207A"/>
    <w:pPr>
      <w:ind w:firstLine="0"/>
      <w:jc w:val="center"/>
    </w:pPr>
  </w:style>
  <w:style w:type="paragraph" w:styleId="TOC3">
    <w:name w:val="toc 3"/>
    <w:basedOn w:val="TOC2"/>
    <w:next w:val="Normal"/>
    <w:autoRedefine/>
    <w:qFormat/>
    <w:rsid w:val="0042207A"/>
    <w:pPr>
      <w:tabs>
        <w:tab w:val="clear" w:pos="1080"/>
        <w:tab w:val="left" w:pos="1440"/>
      </w:tabs>
      <w:spacing w:after="120"/>
      <w:ind w:left="1440"/>
    </w:pPr>
  </w:style>
  <w:style w:type="paragraph" w:styleId="TOC4">
    <w:name w:val="toc 4"/>
    <w:next w:val="Normal"/>
    <w:autoRedefine/>
    <w:qFormat/>
    <w:rsid w:val="0042207A"/>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ootnote Text2,F"/>
    <w:basedOn w:val="Normal"/>
    <w:link w:val="FootnoteTextChar"/>
    <w:qFormat/>
    <w:rsid w:val="0042207A"/>
    <w:pPr>
      <w:spacing w:after="120" w:line="240" w:lineRule="auto"/>
      <w:ind w:firstLine="0"/>
    </w:pPr>
    <w:rPr>
      <w:sz w:val="20"/>
    </w:rPr>
  </w:style>
  <w:style w:type="paragraph" w:customStyle="1" w:styleId="Dash">
    <w:name w:val="Dash"/>
    <w:basedOn w:val="Normal"/>
    <w:qFormat/>
    <w:rsid w:val="0042207A"/>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2207A"/>
    <w:pPr>
      <w:numPr>
        <w:numId w:val="43"/>
      </w:numPr>
      <w:tabs>
        <w:tab w:val="clear" w:pos="540"/>
        <w:tab w:val="left" w:pos="432"/>
      </w:tabs>
      <w:spacing w:after="120" w:line="240" w:lineRule="auto"/>
      <w:ind w:left="432" w:hanging="432"/>
    </w:pPr>
  </w:style>
  <w:style w:type="paragraph" w:customStyle="1" w:styleId="Outline">
    <w:name w:val="Outline"/>
    <w:basedOn w:val="Normal"/>
    <w:unhideWhenUsed/>
    <w:qFormat/>
    <w:rsid w:val="0042207A"/>
    <w:pPr>
      <w:spacing w:after="240" w:line="240" w:lineRule="auto"/>
      <w:ind w:left="720" w:hanging="720"/>
    </w:pPr>
  </w:style>
  <w:style w:type="character" w:styleId="FootnoteReference">
    <w:name w:val="footnote reference"/>
    <w:basedOn w:val="DefaultParagraphFont"/>
    <w:qFormat/>
    <w:rsid w:val="0042207A"/>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uiPriority w:val="99"/>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2207A"/>
    <w:pPr>
      <w:keepLines/>
      <w:spacing w:after="240" w:line="240" w:lineRule="auto"/>
      <w:ind w:left="432" w:hanging="432"/>
    </w:pPr>
  </w:style>
  <w:style w:type="paragraph" w:customStyle="1" w:styleId="MarkforFigureHeading">
    <w:name w:val="Mark for Figure Heading"/>
    <w:basedOn w:val="Normal"/>
    <w:next w:val="Normal"/>
    <w:qFormat/>
    <w:rsid w:val="003A1506"/>
    <w:pPr>
      <w:jc w:val="center"/>
    </w:pPr>
    <w:rPr>
      <w:caps/>
    </w:rPr>
  </w:style>
  <w:style w:type="paragraph" w:customStyle="1" w:styleId="MarkforExhibitHeading">
    <w:name w:val="Mark for Exhibit Heading"/>
    <w:basedOn w:val="Normal"/>
    <w:next w:val="Normal"/>
    <w:qFormat/>
    <w:rsid w:val="003A1506"/>
    <w:pPr>
      <w:jc w:val="center"/>
    </w:pPr>
    <w:rPr>
      <w:caps/>
    </w:rPr>
  </w:style>
  <w:style w:type="paragraph" w:customStyle="1" w:styleId="MarkforAttachmentHeading">
    <w:name w:val="Mark for Attachment Heading"/>
    <w:basedOn w:val="Normal"/>
    <w:next w:val="Normal"/>
    <w:qFormat/>
    <w:rsid w:val="003A1506"/>
    <w:pPr>
      <w:jc w:val="center"/>
    </w:pPr>
    <w:rPr>
      <w:b/>
      <w:caps/>
    </w:rPr>
  </w:style>
  <w:style w:type="paragraph" w:styleId="TableofFigures">
    <w:name w:val="table of figures"/>
    <w:basedOn w:val="Normal"/>
    <w:next w:val="Normal"/>
    <w:uiPriority w:val="99"/>
    <w:rsid w:val="0042207A"/>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2207A"/>
    <w:rPr>
      <w:rFonts w:ascii="Arial" w:hAnsi="Arial"/>
      <w:vanish/>
      <w:color w:val="auto"/>
      <w:sz w:val="18"/>
    </w:rPr>
  </w:style>
  <w:style w:type="paragraph" w:customStyle="1" w:styleId="MarkforAppendixHeading">
    <w:name w:val="Mark for Appendix Heading"/>
    <w:basedOn w:val="Normal"/>
    <w:qFormat/>
    <w:rsid w:val="003A1506"/>
    <w:pPr>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2207A"/>
    <w:pPr>
      <w:ind w:left="720"/>
      <w:contextualSpacing/>
    </w:pPr>
  </w:style>
  <w:style w:type="paragraph" w:styleId="Header">
    <w:name w:val="header"/>
    <w:basedOn w:val="Normal"/>
    <w:link w:val="HeaderChar"/>
    <w:qFormat/>
    <w:rsid w:val="0042207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2207A"/>
    <w:rPr>
      <w:rFonts w:ascii="Arial" w:hAnsi="Arial"/>
      <w:caps/>
      <w:sz w:val="16"/>
      <w:szCs w:val="20"/>
    </w:rPr>
  </w:style>
  <w:style w:type="paragraph" w:styleId="BalloonText">
    <w:name w:val="Balloon Text"/>
    <w:basedOn w:val="Normal"/>
    <w:link w:val="BalloonTextChar"/>
    <w:uiPriority w:val="99"/>
    <w:semiHidden/>
    <w:unhideWhenUsed/>
    <w:rsid w:val="0042207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7A"/>
    <w:rPr>
      <w:rFonts w:ascii="Tahoma" w:hAnsi="Tahoma" w:cs="Tahoma"/>
      <w:sz w:val="16"/>
      <w:szCs w:val="16"/>
    </w:rPr>
  </w:style>
  <w:style w:type="paragraph" w:customStyle="1" w:styleId="TableFootnoteCaption">
    <w:name w:val="Table Footnote_Caption"/>
    <w:qFormat/>
    <w:rsid w:val="0042207A"/>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42207A"/>
    <w:pPr>
      <w:jc w:val="center"/>
    </w:pPr>
  </w:style>
  <w:style w:type="paragraph" w:customStyle="1" w:styleId="TableHeaderLeft">
    <w:name w:val="Table Header Left"/>
    <w:basedOn w:val="TableText"/>
    <w:next w:val="TableText"/>
    <w:qFormat/>
    <w:rsid w:val="0042207A"/>
    <w:pPr>
      <w:spacing w:before="120" w:after="60"/>
    </w:pPr>
    <w:rPr>
      <w:b/>
      <w:color w:val="FFFFFF" w:themeColor="background1"/>
    </w:rPr>
  </w:style>
  <w:style w:type="paragraph" w:customStyle="1" w:styleId="Normalcontinued">
    <w:name w:val="Normal (continued)"/>
    <w:basedOn w:val="Normal"/>
    <w:next w:val="Normal"/>
    <w:qFormat/>
    <w:rsid w:val="0042207A"/>
    <w:pPr>
      <w:ind w:firstLine="0"/>
    </w:pPr>
  </w:style>
  <w:style w:type="paragraph" w:customStyle="1" w:styleId="NormalSScontinued">
    <w:name w:val="NormalSS (continued)"/>
    <w:basedOn w:val="NormalSS"/>
    <w:next w:val="NormalSS"/>
    <w:qFormat/>
    <w:rsid w:val="0042207A"/>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style>
  <w:style w:type="paragraph" w:customStyle="1" w:styleId="ParagraphLASTcontinued">
    <w:name w:val="Paragraph (LAST_continued)"/>
    <w:basedOn w:val="ParagraphLAST"/>
    <w:next w:val="Normal"/>
    <w:qFormat/>
    <w:rsid w:val="007F686C"/>
  </w:style>
  <w:style w:type="paragraph" w:customStyle="1" w:styleId="ParagraphSSLASTcontinued">
    <w:name w:val="ParagraphSS (LAST_continued)"/>
    <w:basedOn w:val="ParagraphSSLAST"/>
    <w:next w:val="NormalSS"/>
    <w:qFormat/>
    <w:rsid w:val="007F686C"/>
  </w:style>
  <w:style w:type="paragraph" w:customStyle="1" w:styleId="TableText">
    <w:name w:val="Table Text"/>
    <w:basedOn w:val="Normal"/>
    <w:qFormat/>
    <w:rsid w:val="0042207A"/>
    <w:pPr>
      <w:spacing w:line="240" w:lineRule="auto"/>
      <w:ind w:firstLine="0"/>
    </w:pPr>
    <w:rPr>
      <w:rFonts w:ascii="Arial" w:hAnsi="Arial"/>
      <w:sz w:val="18"/>
    </w:rPr>
  </w:style>
  <w:style w:type="paragraph" w:customStyle="1" w:styleId="TableSourceCaption">
    <w:name w:val="Table Source_Caption"/>
    <w:qFormat/>
    <w:rsid w:val="0042207A"/>
    <w:pPr>
      <w:tabs>
        <w:tab w:val="left" w:pos="792"/>
      </w:tabs>
      <w:spacing w:before="60"/>
      <w:ind w:left="792" w:hanging="792"/>
    </w:pPr>
    <w:rPr>
      <w:rFonts w:ascii="Arial" w:hAnsi="Arial"/>
      <w:sz w:val="18"/>
      <w:szCs w:val="20"/>
    </w:rPr>
  </w:style>
  <w:style w:type="character" w:customStyle="1" w:styleId="Heading3Char">
    <w:name w:val="Heading 3 Char"/>
    <w:basedOn w:val="DefaultParagraphFont"/>
    <w:link w:val="Heading3"/>
    <w:rsid w:val="0042207A"/>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42207A"/>
    <w:rPr>
      <w:b/>
      <w:szCs w:val="20"/>
    </w:rPr>
  </w:style>
  <w:style w:type="character" w:customStyle="1" w:styleId="FooterChar">
    <w:name w:val="Footer Char"/>
    <w:basedOn w:val="DefaultParagraphFont"/>
    <w:link w:val="Footer"/>
    <w:rsid w:val="0042207A"/>
    <w:rPr>
      <w:rFonts w:ascii="Arial" w:hAnsi="Arial"/>
      <w:sz w:val="20"/>
      <w:szCs w:val="20"/>
    </w:rPr>
  </w:style>
  <w:style w:type="character" w:styleId="Hyperlink">
    <w:name w:val="Hyperlink"/>
    <w:uiPriority w:val="99"/>
    <w:unhideWhenUsed/>
    <w:rsid w:val="00D5210E"/>
    <w:rPr>
      <w:color w:val="0000FF"/>
      <w:u w:val="single"/>
    </w:rPr>
  </w:style>
  <w:style w:type="paragraph" w:customStyle="1" w:styleId="BulletBlack">
    <w:name w:val="Bullet_Black"/>
    <w:basedOn w:val="Normal"/>
    <w:uiPriority w:val="99"/>
    <w:qFormat/>
    <w:rsid w:val="00D5210E"/>
    <w:pPr>
      <w:numPr>
        <w:numId w:val="9"/>
      </w:numPr>
      <w:tabs>
        <w:tab w:val="left" w:pos="360"/>
      </w:tabs>
      <w:spacing w:after="120"/>
      <w:ind w:left="720" w:right="360" w:hanging="288"/>
      <w:jc w:val="both"/>
    </w:pPr>
  </w:style>
  <w:style w:type="paragraph" w:customStyle="1" w:styleId="BulletBlackLastSS">
    <w:name w:val="Bullet_Black (Last SS)"/>
    <w:basedOn w:val="BulletBlack"/>
    <w:next w:val="NormalSS"/>
    <w:qFormat/>
    <w:rsid w:val="00D5210E"/>
    <w:pPr>
      <w:spacing w:after="240"/>
    </w:pPr>
  </w:style>
  <w:style w:type="paragraph" w:customStyle="1" w:styleId="Heading2Black">
    <w:name w:val="Heading 2_Black"/>
    <w:basedOn w:val="Normal"/>
    <w:next w:val="Normal"/>
    <w:qFormat/>
    <w:rsid w:val="00D5210E"/>
    <w:pPr>
      <w:keepNext/>
      <w:tabs>
        <w:tab w:val="left" w:pos="432"/>
      </w:tabs>
      <w:spacing w:after="240"/>
      <w:ind w:left="432" w:hanging="432"/>
      <w:jc w:val="both"/>
      <w:outlineLvl w:val="1"/>
    </w:pPr>
    <w:rPr>
      <w:rFonts w:ascii="Arial" w:hAnsi="Arial"/>
      <w:b/>
    </w:rPr>
  </w:style>
  <w:style w:type="paragraph" w:customStyle="1" w:styleId="Heading2BlackNoTOC">
    <w:name w:val="Heading 2_Black No TOC"/>
    <w:basedOn w:val="Heading2Black"/>
    <w:next w:val="Normal"/>
    <w:qFormat/>
    <w:rsid w:val="00D5210E"/>
    <w:pPr>
      <w:outlineLvl w:val="8"/>
    </w:pPr>
  </w:style>
  <w:style w:type="table" w:customStyle="1" w:styleId="SMPRTableBlack">
    <w:name w:val="SMPR_Table_Black"/>
    <w:basedOn w:val="TableNormal"/>
    <w:uiPriority w:val="99"/>
    <w:rsid w:val="00D5210E"/>
    <w:rPr>
      <w:rFonts w:ascii="Arial" w:hAnsi="Arial"/>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link w:val="NormalSS"/>
    <w:locked/>
    <w:rsid w:val="00D5210E"/>
    <w:rPr>
      <w:szCs w:val="20"/>
    </w:rPr>
  </w:style>
  <w:style w:type="character" w:styleId="CommentReference">
    <w:name w:val="annotation reference"/>
    <w:basedOn w:val="DefaultParagraphFont"/>
    <w:uiPriority w:val="99"/>
    <w:rsid w:val="00D5210E"/>
    <w:rPr>
      <w:sz w:val="16"/>
      <w:szCs w:val="16"/>
    </w:rPr>
  </w:style>
  <w:style w:type="paragraph" w:styleId="CommentText">
    <w:name w:val="annotation text"/>
    <w:basedOn w:val="Normal"/>
    <w:link w:val="CommentTextChar"/>
    <w:uiPriority w:val="99"/>
    <w:rsid w:val="00D5210E"/>
    <w:rPr>
      <w:sz w:val="20"/>
    </w:rPr>
  </w:style>
  <w:style w:type="character" w:customStyle="1" w:styleId="CommentTextChar">
    <w:name w:val="Comment Text Char"/>
    <w:basedOn w:val="DefaultParagraphFont"/>
    <w:link w:val="CommentText"/>
    <w:uiPriority w:val="99"/>
    <w:rsid w:val="00D5210E"/>
    <w:rPr>
      <w:sz w:val="20"/>
      <w:szCs w:val="20"/>
    </w:rPr>
  </w:style>
  <w:style w:type="paragraph" w:styleId="CommentSubject">
    <w:name w:val="annotation subject"/>
    <w:basedOn w:val="CommentText"/>
    <w:next w:val="CommentText"/>
    <w:link w:val="CommentSubjectChar"/>
    <w:uiPriority w:val="99"/>
    <w:semiHidden/>
    <w:unhideWhenUsed/>
    <w:rsid w:val="00AF4AF5"/>
    <w:rPr>
      <w:b/>
      <w:bCs/>
    </w:rPr>
  </w:style>
  <w:style w:type="character" w:customStyle="1" w:styleId="CommentSubjectChar">
    <w:name w:val="Comment Subject Char"/>
    <w:basedOn w:val="CommentTextChar"/>
    <w:link w:val="CommentSubject"/>
    <w:uiPriority w:val="99"/>
    <w:semiHidden/>
    <w:rsid w:val="00AF4AF5"/>
    <w:rPr>
      <w:b/>
      <w:bCs/>
      <w:sz w:val="20"/>
      <w:szCs w:val="20"/>
    </w:rPr>
  </w:style>
  <w:style w:type="character" w:customStyle="1" w:styleId="Heading2Char">
    <w:name w:val="Heading 2 Char"/>
    <w:basedOn w:val="DefaultParagraphFont"/>
    <w:link w:val="Heading2"/>
    <w:locked/>
    <w:rsid w:val="0042207A"/>
    <w:rPr>
      <w:rFonts w:ascii="Arial Black" w:hAnsi="Arial Black"/>
      <w:caps/>
      <w:sz w:val="22"/>
      <w:szCs w:val="20"/>
    </w:rPr>
  </w:style>
  <w:style w:type="paragraph" w:customStyle="1" w:styleId="Default">
    <w:name w:val="Default"/>
    <w:rsid w:val="0071240A"/>
    <w:pPr>
      <w:autoSpaceDE w:val="0"/>
      <w:autoSpaceDN w:val="0"/>
      <w:adjustRightInd w:val="0"/>
    </w:pPr>
    <w:rPr>
      <w:color w:val="000000"/>
    </w:rPr>
  </w:style>
  <w:style w:type="paragraph" w:styleId="Revision">
    <w:name w:val="Revision"/>
    <w:hidden/>
    <w:uiPriority w:val="99"/>
    <w:semiHidden/>
    <w:rsid w:val="00756E26"/>
  </w:style>
  <w:style w:type="character" w:styleId="FollowedHyperlink">
    <w:name w:val="FollowedHyperlink"/>
    <w:basedOn w:val="DefaultParagraphFont"/>
    <w:uiPriority w:val="99"/>
    <w:semiHidden/>
    <w:unhideWhenUsed/>
    <w:rsid w:val="00F332C9"/>
    <w:rPr>
      <w:color w:val="800080" w:themeColor="followedHyperlink"/>
      <w:u w:val="single"/>
    </w:rPr>
  </w:style>
  <w:style w:type="character" w:customStyle="1" w:styleId="NumberedBulletChar">
    <w:name w:val="Numbered Bullet Char"/>
    <w:basedOn w:val="DefaultParagraphFont"/>
    <w:link w:val="NumberedBullet"/>
    <w:rsid w:val="0042207A"/>
    <w:rPr>
      <w:szCs w:val="20"/>
    </w:rPr>
  </w:style>
  <w:style w:type="paragraph" w:customStyle="1" w:styleId="MarkforFigureTitle">
    <w:name w:val="Mark for Figure Title"/>
    <w:basedOn w:val="MarkforTableTitle"/>
    <w:next w:val="NormalSS"/>
    <w:qFormat/>
    <w:rsid w:val="0042207A"/>
  </w:style>
  <w:style w:type="paragraph" w:customStyle="1" w:styleId="Heading1Black">
    <w:name w:val="Heading 1_Black"/>
    <w:basedOn w:val="Normal"/>
    <w:next w:val="Normal"/>
    <w:qFormat/>
    <w:rsid w:val="00091D60"/>
    <w:pPr>
      <w:tabs>
        <w:tab w:val="left" w:pos="432"/>
      </w:tabs>
      <w:spacing w:before="240" w:after="240"/>
      <w:jc w:val="center"/>
    </w:pPr>
    <w:rPr>
      <w:rFonts w:ascii="Lucida Sans" w:hAnsi="Lucida Sans"/>
      <w:b/>
      <w:caps/>
    </w:rPr>
  </w:style>
  <w:style w:type="paragraph" w:customStyle="1" w:styleId="MarkforTableTitle">
    <w:name w:val="Mark for Table Title"/>
    <w:basedOn w:val="Normal"/>
    <w:next w:val="NormalSS"/>
    <w:qFormat/>
    <w:rsid w:val="0042207A"/>
    <w:pPr>
      <w:keepNext/>
      <w:spacing w:after="60" w:line="240" w:lineRule="auto"/>
      <w:ind w:firstLine="0"/>
    </w:pPr>
    <w:rPr>
      <w:rFonts w:ascii="Arial Black" w:hAnsi="Arial Black"/>
      <w:sz w:val="22"/>
    </w:rPr>
  </w:style>
  <w:style w:type="paragraph" w:styleId="DocumentMap">
    <w:name w:val="Document Map"/>
    <w:basedOn w:val="Normal"/>
    <w:link w:val="DocumentMapChar"/>
    <w:semiHidden/>
    <w:unhideWhenUsed/>
    <w:rsid w:val="0042207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2207A"/>
    <w:rPr>
      <w:rFonts w:asciiTheme="majorHAnsi" w:hAnsiTheme="majorHAnsi"/>
      <w:szCs w:val="20"/>
    </w:rPr>
  </w:style>
  <w:style w:type="paragraph" w:customStyle="1" w:styleId="AcknowledgmentnoTOC">
    <w:name w:val="Acknowledgment no TOC"/>
    <w:basedOn w:val="Normal"/>
    <w:next w:val="Normal"/>
    <w:qFormat/>
    <w:rsid w:val="0042207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2207A"/>
    <w:pPr>
      <w:numPr>
        <w:numId w:val="24"/>
      </w:numPr>
      <w:spacing w:after="240"/>
      <w:ind w:left="432" w:hanging="432"/>
    </w:pPr>
  </w:style>
  <w:style w:type="paragraph" w:customStyle="1" w:styleId="BulletLastDS">
    <w:name w:val="Bullet (Last DS)"/>
    <w:basedOn w:val="Bullet"/>
    <w:next w:val="Normal"/>
    <w:qFormat/>
    <w:rsid w:val="0042207A"/>
    <w:pPr>
      <w:numPr>
        <w:numId w:val="25"/>
      </w:numPr>
      <w:spacing w:after="320"/>
      <w:ind w:left="432" w:hanging="432"/>
    </w:pPr>
  </w:style>
  <w:style w:type="paragraph" w:customStyle="1" w:styleId="DashLASTSS">
    <w:name w:val="Dash (LAST SS)"/>
    <w:basedOn w:val="Dash"/>
    <w:next w:val="NormalSS"/>
    <w:qFormat/>
    <w:rsid w:val="0042207A"/>
    <w:pPr>
      <w:numPr>
        <w:numId w:val="26"/>
      </w:numPr>
      <w:spacing w:after="240"/>
    </w:pPr>
  </w:style>
  <w:style w:type="paragraph" w:customStyle="1" w:styleId="DashLASTDS">
    <w:name w:val="Dash (LAST DS)"/>
    <w:basedOn w:val="Dash"/>
    <w:next w:val="Normal"/>
    <w:qFormat/>
    <w:rsid w:val="0042207A"/>
    <w:pPr>
      <w:spacing w:after="320"/>
    </w:pPr>
    <w:rPr>
      <w:szCs w:val="24"/>
    </w:rPr>
  </w:style>
  <w:style w:type="character" w:customStyle="1" w:styleId="FootnoteTextChar">
    <w:name w:val="Footnote Text Char"/>
    <w:aliases w:val="Footnote Text2 Char,F Char"/>
    <w:basedOn w:val="DefaultParagraphFont"/>
    <w:link w:val="FootnoteText"/>
    <w:rsid w:val="0042207A"/>
    <w:rPr>
      <w:sz w:val="20"/>
      <w:szCs w:val="20"/>
    </w:rPr>
  </w:style>
  <w:style w:type="character" w:customStyle="1" w:styleId="Heading1Char">
    <w:name w:val="Heading 1 Char"/>
    <w:basedOn w:val="DefaultParagraphFont"/>
    <w:link w:val="Heading1"/>
    <w:rsid w:val="0042207A"/>
    <w:rPr>
      <w:rFonts w:ascii="Arial Black" w:hAnsi="Arial Black"/>
      <w:caps/>
      <w:sz w:val="22"/>
      <w:szCs w:val="20"/>
    </w:rPr>
  </w:style>
  <w:style w:type="paragraph" w:customStyle="1" w:styleId="Heading3NoTOC">
    <w:name w:val="Heading 3_No TOC"/>
    <w:basedOn w:val="Normal"/>
    <w:next w:val="NormalSS"/>
    <w:semiHidden/>
    <w:qFormat/>
    <w:rsid w:val="0042207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42207A"/>
    <w:pPr>
      <w:outlineLvl w:val="9"/>
    </w:pPr>
  </w:style>
  <w:style w:type="character" w:customStyle="1" w:styleId="Heading5Char">
    <w:name w:val="Heading 5 Char"/>
    <w:aliases w:val="Heading 5 (business proposal only) Char"/>
    <w:basedOn w:val="DefaultParagraphFont"/>
    <w:link w:val="Heading5"/>
    <w:rsid w:val="0042207A"/>
    <w:rPr>
      <w:b/>
      <w:szCs w:val="20"/>
    </w:rPr>
  </w:style>
  <w:style w:type="character" w:customStyle="1" w:styleId="Heading6Char">
    <w:name w:val="Heading 6 Char"/>
    <w:aliases w:val="Heading 6 (business proposal only) Char"/>
    <w:basedOn w:val="DefaultParagraphFont"/>
    <w:link w:val="Heading6"/>
    <w:rsid w:val="0042207A"/>
    <w:rPr>
      <w:szCs w:val="20"/>
    </w:rPr>
  </w:style>
  <w:style w:type="character" w:customStyle="1" w:styleId="Heading7Char">
    <w:name w:val="Heading 7 Char"/>
    <w:aliases w:val="Heading 7 (business proposal only) Char"/>
    <w:basedOn w:val="DefaultParagraphFont"/>
    <w:link w:val="Heading7"/>
    <w:rsid w:val="0042207A"/>
    <w:rPr>
      <w:szCs w:val="20"/>
    </w:rPr>
  </w:style>
  <w:style w:type="character" w:customStyle="1" w:styleId="Heading8Char">
    <w:name w:val="Heading 8 Char"/>
    <w:aliases w:val="Heading 8 (business proposal only) Char"/>
    <w:basedOn w:val="DefaultParagraphFont"/>
    <w:link w:val="Heading8"/>
    <w:rsid w:val="0042207A"/>
    <w:rPr>
      <w:szCs w:val="20"/>
    </w:rPr>
  </w:style>
  <w:style w:type="character" w:customStyle="1" w:styleId="Heading9Char">
    <w:name w:val="Heading 9 Char"/>
    <w:aliases w:val="Heading 9 (business proposal only) Char"/>
    <w:basedOn w:val="DefaultParagraphFont"/>
    <w:link w:val="Heading9"/>
    <w:rsid w:val="0042207A"/>
    <w:rPr>
      <w:szCs w:val="20"/>
    </w:rPr>
  </w:style>
  <w:style w:type="paragraph" w:customStyle="1" w:styleId="MarkforAppendixTitle">
    <w:name w:val="Mark for Appendix Title"/>
    <w:basedOn w:val="Normal"/>
    <w:next w:val="Normal"/>
    <w:qFormat/>
    <w:rsid w:val="0042207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2207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2207A"/>
  </w:style>
  <w:style w:type="numbering" w:customStyle="1" w:styleId="MPROutline">
    <w:name w:val="MPROutline"/>
    <w:uiPriority w:val="99"/>
    <w:locked/>
    <w:rsid w:val="0042207A"/>
    <w:pPr>
      <w:numPr>
        <w:numId w:val="27"/>
      </w:numPr>
    </w:pPr>
  </w:style>
  <w:style w:type="paragraph" w:customStyle="1" w:styleId="TableSignificanceCaption">
    <w:name w:val="Table Significance_Caption"/>
    <w:basedOn w:val="TableFootnoteCaption"/>
    <w:qFormat/>
    <w:rsid w:val="0042207A"/>
  </w:style>
  <w:style w:type="paragraph" w:customStyle="1" w:styleId="Tabletext8">
    <w:name w:val="Table text 8"/>
    <w:basedOn w:val="TableText"/>
    <w:qFormat/>
    <w:rsid w:val="0042207A"/>
    <w:rPr>
      <w:snapToGrid w:val="0"/>
      <w:sz w:val="16"/>
      <w:szCs w:val="16"/>
    </w:rPr>
  </w:style>
  <w:style w:type="paragraph" w:customStyle="1" w:styleId="TableSpace">
    <w:name w:val="TableSpace"/>
    <w:basedOn w:val="TableSourceCaption"/>
    <w:next w:val="TableFootnoteCaption"/>
    <w:semiHidden/>
    <w:qFormat/>
    <w:rsid w:val="0042207A"/>
  </w:style>
  <w:style w:type="paragraph" w:styleId="Title">
    <w:name w:val="Title"/>
    <w:basedOn w:val="Normal"/>
    <w:next w:val="Normal"/>
    <w:link w:val="TitleChar"/>
    <w:rsid w:val="0042207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2207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2207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2207A"/>
    <w:pPr>
      <w:spacing w:before="0" w:after="160"/>
    </w:pPr>
  </w:style>
  <w:style w:type="paragraph" w:customStyle="1" w:styleId="TitleofDocumentNoPhoto">
    <w:name w:val="Title of Document No Photo"/>
    <w:basedOn w:val="TitleofDocumentHorizontal"/>
    <w:semiHidden/>
    <w:qFormat/>
    <w:rsid w:val="0042207A"/>
  </w:style>
  <w:style w:type="paragraph" w:styleId="TOC8">
    <w:name w:val="toc 8"/>
    <w:next w:val="Normal"/>
    <w:autoRedefine/>
    <w:uiPriority w:val="39"/>
    <w:qFormat/>
    <w:rsid w:val="0042207A"/>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2207A"/>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42207A"/>
    <w:pPr>
      <w:spacing w:after="320"/>
    </w:pPr>
  </w:style>
  <w:style w:type="paragraph" w:customStyle="1" w:styleId="NumberedBulletLastSS">
    <w:name w:val="Numbered Bullet (Last SS)"/>
    <w:basedOn w:val="NumberedBulletLastDS"/>
    <w:next w:val="NormalSS"/>
    <w:qFormat/>
    <w:rsid w:val="0042207A"/>
    <w:pPr>
      <w:spacing w:after="240"/>
    </w:pPr>
  </w:style>
  <w:style w:type="table" w:styleId="LightList">
    <w:name w:val="Light List"/>
    <w:basedOn w:val="TableNormal"/>
    <w:uiPriority w:val="61"/>
    <w:rsid w:val="0042207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2207A"/>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42207A"/>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42207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2207A"/>
    <w:pPr>
      <w:ind w:left="432" w:hanging="432"/>
      <w:outlineLvl w:val="1"/>
    </w:pPr>
  </w:style>
  <w:style w:type="character" w:customStyle="1" w:styleId="H1TitleChar">
    <w:name w:val="H1_Title Char"/>
    <w:basedOn w:val="DefaultParagraphFont"/>
    <w:link w:val="H1Title"/>
    <w:rsid w:val="0042207A"/>
    <w:rPr>
      <w:rFonts w:ascii="Arial Black" w:hAnsi="Arial Black"/>
      <w:color w:val="E70033"/>
      <w:sz w:val="37"/>
      <w:szCs w:val="20"/>
    </w:rPr>
  </w:style>
  <w:style w:type="paragraph" w:customStyle="1" w:styleId="H3Alpha">
    <w:name w:val="H3_Alpha"/>
    <w:basedOn w:val="Heading2"/>
    <w:next w:val="NormalSS"/>
    <w:link w:val="H3AlphaChar"/>
    <w:qFormat/>
    <w:rsid w:val="0042207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2207A"/>
    <w:rPr>
      <w:rFonts w:ascii="Arial Black" w:hAnsi="Arial Black"/>
      <w:caps/>
      <w:sz w:val="22"/>
      <w:szCs w:val="20"/>
    </w:rPr>
  </w:style>
  <w:style w:type="paragraph" w:customStyle="1" w:styleId="H3AlphaNoTOC">
    <w:name w:val="H3_Alpha_No TOC"/>
    <w:basedOn w:val="H3Alpha"/>
    <w:next w:val="NormalSS"/>
    <w:link w:val="H3AlphaNoTOCChar"/>
    <w:qFormat/>
    <w:rsid w:val="0042207A"/>
    <w:pPr>
      <w:outlineLvl w:val="9"/>
    </w:pPr>
  </w:style>
  <w:style w:type="character" w:customStyle="1" w:styleId="H3AlphaChar">
    <w:name w:val="H3_Alpha Char"/>
    <w:basedOn w:val="Heading2Char"/>
    <w:link w:val="H3Alpha"/>
    <w:rsid w:val="0042207A"/>
    <w:rPr>
      <w:rFonts w:ascii="Arial Black" w:hAnsi="Arial Black"/>
      <w:caps w:val="0"/>
      <w:sz w:val="22"/>
      <w:szCs w:val="20"/>
    </w:rPr>
  </w:style>
  <w:style w:type="paragraph" w:customStyle="1" w:styleId="H4Number">
    <w:name w:val="H4_Number"/>
    <w:basedOn w:val="Heading3"/>
    <w:next w:val="NormalSS"/>
    <w:link w:val="H4NumberChar"/>
    <w:qFormat/>
    <w:rsid w:val="0042207A"/>
    <w:pPr>
      <w:outlineLvl w:val="3"/>
    </w:pPr>
    <w:rPr>
      <w:b/>
    </w:rPr>
  </w:style>
  <w:style w:type="character" w:customStyle="1" w:styleId="H3AlphaNoTOCChar">
    <w:name w:val="H3_Alpha_No TOC Char"/>
    <w:basedOn w:val="H3AlphaChar"/>
    <w:link w:val="H3AlphaNoTOC"/>
    <w:rsid w:val="0042207A"/>
    <w:rPr>
      <w:rFonts w:ascii="Arial Black" w:hAnsi="Arial Black"/>
      <w:caps w:val="0"/>
      <w:sz w:val="22"/>
      <w:szCs w:val="20"/>
    </w:rPr>
  </w:style>
  <w:style w:type="paragraph" w:customStyle="1" w:styleId="H4NumberNoTOC">
    <w:name w:val="H4_Number_No TOC"/>
    <w:basedOn w:val="H4Number"/>
    <w:next w:val="NormalSS"/>
    <w:link w:val="H4NumberNoTOCChar"/>
    <w:qFormat/>
    <w:rsid w:val="0042207A"/>
    <w:pPr>
      <w:outlineLvl w:val="9"/>
    </w:pPr>
  </w:style>
  <w:style w:type="character" w:customStyle="1" w:styleId="H4NumberChar">
    <w:name w:val="H4_Number Char"/>
    <w:basedOn w:val="Heading3Char"/>
    <w:link w:val="H4Number"/>
    <w:rsid w:val="0042207A"/>
    <w:rPr>
      <w:rFonts w:ascii="Arial Black" w:hAnsi="Arial Black"/>
      <w:b/>
      <w:sz w:val="22"/>
      <w:szCs w:val="20"/>
    </w:rPr>
  </w:style>
  <w:style w:type="paragraph" w:customStyle="1" w:styleId="H5Lower">
    <w:name w:val="H5_Lower"/>
    <w:basedOn w:val="Heading4"/>
    <w:next w:val="NormalSS"/>
    <w:link w:val="H5LowerChar"/>
    <w:qFormat/>
    <w:rsid w:val="0042207A"/>
    <w:pPr>
      <w:outlineLvl w:val="4"/>
    </w:pPr>
  </w:style>
  <w:style w:type="character" w:customStyle="1" w:styleId="H4NumberNoTOCChar">
    <w:name w:val="H4_Number_No TOC Char"/>
    <w:basedOn w:val="H4NumberChar"/>
    <w:link w:val="H4NumberNoTOC"/>
    <w:rsid w:val="0042207A"/>
    <w:rPr>
      <w:rFonts w:ascii="Arial Black" w:hAnsi="Arial Black"/>
      <w:b/>
      <w:sz w:val="22"/>
      <w:szCs w:val="20"/>
    </w:rPr>
  </w:style>
  <w:style w:type="character" w:customStyle="1" w:styleId="H5LowerChar">
    <w:name w:val="H5_Lower Char"/>
    <w:basedOn w:val="Heading4Char"/>
    <w:link w:val="H5Lower"/>
    <w:rsid w:val="0042207A"/>
    <w:rPr>
      <w:b/>
      <w:szCs w:val="20"/>
    </w:rPr>
  </w:style>
  <w:style w:type="paragraph" w:customStyle="1" w:styleId="covertitle">
    <w:name w:val="cover title"/>
    <w:basedOn w:val="Normal"/>
    <w:qFormat/>
    <w:rsid w:val="00725AB3"/>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725AB3"/>
    <w:pPr>
      <w:spacing w:line="560" w:lineRule="exact"/>
      <w:ind w:firstLine="0"/>
    </w:pPr>
    <w:rPr>
      <w:rFonts w:ascii="Arial" w:hAnsi="Arial"/>
      <w:caps/>
      <w:spacing w:val="28"/>
      <w:sz w:val="17"/>
      <w:szCs w:val="26"/>
    </w:rPr>
  </w:style>
  <w:style w:type="paragraph" w:customStyle="1" w:styleId="coverdate">
    <w:name w:val="cover date"/>
    <w:qFormat/>
    <w:rsid w:val="00725AB3"/>
    <w:pPr>
      <w:spacing w:line="440" w:lineRule="exact"/>
    </w:pPr>
    <w:rPr>
      <w:rFonts w:ascii="Arial" w:hAnsi="Arial"/>
      <w:sz w:val="34"/>
      <w:szCs w:val="26"/>
    </w:rPr>
  </w:style>
  <w:style w:type="paragraph" w:customStyle="1" w:styleId="covertext">
    <w:name w:val="cover text"/>
    <w:qFormat/>
    <w:rsid w:val="00725AB3"/>
    <w:pPr>
      <w:spacing w:after="100" w:line="260" w:lineRule="exact"/>
    </w:pPr>
    <w:rPr>
      <w:rFonts w:ascii="Arial" w:hAnsi="Arial"/>
      <w:sz w:val="16"/>
      <w:szCs w:val="19"/>
    </w:rPr>
  </w:style>
  <w:style w:type="paragraph" w:customStyle="1" w:styleId="covertextwithline">
    <w:name w:val="cover text with line"/>
    <w:basedOn w:val="covertext"/>
    <w:qFormat/>
    <w:rsid w:val="00725AB3"/>
    <w:pPr>
      <w:pBdr>
        <w:bottom w:val="single" w:sz="2" w:space="1" w:color="auto"/>
      </w:pBdr>
      <w:spacing w:line="240" w:lineRule="auto"/>
    </w:pPr>
  </w:style>
  <w:style w:type="paragraph" w:customStyle="1" w:styleId="reportcovername">
    <w:name w:val="report cover name"/>
    <w:basedOn w:val="covertext"/>
    <w:qFormat/>
    <w:rsid w:val="00725AB3"/>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725AB3"/>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9C1342"/>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9C1342"/>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customStyle="1" w:styleId="P1-StandPara">
    <w:name w:val="P1-Stand Para"/>
    <w:uiPriority w:val="99"/>
    <w:rsid w:val="007B50F6"/>
    <w:pPr>
      <w:spacing w:line="360" w:lineRule="atLeast"/>
      <w:ind w:firstLine="1152"/>
      <w:jc w:val="both"/>
    </w:pPr>
    <w:rPr>
      <w:rFonts w:eastAsia="Batang"/>
      <w:sz w:val="22"/>
    </w:rPr>
  </w:style>
  <w:style w:type="paragraph" w:customStyle="1" w:styleId="ESParagraph">
    <w:name w:val="ES Paragraph"/>
    <w:basedOn w:val="Normal"/>
    <w:qFormat/>
    <w:rsid w:val="00A65D7B"/>
    <w:pPr>
      <w:spacing w:after="160" w:line="264" w:lineRule="auto"/>
      <w:ind w:firstLine="0"/>
    </w:pPr>
    <w:rPr>
      <w:rFonts w:asciiTheme="majorHAnsi" w:eastAsiaTheme="minorHAnsi" w:hAnsiTheme="majorHAnsi" w:cstheme="minorBid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43873">
      <w:bodyDiv w:val="1"/>
      <w:marLeft w:val="0"/>
      <w:marRight w:val="0"/>
      <w:marTop w:val="0"/>
      <w:marBottom w:val="0"/>
      <w:divBdr>
        <w:top w:val="none" w:sz="0" w:space="0" w:color="auto"/>
        <w:left w:val="none" w:sz="0" w:space="0" w:color="auto"/>
        <w:bottom w:val="none" w:sz="0" w:space="0" w:color="auto"/>
        <w:right w:val="none" w:sz="0" w:space="0" w:color="auto"/>
      </w:divBdr>
    </w:div>
    <w:div w:id="417362661">
      <w:bodyDiv w:val="1"/>
      <w:marLeft w:val="0"/>
      <w:marRight w:val="0"/>
      <w:marTop w:val="0"/>
      <w:marBottom w:val="0"/>
      <w:divBdr>
        <w:top w:val="none" w:sz="0" w:space="0" w:color="auto"/>
        <w:left w:val="none" w:sz="0" w:space="0" w:color="auto"/>
        <w:bottom w:val="none" w:sz="0" w:space="0" w:color="auto"/>
        <w:right w:val="none" w:sz="0" w:space="0" w:color="auto"/>
      </w:divBdr>
    </w:div>
    <w:div w:id="686441125">
      <w:bodyDiv w:val="1"/>
      <w:marLeft w:val="0"/>
      <w:marRight w:val="0"/>
      <w:marTop w:val="0"/>
      <w:marBottom w:val="0"/>
      <w:divBdr>
        <w:top w:val="none" w:sz="0" w:space="0" w:color="auto"/>
        <w:left w:val="none" w:sz="0" w:space="0" w:color="auto"/>
        <w:bottom w:val="none" w:sz="0" w:space="0" w:color="auto"/>
        <w:right w:val="none" w:sz="0" w:space="0" w:color="auto"/>
      </w:divBdr>
    </w:div>
    <w:div w:id="777067373">
      <w:bodyDiv w:val="1"/>
      <w:marLeft w:val="0"/>
      <w:marRight w:val="0"/>
      <w:marTop w:val="0"/>
      <w:marBottom w:val="0"/>
      <w:divBdr>
        <w:top w:val="none" w:sz="0" w:space="0" w:color="auto"/>
        <w:left w:val="none" w:sz="0" w:space="0" w:color="auto"/>
        <w:bottom w:val="none" w:sz="0" w:space="0" w:color="auto"/>
        <w:right w:val="none" w:sz="0" w:space="0" w:color="auto"/>
      </w:divBdr>
      <w:divsChild>
        <w:div w:id="1525630132">
          <w:marLeft w:val="547"/>
          <w:marRight w:val="0"/>
          <w:marTop w:val="440"/>
          <w:marBottom w:val="0"/>
          <w:divBdr>
            <w:top w:val="none" w:sz="0" w:space="0" w:color="auto"/>
            <w:left w:val="none" w:sz="0" w:space="0" w:color="auto"/>
            <w:bottom w:val="none" w:sz="0" w:space="0" w:color="auto"/>
            <w:right w:val="none" w:sz="0" w:space="0" w:color="auto"/>
          </w:divBdr>
        </w:div>
        <w:div w:id="1405447278">
          <w:marLeft w:val="547"/>
          <w:marRight w:val="0"/>
          <w:marTop w:val="440"/>
          <w:marBottom w:val="0"/>
          <w:divBdr>
            <w:top w:val="none" w:sz="0" w:space="0" w:color="auto"/>
            <w:left w:val="none" w:sz="0" w:space="0" w:color="auto"/>
            <w:bottom w:val="none" w:sz="0" w:space="0" w:color="auto"/>
            <w:right w:val="none" w:sz="0" w:space="0" w:color="auto"/>
          </w:divBdr>
        </w:div>
        <w:div w:id="1679188963">
          <w:marLeft w:val="547"/>
          <w:marRight w:val="0"/>
          <w:marTop w:val="440"/>
          <w:marBottom w:val="0"/>
          <w:divBdr>
            <w:top w:val="none" w:sz="0" w:space="0" w:color="auto"/>
            <w:left w:val="none" w:sz="0" w:space="0" w:color="auto"/>
            <w:bottom w:val="none" w:sz="0" w:space="0" w:color="auto"/>
            <w:right w:val="none" w:sz="0" w:space="0" w:color="auto"/>
          </w:divBdr>
        </w:div>
        <w:div w:id="426198248">
          <w:marLeft w:val="547"/>
          <w:marRight w:val="0"/>
          <w:marTop w:val="440"/>
          <w:marBottom w:val="0"/>
          <w:divBdr>
            <w:top w:val="none" w:sz="0" w:space="0" w:color="auto"/>
            <w:left w:val="none" w:sz="0" w:space="0" w:color="auto"/>
            <w:bottom w:val="none" w:sz="0" w:space="0" w:color="auto"/>
            <w:right w:val="none" w:sz="0" w:space="0" w:color="auto"/>
          </w:divBdr>
        </w:div>
        <w:div w:id="30231514">
          <w:marLeft w:val="547"/>
          <w:marRight w:val="0"/>
          <w:marTop w:val="440"/>
          <w:marBottom w:val="0"/>
          <w:divBdr>
            <w:top w:val="none" w:sz="0" w:space="0" w:color="auto"/>
            <w:left w:val="none" w:sz="0" w:space="0" w:color="auto"/>
            <w:bottom w:val="none" w:sz="0" w:space="0" w:color="auto"/>
            <w:right w:val="none" w:sz="0" w:space="0" w:color="auto"/>
          </w:divBdr>
        </w:div>
        <w:div w:id="426077033">
          <w:marLeft w:val="547"/>
          <w:marRight w:val="0"/>
          <w:marTop w:val="440"/>
          <w:marBottom w:val="0"/>
          <w:divBdr>
            <w:top w:val="none" w:sz="0" w:space="0" w:color="auto"/>
            <w:left w:val="none" w:sz="0" w:space="0" w:color="auto"/>
            <w:bottom w:val="none" w:sz="0" w:space="0" w:color="auto"/>
            <w:right w:val="none" w:sz="0" w:space="0" w:color="auto"/>
          </w:divBdr>
        </w:div>
        <w:div w:id="1252859861">
          <w:marLeft w:val="547"/>
          <w:marRight w:val="0"/>
          <w:marTop w:val="440"/>
          <w:marBottom w:val="0"/>
          <w:divBdr>
            <w:top w:val="none" w:sz="0" w:space="0" w:color="auto"/>
            <w:left w:val="none" w:sz="0" w:space="0" w:color="auto"/>
            <w:bottom w:val="none" w:sz="0" w:space="0" w:color="auto"/>
            <w:right w:val="none" w:sz="0" w:space="0" w:color="auto"/>
          </w:divBdr>
        </w:div>
      </w:divsChild>
    </w:div>
    <w:div w:id="839780418">
      <w:bodyDiv w:val="1"/>
      <w:marLeft w:val="0"/>
      <w:marRight w:val="0"/>
      <w:marTop w:val="0"/>
      <w:marBottom w:val="0"/>
      <w:divBdr>
        <w:top w:val="none" w:sz="0" w:space="0" w:color="auto"/>
        <w:left w:val="none" w:sz="0" w:space="0" w:color="auto"/>
        <w:bottom w:val="none" w:sz="0" w:space="0" w:color="auto"/>
        <w:right w:val="none" w:sz="0" w:space="0" w:color="auto"/>
      </w:divBdr>
    </w:div>
    <w:div w:id="851989670">
      <w:bodyDiv w:val="1"/>
      <w:marLeft w:val="0"/>
      <w:marRight w:val="0"/>
      <w:marTop w:val="0"/>
      <w:marBottom w:val="0"/>
      <w:divBdr>
        <w:top w:val="none" w:sz="0" w:space="0" w:color="auto"/>
        <w:left w:val="none" w:sz="0" w:space="0" w:color="auto"/>
        <w:bottom w:val="none" w:sz="0" w:space="0" w:color="auto"/>
        <w:right w:val="none" w:sz="0" w:space="0" w:color="auto"/>
      </w:divBdr>
    </w:div>
    <w:div w:id="1013337826">
      <w:bodyDiv w:val="1"/>
      <w:marLeft w:val="0"/>
      <w:marRight w:val="0"/>
      <w:marTop w:val="0"/>
      <w:marBottom w:val="0"/>
      <w:divBdr>
        <w:top w:val="none" w:sz="0" w:space="0" w:color="auto"/>
        <w:left w:val="none" w:sz="0" w:space="0" w:color="auto"/>
        <w:bottom w:val="none" w:sz="0" w:space="0" w:color="auto"/>
        <w:right w:val="none" w:sz="0" w:space="0" w:color="auto"/>
      </w:divBdr>
      <w:divsChild>
        <w:div w:id="394789235">
          <w:marLeft w:val="547"/>
          <w:marRight w:val="0"/>
          <w:marTop w:val="440"/>
          <w:marBottom w:val="0"/>
          <w:divBdr>
            <w:top w:val="none" w:sz="0" w:space="0" w:color="auto"/>
            <w:left w:val="none" w:sz="0" w:space="0" w:color="auto"/>
            <w:bottom w:val="none" w:sz="0" w:space="0" w:color="auto"/>
            <w:right w:val="none" w:sz="0" w:space="0" w:color="auto"/>
          </w:divBdr>
        </w:div>
        <w:div w:id="334304133">
          <w:marLeft w:val="547"/>
          <w:marRight w:val="0"/>
          <w:marTop w:val="440"/>
          <w:marBottom w:val="0"/>
          <w:divBdr>
            <w:top w:val="none" w:sz="0" w:space="0" w:color="auto"/>
            <w:left w:val="none" w:sz="0" w:space="0" w:color="auto"/>
            <w:bottom w:val="none" w:sz="0" w:space="0" w:color="auto"/>
            <w:right w:val="none" w:sz="0" w:space="0" w:color="auto"/>
          </w:divBdr>
        </w:div>
        <w:div w:id="1621372078">
          <w:marLeft w:val="1166"/>
          <w:marRight w:val="0"/>
          <w:marTop w:val="360"/>
          <w:marBottom w:val="0"/>
          <w:divBdr>
            <w:top w:val="none" w:sz="0" w:space="0" w:color="auto"/>
            <w:left w:val="none" w:sz="0" w:space="0" w:color="auto"/>
            <w:bottom w:val="none" w:sz="0" w:space="0" w:color="auto"/>
            <w:right w:val="none" w:sz="0" w:space="0" w:color="auto"/>
          </w:divBdr>
        </w:div>
        <w:div w:id="422993687">
          <w:marLeft w:val="1166"/>
          <w:marRight w:val="0"/>
          <w:marTop w:val="96"/>
          <w:marBottom w:val="0"/>
          <w:divBdr>
            <w:top w:val="none" w:sz="0" w:space="0" w:color="auto"/>
            <w:left w:val="none" w:sz="0" w:space="0" w:color="auto"/>
            <w:bottom w:val="none" w:sz="0" w:space="0" w:color="auto"/>
            <w:right w:val="none" w:sz="0" w:space="0" w:color="auto"/>
          </w:divBdr>
        </w:div>
        <w:div w:id="695886325">
          <w:marLeft w:val="547"/>
          <w:marRight w:val="0"/>
          <w:marTop w:val="440"/>
          <w:marBottom w:val="0"/>
          <w:divBdr>
            <w:top w:val="none" w:sz="0" w:space="0" w:color="auto"/>
            <w:left w:val="none" w:sz="0" w:space="0" w:color="auto"/>
            <w:bottom w:val="none" w:sz="0" w:space="0" w:color="auto"/>
            <w:right w:val="none" w:sz="0" w:space="0" w:color="auto"/>
          </w:divBdr>
        </w:div>
        <w:div w:id="187450858">
          <w:marLeft w:val="547"/>
          <w:marRight w:val="0"/>
          <w:marTop w:val="440"/>
          <w:marBottom w:val="0"/>
          <w:divBdr>
            <w:top w:val="none" w:sz="0" w:space="0" w:color="auto"/>
            <w:left w:val="none" w:sz="0" w:space="0" w:color="auto"/>
            <w:bottom w:val="none" w:sz="0" w:space="0" w:color="auto"/>
            <w:right w:val="none" w:sz="0" w:space="0" w:color="auto"/>
          </w:divBdr>
        </w:div>
      </w:divsChild>
    </w:div>
    <w:div w:id="1027829976">
      <w:bodyDiv w:val="1"/>
      <w:marLeft w:val="0"/>
      <w:marRight w:val="0"/>
      <w:marTop w:val="0"/>
      <w:marBottom w:val="0"/>
      <w:divBdr>
        <w:top w:val="none" w:sz="0" w:space="0" w:color="auto"/>
        <w:left w:val="none" w:sz="0" w:space="0" w:color="auto"/>
        <w:bottom w:val="none" w:sz="0" w:space="0" w:color="auto"/>
        <w:right w:val="none" w:sz="0" w:space="0" w:color="auto"/>
      </w:divBdr>
    </w:div>
    <w:div w:id="1569850561">
      <w:bodyDiv w:val="1"/>
      <w:marLeft w:val="0"/>
      <w:marRight w:val="0"/>
      <w:marTop w:val="0"/>
      <w:marBottom w:val="0"/>
      <w:divBdr>
        <w:top w:val="none" w:sz="0" w:space="0" w:color="auto"/>
        <w:left w:val="none" w:sz="0" w:space="0" w:color="auto"/>
        <w:bottom w:val="none" w:sz="0" w:space="0" w:color="auto"/>
        <w:right w:val="none" w:sz="0" w:space="0" w:color="auto"/>
      </w:divBdr>
    </w:div>
    <w:div w:id="1639072045">
      <w:bodyDiv w:val="1"/>
      <w:marLeft w:val="0"/>
      <w:marRight w:val="0"/>
      <w:marTop w:val="0"/>
      <w:marBottom w:val="0"/>
      <w:divBdr>
        <w:top w:val="none" w:sz="0" w:space="0" w:color="auto"/>
        <w:left w:val="none" w:sz="0" w:space="0" w:color="auto"/>
        <w:bottom w:val="none" w:sz="0" w:space="0" w:color="auto"/>
        <w:right w:val="none" w:sz="0" w:space="0" w:color="auto"/>
      </w:divBdr>
      <w:divsChild>
        <w:div w:id="1676149569">
          <w:marLeft w:val="547"/>
          <w:marRight w:val="0"/>
          <w:marTop w:val="480"/>
          <w:marBottom w:val="0"/>
          <w:divBdr>
            <w:top w:val="none" w:sz="0" w:space="0" w:color="auto"/>
            <w:left w:val="none" w:sz="0" w:space="0" w:color="auto"/>
            <w:bottom w:val="none" w:sz="0" w:space="0" w:color="auto"/>
            <w:right w:val="none" w:sz="0" w:space="0" w:color="auto"/>
          </w:divBdr>
        </w:div>
        <w:div w:id="1482771166">
          <w:marLeft w:val="1166"/>
          <w:marRight w:val="0"/>
          <w:marTop w:val="120"/>
          <w:marBottom w:val="0"/>
          <w:divBdr>
            <w:top w:val="none" w:sz="0" w:space="0" w:color="auto"/>
            <w:left w:val="none" w:sz="0" w:space="0" w:color="auto"/>
            <w:bottom w:val="none" w:sz="0" w:space="0" w:color="auto"/>
            <w:right w:val="none" w:sz="0" w:space="0" w:color="auto"/>
          </w:divBdr>
        </w:div>
        <w:div w:id="1295520244">
          <w:marLeft w:val="1166"/>
          <w:marRight w:val="0"/>
          <w:marTop w:val="120"/>
          <w:marBottom w:val="0"/>
          <w:divBdr>
            <w:top w:val="none" w:sz="0" w:space="0" w:color="auto"/>
            <w:left w:val="none" w:sz="0" w:space="0" w:color="auto"/>
            <w:bottom w:val="none" w:sz="0" w:space="0" w:color="auto"/>
            <w:right w:val="none" w:sz="0" w:space="0" w:color="auto"/>
          </w:divBdr>
        </w:div>
        <w:div w:id="1489713688">
          <w:marLeft w:val="1166"/>
          <w:marRight w:val="0"/>
          <w:marTop w:val="120"/>
          <w:marBottom w:val="0"/>
          <w:divBdr>
            <w:top w:val="none" w:sz="0" w:space="0" w:color="auto"/>
            <w:left w:val="none" w:sz="0" w:space="0" w:color="auto"/>
            <w:bottom w:val="none" w:sz="0" w:space="0" w:color="auto"/>
            <w:right w:val="none" w:sz="0" w:space="0" w:color="auto"/>
          </w:divBdr>
        </w:div>
        <w:div w:id="1375888570">
          <w:marLeft w:val="1166"/>
          <w:marRight w:val="0"/>
          <w:marTop w:val="120"/>
          <w:marBottom w:val="0"/>
          <w:divBdr>
            <w:top w:val="none" w:sz="0" w:space="0" w:color="auto"/>
            <w:left w:val="none" w:sz="0" w:space="0" w:color="auto"/>
            <w:bottom w:val="none" w:sz="0" w:space="0" w:color="auto"/>
            <w:right w:val="none" w:sz="0" w:space="0" w:color="auto"/>
          </w:divBdr>
        </w:div>
        <w:div w:id="1819153856">
          <w:marLeft w:val="547"/>
          <w:marRight w:val="0"/>
          <w:marTop w:val="480"/>
          <w:marBottom w:val="0"/>
          <w:divBdr>
            <w:top w:val="none" w:sz="0" w:space="0" w:color="auto"/>
            <w:left w:val="none" w:sz="0" w:space="0" w:color="auto"/>
            <w:bottom w:val="none" w:sz="0" w:space="0" w:color="auto"/>
            <w:right w:val="none" w:sz="0" w:space="0" w:color="auto"/>
          </w:divBdr>
        </w:div>
        <w:div w:id="1720744472">
          <w:marLeft w:val="1166"/>
          <w:marRight w:val="0"/>
          <w:marTop w:val="120"/>
          <w:marBottom w:val="0"/>
          <w:divBdr>
            <w:top w:val="none" w:sz="0" w:space="0" w:color="auto"/>
            <w:left w:val="none" w:sz="0" w:space="0" w:color="auto"/>
            <w:bottom w:val="none" w:sz="0" w:space="0" w:color="auto"/>
            <w:right w:val="none" w:sz="0" w:space="0" w:color="auto"/>
          </w:divBdr>
        </w:div>
        <w:div w:id="576785841">
          <w:marLeft w:val="1166"/>
          <w:marRight w:val="0"/>
          <w:marTop w:val="120"/>
          <w:marBottom w:val="0"/>
          <w:divBdr>
            <w:top w:val="none" w:sz="0" w:space="0" w:color="auto"/>
            <w:left w:val="none" w:sz="0" w:space="0" w:color="auto"/>
            <w:bottom w:val="none" w:sz="0" w:space="0" w:color="auto"/>
            <w:right w:val="none" w:sz="0" w:space="0" w:color="auto"/>
          </w:divBdr>
        </w:div>
        <w:div w:id="1503273618">
          <w:marLeft w:val="1166"/>
          <w:marRight w:val="0"/>
          <w:marTop w:val="120"/>
          <w:marBottom w:val="0"/>
          <w:divBdr>
            <w:top w:val="none" w:sz="0" w:space="0" w:color="auto"/>
            <w:left w:val="none" w:sz="0" w:space="0" w:color="auto"/>
            <w:bottom w:val="none" w:sz="0" w:space="0" w:color="auto"/>
            <w:right w:val="none" w:sz="0" w:space="0" w:color="auto"/>
          </w:divBdr>
        </w:div>
        <w:div w:id="1446533592">
          <w:marLeft w:val="1166"/>
          <w:marRight w:val="0"/>
          <w:marTop w:val="120"/>
          <w:marBottom w:val="0"/>
          <w:divBdr>
            <w:top w:val="none" w:sz="0" w:space="0" w:color="auto"/>
            <w:left w:val="none" w:sz="0" w:space="0" w:color="auto"/>
            <w:bottom w:val="none" w:sz="0" w:space="0" w:color="auto"/>
            <w:right w:val="none" w:sz="0" w:space="0" w:color="auto"/>
          </w:divBdr>
        </w:div>
      </w:divsChild>
    </w:div>
    <w:div w:id="1710834091">
      <w:bodyDiv w:val="1"/>
      <w:marLeft w:val="0"/>
      <w:marRight w:val="0"/>
      <w:marTop w:val="0"/>
      <w:marBottom w:val="0"/>
      <w:divBdr>
        <w:top w:val="none" w:sz="0" w:space="0" w:color="auto"/>
        <w:left w:val="none" w:sz="0" w:space="0" w:color="auto"/>
        <w:bottom w:val="none" w:sz="0" w:space="0" w:color="auto"/>
        <w:right w:val="none" w:sz="0" w:space="0" w:color="auto"/>
      </w:divBdr>
      <w:divsChild>
        <w:div w:id="132141326">
          <w:marLeft w:val="547"/>
          <w:marRight w:val="0"/>
          <w:marTop w:val="440"/>
          <w:marBottom w:val="0"/>
          <w:divBdr>
            <w:top w:val="none" w:sz="0" w:space="0" w:color="auto"/>
            <w:left w:val="none" w:sz="0" w:space="0" w:color="auto"/>
            <w:bottom w:val="none" w:sz="0" w:space="0" w:color="auto"/>
            <w:right w:val="none" w:sz="0" w:space="0" w:color="auto"/>
          </w:divBdr>
        </w:div>
        <w:div w:id="349188709">
          <w:marLeft w:val="547"/>
          <w:marRight w:val="0"/>
          <w:marTop w:val="440"/>
          <w:marBottom w:val="0"/>
          <w:divBdr>
            <w:top w:val="none" w:sz="0" w:space="0" w:color="auto"/>
            <w:left w:val="none" w:sz="0" w:space="0" w:color="auto"/>
            <w:bottom w:val="none" w:sz="0" w:space="0" w:color="auto"/>
            <w:right w:val="none" w:sz="0" w:space="0" w:color="auto"/>
          </w:divBdr>
        </w:div>
        <w:div w:id="1475492282">
          <w:marLeft w:val="547"/>
          <w:marRight w:val="0"/>
          <w:marTop w:val="440"/>
          <w:marBottom w:val="0"/>
          <w:divBdr>
            <w:top w:val="none" w:sz="0" w:space="0" w:color="auto"/>
            <w:left w:val="none" w:sz="0" w:space="0" w:color="auto"/>
            <w:bottom w:val="none" w:sz="0" w:space="0" w:color="auto"/>
            <w:right w:val="none" w:sz="0" w:space="0" w:color="auto"/>
          </w:divBdr>
        </w:div>
        <w:div w:id="586110138">
          <w:marLeft w:val="547"/>
          <w:marRight w:val="0"/>
          <w:marTop w:val="440"/>
          <w:marBottom w:val="0"/>
          <w:divBdr>
            <w:top w:val="none" w:sz="0" w:space="0" w:color="auto"/>
            <w:left w:val="none" w:sz="0" w:space="0" w:color="auto"/>
            <w:bottom w:val="none" w:sz="0" w:space="0" w:color="auto"/>
            <w:right w:val="none" w:sz="0" w:space="0" w:color="auto"/>
          </w:divBdr>
        </w:div>
        <w:div w:id="1948924228">
          <w:marLeft w:val="547"/>
          <w:marRight w:val="0"/>
          <w:marTop w:val="440"/>
          <w:marBottom w:val="0"/>
          <w:divBdr>
            <w:top w:val="none" w:sz="0" w:space="0" w:color="auto"/>
            <w:left w:val="none" w:sz="0" w:space="0" w:color="auto"/>
            <w:bottom w:val="none" w:sz="0" w:space="0" w:color="auto"/>
            <w:right w:val="none" w:sz="0" w:space="0" w:color="auto"/>
          </w:divBdr>
        </w:div>
        <w:div w:id="1831676220">
          <w:marLeft w:val="547"/>
          <w:marRight w:val="0"/>
          <w:marTop w:val="440"/>
          <w:marBottom w:val="0"/>
          <w:divBdr>
            <w:top w:val="none" w:sz="0" w:space="0" w:color="auto"/>
            <w:left w:val="none" w:sz="0" w:space="0" w:color="auto"/>
            <w:bottom w:val="none" w:sz="0" w:space="0" w:color="auto"/>
            <w:right w:val="none" w:sz="0" w:space="0" w:color="auto"/>
          </w:divBdr>
        </w:div>
        <w:div w:id="2004695016">
          <w:marLeft w:val="547"/>
          <w:marRight w:val="0"/>
          <w:marTop w:val="440"/>
          <w:marBottom w:val="0"/>
          <w:divBdr>
            <w:top w:val="none" w:sz="0" w:space="0" w:color="auto"/>
            <w:left w:val="none" w:sz="0" w:space="0" w:color="auto"/>
            <w:bottom w:val="none" w:sz="0" w:space="0" w:color="auto"/>
            <w:right w:val="none" w:sz="0" w:space="0" w:color="auto"/>
          </w:divBdr>
        </w:div>
      </w:divsChild>
    </w:div>
    <w:div w:id="1955408190">
      <w:bodyDiv w:val="1"/>
      <w:marLeft w:val="0"/>
      <w:marRight w:val="0"/>
      <w:marTop w:val="0"/>
      <w:marBottom w:val="0"/>
      <w:divBdr>
        <w:top w:val="none" w:sz="0" w:space="0" w:color="auto"/>
        <w:left w:val="none" w:sz="0" w:space="0" w:color="auto"/>
        <w:bottom w:val="none" w:sz="0" w:space="0" w:color="auto"/>
        <w:right w:val="none" w:sz="0" w:space="0" w:color="auto"/>
      </w:divBdr>
    </w:div>
    <w:div w:id="214121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19/DCB_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50381B6D51914099E8F3AFF337F1E5" ma:contentTypeVersion="0" ma:contentTypeDescription="Create a new document." ma:contentTypeScope="" ma:versionID="8d119e69a421b1d3ebbb193725a4265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FD0B83-CBAC-47DB-A09B-1DB5E47CC17A}">
  <ds:schemaRefs>
    <ds:schemaRef ds:uri="http://schemas.microsoft.com/sharepoint/v3/contenttype/forms"/>
  </ds:schemaRefs>
</ds:datastoreItem>
</file>

<file path=customXml/itemProps2.xml><?xml version="1.0" encoding="utf-8"?>
<ds:datastoreItem xmlns:ds="http://schemas.openxmlformats.org/officeDocument/2006/customXml" ds:itemID="{8ED50796-3CF1-42F8-A05C-2875CA13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AF09EC-9C25-4877-8461-6C2F710832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E1F4DE-9A55-4A3B-A63D-C2A91EBB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17</Pages>
  <Words>5956</Words>
  <Characters>33297</Characters>
  <Application>Microsoft Office Word</Application>
  <DocSecurity>0</DocSecurity>
  <Lines>774</Lines>
  <Paragraphs>286</Paragraphs>
  <ScaleCrop>false</ScaleCrop>
  <HeadingPairs>
    <vt:vector size="2" baseType="variant">
      <vt:variant>
        <vt:lpstr>Title</vt:lpstr>
      </vt:variant>
      <vt:variant>
        <vt:i4>1</vt:i4>
      </vt:variant>
    </vt:vector>
  </HeadingPairs>
  <TitlesOfParts>
    <vt:vector size="1" baseType="lpstr">
      <vt:lpstr>NGYC_OMB Part A Justification_QA comments addressed</vt:lpstr>
    </vt:vector>
  </TitlesOfParts>
  <Company>Mathematica, Inc</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NGYC_OMB Part A Justification_QA comments addressed</dc:title>
  <dc:creator>PBurkander</dc:creator>
  <cp:lastModifiedBy>Yi, Chayun - ASP</cp:lastModifiedBy>
  <cp:revision>2</cp:revision>
  <cp:lastPrinted>2019-08-23T14:59:00Z</cp:lastPrinted>
  <dcterms:created xsi:type="dcterms:W3CDTF">2020-09-24T20:19:00Z</dcterms:created>
  <dcterms:modified xsi:type="dcterms:W3CDTF">2020-09-24T20:19:00Z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0x010100DB50381B6D51914099E8F3AFF337F1E5</vt:lpwstr>
  </property>
</Properties>
</file>