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0625" w:rsidR="00FA4588" w:rsidRDefault="00BA0625" w14:paraId="4F811C78" w14:textId="60B8757B">
      <w:pPr>
        <w:rPr>
          <w:rFonts w:ascii="Times New Roman" w:hAnsi="Times New Roman" w:cs="Times New Roman"/>
          <w:sz w:val="28"/>
          <w:szCs w:val="28"/>
        </w:rPr>
      </w:pPr>
      <w:r w:rsidRPr="00BA0625">
        <w:rPr>
          <w:rFonts w:ascii="Times New Roman" w:hAnsi="Times New Roman" w:cs="Times New Roman"/>
          <w:sz w:val="28"/>
          <w:szCs w:val="28"/>
        </w:rPr>
        <w:t>Non-Substantive Change Request for 1405-000</w:t>
      </w:r>
      <w:r w:rsidR="0052432F">
        <w:rPr>
          <w:rFonts w:ascii="Times New Roman" w:hAnsi="Times New Roman" w:cs="Times New Roman"/>
          <w:sz w:val="28"/>
          <w:szCs w:val="28"/>
        </w:rPr>
        <w:t>2</w:t>
      </w:r>
      <w:bookmarkStart w:name="_GoBack" w:id="0"/>
      <w:bookmarkEnd w:id="0"/>
      <w:r w:rsidRPr="00BA0625">
        <w:rPr>
          <w:rFonts w:ascii="Times New Roman" w:hAnsi="Times New Roman" w:cs="Times New Roman"/>
          <w:sz w:val="28"/>
          <w:szCs w:val="28"/>
        </w:rPr>
        <w:t xml:space="preserve"> (DS</w:t>
      </w:r>
      <w:r w:rsidR="0052432F">
        <w:rPr>
          <w:rFonts w:ascii="Times New Roman" w:hAnsi="Times New Roman" w:cs="Times New Roman"/>
          <w:sz w:val="28"/>
          <w:szCs w:val="28"/>
        </w:rPr>
        <w:t>-2032</w:t>
      </w:r>
      <w:r w:rsidRPr="00BA0625">
        <w:rPr>
          <w:rFonts w:ascii="Times New Roman" w:hAnsi="Times New Roman" w:cs="Times New Roman"/>
          <w:sz w:val="28"/>
          <w:szCs w:val="28"/>
        </w:rPr>
        <w:t>)</w:t>
      </w:r>
    </w:p>
    <w:p w:rsidRPr="00BA0625" w:rsidR="00BA0625" w:rsidP="00BA0625" w:rsidRDefault="00BA0625" w14:paraId="1CB5678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625">
        <w:rPr>
          <w:rFonts w:ascii="Times New Roman" w:hAnsi="Times New Roman" w:cs="Times New Roman"/>
          <w:b/>
          <w:bCs/>
          <w:sz w:val="24"/>
          <w:szCs w:val="24"/>
          <w:u w:val="single"/>
        </w:rPr>
        <w:t>The Defense Export Control and Compliance System (DECCS)</w:t>
      </w:r>
    </w:p>
    <w:p w:rsidRPr="00BA0625" w:rsidR="00BA0625" w:rsidP="00BA0625" w:rsidRDefault="00BA0625" w14:paraId="76510DEA" w14:textId="77777777">
      <w:pPr>
        <w:rPr>
          <w:rFonts w:ascii="Times New Roman" w:hAnsi="Times New Roman" w:cs="Times New Roman"/>
          <w:sz w:val="24"/>
          <w:szCs w:val="24"/>
        </w:rPr>
      </w:pPr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DDTC is undergoing a major IT Modernization effort to replace legacy systems with modern Cloud technologies.  The new platform, the Defense Export Control and Compliance System (DECCS), provides industry access to a number of DDTC applications through a single online portal.  In February 2020, DDTC will release the Registration and Licensing applications to the DECCS platform.</w:t>
      </w:r>
    </w:p>
    <w:p w:rsidRPr="00BA0625" w:rsidR="00BA0625" w:rsidRDefault="00BA0625" w14:paraId="1D5D16F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A0625" w:rsidR="00BA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BB84" w14:textId="77777777" w:rsidR="00BA0625" w:rsidRDefault="00BA0625" w:rsidP="00BA0625">
      <w:pPr>
        <w:spacing w:after="0" w:line="240" w:lineRule="auto"/>
      </w:pPr>
      <w:r>
        <w:separator/>
      </w:r>
    </w:p>
  </w:endnote>
  <w:endnote w:type="continuationSeparator" w:id="0">
    <w:p w14:paraId="134AB221" w14:textId="77777777" w:rsidR="00BA0625" w:rsidRDefault="00BA0625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877" w14:textId="77777777" w:rsidR="00BA0625" w:rsidRDefault="00BA0625" w:rsidP="00BA0625">
      <w:pPr>
        <w:spacing w:after="0" w:line="240" w:lineRule="auto"/>
      </w:pPr>
      <w:r>
        <w:separator/>
      </w:r>
    </w:p>
  </w:footnote>
  <w:footnote w:type="continuationSeparator" w:id="0">
    <w:p w14:paraId="3F1052C4" w14:textId="77777777" w:rsidR="00BA0625" w:rsidRDefault="00BA0625" w:rsidP="00BA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52432F"/>
    <w:rsid w:val="00977FA1"/>
    <w:rsid w:val="00BA0625"/>
    <w:rsid w:val="00D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1259"/>
  <w15:chartTrackingRefBased/>
  <w15:docId w15:val="{5848CB09-2A89-4F50-81FC-3E1A2B5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Department of State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Watkins, Pamela K</cp:lastModifiedBy>
  <cp:revision>2</cp:revision>
  <dcterms:created xsi:type="dcterms:W3CDTF">2020-01-31T19:37:00Z</dcterms:created>
  <dcterms:modified xsi:type="dcterms:W3CDTF">2020-01-31T19:41:00Z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2020-01-31T19:39:47.4427200Z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16a3eeb9-204c-4d69-9c35-c88efa7882b5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