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CEF" w:rsidRPr="00D616C1" w:rsidRDefault="00F324E6" w:rsidP="00D616C1">
      <w:pPr>
        <w:spacing w:after="0"/>
        <w:rPr>
          <w:b/>
          <w:sz w:val="28"/>
          <w:szCs w:val="28"/>
        </w:rPr>
      </w:pPr>
      <w:r w:rsidRPr="00D616C1">
        <w:rPr>
          <w:b/>
          <w:sz w:val="28"/>
          <w:szCs w:val="28"/>
        </w:rPr>
        <w:t>Justification for Non-Substantive Change Request</w:t>
      </w:r>
    </w:p>
    <w:tbl>
      <w:tblPr>
        <w:tblStyle w:val="MediumList1-Accent1"/>
        <w:tblW w:w="0" w:type="auto"/>
        <w:tblLook w:val="0400" w:firstRow="0" w:lastRow="0" w:firstColumn="0" w:lastColumn="0" w:noHBand="0" w:noVBand="1"/>
      </w:tblPr>
      <w:tblGrid>
        <w:gridCol w:w="1278"/>
        <w:gridCol w:w="6930"/>
        <w:gridCol w:w="1368"/>
      </w:tblGrid>
      <w:tr w:rsidR="00D616C1" w:rsidRPr="00D616C1" w:rsidTr="00D616C1">
        <w:trPr>
          <w:cnfStyle w:val="000000100000" w:firstRow="0" w:lastRow="0" w:firstColumn="0" w:lastColumn="0" w:oddVBand="0" w:evenVBand="0" w:oddHBand="1" w:evenHBand="0" w:firstRowFirstColumn="0" w:firstRowLastColumn="0" w:lastRowFirstColumn="0" w:lastRowLastColumn="0"/>
        </w:trPr>
        <w:tc>
          <w:tcPr>
            <w:tcW w:w="1278" w:type="dxa"/>
            <w:vAlign w:val="center"/>
          </w:tcPr>
          <w:p w:rsidR="00D616C1" w:rsidRPr="00D616C1" w:rsidRDefault="00D616C1" w:rsidP="00D616C1">
            <w:pPr>
              <w:jc w:val="center"/>
              <w:rPr>
                <w:sz w:val="24"/>
                <w:szCs w:val="24"/>
              </w:rPr>
            </w:pPr>
            <w:r w:rsidRPr="00D616C1">
              <w:rPr>
                <w:sz w:val="24"/>
                <w:szCs w:val="24"/>
              </w:rPr>
              <w:t>1405-0003</w:t>
            </w:r>
          </w:p>
        </w:tc>
        <w:tc>
          <w:tcPr>
            <w:tcW w:w="6930" w:type="dxa"/>
            <w:vAlign w:val="center"/>
          </w:tcPr>
          <w:p w:rsidR="00D616C1" w:rsidRPr="00D616C1" w:rsidRDefault="00D616C1" w:rsidP="00D616C1">
            <w:pPr>
              <w:jc w:val="center"/>
              <w:rPr>
                <w:sz w:val="24"/>
                <w:szCs w:val="24"/>
              </w:rPr>
            </w:pPr>
            <w:r w:rsidRPr="00D616C1">
              <w:rPr>
                <w:sz w:val="24"/>
                <w:szCs w:val="24"/>
              </w:rPr>
              <w:t>Application/License for Permanent Export of Unclassified Defense Articles and Related Technical Data</w:t>
            </w:r>
          </w:p>
        </w:tc>
        <w:tc>
          <w:tcPr>
            <w:tcW w:w="1368" w:type="dxa"/>
            <w:vAlign w:val="center"/>
          </w:tcPr>
          <w:p w:rsidR="00D616C1" w:rsidRPr="00D616C1" w:rsidRDefault="00D616C1" w:rsidP="00D616C1">
            <w:pPr>
              <w:jc w:val="center"/>
              <w:rPr>
                <w:sz w:val="24"/>
                <w:szCs w:val="24"/>
              </w:rPr>
            </w:pPr>
            <w:r w:rsidRPr="00D616C1">
              <w:rPr>
                <w:sz w:val="24"/>
                <w:szCs w:val="24"/>
              </w:rPr>
              <w:t>DSP-5</w:t>
            </w:r>
          </w:p>
        </w:tc>
      </w:tr>
      <w:tr w:rsidR="00D616C1" w:rsidRPr="00D616C1" w:rsidTr="00D616C1">
        <w:tc>
          <w:tcPr>
            <w:tcW w:w="1278" w:type="dxa"/>
            <w:vAlign w:val="center"/>
          </w:tcPr>
          <w:p w:rsidR="00D616C1" w:rsidRPr="00D616C1" w:rsidRDefault="00D616C1" w:rsidP="00D616C1">
            <w:pPr>
              <w:jc w:val="center"/>
              <w:rPr>
                <w:sz w:val="24"/>
                <w:szCs w:val="24"/>
              </w:rPr>
            </w:pPr>
            <w:r w:rsidRPr="00D616C1">
              <w:rPr>
                <w:sz w:val="24"/>
                <w:szCs w:val="24"/>
              </w:rPr>
              <w:t>1405-0013</w:t>
            </w:r>
          </w:p>
        </w:tc>
        <w:tc>
          <w:tcPr>
            <w:tcW w:w="6930" w:type="dxa"/>
            <w:vAlign w:val="center"/>
          </w:tcPr>
          <w:p w:rsidR="00D616C1" w:rsidRPr="00D616C1" w:rsidRDefault="00D616C1" w:rsidP="00D616C1">
            <w:pPr>
              <w:jc w:val="center"/>
              <w:rPr>
                <w:sz w:val="24"/>
                <w:szCs w:val="24"/>
              </w:rPr>
            </w:pPr>
            <w:r w:rsidRPr="00D616C1">
              <w:rPr>
                <w:sz w:val="24"/>
                <w:szCs w:val="24"/>
              </w:rPr>
              <w:t>Application/License for Temporary Import of Unclassified Defense Articles</w:t>
            </w:r>
          </w:p>
        </w:tc>
        <w:tc>
          <w:tcPr>
            <w:tcW w:w="1368" w:type="dxa"/>
            <w:vAlign w:val="center"/>
          </w:tcPr>
          <w:p w:rsidR="00D616C1" w:rsidRPr="00D616C1" w:rsidRDefault="00D616C1" w:rsidP="00D616C1">
            <w:pPr>
              <w:jc w:val="center"/>
              <w:rPr>
                <w:sz w:val="24"/>
                <w:szCs w:val="24"/>
              </w:rPr>
            </w:pPr>
            <w:r w:rsidRPr="00D616C1">
              <w:rPr>
                <w:sz w:val="24"/>
                <w:szCs w:val="24"/>
              </w:rPr>
              <w:t>DSP-61</w:t>
            </w:r>
          </w:p>
        </w:tc>
      </w:tr>
      <w:tr w:rsidR="00D616C1" w:rsidRPr="00D616C1" w:rsidTr="00D616C1">
        <w:trPr>
          <w:cnfStyle w:val="000000100000" w:firstRow="0" w:lastRow="0" w:firstColumn="0" w:lastColumn="0" w:oddVBand="0" w:evenVBand="0" w:oddHBand="1" w:evenHBand="0" w:firstRowFirstColumn="0" w:firstRowLastColumn="0" w:lastRowFirstColumn="0" w:lastRowLastColumn="0"/>
        </w:trPr>
        <w:tc>
          <w:tcPr>
            <w:tcW w:w="1278" w:type="dxa"/>
            <w:vAlign w:val="center"/>
          </w:tcPr>
          <w:p w:rsidR="00D616C1" w:rsidRPr="00D616C1" w:rsidRDefault="00D616C1" w:rsidP="00D616C1">
            <w:pPr>
              <w:jc w:val="center"/>
              <w:rPr>
                <w:sz w:val="24"/>
                <w:szCs w:val="24"/>
              </w:rPr>
            </w:pPr>
            <w:r w:rsidRPr="00D616C1">
              <w:rPr>
                <w:sz w:val="24"/>
                <w:szCs w:val="24"/>
              </w:rPr>
              <w:t>1405-0022</w:t>
            </w:r>
          </w:p>
        </w:tc>
        <w:tc>
          <w:tcPr>
            <w:tcW w:w="6930" w:type="dxa"/>
            <w:vAlign w:val="center"/>
          </w:tcPr>
          <w:p w:rsidR="00D616C1" w:rsidRPr="00D616C1" w:rsidRDefault="00D616C1" w:rsidP="00D616C1">
            <w:pPr>
              <w:jc w:val="center"/>
              <w:rPr>
                <w:sz w:val="24"/>
                <w:szCs w:val="24"/>
              </w:rPr>
            </w:pPr>
            <w:r w:rsidRPr="00D616C1">
              <w:rPr>
                <w:sz w:val="24"/>
                <w:szCs w:val="24"/>
              </w:rPr>
              <w:t>Application/License for Permanent/Temporary Export or Temporary Import of Classified Defense Articles and Related Classified Technical Data</w:t>
            </w:r>
          </w:p>
        </w:tc>
        <w:tc>
          <w:tcPr>
            <w:tcW w:w="1368" w:type="dxa"/>
            <w:vAlign w:val="center"/>
          </w:tcPr>
          <w:p w:rsidR="00D616C1" w:rsidRPr="00D616C1" w:rsidRDefault="00D616C1" w:rsidP="00D616C1">
            <w:pPr>
              <w:jc w:val="center"/>
              <w:rPr>
                <w:sz w:val="24"/>
                <w:szCs w:val="24"/>
              </w:rPr>
            </w:pPr>
            <w:r w:rsidRPr="00D616C1">
              <w:rPr>
                <w:sz w:val="24"/>
                <w:szCs w:val="24"/>
              </w:rPr>
              <w:t>DSP-85</w:t>
            </w:r>
          </w:p>
        </w:tc>
      </w:tr>
      <w:tr w:rsidR="00D616C1" w:rsidRPr="00D616C1" w:rsidTr="00D616C1">
        <w:tc>
          <w:tcPr>
            <w:tcW w:w="1278" w:type="dxa"/>
            <w:vAlign w:val="center"/>
          </w:tcPr>
          <w:p w:rsidR="00D616C1" w:rsidRPr="00D616C1" w:rsidRDefault="00D616C1" w:rsidP="00D616C1">
            <w:pPr>
              <w:jc w:val="center"/>
              <w:rPr>
                <w:sz w:val="24"/>
                <w:szCs w:val="24"/>
              </w:rPr>
            </w:pPr>
            <w:r w:rsidRPr="00D616C1">
              <w:rPr>
                <w:sz w:val="24"/>
                <w:szCs w:val="24"/>
              </w:rPr>
              <w:t>1405-0023</w:t>
            </w:r>
          </w:p>
        </w:tc>
        <w:tc>
          <w:tcPr>
            <w:tcW w:w="6930" w:type="dxa"/>
            <w:vAlign w:val="center"/>
          </w:tcPr>
          <w:p w:rsidR="00D616C1" w:rsidRPr="00D616C1" w:rsidRDefault="00D616C1" w:rsidP="00D616C1">
            <w:pPr>
              <w:jc w:val="center"/>
              <w:rPr>
                <w:sz w:val="24"/>
                <w:szCs w:val="24"/>
              </w:rPr>
            </w:pPr>
            <w:r w:rsidRPr="00D616C1">
              <w:rPr>
                <w:sz w:val="24"/>
                <w:szCs w:val="24"/>
              </w:rPr>
              <w:t>Application/License for Temporary Export of Unclassified Defense Articles</w:t>
            </w:r>
          </w:p>
        </w:tc>
        <w:tc>
          <w:tcPr>
            <w:tcW w:w="1368" w:type="dxa"/>
            <w:vAlign w:val="center"/>
          </w:tcPr>
          <w:p w:rsidR="00D616C1" w:rsidRPr="00D616C1" w:rsidRDefault="00D616C1" w:rsidP="00D616C1">
            <w:pPr>
              <w:jc w:val="center"/>
              <w:rPr>
                <w:sz w:val="24"/>
                <w:szCs w:val="24"/>
              </w:rPr>
            </w:pPr>
            <w:r w:rsidRPr="00D616C1">
              <w:rPr>
                <w:sz w:val="24"/>
                <w:szCs w:val="24"/>
              </w:rPr>
              <w:t>DSP-73</w:t>
            </w:r>
          </w:p>
        </w:tc>
      </w:tr>
      <w:tr w:rsidR="00D616C1" w:rsidRPr="00D616C1" w:rsidTr="00D616C1">
        <w:trPr>
          <w:cnfStyle w:val="000000100000" w:firstRow="0" w:lastRow="0" w:firstColumn="0" w:lastColumn="0" w:oddVBand="0" w:evenVBand="0" w:oddHBand="1" w:evenHBand="0" w:firstRowFirstColumn="0" w:firstRowLastColumn="0" w:lastRowFirstColumn="0" w:lastRowLastColumn="0"/>
        </w:trPr>
        <w:tc>
          <w:tcPr>
            <w:tcW w:w="1278" w:type="dxa"/>
            <w:vAlign w:val="center"/>
          </w:tcPr>
          <w:p w:rsidR="00D616C1" w:rsidRPr="00D616C1" w:rsidRDefault="00D616C1" w:rsidP="00D616C1">
            <w:pPr>
              <w:jc w:val="center"/>
              <w:rPr>
                <w:sz w:val="24"/>
                <w:szCs w:val="24"/>
              </w:rPr>
            </w:pPr>
            <w:r w:rsidRPr="00D616C1">
              <w:rPr>
                <w:sz w:val="24"/>
                <w:szCs w:val="24"/>
              </w:rPr>
              <w:t>1405-0092</w:t>
            </w:r>
          </w:p>
        </w:tc>
        <w:tc>
          <w:tcPr>
            <w:tcW w:w="6930" w:type="dxa"/>
            <w:vAlign w:val="center"/>
          </w:tcPr>
          <w:p w:rsidR="00D616C1" w:rsidRPr="00D616C1" w:rsidRDefault="00D616C1" w:rsidP="00D616C1">
            <w:pPr>
              <w:tabs>
                <w:tab w:val="left" w:pos="1883"/>
              </w:tabs>
              <w:jc w:val="center"/>
              <w:rPr>
                <w:sz w:val="24"/>
                <w:szCs w:val="24"/>
              </w:rPr>
            </w:pPr>
            <w:r w:rsidRPr="00D616C1">
              <w:rPr>
                <w:sz w:val="24"/>
                <w:szCs w:val="24"/>
              </w:rPr>
              <w:t>Application for Amendment to License for Export or Import of Classified or Unclassified Defense Articles and Related Classified Technical Data</w:t>
            </w:r>
          </w:p>
        </w:tc>
        <w:tc>
          <w:tcPr>
            <w:tcW w:w="1368" w:type="dxa"/>
            <w:vAlign w:val="center"/>
          </w:tcPr>
          <w:p w:rsidR="00D616C1" w:rsidRPr="00D616C1" w:rsidRDefault="00D616C1" w:rsidP="00D616C1">
            <w:pPr>
              <w:jc w:val="center"/>
              <w:rPr>
                <w:sz w:val="24"/>
                <w:szCs w:val="24"/>
              </w:rPr>
            </w:pPr>
            <w:r w:rsidRPr="00D616C1">
              <w:rPr>
                <w:sz w:val="24"/>
                <w:szCs w:val="24"/>
              </w:rPr>
              <w:t>DSP-6, DSP-62, DSP-74, DSP-119</w:t>
            </w:r>
          </w:p>
        </w:tc>
      </w:tr>
    </w:tbl>
    <w:p w:rsidR="002204E9" w:rsidRPr="00D616C1" w:rsidRDefault="002204E9">
      <w:pPr>
        <w:rPr>
          <w:sz w:val="24"/>
          <w:szCs w:val="24"/>
        </w:rPr>
      </w:pPr>
    </w:p>
    <w:p w:rsidR="002204E9" w:rsidRPr="00D616C1" w:rsidRDefault="00F324E6">
      <w:pPr>
        <w:rPr>
          <w:sz w:val="24"/>
          <w:szCs w:val="24"/>
        </w:rPr>
      </w:pPr>
      <w:r w:rsidRPr="00D616C1">
        <w:rPr>
          <w:sz w:val="24"/>
          <w:szCs w:val="24"/>
        </w:rPr>
        <w:t xml:space="preserve">Section 405 of the Security and Accountability for Every Port Act of 2006 (SAFE Port Act) requires all agencies who oversee imports and exports to participate in the International Trade Data System (ITDS), an integrated web portal which will serve as the primary means by which </w:t>
      </w:r>
      <w:bookmarkStart w:id="0" w:name="_GoBack"/>
      <w:bookmarkEnd w:id="0"/>
      <w:r w:rsidRPr="00D616C1">
        <w:rPr>
          <w:sz w:val="24"/>
          <w:szCs w:val="24"/>
        </w:rPr>
        <w:t>im</w:t>
      </w:r>
      <w:r w:rsidR="002204E9" w:rsidRPr="00D616C1">
        <w:rPr>
          <w:sz w:val="24"/>
          <w:szCs w:val="24"/>
        </w:rPr>
        <w:t xml:space="preserve">porters and exporters provide required documentation and data to Federal agencies.  Executive Order 13659 requires Federal agencies to implement ITDS by December 31, 2016.  Accordingly, the Department of State published a Final Rule </w:t>
      </w:r>
      <w:r w:rsidR="00D616C1" w:rsidRPr="00D616C1">
        <w:rPr>
          <w:sz w:val="24"/>
          <w:szCs w:val="24"/>
        </w:rPr>
        <w:t xml:space="preserve">(1405-AE07) </w:t>
      </w:r>
      <w:r w:rsidR="002204E9" w:rsidRPr="00D616C1">
        <w:rPr>
          <w:sz w:val="24"/>
          <w:szCs w:val="24"/>
        </w:rPr>
        <w:t xml:space="preserve">amending the International Traffic in Arms Regulations (ITAR) to allow for the implementation of ITDS.  </w:t>
      </w:r>
    </w:p>
    <w:p w:rsidR="002204E9" w:rsidRPr="00D616C1" w:rsidRDefault="002204E9">
      <w:pPr>
        <w:rPr>
          <w:sz w:val="24"/>
          <w:szCs w:val="24"/>
        </w:rPr>
      </w:pPr>
      <w:r w:rsidRPr="00D616C1">
        <w:rPr>
          <w:sz w:val="24"/>
          <w:szCs w:val="24"/>
        </w:rPr>
        <w:t xml:space="preserve">ITDS allows U.S. Customs and Border Protection (CBP) to electronically verify and decrement licenses at U.S. ports.  This change request amends the supporting statements of four Department of State information collections by including a short discussion of CBP’s use of the information in question two.  </w:t>
      </w:r>
      <w:r w:rsidR="00D616C1" w:rsidRPr="00D616C1">
        <w:rPr>
          <w:sz w:val="24"/>
          <w:szCs w:val="24"/>
        </w:rPr>
        <w:t>This non-substantive change request does not request to make changes</w:t>
      </w:r>
      <w:r w:rsidRPr="00D616C1">
        <w:rPr>
          <w:sz w:val="24"/>
          <w:szCs w:val="24"/>
        </w:rPr>
        <w:t xml:space="preserve"> to the </w:t>
      </w:r>
      <w:r w:rsidR="00D616C1" w:rsidRPr="00D616C1">
        <w:rPr>
          <w:sz w:val="24"/>
          <w:szCs w:val="24"/>
        </w:rPr>
        <w:t>approved forms</w:t>
      </w:r>
      <w:r w:rsidRPr="00D616C1">
        <w:rPr>
          <w:sz w:val="24"/>
          <w:szCs w:val="24"/>
        </w:rPr>
        <w:t xml:space="preserve">.  </w:t>
      </w:r>
    </w:p>
    <w:sectPr w:rsidR="002204E9" w:rsidRPr="00D6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4E6"/>
    <w:rsid w:val="002204E9"/>
    <w:rsid w:val="006E6CEF"/>
    <w:rsid w:val="00D616C1"/>
    <w:rsid w:val="00F32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D616C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D616C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CanfieldDP</dc:creator>
  <cp:lastModifiedBy>CanfieldDP</cp:lastModifiedBy>
  <cp:revision>1</cp:revision>
  <dcterms:created xsi:type="dcterms:W3CDTF">2016-12-27T18:58:00Z</dcterms:created>
  <dcterms:modified xsi:type="dcterms:W3CDTF">2016-12-27T20:45:00Z</dcterms:modified>
</cp:coreProperties>
</file>