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2FBB" w:rsidR="000B1A00" w:rsidP="001D42AC" w:rsidRDefault="000B1A00">
      <w:pPr>
        <w:tabs>
          <w:tab w:val="center" w:pos="4680"/>
        </w:tabs>
        <w:jc w:val="center"/>
        <w:rPr>
          <w:rFonts w:ascii="Times New Roman" w:hAnsi="Times New Roman"/>
          <w:b/>
          <w:bCs/>
        </w:rPr>
      </w:pPr>
      <w:r w:rsidRPr="00C12FBB">
        <w:rPr>
          <w:rFonts w:ascii="Times New Roman" w:hAnsi="Times New Roman"/>
          <w:b/>
          <w:bCs/>
        </w:rPr>
        <w:t>SUPPORTING STATEMENT</w:t>
      </w:r>
    </w:p>
    <w:p w:rsidR="001F4CFE" w:rsidP="00300F72" w:rsidRDefault="001F4CFE">
      <w:pPr>
        <w:tabs>
          <w:tab w:val="center" w:pos="4680"/>
        </w:tabs>
        <w:jc w:val="center"/>
        <w:rPr>
          <w:rFonts w:ascii="Times New Roman" w:hAnsi="Times New Roman"/>
          <w:bCs/>
        </w:rPr>
      </w:pPr>
      <w:r>
        <w:rPr>
          <w:rFonts w:ascii="Times New Roman" w:hAnsi="Times New Roman"/>
          <w:bCs/>
        </w:rPr>
        <w:t xml:space="preserve">Internal Revenue Service </w:t>
      </w:r>
    </w:p>
    <w:p w:rsidR="00240172" w:rsidP="00E234F4" w:rsidRDefault="00240172">
      <w:pPr>
        <w:tabs>
          <w:tab w:val="center" w:pos="4680"/>
        </w:tabs>
        <w:jc w:val="center"/>
        <w:rPr>
          <w:rFonts w:ascii="Times New Roman" w:hAnsi="Times New Roman"/>
          <w:bCs/>
        </w:rPr>
      </w:pPr>
      <w:r w:rsidRPr="00240172">
        <w:rPr>
          <w:rFonts w:ascii="Times New Roman" w:hAnsi="Times New Roman"/>
          <w:bCs/>
        </w:rPr>
        <w:t>Requirements for qualified domestic trust</w:t>
      </w:r>
      <w:r>
        <w:rPr>
          <w:rFonts w:ascii="Times New Roman" w:hAnsi="Times New Roman"/>
          <w:bCs/>
        </w:rPr>
        <w:t xml:space="preserve"> </w:t>
      </w:r>
    </w:p>
    <w:p w:rsidRPr="00C12FBB" w:rsidR="000B1A00" w:rsidP="00E234F4" w:rsidRDefault="00300F72">
      <w:pPr>
        <w:tabs>
          <w:tab w:val="center" w:pos="4680"/>
        </w:tabs>
        <w:jc w:val="center"/>
        <w:rPr>
          <w:rFonts w:ascii="Times New Roman" w:hAnsi="Times New Roman"/>
          <w:b/>
          <w:bCs/>
        </w:rPr>
      </w:pPr>
      <w:r w:rsidRPr="00300F72">
        <w:rPr>
          <w:rFonts w:ascii="Times New Roman" w:hAnsi="Times New Roman"/>
          <w:bCs/>
        </w:rPr>
        <w:t>OMB #</w:t>
      </w:r>
      <w:r>
        <w:rPr>
          <w:rFonts w:ascii="Times New Roman" w:hAnsi="Times New Roman"/>
          <w:b/>
          <w:bCs/>
        </w:rPr>
        <w:t xml:space="preserve"> </w:t>
      </w:r>
      <w:r w:rsidRPr="00C12FBB" w:rsidR="004210ED">
        <w:rPr>
          <w:rFonts w:ascii="Times New Roman" w:hAnsi="Times New Roman"/>
          <w:b/>
          <w:bCs/>
        </w:rPr>
        <w:t>1545-</w:t>
      </w:r>
      <w:r w:rsidR="00240172">
        <w:rPr>
          <w:rFonts w:ascii="Times New Roman" w:hAnsi="Times New Roman"/>
          <w:b/>
          <w:bCs/>
        </w:rPr>
        <w:t>1443</w:t>
      </w:r>
    </w:p>
    <w:p w:rsidRPr="00C12FBB" w:rsidR="004210ED" w:rsidRDefault="004210ED">
      <w:pPr>
        <w:rPr>
          <w:rFonts w:ascii="Times New Roman" w:hAnsi="Times New Roman"/>
          <w:b/>
          <w:bCs/>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CIRCUMSTANCES NECESSITATING COLLECTION OF INFORMATION</w:t>
      </w:r>
      <w:bookmarkStart w:name="_GoBack" w:id="0"/>
      <w:bookmarkEnd w:id="0"/>
    </w:p>
    <w:p w:rsidRPr="00C12FBB" w:rsidR="000B1A00" w:rsidRDefault="000B1A00">
      <w:pPr>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Section 2056(d) and section 2056A were added to the Internal Revenue Code by section 5033 of the Technical and Miscellaneous Revenue Act of 1988.  These sections restrict the availability of the estate tax marital deduction when the surviving spouse is not a United States citizen to situations where the marital property passes to a qualified domestic trust (QDOT).  An additional estate tax is imposed under section 2056A(b) on certain taxable events (i.e., distributions of property from the QDOT).  Section 2056A(e) authorizes the Secretary to prescribe regulations as may be necessary or appropriate to carry out the purposes of the section.  The regulations provide amendments to the regulations under the Internal Revenue Code concerning the additional requirements necessary to ensure the collection of the additional estate tax imposed under section 2056A(b) in the case of taxable events involving QDOTs.</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Responses to this collection of information, as described below, are required for an estate to be eligible for the estate tax marital deduction in cases where the surviving spouse is not a United States citizen.</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(1) Section 20.2056A</w:t>
      </w:r>
      <w:r>
        <w:rPr>
          <w:rFonts w:ascii="Times New Roman" w:hAnsi="Times New Roman"/>
        </w:rPr>
        <w:t>-</w:t>
      </w:r>
      <w:r w:rsidRPr="00240172">
        <w:rPr>
          <w:rFonts w:ascii="Times New Roman" w:hAnsi="Times New Roman"/>
        </w:rPr>
        <w:t>2(d)(1)(i) requires that where the fair market value of the assets passing to a QDOT exceeds $2 million, the QDOT must either: (1) have a United States bank serving as the trustee of the QDOT; (2) furnish a bond in favor of the IRS in an amount equal to 65 percent of the fair market value of the trust assets; or (3) furnish a letter of credit issued by a bank, as defined in section 581, or issued by a foreign bank and confirmed by a bank as defined in section 581, in favor of the IRS in an amount equal to 65 percent of the fair market value of the trust assets.  The bond or letter of credit (and confirmation, if applicable) is to be filed with the decedent's federal estate tax return.  The U.S. Trustee must provide a written statement with the bond or letter of credit that provides a list of the assets that will be used to fund the QDOT and the respective value of such assets.</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(2) Under section 20.2056A</w:t>
      </w:r>
      <w:r>
        <w:rPr>
          <w:rFonts w:ascii="Times New Roman" w:hAnsi="Times New Roman"/>
        </w:rPr>
        <w:t>-</w:t>
      </w:r>
      <w:r w:rsidRPr="00240172">
        <w:rPr>
          <w:rFonts w:ascii="Times New Roman" w:hAnsi="Times New Roman"/>
        </w:rPr>
        <w:t>2(d)(1)(i)(B) and (C), a bond or letter of credit security arrangement with respect to a QDOT must be for a term of at least one year and must be automatically renewable at the end of such term, on an annual basis thereafter,</w:t>
      </w:r>
    </w:p>
    <w:p w:rsidRPr="00240172" w:rsidR="00240172" w:rsidP="00240172" w:rsidRDefault="00240172">
      <w:pPr>
        <w:ind w:left="720"/>
        <w:rPr>
          <w:rFonts w:ascii="Times New Roman" w:hAnsi="Times New Roman"/>
        </w:rPr>
      </w:pPr>
      <w:r w:rsidRPr="00240172">
        <w:rPr>
          <w:rFonts w:ascii="Times New Roman" w:hAnsi="Times New Roman"/>
        </w:rPr>
        <w:t>unless notice of failure to renew is received by the IRS at least 60 days prior to the end of the term.  In addition, the IRS will not draw on the bond or letter of credit if within 30 days of receipt of notice of failure to renew or closure of the U.S. branch, the U.S. Trustee notifies the IRS that an alternate security arrangement under section 20.2056A</w:t>
      </w:r>
      <w:r>
        <w:rPr>
          <w:rFonts w:ascii="Times New Roman" w:hAnsi="Times New Roman"/>
        </w:rPr>
        <w:t>-</w:t>
      </w:r>
      <w:r w:rsidRPr="00240172">
        <w:rPr>
          <w:rFonts w:ascii="Times New Roman" w:hAnsi="Times New Roman"/>
        </w:rPr>
        <w:t>2(d)(l)(i)(A), (B) or (C) has been secured and that such arrangement will take effect immediately prior to or upon expiration of the bond or letter of credit, or closure of the U.S. branch of a foreign bank.</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lastRenderedPageBreak/>
        <w:t xml:space="preserve">(3) Under </w:t>
      </w:r>
      <w:r>
        <w:rPr>
          <w:rFonts w:ascii="Times New Roman" w:hAnsi="Times New Roman"/>
        </w:rPr>
        <w:t xml:space="preserve">section </w:t>
      </w:r>
      <w:r w:rsidRPr="00240172">
        <w:rPr>
          <w:rFonts w:ascii="Times New Roman" w:hAnsi="Times New Roman"/>
        </w:rPr>
        <w:t>20.2056A</w:t>
      </w:r>
      <w:r>
        <w:rPr>
          <w:rFonts w:ascii="Times New Roman" w:hAnsi="Times New Roman"/>
        </w:rPr>
        <w:t>-</w:t>
      </w:r>
      <w:r w:rsidRPr="00240172">
        <w:rPr>
          <w:rFonts w:ascii="Times New Roman" w:hAnsi="Times New Roman"/>
        </w:rPr>
        <w:t xml:space="preserve">2(d)(1)(i)(C), if a letter of credit is issued by a U.S. branch of a foreign bank and such U.S. branch is closing, the branch (or foreign bank) must notify the IRS of such closing and the notice of closure must be received at least 60 days prior to the date of closure.  </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(4) Section 20.2056A</w:t>
      </w:r>
      <w:r>
        <w:rPr>
          <w:rFonts w:ascii="Times New Roman" w:hAnsi="Times New Roman"/>
        </w:rPr>
        <w:t>-</w:t>
      </w:r>
      <w:r w:rsidRPr="00240172">
        <w:rPr>
          <w:rFonts w:ascii="Times New Roman" w:hAnsi="Times New Roman"/>
        </w:rPr>
        <w:t>2(d)(iv)(A) provides that the executor of the estate may elect to exclude up to $600,000 in value with respect to the surviving spouse's personal residence in determining whether the QDOT exceeds the $2 million threshold under section 20.2056A</w:t>
      </w:r>
      <w:r>
        <w:rPr>
          <w:rFonts w:ascii="Times New Roman" w:hAnsi="Times New Roman"/>
        </w:rPr>
        <w:t>-</w:t>
      </w:r>
      <w:r w:rsidRPr="00240172">
        <w:rPr>
          <w:rFonts w:ascii="Times New Roman" w:hAnsi="Times New Roman"/>
        </w:rPr>
        <w:t>2(d)(l)(i) or (ii).  The executor of the estate may also elect to exclude, during the term of the QDOT, up to $600,000 attributable to the surviving spouse's personal residence for purposes of determining the amount of the bond or letter of credit required.  Both elections are made by attaching a written statement claiming the exclusion to the estate tax return on which the election is made.</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 xml:space="preserve">(5) Under </w:t>
      </w:r>
      <w:r>
        <w:rPr>
          <w:rFonts w:ascii="Times New Roman" w:hAnsi="Times New Roman"/>
        </w:rPr>
        <w:t xml:space="preserve">section </w:t>
      </w:r>
      <w:r w:rsidRPr="00240172">
        <w:rPr>
          <w:rFonts w:ascii="Times New Roman" w:hAnsi="Times New Roman"/>
        </w:rPr>
        <w:t>20.2056A</w:t>
      </w:r>
      <w:r>
        <w:rPr>
          <w:rFonts w:ascii="Times New Roman" w:hAnsi="Times New Roman"/>
        </w:rPr>
        <w:t>-</w:t>
      </w:r>
      <w:r w:rsidRPr="00240172">
        <w:rPr>
          <w:rFonts w:ascii="Times New Roman" w:hAnsi="Times New Roman"/>
        </w:rPr>
        <w:t xml:space="preserve">2(d)(1)(iv)(B) the executor of the estate may elect to exclude up to $600,000 in value with respect to the surviving spouse's principal residence and one other residence in determining the $2 million threshold under </w:t>
      </w:r>
      <w:r>
        <w:rPr>
          <w:rFonts w:ascii="Times New Roman" w:hAnsi="Times New Roman"/>
        </w:rPr>
        <w:t>section</w:t>
      </w:r>
      <w:r w:rsidRPr="00240172">
        <w:rPr>
          <w:rFonts w:ascii="Times New Roman" w:hAnsi="Times New Roman"/>
        </w:rPr>
        <w:t>20.2056A</w:t>
      </w:r>
      <w:r>
        <w:rPr>
          <w:rFonts w:ascii="Times New Roman" w:hAnsi="Times New Roman"/>
        </w:rPr>
        <w:t>-</w:t>
      </w:r>
      <w:r w:rsidRPr="00240172">
        <w:rPr>
          <w:rFonts w:ascii="Times New Roman" w:hAnsi="Times New Roman"/>
        </w:rPr>
        <w:t>2(d)(1)(i) and (ii) and for purposes of determining the amount of the bond or letter of credit required. The election to exclude $600,000 in value attributable to the surviving spouse's principal and one other residence for purposes of determining the amount of the bond or letter of credit required may be made at a time other than the filing of the decedent's estate tax return and may be canceled later.  Either of these actions are made by attaching to the Form 706 QDT</w:t>
      </w:r>
      <w:r w:rsidR="00C96D93">
        <w:rPr>
          <w:rFonts w:ascii="Times New Roman" w:hAnsi="Times New Roman"/>
        </w:rPr>
        <w:t xml:space="preserve"> (OMB #1545-1212),</w:t>
      </w:r>
      <w:r w:rsidRPr="00240172">
        <w:rPr>
          <w:rFonts w:ascii="Times New Roman" w:hAnsi="Times New Roman"/>
        </w:rPr>
        <w:t xml:space="preserve"> a written statement either claiming or canceling the election.  </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(6) Under section 20.2056A</w:t>
      </w:r>
      <w:r>
        <w:rPr>
          <w:rFonts w:ascii="Times New Roman" w:hAnsi="Times New Roman"/>
        </w:rPr>
        <w:t>-</w:t>
      </w:r>
      <w:r w:rsidRPr="00240172">
        <w:rPr>
          <w:rFonts w:ascii="Times New Roman" w:hAnsi="Times New Roman"/>
        </w:rPr>
        <w:t xml:space="preserve">2(d)(4), taxpayers may submit a request for a private letter ruling for the approval of an alternative plan or arrangement proposed to be adopted in order to ensure the collection of the section 2056A estate tax in lieu of the security options provided in the regulations.  </w:t>
      </w:r>
    </w:p>
    <w:p w:rsidRPr="00240172" w:rsidR="00240172" w:rsidP="00240172" w:rsidRDefault="00240172">
      <w:pPr>
        <w:ind w:left="720"/>
        <w:rPr>
          <w:rFonts w:ascii="Times New Roman" w:hAnsi="Times New Roman"/>
        </w:rPr>
      </w:pPr>
    </w:p>
    <w:p w:rsidRPr="00240172" w:rsidR="00240172" w:rsidP="00240172" w:rsidRDefault="00240172">
      <w:pPr>
        <w:ind w:left="720"/>
        <w:rPr>
          <w:rFonts w:ascii="Times New Roman" w:hAnsi="Times New Roman"/>
        </w:rPr>
      </w:pPr>
      <w:r w:rsidRPr="00240172">
        <w:rPr>
          <w:rFonts w:ascii="Times New Roman" w:hAnsi="Times New Roman"/>
        </w:rPr>
        <w:t>(7) Section 20.2056A</w:t>
      </w:r>
      <w:r>
        <w:rPr>
          <w:rFonts w:ascii="Times New Roman" w:hAnsi="Times New Roman"/>
        </w:rPr>
        <w:t>-</w:t>
      </w:r>
      <w:r w:rsidRPr="00240172">
        <w:rPr>
          <w:rFonts w:ascii="Times New Roman" w:hAnsi="Times New Roman"/>
        </w:rPr>
        <w:t>2(d)(6) provides that in certain cases where the settlor of a QDOT is under a legal disability to amend the will or trust or the trust does not provide the U.S. Trustee with a power to amend the trust instrument in order to meet the requirements of section 2056A, the trust is not required to contain the governing instrument requirements contained in section 20.2056A</w:t>
      </w:r>
      <w:r>
        <w:rPr>
          <w:rFonts w:ascii="Times New Roman" w:hAnsi="Times New Roman"/>
        </w:rPr>
        <w:t>-</w:t>
      </w:r>
      <w:r w:rsidRPr="00240172">
        <w:rPr>
          <w:rFonts w:ascii="Times New Roman" w:hAnsi="Times New Roman"/>
        </w:rPr>
        <w:t>2(d)(l) if the U.S. Trustee provides a written statement with the federal estate tax return (Form 706 or 706NA) that the trust is being administered (or will be administered) so as to be in actual compliance with section 20.2056A</w:t>
      </w:r>
      <w:r>
        <w:rPr>
          <w:rFonts w:ascii="Times New Roman" w:hAnsi="Times New Roman"/>
        </w:rPr>
        <w:t>-</w:t>
      </w:r>
      <w:r w:rsidRPr="00240172">
        <w:rPr>
          <w:rFonts w:ascii="Times New Roman" w:hAnsi="Times New Roman"/>
        </w:rPr>
        <w:t>2(d)(l) for</w:t>
      </w:r>
      <w:r>
        <w:rPr>
          <w:rFonts w:ascii="Times New Roman" w:hAnsi="Times New Roman"/>
        </w:rPr>
        <w:t xml:space="preserve"> </w:t>
      </w:r>
      <w:r w:rsidRPr="00240172">
        <w:rPr>
          <w:rFonts w:ascii="Times New Roman" w:hAnsi="Times New Roman"/>
        </w:rPr>
        <w:t xml:space="preserve">the duration of the trust. </w:t>
      </w:r>
    </w:p>
    <w:p w:rsidRPr="00240172" w:rsidR="00240172" w:rsidP="00240172" w:rsidRDefault="00240172">
      <w:pPr>
        <w:ind w:left="720"/>
        <w:rPr>
          <w:rFonts w:ascii="Times New Roman" w:hAnsi="Times New Roman"/>
        </w:rPr>
      </w:pPr>
    </w:p>
    <w:p w:rsidRPr="00C12FBB" w:rsidR="00BE4747" w:rsidP="00240172" w:rsidRDefault="00240172">
      <w:pPr>
        <w:ind w:left="720"/>
        <w:rPr>
          <w:rFonts w:ascii="Times New Roman" w:hAnsi="Times New Roman"/>
        </w:rPr>
      </w:pPr>
      <w:r w:rsidRPr="00240172">
        <w:rPr>
          <w:rFonts w:ascii="Times New Roman" w:hAnsi="Times New Roman"/>
        </w:rPr>
        <w:t>(8) Section 20.2056A</w:t>
      </w:r>
      <w:r>
        <w:rPr>
          <w:rFonts w:ascii="Times New Roman" w:hAnsi="Times New Roman"/>
        </w:rPr>
        <w:t>-</w:t>
      </w:r>
      <w:r w:rsidRPr="00240172">
        <w:rPr>
          <w:rFonts w:ascii="Times New Roman" w:hAnsi="Times New Roman"/>
        </w:rPr>
        <w:t>2(d)(3) requires the U.S. Trustee of a QDOT</w:t>
      </w:r>
      <w:r>
        <w:rPr>
          <w:rFonts w:ascii="Times New Roman" w:hAnsi="Times New Roman"/>
        </w:rPr>
        <w:t xml:space="preserve"> </w:t>
      </w:r>
      <w:r w:rsidRPr="00240172">
        <w:rPr>
          <w:rFonts w:ascii="Times New Roman" w:hAnsi="Times New Roman"/>
        </w:rPr>
        <w:t xml:space="preserve">to file an annual statement if the QDOT owns directly, or in some cases, indirectly, any foreign real property on the last day of the taxable year and the QDOT does not satisfy any of the security requirements contained in </w:t>
      </w:r>
      <w:r>
        <w:rPr>
          <w:rFonts w:ascii="Times New Roman" w:hAnsi="Times New Roman"/>
        </w:rPr>
        <w:t xml:space="preserve">section </w:t>
      </w:r>
      <w:r w:rsidRPr="00240172">
        <w:rPr>
          <w:rFonts w:ascii="Times New Roman" w:hAnsi="Times New Roman"/>
        </w:rPr>
        <w:t>20.2056A</w:t>
      </w:r>
      <w:r>
        <w:rPr>
          <w:rFonts w:ascii="Times New Roman" w:hAnsi="Times New Roman"/>
        </w:rPr>
        <w:t>-</w:t>
      </w:r>
      <w:r w:rsidRPr="00240172">
        <w:rPr>
          <w:rFonts w:ascii="Times New Roman" w:hAnsi="Times New Roman"/>
        </w:rPr>
        <w:t xml:space="preserve">2(d)(l)(i). </w:t>
      </w:r>
    </w:p>
    <w:p w:rsidR="00240172" w:rsidRDefault="00240172">
      <w:pPr>
        <w:rPr>
          <w:rFonts w:ascii="Times New Roman" w:hAnsi="Times New Roman"/>
        </w:rPr>
      </w:pPr>
    </w:p>
    <w:p w:rsidR="00C96D93" w:rsidRDefault="00C96D93">
      <w:pPr>
        <w:rPr>
          <w:rFonts w:ascii="Times New Roman" w:hAnsi="Times New Roman"/>
        </w:rPr>
      </w:pPr>
    </w:p>
    <w:p w:rsidRPr="00C12FBB" w:rsidR="00816D54" w:rsidRDefault="00816D54">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lastRenderedPageBreak/>
        <w:t>USE OF DATA</w:t>
      </w:r>
    </w:p>
    <w:p w:rsidRPr="00C12FBB" w:rsidR="000B1A00" w:rsidRDefault="000B1A00">
      <w:pPr>
        <w:rPr>
          <w:rFonts w:ascii="Times New Roman" w:hAnsi="Times New Roman"/>
        </w:rPr>
      </w:pPr>
    </w:p>
    <w:p w:rsidR="00BA2D8C" w:rsidP="00240172" w:rsidRDefault="00240172">
      <w:pPr>
        <w:ind w:left="720"/>
        <w:rPr>
          <w:rFonts w:ascii="Times New Roman" w:hAnsi="Times New Roman"/>
        </w:rPr>
      </w:pPr>
      <w:r w:rsidRPr="00240172">
        <w:rPr>
          <w:rFonts w:ascii="Times New Roman" w:hAnsi="Times New Roman"/>
        </w:rPr>
        <w:t>The information relating to the bond and letter of credit requirements under</w:t>
      </w:r>
      <w:r>
        <w:rPr>
          <w:rFonts w:ascii="Times New Roman" w:hAnsi="Times New Roman"/>
        </w:rPr>
        <w:t xml:space="preserve"> section </w:t>
      </w:r>
      <w:r w:rsidRPr="00240172">
        <w:rPr>
          <w:rFonts w:ascii="Times New Roman" w:hAnsi="Times New Roman"/>
        </w:rPr>
        <w:t xml:space="preserve">20.2056A-2(d)(l)(i) will be processed by the IRS and used in the administration of the Internal Revenue laws to ensure that QDOTs in excess of $2 million have provided the required security arrangements to ensure the collection of the additional estate tax that is imposed under section 2056A(b).  The information collected under the annual reporting requirement of </w:t>
      </w:r>
      <w:r>
        <w:rPr>
          <w:rFonts w:ascii="Times New Roman" w:hAnsi="Times New Roman"/>
        </w:rPr>
        <w:t xml:space="preserve">section </w:t>
      </w:r>
      <w:r w:rsidRPr="00240172">
        <w:rPr>
          <w:rFonts w:ascii="Times New Roman" w:hAnsi="Times New Roman"/>
        </w:rPr>
        <w:t>20.2056A</w:t>
      </w:r>
      <w:r>
        <w:rPr>
          <w:rFonts w:ascii="Times New Roman" w:hAnsi="Times New Roman"/>
        </w:rPr>
        <w:t>-</w:t>
      </w:r>
      <w:r w:rsidRPr="00240172">
        <w:rPr>
          <w:rFonts w:ascii="Times New Roman" w:hAnsi="Times New Roman"/>
        </w:rPr>
        <w:t xml:space="preserve">2(d)(3) will be used to monitor the foreign real property holdings of QDOTs of less than $2 million and the compliance with the requirements for the availability of the principal residence exclusion contained in </w:t>
      </w:r>
      <w:r>
        <w:rPr>
          <w:rFonts w:ascii="Times New Roman" w:hAnsi="Times New Roman"/>
        </w:rPr>
        <w:t xml:space="preserve">section </w:t>
      </w:r>
      <w:r w:rsidRPr="00240172">
        <w:rPr>
          <w:rFonts w:ascii="Times New Roman" w:hAnsi="Times New Roman"/>
        </w:rPr>
        <w:t>20.2056A</w:t>
      </w:r>
      <w:r>
        <w:rPr>
          <w:rFonts w:ascii="Times New Roman" w:hAnsi="Times New Roman"/>
        </w:rPr>
        <w:t>-</w:t>
      </w:r>
      <w:r w:rsidRPr="00240172">
        <w:rPr>
          <w:rFonts w:ascii="Times New Roman" w:hAnsi="Times New Roman"/>
        </w:rPr>
        <w:t>2(d)(1)(iii).</w:t>
      </w:r>
    </w:p>
    <w:p w:rsidRPr="00C12FBB" w:rsidR="00240172" w:rsidP="00240172" w:rsidRDefault="00240172">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USE OF IMPROVED INFORMATION TECHNOLOGY TO REDUCE BURDEN</w:t>
      </w:r>
    </w:p>
    <w:p w:rsidRPr="00C12FBB" w:rsidR="000B1A00" w:rsidRDefault="000B1A00">
      <w:pPr>
        <w:rPr>
          <w:rFonts w:ascii="Times New Roman" w:hAnsi="Times New Roman"/>
        </w:rPr>
      </w:pPr>
    </w:p>
    <w:p w:rsidR="000B1A00" w:rsidP="000500AB" w:rsidRDefault="000500AB">
      <w:pPr>
        <w:ind w:left="720"/>
        <w:rPr>
          <w:rFonts w:ascii="Times New Roman" w:hAnsi="Times New Roman"/>
        </w:rPr>
      </w:pPr>
      <w:r w:rsidRPr="000500AB">
        <w:rPr>
          <w:rFonts w:ascii="Times New Roman" w:hAnsi="Times New Roman"/>
        </w:rPr>
        <w:t>We have no plans to offer electronic filing.  IRS publication, regulations, notices and letters are to be electronically enabled on an as practicable basis in accordance with the IRS Reform and Restructuring Act of 1998</w:t>
      </w:r>
      <w:r>
        <w:rPr>
          <w:rFonts w:ascii="Times New Roman" w:hAnsi="Times New Roman"/>
        </w:rPr>
        <w:t>.</w:t>
      </w:r>
    </w:p>
    <w:p w:rsidRPr="00C12FBB" w:rsidR="000500AB" w:rsidRDefault="000500AB">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EFFORTS TO IDENTIFY DUPLICATION</w:t>
      </w:r>
    </w:p>
    <w:p w:rsidRPr="00C12FBB" w:rsidR="000B1A00" w:rsidRDefault="000B1A00">
      <w:pPr>
        <w:rPr>
          <w:rFonts w:ascii="Times New Roman" w:hAnsi="Times New Roman"/>
        </w:rPr>
      </w:pPr>
    </w:p>
    <w:p w:rsidRPr="00C12FBB" w:rsidR="000B1A00" w:rsidRDefault="000B1A00">
      <w:pPr>
        <w:ind w:left="720"/>
        <w:rPr>
          <w:rFonts w:ascii="Times New Roman" w:hAnsi="Times New Roman"/>
        </w:rPr>
      </w:pPr>
      <w:r w:rsidRPr="00C12FBB">
        <w:rPr>
          <w:rFonts w:ascii="Times New Roman" w:hAnsi="Times New Roman"/>
        </w:rPr>
        <w:t xml:space="preserve">We have attempted to eliminate duplication within the agency wherever possible.  </w:t>
      </w:r>
    </w:p>
    <w:p w:rsidRPr="00C12FBB" w:rsidR="000B1A00" w:rsidRDefault="000B1A00">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METHODS TO MINIMIZE BURDEN ON SMALL BUSINESSES OR OTHER</w:t>
      </w:r>
      <w:r w:rsidRPr="00300F72" w:rsidR="006E74F6">
        <w:rPr>
          <w:rFonts w:ascii="Times New Roman" w:hAnsi="Times New Roman"/>
          <w:b/>
        </w:rPr>
        <w:t xml:space="preserve">     </w:t>
      </w:r>
      <w:r w:rsidRPr="00300F72">
        <w:rPr>
          <w:rFonts w:ascii="Times New Roman" w:hAnsi="Times New Roman"/>
          <w:b/>
          <w:u w:val="single"/>
        </w:rPr>
        <w:t>SMALL ENTITIES</w:t>
      </w:r>
    </w:p>
    <w:p w:rsidRPr="00C12FBB" w:rsidR="000B1A00" w:rsidRDefault="000B1A00">
      <w:pPr>
        <w:rPr>
          <w:rFonts w:ascii="Times New Roman" w:hAnsi="Times New Roman"/>
        </w:rPr>
      </w:pPr>
    </w:p>
    <w:p w:rsidRPr="00C12FBB" w:rsidR="000B1A00" w:rsidP="000500AB" w:rsidRDefault="000500AB">
      <w:pPr>
        <w:ind w:left="720"/>
        <w:rPr>
          <w:rFonts w:ascii="Times New Roman" w:hAnsi="Times New Roman"/>
        </w:rPr>
      </w:pPr>
      <w:r w:rsidRPr="000500AB">
        <w:rPr>
          <w:rFonts w:ascii="Times New Roman" w:hAnsi="Times New Roman"/>
        </w:rPr>
        <w:t>There are no small businesses or other small entities affected by this collection</w:t>
      </w:r>
      <w:r>
        <w:rPr>
          <w:rFonts w:ascii="Times New Roman" w:hAnsi="Times New Roman"/>
        </w:rPr>
        <w:t xml:space="preserve">.  </w:t>
      </w:r>
      <w:r w:rsidRPr="000500AB">
        <w:rPr>
          <w:rFonts w:ascii="Times New Roman" w:hAnsi="Times New Roman"/>
        </w:rPr>
        <w:t>It has also been determined that section</w:t>
      </w:r>
      <w:r>
        <w:rPr>
          <w:rFonts w:ascii="Times New Roman" w:hAnsi="Times New Roman"/>
        </w:rPr>
        <w:t xml:space="preserve"> </w:t>
      </w:r>
      <w:r w:rsidRPr="000500AB">
        <w:rPr>
          <w:rFonts w:ascii="Times New Roman" w:hAnsi="Times New Roman"/>
        </w:rPr>
        <w:t>553(b) of the Administrative Procedure</w:t>
      </w:r>
      <w:r>
        <w:rPr>
          <w:rFonts w:ascii="Times New Roman" w:hAnsi="Times New Roman"/>
        </w:rPr>
        <w:t xml:space="preserve"> </w:t>
      </w:r>
      <w:r w:rsidRPr="000500AB">
        <w:rPr>
          <w:rFonts w:ascii="Times New Roman" w:hAnsi="Times New Roman"/>
        </w:rPr>
        <w:t>Act (5 U.S.C. chapter 5) does not</w:t>
      </w:r>
      <w:r>
        <w:rPr>
          <w:rFonts w:ascii="Times New Roman" w:hAnsi="Times New Roman"/>
        </w:rPr>
        <w:t xml:space="preserve"> </w:t>
      </w:r>
      <w:r w:rsidRPr="000500AB">
        <w:rPr>
          <w:rFonts w:ascii="Times New Roman" w:hAnsi="Times New Roman"/>
        </w:rPr>
        <w:t>apply to these regulations, and because</w:t>
      </w:r>
      <w:r>
        <w:rPr>
          <w:rFonts w:ascii="Times New Roman" w:hAnsi="Times New Roman"/>
        </w:rPr>
        <w:t xml:space="preserve"> </w:t>
      </w:r>
      <w:r w:rsidRPr="000500AB">
        <w:rPr>
          <w:rFonts w:ascii="Times New Roman" w:hAnsi="Times New Roman"/>
        </w:rPr>
        <w:t>the notice of proposed rulemaking preceding</w:t>
      </w:r>
      <w:r>
        <w:rPr>
          <w:rFonts w:ascii="Times New Roman" w:hAnsi="Times New Roman"/>
        </w:rPr>
        <w:t xml:space="preserve"> </w:t>
      </w:r>
      <w:r w:rsidRPr="000500AB">
        <w:rPr>
          <w:rFonts w:ascii="Times New Roman" w:hAnsi="Times New Roman"/>
        </w:rPr>
        <w:t>the regulations was issued prior</w:t>
      </w:r>
      <w:r>
        <w:rPr>
          <w:rFonts w:ascii="Times New Roman" w:hAnsi="Times New Roman"/>
        </w:rPr>
        <w:t xml:space="preserve"> </w:t>
      </w:r>
      <w:r w:rsidRPr="000500AB">
        <w:rPr>
          <w:rFonts w:ascii="Times New Roman" w:hAnsi="Times New Roman"/>
        </w:rPr>
        <w:t>to March 29, 1996, the Regulatory Flexibility</w:t>
      </w:r>
      <w:r>
        <w:rPr>
          <w:rFonts w:ascii="Times New Roman" w:hAnsi="Times New Roman"/>
        </w:rPr>
        <w:t xml:space="preserve"> </w:t>
      </w:r>
      <w:r w:rsidRPr="000500AB">
        <w:rPr>
          <w:rFonts w:ascii="Times New Roman" w:hAnsi="Times New Roman"/>
        </w:rPr>
        <w:t>Act (5 U.S.C. chapter 6) does not</w:t>
      </w:r>
      <w:r>
        <w:rPr>
          <w:rFonts w:ascii="Times New Roman" w:hAnsi="Times New Roman"/>
        </w:rPr>
        <w:t xml:space="preserve"> </w:t>
      </w:r>
      <w:r w:rsidRPr="000500AB">
        <w:rPr>
          <w:rFonts w:ascii="Times New Roman" w:hAnsi="Times New Roman"/>
        </w:rPr>
        <w:t>apply.</w:t>
      </w:r>
    </w:p>
    <w:p w:rsidRPr="00C12FBB" w:rsidR="006E74F6" w:rsidRDefault="006E74F6">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CONSEQUENCES OF LESS FREQUENT COLLECTION ON FEDERAL PROGRAMS OR POLICY ACTIVITIES</w:t>
      </w:r>
    </w:p>
    <w:p w:rsidRPr="00C12FBB" w:rsidR="000B1A00" w:rsidRDefault="000B1A00">
      <w:pPr>
        <w:rPr>
          <w:rFonts w:ascii="Times New Roman" w:hAnsi="Times New Roman"/>
        </w:rPr>
      </w:pPr>
    </w:p>
    <w:p w:rsidR="00F008B0" w:rsidP="000500AB" w:rsidRDefault="000500AB">
      <w:pPr>
        <w:ind w:left="720"/>
        <w:rPr>
          <w:rFonts w:ascii="Times New Roman" w:hAnsi="Times New Roman"/>
        </w:rPr>
      </w:pPr>
      <w:r w:rsidRPr="000500AB">
        <w:rPr>
          <w:rFonts w:ascii="Times New Roman" w:hAnsi="Times New Roman"/>
        </w:rPr>
        <w:t>Responses to this collection</w:t>
      </w:r>
      <w:r>
        <w:rPr>
          <w:rFonts w:ascii="Times New Roman" w:hAnsi="Times New Roman"/>
        </w:rPr>
        <w:t xml:space="preserve"> </w:t>
      </w:r>
      <w:r w:rsidRPr="000500AB">
        <w:rPr>
          <w:rFonts w:ascii="Times New Roman" w:hAnsi="Times New Roman"/>
        </w:rPr>
        <w:t>of information are required for</w:t>
      </w:r>
      <w:r>
        <w:rPr>
          <w:rFonts w:ascii="Times New Roman" w:hAnsi="Times New Roman"/>
        </w:rPr>
        <w:t xml:space="preserve"> </w:t>
      </w:r>
      <w:r w:rsidRPr="000500AB">
        <w:rPr>
          <w:rFonts w:ascii="Times New Roman" w:hAnsi="Times New Roman"/>
        </w:rPr>
        <w:t>an estate to be</w:t>
      </w:r>
      <w:r>
        <w:rPr>
          <w:rFonts w:ascii="Times New Roman" w:hAnsi="Times New Roman"/>
        </w:rPr>
        <w:t xml:space="preserve"> </w:t>
      </w:r>
      <w:r w:rsidRPr="000500AB">
        <w:rPr>
          <w:rFonts w:ascii="Times New Roman" w:hAnsi="Times New Roman"/>
        </w:rPr>
        <w:t>eligible for the estate tax</w:t>
      </w:r>
      <w:r>
        <w:rPr>
          <w:rFonts w:ascii="Times New Roman" w:hAnsi="Times New Roman"/>
        </w:rPr>
        <w:t xml:space="preserve"> </w:t>
      </w:r>
      <w:r w:rsidRPr="000500AB">
        <w:rPr>
          <w:rFonts w:ascii="Times New Roman" w:hAnsi="Times New Roman"/>
        </w:rPr>
        <w:t>marital deduction in cases where the</w:t>
      </w:r>
      <w:r>
        <w:rPr>
          <w:rFonts w:ascii="Times New Roman" w:hAnsi="Times New Roman"/>
        </w:rPr>
        <w:t xml:space="preserve"> </w:t>
      </w:r>
      <w:r w:rsidRPr="000500AB">
        <w:rPr>
          <w:rFonts w:ascii="Times New Roman" w:hAnsi="Times New Roman"/>
        </w:rPr>
        <w:t>surviving spouse is not a United States</w:t>
      </w:r>
      <w:r>
        <w:rPr>
          <w:rFonts w:ascii="Times New Roman" w:hAnsi="Times New Roman"/>
        </w:rPr>
        <w:t xml:space="preserve"> </w:t>
      </w:r>
      <w:r w:rsidRPr="000500AB">
        <w:rPr>
          <w:rFonts w:ascii="Times New Roman" w:hAnsi="Times New Roman"/>
        </w:rPr>
        <w:t>citizen.</w:t>
      </w:r>
    </w:p>
    <w:p w:rsidRPr="00F008B0" w:rsidR="00F008B0" w:rsidP="00F008B0" w:rsidRDefault="00F008B0">
      <w:pPr>
        <w:ind w:left="720"/>
        <w:rPr>
          <w:rFonts w:ascii="Times New Roman" w:hAnsi="Times New Roman"/>
        </w:rPr>
      </w:pPr>
    </w:p>
    <w:p w:rsidR="00816D54" w:rsidP="006A505F" w:rsidRDefault="00F008B0">
      <w:pPr>
        <w:ind w:left="720"/>
        <w:rPr>
          <w:rFonts w:ascii="Times New Roman" w:hAnsi="Times New Roman"/>
        </w:rPr>
      </w:pPr>
      <w:r w:rsidRPr="00F008B0">
        <w:rPr>
          <w:rFonts w:ascii="Times New Roman" w:hAnsi="Times New Roman"/>
        </w:rPr>
        <w:t xml:space="preserve">Failure to collect the information will prevent IRS from monitoring compliance requirements and </w:t>
      </w:r>
      <w:r w:rsidRPr="006A505F" w:rsidR="006A505F">
        <w:rPr>
          <w:rFonts w:ascii="Times New Roman" w:hAnsi="Times New Roman"/>
        </w:rPr>
        <w:t xml:space="preserve">to determine whether </w:t>
      </w:r>
      <w:r w:rsidR="001E7A21">
        <w:rPr>
          <w:rFonts w:ascii="Times New Roman" w:hAnsi="Times New Roman"/>
        </w:rPr>
        <w:t xml:space="preserve">taxpayers </w:t>
      </w:r>
      <w:r w:rsidRPr="006A505F" w:rsidR="006A505F">
        <w:rPr>
          <w:rFonts w:ascii="Times New Roman" w:hAnsi="Times New Roman"/>
        </w:rPr>
        <w:t xml:space="preserve">are </w:t>
      </w:r>
      <w:r w:rsidRPr="000500AB" w:rsidR="000500AB">
        <w:rPr>
          <w:rFonts w:ascii="Times New Roman" w:hAnsi="Times New Roman"/>
        </w:rPr>
        <w:t>eligible for the estate tax marital deduction in cases where the surviving spouse is not a United States citizen</w:t>
      </w:r>
      <w:r w:rsidRPr="006A505F" w:rsidR="006A505F">
        <w:rPr>
          <w:rFonts w:ascii="Times New Roman" w:hAnsi="Times New Roman"/>
        </w:rPr>
        <w:t>.</w:t>
      </w:r>
    </w:p>
    <w:p w:rsidR="00816D54" w:rsidP="006A505F" w:rsidRDefault="00816D54">
      <w:pPr>
        <w:ind w:left="720"/>
        <w:rPr>
          <w:rFonts w:ascii="Times New Roman" w:hAnsi="Times New Roman"/>
        </w:rPr>
      </w:pPr>
    </w:p>
    <w:p w:rsidR="00AF3A1E" w:rsidP="006A505F" w:rsidRDefault="00AF3A1E">
      <w:pPr>
        <w:ind w:left="720"/>
        <w:rPr>
          <w:rFonts w:ascii="Times New Roman" w:hAnsi="Times New Roman"/>
        </w:rPr>
      </w:pPr>
    </w:p>
    <w:p w:rsidR="00AF3A1E" w:rsidP="006A505F" w:rsidRDefault="00AF3A1E">
      <w:pPr>
        <w:ind w:left="720"/>
        <w:rPr>
          <w:rFonts w:ascii="Times New Roman" w:hAnsi="Times New Roman"/>
        </w:rPr>
      </w:pPr>
    </w:p>
    <w:p w:rsidR="00AF3A1E" w:rsidP="006A505F" w:rsidRDefault="00AF3A1E">
      <w:pPr>
        <w:ind w:left="720"/>
        <w:rPr>
          <w:rFonts w:ascii="Times New Roman" w:hAnsi="Times New Roman"/>
        </w:rPr>
      </w:pPr>
    </w:p>
    <w:p w:rsidRPr="00C12FBB" w:rsidR="00AF3A1E" w:rsidP="006A505F" w:rsidRDefault="00AF3A1E">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lastRenderedPageBreak/>
        <w:t>SPECIAL CIRCUMSTANCES REQUIRING DATA COLLECTION TO BE</w:t>
      </w:r>
      <w:r w:rsidRPr="00300F72">
        <w:rPr>
          <w:rFonts w:ascii="Times New Roman" w:hAnsi="Times New Roman"/>
          <w:b/>
        </w:rPr>
        <w:t xml:space="preserve"> </w:t>
      </w:r>
      <w:r w:rsidRPr="00300F72">
        <w:rPr>
          <w:rFonts w:ascii="Times New Roman" w:hAnsi="Times New Roman"/>
          <w:b/>
          <w:u w:val="single"/>
        </w:rPr>
        <w:t>INCONSISTENT WITH GUIDELINES IN 5 CFR 1320.5(d)(2)</w:t>
      </w:r>
    </w:p>
    <w:p w:rsidRPr="00C12FBB" w:rsidR="000B1A00" w:rsidRDefault="000B1A00">
      <w:pPr>
        <w:rPr>
          <w:rFonts w:ascii="Times New Roman" w:hAnsi="Times New Roman"/>
        </w:rPr>
      </w:pPr>
    </w:p>
    <w:p w:rsidR="00392390" w:rsidP="00816D54" w:rsidRDefault="006A505F">
      <w:pPr>
        <w:ind w:left="720"/>
        <w:rPr>
          <w:rFonts w:ascii="Times New Roman" w:hAnsi="Times New Roman"/>
        </w:rPr>
      </w:pPr>
      <w:r w:rsidRPr="006A505F">
        <w:rPr>
          <w:rFonts w:ascii="Times New Roman" w:hAnsi="Times New Roman"/>
        </w:rPr>
        <w:t>There are no special circumstances requiring data collection to be inconsistent with Guidelines in 5 CFR 1320.5(d)(2)</w:t>
      </w:r>
      <w:r w:rsidRPr="00C12FBB" w:rsidR="000B1A00">
        <w:rPr>
          <w:rFonts w:ascii="Times New Roman" w:hAnsi="Times New Roman"/>
        </w:rPr>
        <w:t>.</w:t>
      </w:r>
    </w:p>
    <w:p w:rsidRPr="00C12FBB" w:rsidR="002313DB" w:rsidRDefault="002313DB">
      <w:pPr>
        <w:rPr>
          <w:rFonts w:ascii="Times New Roman" w:hAnsi="Times New Roman"/>
        </w:rPr>
      </w:pPr>
    </w:p>
    <w:p w:rsidRPr="00300F72" w:rsidR="000B1A00" w:rsidRDefault="000B1A00">
      <w:pPr>
        <w:pStyle w:val="Level1"/>
        <w:tabs>
          <w:tab w:val="left" w:pos="-1440"/>
          <w:tab w:val="num" w:pos="720"/>
        </w:tabs>
        <w:rPr>
          <w:rFonts w:ascii="Times New Roman" w:hAnsi="Times New Roman"/>
          <w:b/>
          <w:u w:val="single"/>
        </w:rPr>
      </w:pPr>
      <w:r w:rsidRPr="00300F72">
        <w:rPr>
          <w:rFonts w:ascii="Times New Roman" w:hAnsi="Times New Roman"/>
          <w:b/>
          <w:u w:val="single"/>
        </w:rPr>
        <w:t>CONSULTATION WITH INDIVIDUALS OUTSIDE OF THE AGENCY ON AVAILABILITY OF DATA, FREQUENCY OF COLLECTION, CLARITY OF INSTRUCTIONS AND FORMS, AND DATA ELEMENTS</w:t>
      </w:r>
    </w:p>
    <w:p w:rsidRPr="00C12FBB" w:rsidR="000B1A00" w:rsidRDefault="000B1A00">
      <w:pPr>
        <w:rPr>
          <w:rFonts w:ascii="Times New Roman" w:hAnsi="Times New Roman"/>
        </w:rPr>
      </w:pPr>
    </w:p>
    <w:p w:rsidR="003524F1" w:rsidP="003524F1" w:rsidRDefault="003524F1">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Pr>
          <w:rFonts w:ascii="Times New Roman" w:hAnsi="Times New Roman"/>
        </w:rPr>
        <w:t>this guidance</w:t>
      </w:r>
      <w:r w:rsidRPr="00BC6ED7">
        <w:rPr>
          <w:rFonts w:ascii="Times New Roman" w:hAnsi="Times New Roman"/>
        </w:rPr>
        <w:t>.</w:t>
      </w:r>
    </w:p>
    <w:p w:rsidRPr="00C12FBB" w:rsidR="005A7036" w:rsidP="005A7036" w:rsidRDefault="005A7036">
      <w:pPr>
        <w:ind w:left="720"/>
        <w:rPr>
          <w:rFonts w:ascii="Times New Roman" w:hAnsi="Times New Roman"/>
        </w:rPr>
      </w:pPr>
    </w:p>
    <w:p w:rsidRPr="00C12FBB" w:rsidR="000B1A00" w:rsidRDefault="00AF2C6E">
      <w:pPr>
        <w:ind w:left="720"/>
        <w:rPr>
          <w:rFonts w:ascii="Times New Roman" w:hAnsi="Times New Roman"/>
        </w:rPr>
      </w:pPr>
      <w:r>
        <w:rPr>
          <w:rFonts w:ascii="Times New Roman" w:hAnsi="Times New Roman"/>
        </w:rPr>
        <w:t xml:space="preserve">In response to the Federal Register notice dated </w:t>
      </w:r>
      <w:r w:rsidR="005A7036">
        <w:rPr>
          <w:rFonts w:ascii="Times New Roman" w:hAnsi="Times New Roman"/>
        </w:rPr>
        <w:t>October</w:t>
      </w:r>
      <w:r w:rsidR="00E234F4">
        <w:rPr>
          <w:rFonts w:ascii="Times New Roman" w:hAnsi="Times New Roman"/>
        </w:rPr>
        <w:t xml:space="preserve"> </w:t>
      </w:r>
      <w:r w:rsidR="008A3176">
        <w:rPr>
          <w:rFonts w:ascii="Times New Roman" w:hAnsi="Times New Roman"/>
        </w:rPr>
        <w:t>25</w:t>
      </w:r>
      <w:r w:rsidR="00E234F4">
        <w:rPr>
          <w:rFonts w:ascii="Times New Roman" w:hAnsi="Times New Roman"/>
        </w:rPr>
        <w:t>, 201</w:t>
      </w:r>
      <w:r w:rsidR="0001127C">
        <w:rPr>
          <w:rFonts w:ascii="Times New Roman" w:hAnsi="Times New Roman"/>
        </w:rPr>
        <w:t>9</w:t>
      </w:r>
      <w:r w:rsidR="00E234F4">
        <w:rPr>
          <w:rFonts w:ascii="Times New Roman" w:hAnsi="Times New Roman"/>
        </w:rPr>
        <w:t>,</w:t>
      </w:r>
      <w:r>
        <w:rPr>
          <w:rFonts w:ascii="Times New Roman" w:hAnsi="Times New Roman"/>
        </w:rPr>
        <w:t xml:space="preserve"> (</w:t>
      </w:r>
      <w:r w:rsidR="00E234F4">
        <w:rPr>
          <w:rFonts w:ascii="Times New Roman" w:hAnsi="Times New Roman"/>
        </w:rPr>
        <w:t>8</w:t>
      </w:r>
      <w:r w:rsidR="0001127C">
        <w:rPr>
          <w:rFonts w:ascii="Times New Roman" w:hAnsi="Times New Roman"/>
        </w:rPr>
        <w:t>4</w:t>
      </w:r>
      <w:r>
        <w:rPr>
          <w:rFonts w:ascii="Times New Roman" w:hAnsi="Times New Roman"/>
        </w:rPr>
        <w:t xml:space="preserve"> FR </w:t>
      </w:r>
      <w:r w:rsidR="008A3176">
        <w:rPr>
          <w:rFonts w:ascii="Times New Roman" w:hAnsi="Times New Roman"/>
        </w:rPr>
        <w:t>57551</w:t>
      </w:r>
      <w:r>
        <w:rPr>
          <w:rFonts w:ascii="Times New Roman" w:hAnsi="Times New Roman"/>
        </w:rPr>
        <w:t xml:space="preserve">), we received no comments during the comment period regarding </w:t>
      </w:r>
      <w:r w:rsidR="00E234F4">
        <w:rPr>
          <w:rFonts w:ascii="Times New Roman" w:hAnsi="Times New Roman"/>
        </w:rPr>
        <w:t>these regulations</w:t>
      </w:r>
      <w:r>
        <w:rPr>
          <w:rFonts w:ascii="Times New Roman" w:hAnsi="Times New Roman"/>
        </w:rPr>
        <w:t>.</w:t>
      </w:r>
      <w:r w:rsidRPr="00C12FBB" w:rsidR="004210ED">
        <w:rPr>
          <w:rFonts w:ascii="Times New Roman" w:hAnsi="Times New Roman"/>
        </w:rPr>
        <w:t xml:space="preserve">  </w:t>
      </w:r>
    </w:p>
    <w:p w:rsidRPr="00C12FBB" w:rsidR="000B1A00" w:rsidRDefault="000B1A00">
      <w:pPr>
        <w:tabs>
          <w:tab w:val="center" w:pos="4680"/>
        </w:tabs>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EXPLANATION OF DECISION TO PROVIDE ANY PAYMENT OR GIFT TO</w:t>
      </w:r>
      <w:r w:rsidRPr="00300F72" w:rsidR="0021203B">
        <w:rPr>
          <w:rFonts w:ascii="Times New Roman" w:hAnsi="Times New Roman"/>
          <w:b/>
        </w:rPr>
        <w:t xml:space="preserve"> </w:t>
      </w:r>
      <w:r w:rsidRPr="00300F72">
        <w:rPr>
          <w:rFonts w:ascii="Times New Roman" w:hAnsi="Times New Roman"/>
          <w:b/>
          <w:u w:val="single"/>
        </w:rPr>
        <w:t>RESPONDENTS</w:t>
      </w:r>
    </w:p>
    <w:p w:rsidRPr="00C12FBB" w:rsidR="000B1A00" w:rsidRDefault="000B1A00">
      <w:pPr>
        <w:rPr>
          <w:rFonts w:ascii="Times New Roman" w:hAnsi="Times New Roman"/>
        </w:rPr>
      </w:pPr>
    </w:p>
    <w:p w:rsidRPr="00C12FBB" w:rsidR="000B1A00" w:rsidRDefault="000B13E8">
      <w:pPr>
        <w:ind w:left="720"/>
        <w:rPr>
          <w:rFonts w:ascii="Times New Roman" w:hAnsi="Times New Roman"/>
        </w:rPr>
      </w:pPr>
      <w:r w:rsidRPr="000B13E8">
        <w:rPr>
          <w:rFonts w:ascii="Times New Roman" w:hAnsi="Times New Roman"/>
        </w:rPr>
        <w:t>No payment or gift has been provided to any respondents</w:t>
      </w:r>
      <w:r w:rsidRPr="00C12FBB" w:rsidR="000B1A00">
        <w:rPr>
          <w:rFonts w:ascii="Times New Roman" w:hAnsi="Times New Roman"/>
        </w:rPr>
        <w:t>.</w:t>
      </w:r>
    </w:p>
    <w:p w:rsidRPr="00C12FBB" w:rsidR="000B1A00" w:rsidRDefault="000B1A00">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ASSURANCE OF CONFIDENTIALITY OF RESPONSES</w:t>
      </w:r>
    </w:p>
    <w:p w:rsidRPr="00C12FBB" w:rsidR="000B1A00" w:rsidRDefault="000B1A00">
      <w:pPr>
        <w:rPr>
          <w:rFonts w:ascii="Times New Roman" w:hAnsi="Times New Roman"/>
        </w:rPr>
      </w:pPr>
    </w:p>
    <w:p w:rsidR="00816D54" w:rsidP="00345FBA" w:rsidRDefault="000B13E8">
      <w:pPr>
        <w:ind w:left="720"/>
        <w:rPr>
          <w:rFonts w:ascii="Times New Roman" w:hAnsi="Times New Roman"/>
        </w:rPr>
      </w:pPr>
      <w:r w:rsidRPr="000B13E8">
        <w:rPr>
          <w:rFonts w:ascii="Times New Roman" w:hAnsi="Times New Roman"/>
        </w:rPr>
        <w:t>Generally, tax returns and tax return information are confidential as required by 26 U.S.C. 6103</w:t>
      </w:r>
      <w:r w:rsidRPr="00C12FBB" w:rsidR="002E42FA">
        <w:rPr>
          <w:rFonts w:ascii="Times New Roman" w:hAnsi="Times New Roman"/>
        </w:rPr>
        <w:t>.</w:t>
      </w:r>
    </w:p>
    <w:p w:rsidRPr="00C12FBB" w:rsidR="00816D54" w:rsidRDefault="00816D54">
      <w:pPr>
        <w:rPr>
          <w:rFonts w:ascii="Times New Roman" w:hAnsi="Times New Roman"/>
        </w:rPr>
      </w:pPr>
    </w:p>
    <w:p w:rsidRPr="00300F72" w:rsidR="000B1A00" w:rsidRDefault="000B1A00">
      <w:pPr>
        <w:pStyle w:val="Level1"/>
        <w:tabs>
          <w:tab w:val="left" w:pos="-1440"/>
          <w:tab w:val="num" w:pos="720"/>
        </w:tabs>
        <w:rPr>
          <w:rFonts w:ascii="Times New Roman" w:hAnsi="Times New Roman"/>
          <w:b/>
          <w:u w:val="single"/>
        </w:rPr>
      </w:pPr>
      <w:r w:rsidRPr="00300F72">
        <w:rPr>
          <w:rFonts w:ascii="Times New Roman" w:hAnsi="Times New Roman"/>
          <w:b/>
          <w:u w:val="single"/>
        </w:rPr>
        <w:t>JUSTIFICATION OF SENSITIVE QUESTIONS</w:t>
      </w:r>
    </w:p>
    <w:p w:rsidRPr="00C12FBB" w:rsidR="000B1A00" w:rsidRDefault="000B1A00">
      <w:pPr>
        <w:rPr>
          <w:rFonts w:ascii="Times New Roman" w:hAnsi="Times New Roman"/>
          <w:u w:val="single"/>
        </w:rPr>
      </w:pPr>
    </w:p>
    <w:p w:rsidRPr="00C12FBB" w:rsidR="000B1A00" w:rsidRDefault="000B13E8">
      <w:pPr>
        <w:ind w:left="720"/>
        <w:rPr>
          <w:rFonts w:ascii="Times New Roman" w:hAnsi="Times New Roman"/>
        </w:rPr>
      </w:pPr>
      <w:r w:rsidRPr="000B13E8">
        <w:rPr>
          <w:rFonts w:ascii="Times New Roman" w:hAnsi="Times New Roman"/>
        </w:rPr>
        <w:t>No personally identifiable information (PII) is collected</w:t>
      </w:r>
      <w:r w:rsidRPr="00C12FBB" w:rsidR="000B1A00">
        <w:rPr>
          <w:rFonts w:ascii="Times New Roman" w:hAnsi="Times New Roman"/>
        </w:rPr>
        <w:t>.</w:t>
      </w:r>
    </w:p>
    <w:p w:rsidRPr="00C12FBB" w:rsidR="00392390" w:rsidRDefault="00392390">
      <w:pPr>
        <w:rPr>
          <w:rFonts w:ascii="Times New Roman" w:hAnsi="Times New Roman"/>
        </w:rPr>
      </w:pPr>
    </w:p>
    <w:p w:rsidRPr="00300F72" w:rsidR="000B1A00" w:rsidRDefault="000B1A00">
      <w:pPr>
        <w:pStyle w:val="Level1"/>
        <w:tabs>
          <w:tab w:val="left" w:pos="-1440"/>
          <w:tab w:val="num" w:pos="720"/>
        </w:tabs>
        <w:rPr>
          <w:rFonts w:ascii="Times New Roman" w:hAnsi="Times New Roman"/>
          <w:b/>
          <w:u w:val="single"/>
        </w:rPr>
      </w:pPr>
      <w:r w:rsidRPr="00300F72">
        <w:rPr>
          <w:rFonts w:ascii="Times New Roman" w:hAnsi="Times New Roman"/>
          <w:b/>
          <w:u w:val="single"/>
        </w:rPr>
        <w:t>ESTIMATED BURDEN OF INFORMATION COLLECTION</w:t>
      </w:r>
    </w:p>
    <w:p w:rsidRPr="00C12FBB" w:rsidR="000B1A00" w:rsidRDefault="000B1A00">
      <w:pPr>
        <w:rPr>
          <w:rFonts w:ascii="Times New Roman" w:hAnsi="Times New Roman"/>
          <w:u w:val="single"/>
        </w:rPr>
      </w:pPr>
    </w:p>
    <w:p w:rsidR="004210ED" w:rsidP="005A7036" w:rsidRDefault="00A66B36">
      <w:pPr>
        <w:ind w:left="720"/>
        <w:rPr>
          <w:rFonts w:ascii="Times New Roman" w:hAnsi="Times New Roman"/>
        </w:rPr>
      </w:pPr>
      <w:r w:rsidRPr="00C12FBB">
        <w:rPr>
          <w:rFonts w:ascii="Times New Roman" w:hAnsi="Times New Roman"/>
        </w:rPr>
        <w:t xml:space="preserve">The collection of information in these regulations is in </w:t>
      </w:r>
      <w:r w:rsidR="00EA4122">
        <w:rPr>
          <w:rFonts w:ascii="Times New Roman" w:hAnsi="Times New Roman"/>
        </w:rPr>
        <w:t>section</w:t>
      </w:r>
      <w:r w:rsidRPr="00C12FBB">
        <w:rPr>
          <w:rFonts w:ascii="Times New Roman" w:hAnsi="Times New Roman"/>
        </w:rPr>
        <w:t xml:space="preserve"> </w:t>
      </w:r>
      <w:r w:rsidRPr="005A7036" w:rsidR="005A7036">
        <w:rPr>
          <w:rFonts w:ascii="Times New Roman" w:hAnsi="Times New Roman"/>
        </w:rPr>
        <w:t>20.2056A–2</w:t>
      </w:r>
      <w:r w:rsidRPr="00C12FBB">
        <w:rPr>
          <w:rFonts w:ascii="Times New Roman" w:hAnsi="Times New Roman"/>
        </w:rPr>
        <w:t xml:space="preserve">.  </w:t>
      </w:r>
      <w:r w:rsidRPr="00C12FBB" w:rsidR="005B01FF">
        <w:rPr>
          <w:rFonts w:ascii="Times New Roman" w:hAnsi="Times New Roman"/>
        </w:rPr>
        <w:t xml:space="preserve">The likely respondents are </w:t>
      </w:r>
      <w:r w:rsidR="005A7036">
        <w:rPr>
          <w:rFonts w:ascii="Times New Roman" w:hAnsi="Times New Roman"/>
        </w:rPr>
        <w:t xml:space="preserve">estates and </w:t>
      </w:r>
      <w:r w:rsidRPr="00C12FBB" w:rsidR="005B01FF">
        <w:rPr>
          <w:rFonts w:ascii="Times New Roman" w:hAnsi="Times New Roman"/>
        </w:rPr>
        <w:t>individuals</w:t>
      </w:r>
      <w:r w:rsidR="005A7036">
        <w:rPr>
          <w:rFonts w:ascii="Times New Roman" w:hAnsi="Times New Roman"/>
        </w:rPr>
        <w:t xml:space="preserve">.  </w:t>
      </w:r>
      <w:r w:rsidRPr="005A7036" w:rsidR="005A7036">
        <w:rPr>
          <w:rFonts w:ascii="Times New Roman" w:hAnsi="Times New Roman"/>
        </w:rPr>
        <w:t>Responses to this collection</w:t>
      </w:r>
      <w:r w:rsidR="005A7036">
        <w:rPr>
          <w:rFonts w:ascii="Times New Roman" w:hAnsi="Times New Roman"/>
        </w:rPr>
        <w:t xml:space="preserve"> </w:t>
      </w:r>
      <w:r w:rsidRPr="005A7036" w:rsidR="005A7036">
        <w:rPr>
          <w:rFonts w:ascii="Times New Roman" w:hAnsi="Times New Roman"/>
        </w:rPr>
        <w:t xml:space="preserve">of information are required </w:t>
      </w:r>
      <w:proofErr w:type="gramStart"/>
      <w:r w:rsidRPr="005A7036" w:rsidR="005A7036">
        <w:rPr>
          <w:rFonts w:ascii="Times New Roman" w:hAnsi="Times New Roman"/>
        </w:rPr>
        <w:t>in order for</w:t>
      </w:r>
      <w:proofErr w:type="gramEnd"/>
      <w:r w:rsidR="005A7036">
        <w:rPr>
          <w:rFonts w:ascii="Times New Roman" w:hAnsi="Times New Roman"/>
        </w:rPr>
        <w:t xml:space="preserve"> </w:t>
      </w:r>
      <w:r w:rsidRPr="005A7036" w:rsidR="005A7036">
        <w:rPr>
          <w:rFonts w:ascii="Times New Roman" w:hAnsi="Times New Roman"/>
        </w:rPr>
        <w:t>an estate to be eligible for the estate tax</w:t>
      </w:r>
      <w:r w:rsidR="005A7036">
        <w:rPr>
          <w:rFonts w:ascii="Times New Roman" w:hAnsi="Times New Roman"/>
        </w:rPr>
        <w:t xml:space="preserve"> </w:t>
      </w:r>
      <w:r w:rsidRPr="005A7036" w:rsidR="005A7036">
        <w:rPr>
          <w:rFonts w:ascii="Times New Roman" w:hAnsi="Times New Roman"/>
        </w:rPr>
        <w:t>marital deduction in cases where the</w:t>
      </w:r>
      <w:r w:rsidR="005A7036">
        <w:rPr>
          <w:rFonts w:ascii="Times New Roman" w:hAnsi="Times New Roman"/>
        </w:rPr>
        <w:t xml:space="preserve"> </w:t>
      </w:r>
      <w:r w:rsidRPr="005A7036" w:rsidR="005A7036">
        <w:rPr>
          <w:rFonts w:ascii="Times New Roman" w:hAnsi="Times New Roman"/>
        </w:rPr>
        <w:t>surviving spouse is not a United States</w:t>
      </w:r>
      <w:r w:rsidR="005A7036">
        <w:rPr>
          <w:rFonts w:ascii="Times New Roman" w:hAnsi="Times New Roman"/>
        </w:rPr>
        <w:t xml:space="preserve"> </w:t>
      </w:r>
      <w:r w:rsidRPr="005A7036" w:rsidR="005A7036">
        <w:rPr>
          <w:rFonts w:ascii="Times New Roman" w:hAnsi="Times New Roman"/>
        </w:rPr>
        <w:t>citizen.</w:t>
      </w:r>
      <w:r w:rsidRPr="00C12FBB" w:rsidR="004210ED">
        <w:rPr>
          <w:rFonts w:ascii="Times New Roman" w:hAnsi="Times New Roman"/>
        </w:rPr>
        <w:t xml:space="preserve"> </w:t>
      </w:r>
    </w:p>
    <w:p w:rsidRPr="00C12FBB" w:rsidR="00200C02" w:rsidP="004210ED" w:rsidRDefault="00200C02">
      <w:pPr>
        <w:ind w:left="720"/>
        <w:rPr>
          <w:rFonts w:ascii="Times New Roman" w:hAnsi="Times New Roman"/>
        </w:rPr>
      </w:pPr>
    </w:p>
    <w:p w:rsidRPr="00C12FBB" w:rsidR="00FF4984" w:rsidP="005A7036" w:rsidRDefault="005A7036">
      <w:pPr>
        <w:ind w:left="720"/>
        <w:rPr>
          <w:rFonts w:ascii="Times New Roman" w:hAnsi="Times New Roman"/>
        </w:rPr>
      </w:pPr>
      <w:r w:rsidRPr="005A7036">
        <w:rPr>
          <w:rStyle w:val="documentbody1"/>
          <w:rFonts w:ascii="Times New Roman" w:hAnsi="Times New Roman"/>
          <w:color w:val="000000"/>
          <w:sz w:val="24"/>
          <w:szCs w:val="24"/>
        </w:rPr>
        <w:t>The estimated annual burden per respondent</w:t>
      </w:r>
      <w:r>
        <w:rPr>
          <w:rStyle w:val="documentbody1"/>
          <w:rFonts w:ascii="Times New Roman" w:hAnsi="Times New Roman"/>
          <w:color w:val="000000"/>
          <w:sz w:val="24"/>
          <w:szCs w:val="24"/>
        </w:rPr>
        <w:t xml:space="preserve"> </w:t>
      </w:r>
      <w:r w:rsidRPr="005A7036">
        <w:rPr>
          <w:rStyle w:val="documentbody1"/>
          <w:rFonts w:ascii="Times New Roman" w:hAnsi="Times New Roman"/>
          <w:color w:val="000000"/>
          <w:sz w:val="24"/>
          <w:szCs w:val="24"/>
        </w:rPr>
        <w:t>varies from 30 minutes to 3</w:t>
      </w:r>
      <w:r>
        <w:rPr>
          <w:rStyle w:val="documentbody1"/>
          <w:rFonts w:ascii="Times New Roman" w:hAnsi="Times New Roman"/>
          <w:color w:val="000000"/>
          <w:sz w:val="24"/>
          <w:szCs w:val="24"/>
        </w:rPr>
        <w:t xml:space="preserve"> </w:t>
      </w:r>
      <w:r w:rsidRPr="005A7036">
        <w:rPr>
          <w:rStyle w:val="documentbody1"/>
          <w:rFonts w:ascii="Times New Roman" w:hAnsi="Times New Roman"/>
          <w:color w:val="000000"/>
          <w:sz w:val="24"/>
          <w:szCs w:val="24"/>
        </w:rPr>
        <w:t>hours, depending on individual circumstances,</w:t>
      </w:r>
      <w:r>
        <w:rPr>
          <w:rStyle w:val="documentbody1"/>
          <w:rFonts w:ascii="Times New Roman" w:hAnsi="Times New Roman"/>
          <w:color w:val="000000"/>
          <w:sz w:val="24"/>
          <w:szCs w:val="24"/>
        </w:rPr>
        <w:t xml:space="preserve"> </w:t>
      </w:r>
      <w:r w:rsidRPr="005A7036">
        <w:rPr>
          <w:rStyle w:val="documentbody1"/>
          <w:rFonts w:ascii="Times New Roman" w:hAnsi="Times New Roman"/>
          <w:color w:val="000000"/>
          <w:sz w:val="24"/>
          <w:szCs w:val="24"/>
        </w:rPr>
        <w:t>with an estimated average of</w:t>
      </w:r>
      <w:r>
        <w:rPr>
          <w:rStyle w:val="documentbody1"/>
          <w:rFonts w:ascii="Times New Roman" w:hAnsi="Times New Roman"/>
          <w:color w:val="000000"/>
          <w:sz w:val="24"/>
          <w:szCs w:val="24"/>
        </w:rPr>
        <w:t xml:space="preserve"> </w:t>
      </w:r>
      <w:r w:rsidRPr="005A7036">
        <w:rPr>
          <w:rStyle w:val="documentbody1"/>
          <w:rFonts w:ascii="Times New Roman" w:hAnsi="Times New Roman"/>
          <w:color w:val="000000"/>
          <w:sz w:val="24"/>
          <w:szCs w:val="24"/>
        </w:rPr>
        <w:t xml:space="preserve">1.39 hours. </w:t>
      </w:r>
      <w:r w:rsidRPr="00C12FBB" w:rsidR="004210ED">
        <w:rPr>
          <w:rFonts w:ascii="Times New Roman" w:hAnsi="Times New Roman"/>
        </w:rPr>
        <w:t xml:space="preserve">The estimated number of respondents is between </w:t>
      </w:r>
      <w:r w:rsidR="009A2C60">
        <w:rPr>
          <w:rFonts w:ascii="Times New Roman" w:hAnsi="Times New Roman"/>
        </w:rPr>
        <w:t>4,000</w:t>
      </w:r>
      <w:r w:rsidRPr="00C12FBB" w:rsidR="004210ED">
        <w:rPr>
          <w:rFonts w:ascii="Times New Roman" w:hAnsi="Times New Roman"/>
        </w:rPr>
        <w:t xml:space="preserve"> and </w:t>
      </w:r>
      <w:r w:rsidR="009A2C60">
        <w:rPr>
          <w:rFonts w:ascii="Times New Roman" w:hAnsi="Times New Roman"/>
        </w:rPr>
        <w:t>4,5</w:t>
      </w:r>
      <w:r w:rsidRPr="00C12FBB" w:rsidR="004210ED">
        <w:rPr>
          <w:rFonts w:ascii="Times New Roman" w:hAnsi="Times New Roman"/>
        </w:rPr>
        <w:t>00.</w:t>
      </w:r>
    </w:p>
    <w:p w:rsidRPr="00C12FBB" w:rsidR="00FF4984" w:rsidP="004210ED" w:rsidRDefault="00FF4984">
      <w:pPr>
        <w:ind w:left="720"/>
        <w:rPr>
          <w:rFonts w:ascii="Times New Roman" w:hAnsi="Times New Roman"/>
        </w:rPr>
      </w:pPr>
    </w:p>
    <w:p w:rsidRPr="00C12FBB" w:rsidR="004210ED" w:rsidRDefault="004210ED">
      <w:pPr>
        <w:ind w:left="720"/>
        <w:rPr>
          <w:rFonts w:ascii="Times New Roman" w:hAnsi="Times New Roman"/>
        </w:rPr>
      </w:pPr>
      <w:r w:rsidRPr="00C12FBB">
        <w:rPr>
          <w:rFonts w:ascii="Times New Roman" w:hAnsi="Times New Roman"/>
        </w:rPr>
        <w:t xml:space="preserve">Accordingly, the total annual burden for this collection of information requirement will not exceed </w:t>
      </w:r>
      <w:r w:rsidR="009A2C60">
        <w:rPr>
          <w:rFonts w:ascii="Times New Roman" w:hAnsi="Times New Roman"/>
        </w:rPr>
        <w:t>6,070</w:t>
      </w:r>
      <w:r w:rsidRPr="00C12FBB">
        <w:rPr>
          <w:rFonts w:ascii="Times New Roman" w:hAnsi="Times New Roman"/>
        </w:rPr>
        <w:t xml:space="preserve"> hours.  </w:t>
      </w:r>
    </w:p>
    <w:p w:rsidR="009A2C60" w:rsidP="009A2C60" w:rsidRDefault="009A2C60">
      <w:pPr>
        <w:tabs>
          <w:tab w:val="left" w:pos="720"/>
        </w:tabs>
        <w:ind w:left="720" w:hanging="720"/>
        <w:rPr>
          <w:rFonts w:ascii="Times New Roman" w:hAnsi="Times New Roman"/>
          <w:bCs/>
        </w:rPr>
      </w:pPr>
    </w:p>
    <w:tbl>
      <w:tblPr>
        <w:tblW w:w="9419" w:type="dxa"/>
        <w:tblInd w:w="93" w:type="dxa"/>
        <w:tblLook w:val="04A0" w:firstRow="1" w:lastRow="0" w:firstColumn="1" w:lastColumn="0" w:noHBand="0" w:noVBand="1"/>
      </w:tblPr>
      <w:tblGrid>
        <w:gridCol w:w="598"/>
        <w:gridCol w:w="2387"/>
        <w:gridCol w:w="1183"/>
        <w:gridCol w:w="1320"/>
        <w:gridCol w:w="1187"/>
        <w:gridCol w:w="1384"/>
        <w:gridCol w:w="1360"/>
      </w:tblGrid>
      <w:tr w:rsidR="009A2C60" w:rsidTr="009A2C60">
        <w:trPr>
          <w:trHeight w:val="480"/>
        </w:trPr>
        <w:tc>
          <w:tcPr>
            <w:tcW w:w="598" w:type="dxa"/>
            <w:tcBorders>
              <w:top w:val="single" w:color="auto" w:sz="4" w:space="0"/>
              <w:left w:val="single" w:color="auto" w:sz="4" w:space="0"/>
              <w:bottom w:val="single" w:color="auto" w:sz="4" w:space="0"/>
              <w:right w:val="single" w:color="auto" w:sz="4" w:space="0"/>
            </w:tcBorders>
            <w:noWrap/>
            <w:vAlign w:val="center"/>
            <w:hideMark/>
          </w:tcPr>
          <w:p w:rsidR="009A2C60" w:rsidRDefault="009A2C60">
            <w:pPr>
              <w:widowControl/>
              <w:autoSpaceDE/>
              <w:adjustRightInd/>
              <w:rPr>
                <w:rFonts w:ascii="Arial Narrow" w:hAnsi="Arial Narrow" w:cs="Arial"/>
                <w:color w:val="000000"/>
                <w:sz w:val="22"/>
                <w:szCs w:val="22"/>
              </w:rPr>
            </w:pPr>
            <w:r>
              <w:rPr>
                <w:rFonts w:ascii="Arial Narrow" w:hAnsi="Arial Narrow" w:cs="Arial"/>
                <w:color w:val="000000"/>
                <w:sz w:val="22"/>
                <w:szCs w:val="22"/>
              </w:rPr>
              <w:t>Para</w:t>
            </w:r>
          </w:p>
        </w:tc>
        <w:tc>
          <w:tcPr>
            <w:tcW w:w="2387" w:type="dxa"/>
            <w:tcBorders>
              <w:top w:val="single" w:color="auto" w:sz="4" w:space="0"/>
              <w:left w:val="nil"/>
              <w:bottom w:val="single" w:color="auto" w:sz="4" w:space="0"/>
              <w:right w:val="single" w:color="auto" w:sz="4" w:space="0"/>
            </w:tcBorders>
            <w:noWrap/>
            <w:vAlign w:val="center"/>
            <w:hideMark/>
          </w:tcPr>
          <w:p w:rsidR="009A2C60" w:rsidRDefault="009A2C60">
            <w:pPr>
              <w:widowControl/>
              <w:autoSpaceDE/>
              <w:adjustRightInd/>
              <w:rPr>
                <w:rFonts w:ascii="Arial Narrow" w:hAnsi="Arial Narrow" w:cs="Arial"/>
                <w:color w:val="000000"/>
                <w:sz w:val="22"/>
                <w:szCs w:val="22"/>
              </w:rPr>
            </w:pPr>
            <w:r>
              <w:rPr>
                <w:rFonts w:ascii="Arial Narrow" w:hAnsi="Arial Narrow" w:cs="Arial"/>
                <w:color w:val="000000"/>
                <w:sz w:val="22"/>
                <w:szCs w:val="22"/>
              </w:rPr>
              <w:t>CFR Citation</w:t>
            </w:r>
          </w:p>
        </w:tc>
        <w:tc>
          <w:tcPr>
            <w:tcW w:w="1183" w:type="dxa"/>
            <w:tcBorders>
              <w:top w:val="single" w:color="auto" w:sz="4" w:space="0"/>
              <w:left w:val="nil"/>
              <w:bottom w:val="single" w:color="auto" w:sz="4" w:space="0"/>
              <w:right w:val="single" w:color="auto" w:sz="4" w:space="0"/>
            </w:tcBorders>
            <w:vAlign w:val="center"/>
            <w:hideMark/>
          </w:tcPr>
          <w:p w:rsidR="009A2C60" w:rsidRDefault="009A2C60">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Respondents</w:t>
            </w:r>
          </w:p>
        </w:tc>
        <w:tc>
          <w:tcPr>
            <w:tcW w:w="1320" w:type="dxa"/>
            <w:tcBorders>
              <w:top w:val="single" w:color="auto" w:sz="4" w:space="0"/>
              <w:left w:val="nil"/>
              <w:bottom w:val="single" w:color="auto" w:sz="4" w:space="0"/>
              <w:right w:val="single" w:color="auto" w:sz="4" w:space="0"/>
            </w:tcBorders>
            <w:vAlign w:val="center"/>
            <w:hideMark/>
          </w:tcPr>
          <w:p w:rsidR="009A2C60" w:rsidRDefault="009A2C60">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 Responses Per Respondent</w:t>
            </w:r>
          </w:p>
        </w:tc>
        <w:tc>
          <w:tcPr>
            <w:tcW w:w="1187" w:type="dxa"/>
            <w:tcBorders>
              <w:top w:val="single" w:color="auto" w:sz="4" w:space="0"/>
              <w:left w:val="nil"/>
              <w:bottom w:val="single" w:color="auto" w:sz="4" w:space="0"/>
              <w:right w:val="single" w:color="auto" w:sz="4" w:space="0"/>
            </w:tcBorders>
            <w:vAlign w:val="center"/>
            <w:hideMark/>
          </w:tcPr>
          <w:p w:rsidR="009A2C60" w:rsidRDefault="009A2C60">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Annual Responses</w:t>
            </w:r>
          </w:p>
        </w:tc>
        <w:tc>
          <w:tcPr>
            <w:tcW w:w="1384" w:type="dxa"/>
            <w:tcBorders>
              <w:top w:val="single" w:color="auto" w:sz="4" w:space="0"/>
              <w:left w:val="nil"/>
              <w:bottom w:val="single" w:color="auto" w:sz="4" w:space="0"/>
              <w:right w:val="single" w:color="auto" w:sz="4" w:space="0"/>
            </w:tcBorders>
            <w:vAlign w:val="center"/>
            <w:hideMark/>
          </w:tcPr>
          <w:p w:rsidR="009A2C60" w:rsidRDefault="009A2C60">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Hours Per Response</w:t>
            </w:r>
          </w:p>
        </w:tc>
        <w:tc>
          <w:tcPr>
            <w:tcW w:w="1360" w:type="dxa"/>
            <w:tcBorders>
              <w:top w:val="single" w:color="auto" w:sz="4" w:space="0"/>
              <w:left w:val="nil"/>
              <w:bottom w:val="single" w:color="auto" w:sz="4" w:space="0"/>
              <w:right w:val="single" w:color="auto" w:sz="4" w:space="0"/>
            </w:tcBorders>
            <w:vAlign w:val="center"/>
            <w:hideMark/>
          </w:tcPr>
          <w:p w:rsidR="009A2C60" w:rsidRDefault="009A2C60">
            <w:pPr>
              <w:widowControl/>
              <w:autoSpaceDE/>
              <w:adjustRightInd/>
              <w:jc w:val="center"/>
              <w:rPr>
                <w:rFonts w:ascii="Arial Narrow" w:hAnsi="Arial Narrow" w:cs="Arial"/>
                <w:color w:val="000000"/>
                <w:sz w:val="20"/>
                <w:szCs w:val="20"/>
              </w:rPr>
            </w:pPr>
            <w:r>
              <w:rPr>
                <w:rFonts w:ascii="Arial Narrow" w:hAnsi="Arial Narrow" w:cs="Arial"/>
                <w:color w:val="000000"/>
                <w:sz w:val="20"/>
                <w:szCs w:val="20"/>
              </w:rPr>
              <w:t>Total Annual Burden</w:t>
            </w:r>
          </w:p>
        </w:tc>
      </w:tr>
      <w:tr w:rsidR="009A2C60" w:rsidTr="009A2C60">
        <w:trPr>
          <w:trHeight w:val="395"/>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1</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20.2056A-2(d)(1)(i)</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1,500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1,500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3.00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4,500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2</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20.2056A-2(d)(1)(i)(B) &amp; (C)</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220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220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110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3</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20.2056A-2(d)(1)(i)(C)</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4</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20.2056A-2(d)(iv)(A)</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1,000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1,000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500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5</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20.2056A-2(d)(iv)(B)</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50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6</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20.2056A-2(d)(4)</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50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50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3.00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150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7</w:t>
            </w:r>
          </w:p>
        </w:tc>
        <w:tc>
          <w:tcPr>
            <w:tcW w:w="2387" w:type="dxa"/>
            <w:tcBorders>
              <w:top w:val="nil"/>
              <w:left w:val="nil"/>
              <w:bottom w:val="single" w:color="auto" w:sz="4"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20.2056A-2(d)(6)</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200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200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100</w:t>
            </w:r>
          </w:p>
        </w:tc>
      </w:tr>
      <w:tr w:rsidR="009A2C60" w:rsidTr="009A2C60">
        <w:trPr>
          <w:trHeight w:val="350"/>
        </w:trPr>
        <w:tc>
          <w:tcPr>
            <w:tcW w:w="598"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center"/>
              <w:rPr>
                <w:rFonts w:ascii="Arial" w:hAnsi="Arial" w:cs="Arial"/>
                <w:color w:val="000000"/>
                <w:sz w:val="20"/>
                <w:szCs w:val="20"/>
              </w:rPr>
            </w:pPr>
            <w:r>
              <w:rPr>
                <w:rFonts w:ascii="Arial" w:hAnsi="Arial" w:cs="Arial"/>
                <w:color w:val="000000"/>
                <w:sz w:val="20"/>
                <w:szCs w:val="20"/>
              </w:rPr>
              <w:t>8</w:t>
            </w:r>
          </w:p>
        </w:tc>
        <w:tc>
          <w:tcPr>
            <w:tcW w:w="2387" w:type="dxa"/>
            <w:tcBorders>
              <w:top w:val="nil"/>
              <w:left w:val="nil"/>
              <w:bottom w:val="single" w:color="auto" w:sz="8" w:space="0"/>
              <w:right w:val="single" w:color="auto" w:sz="4" w:space="0"/>
            </w:tcBorders>
            <w:noWrap/>
            <w:vAlign w:val="center"/>
            <w:hideMark/>
          </w:tcPr>
          <w:p w:rsidRPr="00DF58EE" w:rsidR="009A2C60" w:rsidRDefault="009A2C60">
            <w:pPr>
              <w:widowControl/>
              <w:autoSpaceDE/>
              <w:adjustRightInd/>
              <w:rPr>
                <w:rFonts w:ascii="Arial Narrow" w:hAnsi="Arial Narrow" w:cs="Arial"/>
                <w:color w:val="000000"/>
                <w:sz w:val="20"/>
                <w:szCs w:val="20"/>
              </w:rPr>
            </w:pPr>
            <w:r w:rsidRPr="00DF58EE">
              <w:rPr>
                <w:rFonts w:ascii="Arial Narrow" w:hAnsi="Arial Narrow" w:cs="Arial"/>
                <w:color w:val="000000"/>
                <w:sz w:val="20"/>
                <w:szCs w:val="20"/>
              </w:rPr>
              <w:t>20.2056A-2(d)(3)</w:t>
            </w:r>
          </w:p>
        </w:tc>
        <w:tc>
          <w:tcPr>
            <w:tcW w:w="1183" w:type="dxa"/>
            <w:tcBorders>
              <w:top w:val="nil"/>
              <w:left w:val="nil"/>
              <w:bottom w:val="single" w:color="auto" w:sz="8"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1,300</w:t>
            </w:r>
          </w:p>
        </w:tc>
        <w:tc>
          <w:tcPr>
            <w:tcW w:w="1320" w:type="dxa"/>
            <w:tcBorders>
              <w:top w:val="nil"/>
              <w:left w:val="nil"/>
              <w:bottom w:val="single" w:color="auto" w:sz="8"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w:t>
            </w:r>
          </w:p>
        </w:tc>
        <w:tc>
          <w:tcPr>
            <w:tcW w:w="1187" w:type="dxa"/>
            <w:tcBorders>
              <w:top w:val="nil"/>
              <w:left w:val="nil"/>
              <w:bottom w:val="single" w:color="auto" w:sz="8"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1,300</w:t>
            </w:r>
          </w:p>
        </w:tc>
        <w:tc>
          <w:tcPr>
            <w:tcW w:w="1384" w:type="dxa"/>
            <w:tcBorders>
              <w:top w:val="nil"/>
              <w:left w:val="nil"/>
              <w:bottom w:val="single" w:color="auto" w:sz="8"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0.50</w:t>
            </w:r>
          </w:p>
        </w:tc>
        <w:tc>
          <w:tcPr>
            <w:tcW w:w="1360" w:type="dxa"/>
            <w:tcBorders>
              <w:top w:val="nil"/>
              <w:left w:val="nil"/>
              <w:bottom w:val="single" w:color="auto" w:sz="8" w:space="0"/>
              <w:right w:val="single" w:color="auto" w:sz="4" w:space="0"/>
            </w:tcBorders>
            <w:noWrap/>
            <w:vAlign w:val="center"/>
            <w:hideMark/>
          </w:tcPr>
          <w:p w:rsidR="009A2C60" w:rsidRDefault="009A2C60">
            <w:pPr>
              <w:widowControl/>
              <w:autoSpaceDE/>
              <w:adjustRightInd/>
              <w:jc w:val="right"/>
              <w:rPr>
                <w:rFonts w:ascii="Arial" w:hAnsi="Arial" w:cs="Arial"/>
                <w:color w:val="000000"/>
                <w:sz w:val="20"/>
                <w:szCs w:val="20"/>
              </w:rPr>
            </w:pPr>
            <w:r>
              <w:rPr>
                <w:rFonts w:ascii="Arial" w:hAnsi="Arial" w:cs="Arial"/>
                <w:color w:val="000000"/>
                <w:sz w:val="20"/>
                <w:szCs w:val="20"/>
              </w:rPr>
              <w:t>650</w:t>
            </w:r>
          </w:p>
        </w:tc>
      </w:tr>
      <w:tr w:rsidR="009A2C60" w:rsidTr="009A2C60">
        <w:trPr>
          <w:trHeight w:val="340"/>
        </w:trPr>
        <w:tc>
          <w:tcPr>
            <w:tcW w:w="598" w:type="dxa"/>
            <w:tcBorders>
              <w:top w:val="single" w:color="auto" w:sz="4" w:space="0"/>
              <w:left w:val="nil"/>
              <w:bottom w:val="nil"/>
              <w:right w:val="single" w:color="auto" w:sz="4" w:space="0"/>
            </w:tcBorders>
            <w:noWrap/>
            <w:vAlign w:val="center"/>
            <w:hideMark/>
          </w:tcPr>
          <w:p w:rsidR="009A2C60" w:rsidRDefault="009A2C60">
            <w:pPr>
              <w:widowControl/>
              <w:autoSpaceDE/>
              <w:adjustRightInd/>
              <w:rPr>
                <w:rFonts w:ascii="Arial" w:hAnsi="Arial" w:cs="Arial"/>
                <w:color w:val="000000"/>
                <w:sz w:val="20"/>
                <w:szCs w:val="20"/>
              </w:rPr>
            </w:pPr>
            <w:r>
              <w:rPr>
                <w:rFonts w:ascii="Arial" w:hAnsi="Arial" w:cs="Arial"/>
                <w:color w:val="000000"/>
                <w:sz w:val="20"/>
                <w:szCs w:val="20"/>
              </w:rPr>
              <w:t> </w:t>
            </w:r>
          </w:p>
        </w:tc>
        <w:tc>
          <w:tcPr>
            <w:tcW w:w="2387" w:type="dxa"/>
            <w:tcBorders>
              <w:top w:val="nil"/>
              <w:left w:val="single" w:color="auto" w:sz="4" w:space="0"/>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Totals</w:t>
            </w:r>
          </w:p>
        </w:tc>
        <w:tc>
          <w:tcPr>
            <w:tcW w:w="1183"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4,390</w:t>
            </w:r>
          </w:p>
        </w:tc>
        <w:tc>
          <w:tcPr>
            <w:tcW w:w="132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1</w:t>
            </w:r>
          </w:p>
        </w:tc>
        <w:tc>
          <w:tcPr>
            <w:tcW w:w="1187"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4,390</w:t>
            </w:r>
          </w:p>
        </w:tc>
        <w:tc>
          <w:tcPr>
            <w:tcW w:w="1384"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1.382687927</w:t>
            </w:r>
          </w:p>
        </w:tc>
        <w:tc>
          <w:tcPr>
            <w:tcW w:w="1360" w:type="dxa"/>
            <w:tcBorders>
              <w:top w:val="nil"/>
              <w:left w:val="nil"/>
              <w:bottom w:val="single" w:color="auto" w:sz="4" w:space="0"/>
              <w:right w:val="single" w:color="auto" w:sz="4" w:space="0"/>
            </w:tcBorders>
            <w:noWrap/>
            <w:vAlign w:val="center"/>
            <w:hideMark/>
          </w:tcPr>
          <w:p w:rsidR="009A2C60" w:rsidRDefault="009A2C60">
            <w:pPr>
              <w:widowControl/>
              <w:autoSpaceDE/>
              <w:adjustRightInd/>
              <w:jc w:val="right"/>
              <w:rPr>
                <w:rFonts w:ascii="Arial" w:hAnsi="Arial" w:cs="Arial"/>
                <w:b/>
                <w:color w:val="000000"/>
                <w:sz w:val="20"/>
                <w:szCs w:val="20"/>
              </w:rPr>
            </w:pPr>
            <w:r>
              <w:rPr>
                <w:rFonts w:ascii="Arial" w:hAnsi="Arial" w:cs="Arial"/>
                <w:b/>
                <w:color w:val="000000"/>
                <w:sz w:val="20"/>
                <w:szCs w:val="20"/>
              </w:rPr>
              <w:t>6,070</w:t>
            </w:r>
          </w:p>
        </w:tc>
      </w:tr>
    </w:tbl>
    <w:p w:rsidR="009A2C60" w:rsidRDefault="009A2C60">
      <w:pPr>
        <w:ind w:left="720"/>
        <w:rPr>
          <w:rFonts w:ascii="Times New Roman" w:hAnsi="Times New Roman"/>
        </w:rPr>
      </w:pPr>
    </w:p>
    <w:p w:rsidRPr="00DF58EE" w:rsidR="00DF58EE" w:rsidP="00DF58EE" w:rsidRDefault="00DF58EE">
      <w:pPr>
        <w:ind w:left="720"/>
        <w:rPr>
          <w:rFonts w:ascii="Times New Roman" w:hAnsi="Times New Roman"/>
        </w:rPr>
      </w:pPr>
      <w:r w:rsidRPr="00DF58EE">
        <w:rPr>
          <w:rFonts w:ascii="Times New Roman" w:hAnsi="Times New Roman"/>
        </w:rPr>
        <w:t>The following regulation imposes no additional burden. Please continue to assign            OMB number 1545-</w:t>
      </w:r>
      <w:r>
        <w:rPr>
          <w:rFonts w:ascii="Times New Roman" w:hAnsi="Times New Roman"/>
        </w:rPr>
        <w:t>1443</w:t>
      </w:r>
      <w:r w:rsidRPr="00DF58EE">
        <w:rPr>
          <w:rFonts w:ascii="Times New Roman" w:hAnsi="Times New Roman"/>
        </w:rPr>
        <w:t xml:space="preserve"> to this regulation.</w:t>
      </w:r>
    </w:p>
    <w:p w:rsidRPr="00DF58EE" w:rsidR="00DF58EE" w:rsidP="00DF58EE" w:rsidRDefault="00DF58EE">
      <w:pPr>
        <w:ind w:left="720"/>
        <w:rPr>
          <w:rFonts w:ascii="Times New Roman" w:hAnsi="Times New Roman"/>
        </w:rPr>
      </w:pPr>
      <w:r w:rsidRPr="00DF58EE">
        <w:rPr>
          <w:rFonts w:ascii="Times New Roman" w:hAnsi="Times New Roman"/>
        </w:rPr>
        <w:t xml:space="preserve">     </w:t>
      </w:r>
    </w:p>
    <w:p w:rsidR="00DF58EE" w:rsidRDefault="00DF58EE">
      <w:pPr>
        <w:ind w:left="720"/>
        <w:rPr>
          <w:rFonts w:ascii="Times New Roman" w:hAnsi="Times New Roman"/>
        </w:rPr>
      </w:pPr>
      <w:r w:rsidRPr="00DF58EE">
        <w:rPr>
          <w:rFonts w:ascii="Times New Roman" w:hAnsi="Times New Roman"/>
        </w:rPr>
        <w:t xml:space="preserve">       </w:t>
      </w:r>
      <w:r w:rsidRPr="00DF58EE">
        <w:rPr>
          <w:rFonts w:ascii="Times New Roman" w:hAnsi="Times New Roman"/>
        </w:rPr>
        <w:tab/>
        <w:t>20.2056A-2</w:t>
      </w:r>
    </w:p>
    <w:p w:rsidRPr="00C12FBB" w:rsidR="009A2C60" w:rsidRDefault="009A2C60">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ESTIMATED TOTAL ANNUAL COST BURDEN TO RESPONDENTS</w:t>
      </w:r>
    </w:p>
    <w:p w:rsidRPr="00C12FBB" w:rsidR="000B1A00" w:rsidRDefault="000B1A00">
      <w:pPr>
        <w:rPr>
          <w:rFonts w:ascii="Times New Roman" w:hAnsi="Times New Roman"/>
        </w:rPr>
      </w:pPr>
    </w:p>
    <w:p w:rsidRPr="0038535F" w:rsidR="0038535F" w:rsidP="0038535F" w:rsidRDefault="0038535F">
      <w:pPr>
        <w:ind w:left="720"/>
        <w:rPr>
          <w:rFonts w:ascii="Times New Roman" w:hAnsi="Times New Roman"/>
        </w:rPr>
      </w:pPr>
      <w:r w:rsidRPr="0038535F">
        <w:rPr>
          <w:rFonts w:ascii="Times New Roman" w:hAnsi="Times New Roman"/>
        </w:rPr>
        <w:t xml:space="preserve">As suggested by OMB, our Federal Register notice dated </w:t>
      </w:r>
      <w:r>
        <w:rPr>
          <w:rFonts w:ascii="Times New Roman" w:hAnsi="Times New Roman"/>
        </w:rPr>
        <w:t>October</w:t>
      </w:r>
      <w:r w:rsidRPr="0038535F">
        <w:rPr>
          <w:rFonts w:ascii="Times New Roman" w:hAnsi="Times New Roman"/>
        </w:rPr>
        <w:t xml:space="preserve"> </w:t>
      </w:r>
      <w:r w:rsidR="008A3176">
        <w:rPr>
          <w:rFonts w:ascii="Times New Roman" w:hAnsi="Times New Roman"/>
        </w:rPr>
        <w:t>25</w:t>
      </w:r>
      <w:r>
        <w:rPr>
          <w:rFonts w:ascii="Times New Roman" w:hAnsi="Times New Roman"/>
        </w:rPr>
        <w:t>,</w:t>
      </w:r>
      <w:r w:rsidRPr="0038535F">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38535F" w:rsidR="0038535F" w:rsidP="0038535F" w:rsidRDefault="0038535F">
      <w:pPr>
        <w:ind w:left="720"/>
        <w:rPr>
          <w:rFonts w:ascii="Times New Roman" w:hAnsi="Times New Roman"/>
        </w:rPr>
      </w:pPr>
    </w:p>
    <w:p w:rsidRPr="0038535F" w:rsidR="0077672D" w:rsidP="0038535F" w:rsidRDefault="0038535F">
      <w:pPr>
        <w:ind w:left="720"/>
        <w:rPr>
          <w:rFonts w:ascii="Times New Roman" w:hAnsi="Times New Roman"/>
        </w:rPr>
      </w:pPr>
      <w:r w:rsidRPr="0038535F">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38535F" w:rsidR="0077672D">
        <w:rPr>
          <w:rFonts w:ascii="Times New Roman" w:hAnsi="Times New Roman"/>
        </w:rPr>
        <w:t>.</w:t>
      </w:r>
    </w:p>
    <w:p w:rsidRPr="00C12FBB" w:rsidR="0018783F" w:rsidP="0077672D" w:rsidRDefault="0018783F">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ESTIMATED ANNUALIZED COST TO THE FEDERAL GOVERNMENT</w:t>
      </w:r>
    </w:p>
    <w:p w:rsidRPr="00C12FBB" w:rsidR="000B1A00" w:rsidRDefault="000B1A00">
      <w:pPr>
        <w:rPr>
          <w:rFonts w:ascii="Times New Roman" w:hAnsi="Times New Roman"/>
        </w:rPr>
      </w:pPr>
    </w:p>
    <w:p w:rsidRPr="00C12FBB" w:rsidR="000B1A00" w:rsidRDefault="00EC3282">
      <w:pPr>
        <w:ind w:left="720"/>
        <w:rPr>
          <w:rFonts w:ascii="Times New Roman" w:hAnsi="Times New Roman"/>
        </w:rPr>
      </w:pPr>
      <w:r>
        <w:rPr>
          <w:rFonts w:ascii="Times New Roman" w:hAnsi="Times New Roman"/>
        </w:rPr>
        <w:t>There are no estimated annualized costs to the Federal government</w:t>
      </w:r>
      <w:r w:rsidRPr="00C12FBB" w:rsidR="000B1A00">
        <w:rPr>
          <w:rFonts w:ascii="Times New Roman" w:hAnsi="Times New Roman"/>
        </w:rPr>
        <w:t>.</w:t>
      </w:r>
    </w:p>
    <w:p w:rsidRPr="00C12FBB" w:rsidR="000B1A00" w:rsidRDefault="000B1A00">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REASONS FOR CHANGE IN BURDEN</w:t>
      </w:r>
    </w:p>
    <w:p w:rsidRPr="00C12FBB" w:rsidR="000B1A00" w:rsidRDefault="000B1A00">
      <w:pPr>
        <w:rPr>
          <w:rFonts w:ascii="Times New Roman" w:hAnsi="Times New Roman"/>
        </w:rPr>
      </w:pPr>
    </w:p>
    <w:p w:rsidRPr="00C12FBB" w:rsidR="00D76600" w:rsidP="0018783F" w:rsidRDefault="00412253">
      <w:pPr>
        <w:ind w:left="720"/>
        <w:rPr>
          <w:rFonts w:ascii="Times New Roman" w:hAnsi="Times New Roman"/>
        </w:rPr>
      </w:pPr>
      <w:r w:rsidRPr="00C12FBB">
        <w:rPr>
          <w:rFonts w:ascii="Times New Roman" w:hAnsi="Times New Roman"/>
        </w:rPr>
        <w:t>There is no change in the estimat</w:t>
      </w:r>
      <w:r w:rsidRPr="00C12FBB" w:rsidR="00D76600">
        <w:rPr>
          <w:rFonts w:ascii="Times New Roman" w:hAnsi="Times New Roman"/>
        </w:rPr>
        <w:t xml:space="preserve">ed burden </w:t>
      </w:r>
      <w:r w:rsidR="00200C02">
        <w:rPr>
          <w:rFonts w:ascii="Times New Roman" w:hAnsi="Times New Roman"/>
        </w:rPr>
        <w:t>currently approved</w:t>
      </w:r>
      <w:r w:rsidRPr="00C12FBB" w:rsidR="00D76600">
        <w:rPr>
          <w:rFonts w:ascii="Times New Roman" w:hAnsi="Times New Roman"/>
        </w:rPr>
        <w:t xml:space="preserve">.  </w:t>
      </w:r>
      <w:r w:rsidR="00AF2C6E">
        <w:rPr>
          <w:rFonts w:ascii="Times New Roman" w:hAnsi="Times New Roman"/>
        </w:rPr>
        <w:t>We are making this submission to renew the OMB approval.</w:t>
      </w:r>
    </w:p>
    <w:p w:rsidR="000B1A00" w:rsidRDefault="000B1A00">
      <w:pPr>
        <w:rPr>
          <w:rFonts w:ascii="Times New Roman" w:hAnsi="Times New Roman"/>
        </w:rPr>
      </w:pPr>
    </w:p>
    <w:p w:rsidR="00AF3A1E" w:rsidRDefault="00AF3A1E">
      <w:pPr>
        <w:rPr>
          <w:rFonts w:ascii="Times New Roman" w:hAnsi="Times New Roman"/>
        </w:rPr>
      </w:pPr>
    </w:p>
    <w:p w:rsidRPr="00C12FBB" w:rsidR="00AF3A1E" w:rsidRDefault="00AF3A1E">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lastRenderedPageBreak/>
        <w:t>PLANS FOR TABULATION, STATISTICAL ANALYSIS AND PUBLICATION</w:t>
      </w:r>
    </w:p>
    <w:p w:rsidRPr="00C12FBB" w:rsidR="000B1A00" w:rsidRDefault="000B1A00">
      <w:pPr>
        <w:rPr>
          <w:rFonts w:ascii="Times New Roman" w:hAnsi="Times New Roman"/>
        </w:rPr>
      </w:pPr>
    </w:p>
    <w:p w:rsidRPr="00C12FBB" w:rsidR="00953B7B" w:rsidRDefault="000B13E8">
      <w:pPr>
        <w:ind w:left="720"/>
        <w:rPr>
          <w:rFonts w:ascii="Times New Roman" w:hAnsi="Times New Roman"/>
        </w:rPr>
      </w:pPr>
      <w:r w:rsidRPr="000B13E8">
        <w:rPr>
          <w:rFonts w:ascii="Times New Roman" w:hAnsi="Times New Roman"/>
        </w:rPr>
        <w:t>There are no plans for tabulation, statistical analysis and publication</w:t>
      </w:r>
      <w:r w:rsidRPr="00C12FBB" w:rsidR="000B1A00">
        <w:rPr>
          <w:rFonts w:ascii="Times New Roman" w:hAnsi="Times New Roman"/>
        </w:rPr>
        <w:t>.</w:t>
      </w:r>
    </w:p>
    <w:p w:rsidRPr="00C12FBB" w:rsidR="000B1A00" w:rsidRDefault="000B1A00">
      <w:pPr>
        <w:ind w:left="720"/>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REASONS WHY DISPLAYING THE OMB EXPIRATION DATE IS</w:t>
      </w:r>
      <w:r w:rsidRPr="00300F72" w:rsidR="00200C02">
        <w:rPr>
          <w:rFonts w:ascii="Times New Roman" w:hAnsi="Times New Roman"/>
          <w:b/>
          <w:u w:val="single"/>
        </w:rPr>
        <w:t xml:space="preserve"> </w:t>
      </w:r>
      <w:r w:rsidRPr="00300F72">
        <w:rPr>
          <w:rFonts w:ascii="Times New Roman" w:hAnsi="Times New Roman"/>
          <w:b/>
          <w:u w:val="single"/>
        </w:rPr>
        <w:t>INAPPROPRIATE</w:t>
      </w:r>
    </w:p>
    <w:p w:rsidRPr="00C12FBB" w:rsidR="000B1A00" w:rsidRDefault="000B1A00">
      <w:pPr>
        <w:rPr>
          <w:rFonts w:ascii="Times New Roman" w:hAnsi="Times New Roman"/>
        </w:rPr>
      </w:pPr>
    </w:p>
    <w:p w:rsidRPr="00C12FBB" w:rsidR="000B1A00" w:rsidRDefault="000B13E8">
      <w:pPr>
        <w:ind w:left="720"/>
        <w:rPr>
          <w:rFonts w:ascii="Times New Roman" w:hAnsi="Times New Roman"/>
        </w:rPr>
      </w:pPr>
      <w:r w:rsidRPr="000B13E8">
        <w:rPr>
          <w:rFonts w:ascii="Times New Roman" w:hAnsi="Times New Roman"/>
        </w:rPr>
        <w:t xml:space="preserve">We believe that displaying the OMB expiration date is inappropriate because it could cause confusion by leading taxpayers to believe that the </w:t>
      </w:r>
      <w:r w:rsidR="00C96D93">
        <w:rPr>
          <w:rFonts w:ascii="Times New Roman" w:hAnsi="Times New Roman"/>
        </w:rPr>
        <w:t xml:space="preserve">guidance </w:t>
      </w:r>
      <w:r w:rsidRPr="000B13E8">
        <w:rPr>
          <w:rFonts w:ascii="Times New Roman" w:hAnsi="Times New Roman"/>
        </w:rPr>
        <w:t xml:space="preserve">sunsets as of the expiration date.  Taxpayers are not likely to be aware that the Service intends to request renewal of the OMB approval and obtain a new expiration </w:t>
      </w:r>
      <w:r>
        <w:rPr>
          <w:rFonts w:ascii="Times New Roman" w:hAnsi="Times New Roman"/>
        </w:rPr>
        <w:t>date before the old one expires</w:t>
      </w:r>
      <w:r w:rsidRPr="00C12FBB" w:rsidR="000B1A00">
        <w:rPr>
          <w:rFonts w:ascii="Times New Roman" w:hAnsi="Times New Roman"/>
        </w:rPr>
        <w:t xml:space="preserve">.  </w:t>
      </w:r>
    </w:p>
    <w:p w:rsidRPr="00C12FBB" w:rsidR="000B1A00" w:rsidRDefault="000B1A00">
      <w:pPr>
        <w:rPr>
          <w:rFonts w:ascii="Times New Roman" w:hAnsi="Times New Roman"/>
        </w:rPr>
      </w:pPr>
    </w:p>
    <w:p w:rsidRPr="00300F72" w:rsidR="000B1A00" w:rsidRDefault="000B1A00">
      <w:pPr>
        <w:pStyle w:val="Level1"/>
        <w:tabs>
          <w:tab w:val="left" w:pos="-1440"/>
          <w:tab w:val="num" w:pos="720"/>
        </w:tabs>
        <w:rPr>
          <w:rFonts w:ascii="Times New Roman" w:hAnsi="Times New Roman"/>
          <w:b/>
        </w:rPr>
      </w:pPr>
      <w:r w:rsidRPr="00300F72">
        <w:rPr>
          <w:rFonts w:ascii="Times New Roman" w:hAnsi="Times New Roman"/>
          <w:b/>
          <w:u w:val="single"/>
        </w:rPr>
        <w:t>EXCEPTIONS TO THE CERTIFICATION STATEMENT</w:t>
      </w:r>
    </w:p>
    <w:p w:rsidRPr="00C12FBB" w:rsidR="000B1A00" w:rsidRDefault="000B1A00">
      <w:pPr>
        <w:rPr>
          <w:rFonts w:ascii="Times New Roman" w:hAnsi="Times New Roman"/>
        </w:rPr>
      </w:pPr>
    </w:p>
    <w:p w:rsidRPr="00C12FBB" w:rsidR="000B1A00" w:rsidP="00953B7B" w:rsidRDefault="000B13E8">
      <w:pPr>
        <w:ind w:left="720"/>
        <w:rPr>
          <w:rFonts w:ascii="Times New Roman" w:hAnsi="Times New Roman"/>
        </w:rPr>
      </w:pPr>
      <w:r w:rsidRPr="000B13E8">
        <w:rPr>
          <w:rFonts w:ascii="Times New Roman" w:hAnsi="Times New Roman"/>
        </w:rPr>
        <w:t>There are no exceptions to the certification statement</w:t>
      </w:r>
      <w:r w:rsidRPr="00C12FBB" w:rsidR="000B1A00">
        <w:rPr>
          <w:rFonts w:ascii="Times New Roman" w:hAnsi="Times New Roman"/>
        </w:rPr>
        <w:t>.</w:t>
      </w:r>
    </w:p>
    <w:p w:rsidR="00300F72" w:rsidRDefault="00300F72">
      <w:pPr>
        <w:ind w:firstLine="720"/>
        <w:rPr>
          <w:rFonts w:ascii="Times New Roman" w:hAnsi="Times New Roman"/>
        </w:rPr>
      </w:pPr>
    </w:p>
    <w:p w:rsidRPr="00C12FBB" w:rsidR="000B1A00" w:rsidP="007658F9" w:rsidRDefault="00300F72">
      <w:pPr>
        <w:ind w:left="720"/>
        <w:rPr>
          <w:rFonts w:ascii="Times New Roman" w:hAnsi="Times New Roman"/>
        </w:rPr>
      </w:pPr>
      <w:r w:rsidRPr="00300F72">
        <w:rPr>
          <w:rFonts w:ascii="Times New Roman" w:hAnsi="Times New Roman"/>
          <w:b/>
        </w:rPr>
        <w:t>Note:</w:t>
      </w:r>
      <w:r>
        <w:rPr>
          <w:rFonts w:ascii="Times New Roman" w:hAnsi="Times New Roman"/>
        </w:rPr>
        <w:tab/>
      </w:r>
      <w:r>
        <w:rPr>
          <w:rFonts w:ascii="Times New Roman" w:hAnsi="Times New Roman"/>
        </w:rPr>
        <w:tab/>
      </w:r>
      <w:r w:rsidRPr="00C12FBB" w:rsidR="000B1A00">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C12FBB" w:rsidR="0029713B">
        <w:rPr>
          <w:rFonts w:ascii="Times New Roman" w:hAnsi="Times New Roman"/>
        </w:rPr>
        <w:t>if</w:t>
      </w:r>
      <w:r w:rsidRPr="00C12FBB" w:rsidR="000B1A00">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C12FBB" w:rsidR="000B1A00" w:rsidRDefault="000B1A00">
      <w:pPr>
        <w:rPr>
          <w:rFonts w:ascii="Times New Roman" w:hAnsi="Times New Roman"/>
        </w:rPr>
      </w:pPr>
    </w:p>
    <w:p w:rsidRPr="00C12FBB" w:rsidR="00AD2881" w:rsidP="00B72A8B" w:rsidRDefault="00AD2881">
      <w:pPr>
        <w:rPr>
          <w:rFonts w:ascii="Times New Roman" w:hAnsi="Times New Roman"/>
          <w:b/>
        </w:rPr>
      </w:pPr>
    </w:p>
    <w:sectPr w:rsidRPr="00C12FBB" w:rsidR="00AD2881" w:rsidSect="00200C02">
      <w:footerReference w:type="default" r:id="rId7"/>
      <w:type w:val="continuous"/>
      <w:pgSz w:w="12240" w:h="15840"/>
      <w:pgMar w:top="1350" w:right="1440" w:bottom="1260" w:left="1440" w:header="1152"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89F" w:rsidRDefault="00ED489F">
      <w:r>
        <w:separator/>
      </w:r>
    </w:p>
  </w:endnote>
  <w:endnote w:type="continuationSeparator" w:id="0">
    <w:p w:rsidR="00ED489F" w:rsidRDefault="00ED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EE9" w:rsidRPr="00C12FBB" w:rsidRDefault="00691EE9">
    <w:pPr>
      <w:pStyle w:val="Footer"/>
      <w:jc w:val="right"/>
      <w:rPr>
        <w:rFonts w:ascii="Times New Roman" w:hAnsi="Times New Roman"/>
      </w:rPr>
    </w:pPr>
    <w:r w:rsidRPr="00C12FBB">
      <w:rPr>
        <w:rFonts w:ascii="Times New Roman" w:hAnsi="Times New Roman"/>
      </w:rPr>
      <w:fldChar w:fldCharType="begin"/>
    </w:r>
    <w:r w:rsidRPr="00C12FBB">
      <w:rPr>
        <w:rFonts w:ascii="Times New Roman" w:hAnsi="Times New Roman"/>
      </w:rPr>
      <w:instrText xml:space="preserve"> PAGE   \* MERGEFORMAT </w:instrText>
    </w:r>
    <w:r w:rsidRPr="00C12FBB">
      <w:rPr>
        <w:rFonts w:ascii="Times New Roman" w:hAnsi="Times New Roman"/>
      </w:rPr>
      <w:fldChar w:fldCharType="separate"/>
    </w:r>
    <w:r w:rsidR="008009A2">
      <w:rPr>
        <w:rFonts w:ascii="Times New Roman" w:hAnsi="Times New Roman"/>
        <w:noProof/>
      </w:rPr>
      <w:t>6</w:t>
    </w:r>
    <w:r w:rsidRPr="00C12FBB">
      <w:rPr>
        <w:rFonts w:ascii="Times New Roman" w:hAnsi="Times New Roman"/>
      </w:rPr>
      <w:fldChar w:fldCharType="end"/>
    </w:r>
  </w:p>
  <w:p w:rsidR="00691EE9" w:rsidRDefault="0069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89F" w:rsidRDefault="00ED489F">
      <w:r>
        <w:separator/>
      </w:r>
    </w:p>
  </w:footnote>
  <w:footnote w:type="continuationSeparator" w:id="0">
    <w:p w:rsidR="00ED489F" w:rsidRDefault="00ED4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29031EC"/>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DE313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rPr>
          <w:b/>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A00"/>
    <w:rsid w:val="0001127C"/>
    <w:rsid w:val="00031F99"/>
    <w:rsid w:val="00043859"/>
    <w:rsid w:val="000500AB"/>
    <w:rsid w:val="0005384F"/>
    <w:rsid w:val="00070288"/>
    <w:rsid w:val="000B13E8"/>
    <w:rsid w:val="000B1A00"/>
    <w:rsid w:val="000F4404"/>
    <w:rsid w:val="001068D7"/>
    <w:rsid w:val="00114DAE"/>
    <w:rsid w:val="00143E88"/>
    <w:rsid w:val="00160DCD"/>
    <w:rsid w:val="00162595"/>
    <w:rsid w:val="00163178"/>
    <w:rsid w:val="0018783F"/>
    <w:rsid w:val="001C70ED"/>
    <w:rsid w:val="001D4054"/>
    <w:rsid w:val="001D42AC"/>
    <w:rsid w:val="001E7A21"/>
    <w:rsid w:val="001F4CFE"/>
    <w:rsid w:val="00200C02"/>
    <w:rsid w:val="0021203B"/>
    <w:rsid w:val="002313DB"/>
    <w:rsid w:val="00234374"/>
    <w:rsid w:val="00240172"/>
    <w:rsid w:val="0029713B"/>
    <w:rsid w:val="002B2A1D"/>
    <w:rsid w:val="002C2BA1"/>
    <w:rsid w:val="002D32A3"/>
    <w:rsid w:val="002D7974"/>
    <w:rsid w:val="002E42FA"/>
    <w:rsid w:val="00300F72"/>
    <w:rsid w:val="0030305A"/>
    <w:rsid w:val="00345FBA"/>
    <w:rsid w:val="003524F1"/>
    <w:rsid w:val="0038535F"/>
    <w:rsid w:val="0038756A"/>
    <w:rsid w:val="00392390"/>
    <w:rsid w:val="003C7CD1"/>
    <w:rsid w:val="003D0DB5"/>
    <w:rsid w:val="003E3C09"/>
    <w:rsid w:val="003E5B6C"/>
    <w:rsid w:val="00412253"/>
    <w:rsid w:val="004139D0"/>
    <w:rsid w:val="004210ED"/>
    <w:rsid w:val="00432259"/>
    <w:rsid w:val="00451A7F"/>
    <w:rsid w:val="00462404"/>
    <w:rsid w:val="004A7DCB"/>
    <w:rsid w:val="004B32BD"/>
    <w:rsid w:val="004C0714"/>
    <w:rsid w:val="00515817"/>
    <w:rsid w:val="00530DE6"/>
    <w:rsid w:val="005313A4"/>
    <w:rsid w:val="005852A8"/>
    <w:rsid w:val="005A7036"/>
    <w:rsid w:val="005B01FF"/>
    <w:rsid w:val="005D0D37"/>
    <w:rsid w:val="005F60FF"/>
    <w:rsid w:val="006106FA"/>
    <w:rsid w:val="00691EE9"/>
    <w:rsid w:val="006A505F"/>
    <w:rsid w:val="006B42A6"/>
    <w:rsid w:val="006C6AA6"/>
    <w:rsid w:val="006D7F93"/>
    <w:rsid w:val="006E40AA"/>
    <w:rsid w:val="006E74F6"/>
    <w:rsid w:val="006F0D35"/>
    <w:rsid w:val="006F5A3D"/>
    <w:rsid w:val="00713CF5"/>
    <w:rsid w:val="00717ECE"/>
    <w:rsid w:val="007627B5"/>
    <w:rsid w:val="00764893"/>
    <w:rsid w:val="00764F04"/>
    <w:rsid w:val="007658F9"/>
    <w:rsid w:val="0077672D"/>
    <w:rsid w:val="007B4D71"/>
    <w:rsid w:val="007D297E"/>
    <w:rsid w:val="007D654A"/>
    <w:rsid w:val="007E7FA9"/>
    <w:rsid w:val="008009A2"/>
    <w:rsid w:val="00805EAD"/>
    <w:rsid w:val="00807A15"/>
    <w:rsid w:val="00816D54"/>
    <w:rsid w:val="00836E98"/>
    <w:rsid w:val="00845E12"/>
    <w:rsid w:val="0086106D"/>
    <w:rsid w:val="008A3176"/>
    <w:rsid w:val="008B5605"/>
    <w:rsid w:val="008D33EE"/>
    <w:rsid w:val="008D7CBB"/>
    <w:rsid w:val="008E6A70"/>
    <w:rsid w:val="008F386B"/>
    <w:rsid w:val="009310B4"/>
    <w:rsid w:val="00932BD8"/>
    <w:rsid w:val="00953B7B"/>
    <w:rsid w:val="0096355A"/>
    <w:rsid w:val="00964098"/>
    <w:rsid w:val="009743EC"/>
    <w:rsid w:val="00977DC6"/>
    <w:rsid w:val="0099758F"/>
    <w:rsid w:val="009A2C60"/>
    <w:rsid w:val="00A07C3A"/>
    <w:rsid w:val="00A22BE2"/>
    <w:rsid w:val="00A30C99"/>
    <w:rsid w:val="00A56B22"/>
    <w:rsid w:val="00A65B4C"/>
    <w:rsid w:val="00A66B36"/>
    <w:rsid w:val="00A73EDE"/>
    <w:rsid w:val="00A76883"/>
    <w:rsid w:val="00A901A4"/>
    <w:rsid w:val="00A93491"/>
    <w:rsid w:val="00AA034E"/>
    <w:rsid w:val="00AB3457"/>
    <w:rsid w:val="00AC5F5D"/>
    <w:rsid w:val="00AD2881"/>
    <w:rsid w:val="00AF2C6E"/>
    <w:rsid w:val="00AF3A1E"/>
    <w:rsid w:val="00AF3E26"/>
    <w:rsid w:val="00B0349A"/>
    <w:rsid w:val="00B148FE"/>
    <w:rsid w:val="00B21187"/>
    <w:rsid w:val="00B261BB"/>
    <w:rsid w:val="00B26D20"/>
    <w:rsid w:val="00B72A8B"/>
    <w:rsid w:val="00B75DCF"/>
    <w:rsid w:val="00B942DF"/>
    <w:rsid w:val="00BA2D8C"/>
    <w:rsid w:val="00BE37B2"/>
    <w:rsid w:val="00BE4747"/>
    <w:rsid w:val="00C12FBB"/>
    <w:rsid w:val="00C444A5"/>
    <w:rsid w:val="00C50136"/>
    <w:rsid w:val="00C81E56"/>
    <w:rsid w:val="00C9085C"/>
    <w:rsid w:val="00C96D93"/>
    <w:rsid w:val="00CB267A"/>
    <w:rsid w:val="00CB5847"/>
    <w:rsid w:val="00CB72C1"/>
    <w:rsid w:val="00CC7774"/>
    <w:rsid w:val="00CF2562"/>
    <w:rsid w:val="00D76600"/>
    <w:rsid w:val="00DA69DC"/>
    <w:rsid w:val="00DB06FE"/>
    <w:rsid w:val="00DC71DE"/>
    <w:rsid w:val="00DE6D27"/>
    <w:rsid w:val="00DF58EE"/>
    <w:rsid w:val="00E06DCC"/>
    <w:rsid w:val="00E1518D"/>
    <w:rsid w:val="00E234F4"/>
    <w:rsid w:val="00E23747"/>
    <w:rsid w:val="00E61ABD"/>
    <w:rsid w:val="00EA4122"/>
    <w:rsid w:val="00EB35FF"/>
    <w:rsid w:val="00EB4E46"/>
    <w:rsid w:val="00EC2095"/>
    <w:rsid w:val="00EC3282"/>
    <w:rsid w:val="00EC4875"/>
    <w:rsid w:val="00EC5499"/>
    <w:rsid w:val="00EC663D"/>
    <w:rsid w:val="00ED489F"/>
    <w:rsid w:val="00EE38D9"/>
    <w:rsid w:val="00EF4537"/>
    <w:rsid w:val="00EF7A8F"/>
    <w:rsid w:val="00F008B0"/>
    <w:rsid w:val="00FA2EE8"/>
    <w:rsid w:val="00FB28A5"/>
    <w:rsid w:val="00FE17A8"/>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783F"/>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character" w:customStyle="1" w:styleId="documentbody1">
    <w:name w:val="documentbody1"/>
    <w:rsid w:val="00A66B36"/>
    <w:rPr>
      <w:rFonts w:ascii="Verdana" w:hAnsi="Verdana" w:hint="default"/>
      <w:sz w:val="19"/>
      <w:szCs w:val="19"/>
    </w:rPr>
  </w:style>
  <w:style w:type="paragraph" w:styleId="FootnoteText">
    <w:name w:val="footnote text"/>
    <w:basedOn w:val="Normal"/>
    <w:semiHidden/>
    <w:rsid w:val="00977DC6"/>
    <w:pPr>
      <w:widowControl/>
      <w:autoSpaceDE/>
      <w:autoSpaceDN/>
      <w:adjustRightInd/>
    </w:pPr>
    <w:rPr>
      <w:rFonts w:ascii="Arial" w:hAnsi="Arial"/>
      <w:sz w:val="20"/>
      <w:szCs w:val="20"/>
    </w:rPr>
  </w:style>
  <w:style w:type="paragraph" w:styleId="BalloonText">
    <w:name w:val="Balloon Text"/>
    <w:basedOn w:val="Normal"/>
    <w:semiHidden/>
    <w:rsid w:val="00515817"/>
    <w:rPr>
      <w:rFonts w:ascii="Arial" w:hAnsi="Arial" w:cs="Arial"/>
      <w:sz w:val="16"/>
      <w:szCs w:val="16"/>
    </w:rPr>
  </w:style>
  <w:style w:type="table" w:styleId="TableGrid">
    <w:name w:val="Table Grid"/>
    <w:basedOn w:val="TableNormal"/>
    <w:rsid w:val="00421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C12FBB"/>
    <w:rPr>
      <w:rFonts w:ascii="Courier" w:hAnsi="Courier"/>
      <w:sz w:val="24"/>
      <w:szCs w:val="24"/>
    </w:rPr>
  </w:style>
  <w:style w:type="character" w:styleId="FollowedHyperlink">
    <w:name w:val="FollowedHyperlink"/>
    <w:rsid w:val="00EC3282"/>
    <w:rPr>
      <w:color w:val="800080"/>
      <w:u w:val="single"/>
    </w:rPr>
  </w:style>
  <w:style w:type="character" w:styleId="CommentReference">
    <w:name w:val="annotation reference"/>
    <w:rsid w:val="001C70ED"/>
    <w:rPr>
      <w:sz w:val="16"/>
      <w:szCs w:val="16"/>
    </w:rPr>
  </w:style>
  <w:style w:type="paragraph" w:styleId="CommentText">
    <w:name w:val="annotation text"/>
    <w:basedOn w:val="Normal"/>
    <w:link w:val="CommentTextChar"/>
    <w:rsid w:val="001C70ED"/>
    <w:rPr>
      <w:sz w:val="20"/>
      <w:szCs w:val="20"/>
    </w:rPr>
  </w:style>
  <w:style w:type="character" w:customStyle="1" w:styleId="CommentTextChar">
    <w:name w:val="Comment Text Char"/>
    <w:link w:val="CommentText"/>
    <w:rsid w:val="001C70ED"/>
    <w:rPr>
      <w:rFonts w:ascii="Courier" w:hAnsi="Courier"/>
    </w:rPr>
  </w:style>
  <w:style w:type="paragraph" w:styleId="CommentSubject">
    <w:name w:val="annotation subject"/>
    <w:basedOn w:val="CommentText"/>
    <w:next w:val="CommentText"/>
    <w:link w:val="CommentSubjectChar"/>
    <w:rsid w:val="001C70ED"/>
    <w:rPr>
      <w:b/>
      <w:bCs/>
    </w:rPr>
  </w:style>
  <w:style w:type="character" w:customStyle="1" w:styleId="CommentSubjectChar">
    <w:name w:val="Comment Subject Char"/>
    <w:link w:val="CommentSubject"/>
    <w:rsid w:val="001C70E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dcterms:created xsi:type="dcterms:W3CDTF">2020-05-06T19:22:00Z</dcterms:created>
  <dcterms:modified xsi:type="dcterms:W3CDTF">2020-05-06T19:22:00Z</dcterms:modified>
</cp:coreProperties>
</file>