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30C3" w:rsidR="003630C3" w:rsidP="003630C3" w:rsidRDefault="003630C3">
      <w:pPr>
        <w:spacing w:after="0" w:line="240" w:lineRule="auto"/>
        <w:rPr>
          <w:rFonts w:ascii="Arial" w:hAnsi="Arial" w:eastAsia="Times New Roman" w:cs="Arial"/>
          <w:color w:val="32434F"/>
        </w:rPr>
      </w:pPr>
      <w:bookmarkStart w:name="hl1" w:id="0"/>
      <w:r w:rsidRPr="003630C3">
        <w:rPr>
          <w:rFonts w:ascii="Arial" w:hAnsi="Arial" w:eastAsia="Times New Roman" w:cs="Arial"/>
          <w:b/>
          <w:bCs/>
          <w:color w:val="000000"/>
          <w:shd w:val="clear" w:color="auto" w:fill="FFFF00"/>
        </w:rPr>
        <w:t>15 USC 717</w:t>
      </w:r>
      <w:bookmarkEnd w:id="0"/>
      <w:r w:rsidRPr="003630C3">
        <w:rPr>
          <w:rFonts w:ascii="Arial" w:hAnsi="Arial" w:eastAsia="Times New Roman" w:cs="Arial"/>
          <w:b/>
          <w:bCs/>
          <w:color w:val="32434F"/>
        </w:rPr>
        <w:t xml:space="preserve"> : Regulation of natural gas companies</w:t>
      </w:r>
      <w:r w:rsidRPr="003630C3">
        <w:rPr>
          <w:rFonts w:ascii="Arial" w:hAnsi="Arial" w:eastAsia="Times New Roman" w:cs="Arial"/>
          <w:color w:val="32434F"/>
        </w:rPr>
        <w:t xml:space="preserve"> Text contains those laws in effect on February 10, 2020 </w:t>
      </w:r>
    </w:p>
    <w:p w:rsidRPr="003630C3" w:rsidR="003630C3" w:rsidP="003630C3" w:rsidRDefault="003630C3">
      <w:pPr>
        <w:spacing w:after="0" w:line="240" w:lineRule="auto"/>
        <w:rPr>
          <w:rFonts w:ascii="Arial" w:hAnsi="Arial" w:eastAsia="Times New Roman" w:cs="Arial"/>
          <w:color w:val="32434F"/>
        </w:rPr>
      </w:pPr>
      <w:r w:rsidRPr="003630C3">
        <w:rPr>
          <w:rFonts w:ascii="Arial" w:hAnsi="Arial" w:eastAsia="Times New Roman" w:cs="Arial"/>
          <w:b/>
          <w:bCs/>
          <w:color w:val="000000"/>
        </w:rPr>
        <w:t xml:space="preserve">From Title </w:t>
      </w:r>
      <w:bookmarkStart w:name="hl2" w:id="1"/>
      <w:r w:rsidRPr="003630C3">
        <w:rPr>
          <w:rFonts w:ascii="Arial" w:hAnsi="Arial" w:eastAsia="Times New Roman" w:cs="Arial"/>
          <w:b/>
          <w:bCs/>
          <w:color w:val="000000"/>
          <w:shd w:val="clear" w:color="auto" w:fill="FFFF00"/>
        </w:rPr>
        <w:t>15</w:t>
      </w:r>
      <w:bookmarkEnd w:id="1"/>
      <w:r w:rsidRPr="003630C3">
        <w:rPr>
          <w:rFonts w:ascii="Arial" w:hAnsi="Arial" w:eastAsia="Times New Roman" w:cs="Arial"/>
          <w:b/>
          <w:bCs/>
          <w:color w:val="000000"/>
        </w:rPr>
        <w:t>-COMMERCE AND TRADE</w:t>
      </w:r>
      <w:r w:rsidRPr="003630C3">
        <w:rPr>
          <w:rFonts w:ascii="Arial" w:hAnsi="Arial" w:eastAsia="Times New Roman" w:cs="Arial"/>
          <w:color w:val="000000"/>
        </w:rPr>
        <w:t>CHAPTER 15B-NATURAL GAS</w:t>
      </w:r>
      <w:r w:rsidRPr="003630C3">
        <w:rPr>
          <w:rFonts w:ascii="Arial" w:hAnsi="Arial" w:eastAsia="Times New Roman" w:cs="Arial"/>
          <w:color w:val="32434F"/>
        </w:rPr>
        <w:t xml:space="preserve"> </w:t>
      </w:r>
    </w:p>
    <w:p w:rsidRPr="003630C3" w:rsidR="003630C3" w:rsidP="003630C3" w:rsidRDefault="003630C3">
      <w:pPr>
        <w:spacing w:after="75" w:line="240" w:lineRule="auto"/>
        <w:rPr>
          <w:rFonts w:ascii="Arial" w:hAnsi="Arial" w:eastAsia="Times New Roman" w:cs="Arial"/>
          <w:color w:val="32434F"/>
        </w:rPr>
      </w:pPr>
      <w:r w:rsidRPr="003630C3">
        <w:rPr>
          <w:rFonts w:ascii="Arial" w:hAnsi="Arial" w:eastAsia="Times New Roman" w:cs="Arial"/>
          <w:b/>
          <w:bCs/>
          <w:color w:val="000000"/>
        </w:rPr>
        <w:t xml:space="preserve">Jump To: </w:t>
      </w:r>
      <w:hyperlink w:history="1" w:anchor="sourcecredit" r:id="rId6">
        <w:r w:rsidRPr="003630C3">
          <w:rPr>
            <w:rFonts w:ascii="Arial" w:hAnsi="Arial" w:eastAsia="Times New Roman" w:cs="Arial"/>
            <w:color w:val="6F0B0B"/>
            <w:u w:val="single"/>
          </w:rPr>
          <w:t xml:space="preserve">Source </w:t>
        </w:r>
        <w:proofErr w:type="spellStart"/>
        <w:r w:rsidRPr="003630C3">
          <w:rPr>
            <w:rFonts w:ascii="Arial" w:hAnsi="Arial" w:eastAsia="Times New Roman" w:cs="Arial"/>
            <w:color w:val="6F0B0B"/>
            <w:u w:val="single"/>
          </w:rPr>
          <w:t>Credit</w:t>
        </w:r>
      </w:hyperlink>
      <w:hyperlink w:history="1" w:anchor="amendment-note" r:id="rId7">
        <w:r w:rsidRPr="003630C3">
          <w:rPr>
            <w:rFonts w:ascii="Arial" w:hAnsi="Arial" w:eastAsia="Times New Roman" w:cs="Arial"/>
            <w:color w:val="6F0B0B"/>
            <w:u w:val="single"/>
          </w:rPr>
          <w:t>Amendments</w:t>
        </w:r>
      </w:hyperlink>
      <w:hyperlink w:history="1" w:anchor="regulations-note" r:id="rId8">
        <w:r w:rsidRPr="003630C3">
          <w:rPr>
            <w:rFonts w:ascii="Arial" w:hAnsi="Arial" w:eastAsia="Times New Roman" w:cs="Arial"/>
            <w:color w:val="6F0B0B"/>
            <w:u w:val="single"/>
          </w:rPr>
          <w:t>Regulations</w:t>
        </w:r>
      </w:hyperlink>
      <w:hyperlink w:history="1" w:anchor="miscellaneous-note" r:id="rId9">
        <w:r w:rsidRPr="003630C3">
          <w:rPr>
            <w:rFonts w:ascii="Arial" w:hAnsi="Arial" w:eastAsia="Times New Roman" w:cs="Arial"/>
            <w:color w:val="6F0B0B"/>
            <w:u w:val="single"/>
          </w:rPr>
          <w:t>Miscellaneous</w:t>
        </w:r>
      </w:hyperlink>
      <w:hyperlink w:history="1" w:anchor="executivedocument-note" r:id="rId10">
        <w:r w:rsidRPr="003630C3">
          <w:rPr>
            <w:rFonts w:ascii="Arial" w:hAnsi="Arial" w:eastAsia="Times New Roman" w:cs="Arial"/>
            <w:color w:val="6F0B0B"/>
            <w:u w:val="single"/>
          </w:rPr>
          <w:t>Executive</w:t>
        </w:r>
        <w:proofErr w:type="spellEnd"/>
        <w:r w:rsidRPr="003630C3">
          <w:rPr>
            <w:rFonts w:ascii="Arial" w:hAnsi="Arial" w:eastAsia="Times New Roman" w:cs="Arial"/>
            <w:color w:val="6F0B0B"/>
            <w:u w:val="single"/>
          </w:rPr>
          <w:t xml:space="preserve"> Documents</w:t>
        </w:r>
      </w:hyperlink>
    </w:p>
    <w:p w:rsidR="00E704E3" w:rsidRDefault="00E704E3"/>
    <w:p w:rsidRPr="003630C3" w:rsidR="003630C3" w:rsidP="003630C3" w:rsidRDefault="003630C3">
      <w:pPr>
        <w:spacing w:before="105" w:after="45" w:line="240" w:lineRule="auto"/>
        <w:ind w:hanging="240"/>
        <w:outlineLvl w:val="3"/>
        <w:rPr>
          <w:rFonts w:ascii="Arial" w:hAnsi="Arial" w:eastAsia="Times New Roman" w:cs="Arial"/>
          <w:b/>
          <w:bCs/>
          <w:sz w:val="24"/>
          <w:szCs w:val="24"/>
        </w:rPr>
      </w:pPr>
      <w:r w:rsidRPr="003630C3">
        <w:rPr>
          <w:rFonts w:ascii="Arial" w:hAnsi="Arial" w:eastAsia="Times New Roman" w:cs="Arial"/>
          <w:b/>
          <w:bCs/>
          <w:sz w:val="24"/>
          <w:szCs w:val="24"/>
        </w:rPr>
        <w:t>(</w:t>
      </w:r>
      <w:bookmarkStart w:name="hl5" w:id="2"/>
      <w:r w:rsidRPr="003630C3">
        <w:rPr>
          <w:rFonts w:ascii="Arial" w:hAnsi="Arial" w:eastAsia="Times New Roman" w:cs="Arial"/>
          <w:b/>
          <w:bCs/>
          <w:color w:val="000000"/>
          <w:sz w:val="24"/>
          <w:szCs w:val="24"/>
          <w:shd w:val="clear" w:color="auto" w:fill="FFFF00"/>
        </w:rPr>
        <w:t>c</w:t>
      </w:r>
      <w:bookmarkEnd w:id="2"/>
      <w:r w:rsidRPr="003630C3">
        <w:rPr>
          <w:rFonts w:ascii="Arial" w:hAnsi="Arial" w:eastAsia="Times New Roman" w:cs="Arial"/>
          <w:b/>
          <w:bCs/>
          <w:sz w:val="24"/>
          <w:szCs w:val="24"/>
        </w:rPr>
        <w:t>) Intrastate transactions exempt from provisions of chapter; certification from State commission as conclusive evidence</w:t>
      </w:r>
    </w:p>
    <w:p w:rsidRPr="003630C3" w:rsidR="003630C3" w:rsidP="003630C3" w:rsidRDefault="003630C3">
      <w:pPr>
        <w:spacing w:after="75" w:line="240" w:lineRule="auto"/>
        <w:ind w:firstLine="240"/>
        <w:rPr>
          <w:rFonts w:ascii="Arial" w:hAnsi="Arial" w:eastAsia="Times New Roman" w:cs="Arial"/>
        </w:rPr>
      </w:pPr>
      <w:r w:rsidRPr="003630C3">
        <w:rPr>
          <w:rFonts w:ascii="Arial" w:hAnsi="Arial" w:eastAsia="Times New Roman" w:cs="Arial"/>
        </w:rPr>
        <w:t>The provisions of this chapter shall not apply to any person engaged in or legally authorized to engage in the transportation in interstate commerce or the sale in interstate commerce for resale,</w:t>
      </w:r>
      <w:bookmarkStart w:name="_GoBack" w:id="3"/>
      <w:bookmarkEnd w:id="3"/>
      <w:r w:rsidRPr="003630C3">
        <w:rPr>
          <w:rFonts w:ascii="Arial" w:hAnsi="Arial" w:eastAsia="Times New Roman" w:cs="Arial"/>
        </w:rPr>
        <w:t xml:space="preserve"> of natural gas received by such person from another person within or at the boundary of a State if all the natural gas so received is ultimately consumed within such State, or to any facilities used by such person for such transportation or sale, provided that the rates and service of such person and facilities be subject to regulation by a State commission. The matters exempted from the provisions of this chapter by this subsection are declared to be matters primarily of local concern and subject to regulation by the several States. A certification from such State commission to the Federal Power Commission that such State commission has regulatory jurisdiction over rates and service of such person and facilities and is exercising such jurisdiction shall constitute conclusive evidence of such regulatory power or jurisdiction.</w:t>
      </w:r>
    </w:p>
    <w:p w:rsidR="003630C3" w:rsidRDefault="003630C3"/>
    <w:sectPr w:rsidR="003630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0C3" w:rsidRDefault="003630C3" w:rsidP="003630C3">
      <w:pPr>
        <w:spacing w:after="0" w:line="240" w:lineRule="auto"/>
      </w:pPr>
      <w:r>
        <w:separator/>
      </w:r>
    </w:p>
  </w:endnote>
  <w:endnote w:type="continuationSeparator" w:id="0">
    <w:p w:rsidR="003630C3" w:rsidRDefault="003630C3" w:rsidP="0036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0C3" w:rsidRDefault="003630C3" w:rsidP="003630C3">
      <w:pPr>
        <w:spacing w:after="0" w:line="240" w:lineRule="auto"/>
      </w:pPr>
      <w:r>
        <w:separator/>
      </w:r>
    </w:p>
  </w:footnote>
  <w:footnote w:type="continuationSeparator" w:id="0">
    <w:p w:rsidR="003630C3" w:rsidRDefault="003630C3" w:rsidP="00363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C3"/>
    <w:rsid w:val="003630C3"/>
    <w:rsid w:val="00E7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2B8F"/>
  <w15:chartTrackingRefBased/>
  <w15:docId w15:val="{E19DDABE-C36C-4413-B646-BA889C0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877075">
      <w:bodyDiv w:val="1"/>
      <w:marLeft w:val="720"/>
      <w:marRight w:val="0"/>
      <w:marTop w:val="0"/>
      <w:marBottom w:val="0"/>
      <w:divBdr>
        <w:top w:val="none" w:sz="0" w:space="0" w:color="auto"/>
        <w:left w:val="none" w:sz="0" w:space="0" w:color="auto"/>
        <w:bottom w:val="none" w:sz="0" w:space="0" w:color="auto"/>
        <w:right w:val="none" w:sz="0" w:space="0" w:color="auto"/>
      </w:divBdr>
      <w:divsChild>
        <w:div w:id="1862938706">
          <w:marLeft w:val="75"/>
          <w:marRight w:val="75"/>
          <w:marTop w:val="75"/>
          <w:marBottom w:val="75"/>
          <w:divBdr>
            <w:top w:val="none" w:sz="0" w:space="0" w:color="auto"/>
            <w:left w:val="none" w:sz="0" w:space="0" w:color="auto"/>
            <w:bottom w:val="none" w:sz="0" w:space="0" w:color="auto"/>
            <w:right w:val="none" w:sz="0" w:space="0" w:color="auto"/>
          </w:divBdr>
          <w:divsChild>
            <w:div w:id="155850069">
              <w:marLeft w:val="0"/>
              <w:marRight w:val="0"/>
              <w:marTop w:val="0"/>
              <w:marBottom w:val="0"/>
              <w:divBdr>
                <w:top w:val="none" w:sz="0" w:space="0" w:color="auto"/>
                <w:left w:val="none" w:sz="0" w:space="0" w:color="auto"/>
                <w:bottom w:val="none" w:sz="0" w:space="0" w:color="auto"/>
                <w:right w:val="none" w:sz="0" w:space="0" w:color="auto"/>
              </w:divBdr>
              <w:divsChild>
                <w:div w:id="486022456">
                  <w:marLeft w:val="0"/>
                  <w:marRight w:val="0"/>
                  <w:marTop w:val="0"/>
                  <w:marBottom w:val="0"/>
                  <w:divBdr>
                    <w:top w:val="none" w:sz="0" w:space="0" w:color="auto"/>
                    <w:left w:val="none" w:sz="0" w:space="0" w:color="auto"/>
                    <w:bottom w:val="none" w:sz="0" w:space="0" w:color="auto"/>
                    <w:right w:val="none" w:sz="0" w:space="0" w:color="auto"/>
                  </w:divBdr>
                  <w:divsChild>
                    <w:div w:id="2078168744">
                      <w:marLeft w:val="0"/>
                      <w:marRight w:val="0"/>
                      <w:marTop w:val="0"/>
                      <w:marBottom w:val="0"/>
                      <w:divBdr>
                        <w:top w:val="none" w:sz="0" w:space="0" w:color="auto"/>
                        <w:left w:val="none" w:sz="0" w:space="0" w:color="auto"/>
                        <w:bottom w:val="none" w:sz="0" w:space="0" w:color="auto"/>
                        <w:right w:val="none" w:sz="0" w:space="0" w:color="auto"/>
                      </w:divBdr>
                      <w:divsChild>
                        <w:div w:id="714743543">
                          <w:marLeft w:val="0"/>
                          <w:marRight w:val="0"/>
                          <w:marTop w:val="0"/>
                          <w:marBottom w:val="0"/>
                          <w:divBdr>
                            <w:top w:val="single" w:sz="18" w:space="8" w:color="CFC2B2"/>
                            <w:left w:val="single" w:sz="18" w:space="8" w:color="CFC2B2"/>
                            <w:bottom w:val="single" w:sz="18" w:space="8" w:color="CFC2B2"/>
                            <w:right w:val="single" w:sz="18" w:space="8" w:color="CFC2B2"/>
                          </w:divBdr>
                          <w:divsChild>
                            <w:div w:id="572275580">
                              <w:marLeft w:val="0"/>
                              <w:marRight w:val="0"/>
                              <w:marTop w:val="150"/>
                              <w:marBottom w:val="0"/>
                              <w:divBdr>
                                <w:top w:val="none" w:sz="0" w:space="0" w:color="auto"/>
                                <w:left w:val="none" w:sz="0" w:space="0" w:color="auto"/>
                                <w:bottom w:val="none" w:sz="0" w:space="0" w:color="auto"/>
                                <w:right w:val="none" w:sz="0" w:space="0" w:color="auto"/>
                              </w:divBdr>
                            </w:div>
                            <w:div w:id="2311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46656">
      <w:bodyDiv w:val="1"/>
      <w:marLeft w:val="720"/>
      <w:marRight w:val="0"/>
      <w:marTop w:val="0"/>
      <w:marBottom w:val="0"/>
      <w:divBdr>
        <w:top w:val="none" w:sz="0" w:space="0" w:color="auto"/>
        <w:left w:val="none" w:sz="0" w:space="0" w:color="auto"/>
        <w:bottom w:val="none" w:sz="0" w:space="0" w:color="auto"/>
        <w:right w:val="none" w:sz="0" w:space="0" w:color="auto"/>
      </w:divBdr>
      <w:divsChild>
        <w:div w:id="2092048166">
          <w:marLeft w:val="75"/>
          <w:marRight w:val="75"/>
          <w:marTop w:val="75"/>
          <w:marBottom w:val="75"/>
          <w:divBdr>
            <w:top w:val="none" w:sz="0" w:space="0" w:color="auto"/>
            <w:left w:val="none" w:sz="0" w:space="0" w:color="auto"/>
            <w:bottom w:val="none" w:sz="0" w:space="0" w:color="auto"/>
            <w:right w:val="none" w:sz="0" w:space="0" w:color="auto"/>
          </w:divBdr>
          <w:divsChild>
            <w:div w:id="1716151359">
              <w:marLeft w:val="0"/>
              <w:marRight w:val="0"/>
              <w:marTop w:val="0"/>
              <w:marBottom w:val="0"/>
              <w:divBdr>
                <w:top w:val="none" w:sz="0" w:space="0" w:color="auto"/>
                <w:left w:val="none" w:sz="0" w:space="0" w:color="auto"/>
                <w:bottom w:val="none" w:sz="0" w:space="0" w:color="auto"/>
                <w:right w:val="none" w:sz="0" w:space="0" w:color="auto"/>
              </w:divBdr>
              <w:divsChild>
                <w:div w:id="1524393330">
                  <w:marLeft w:val="0"/>
                  <w:marRight w:val="0"/>
                  <w:marTop w:val="0"/>
                  <w:marBottom w:val="0"/>
                  <w:divBdr>
                    <w:top w:val="none" w:sz="0" w:space="0" w:color="auto"/>
                    <w:left w:val="none" w:sz="0" w:space="0" w:color="auto"/>
                    <w:bottom w:val="none" w:sz="0" w:space="0" w:color="auto"/>
                    <w:right w:val="none" w:sz="0" w:space="0" w:color="auto"/>
                  </w:divBdr>
                  <w:divsChild>
                    <w:div w:id="4599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15+USC+717+%28c%29&amp;f=treesort&amp;fq=true&amp;num=69&amp;hl=true&amp;edition=prelim&amp;granuleId=USC-prelim-title15-section717" TargetMode="External"/><Relationship Id="rId3" Type="http://schemas.openxmlformats.org/officeDocument/2006/relationships/webSettings" Target="webSettings.xml"/><Relationship Id="rId7" Type="http://schemas.openxmlformats.org/officeDocument/2006/relationships/hyperlink" Target="https://uscode.house.gov/view.xhtml?req=15+USC+717+%28c%29&amp;f=treesort&amp;fq=true&amp;num=69&amp;hl=true&amp;edition=prelim&amp;granuleId=USC-prelim-title15-section7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code.house.gov/view.xhtml?req=15+USC+717+%28c%29&amp;f=treesort&amp;fq=true&amp;num=69&amp;hl=true&amp;edition=prelim&amp;granuleId=USC-prelim-title15-section7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uscode.house.gov/view.xhtml?req=15+USC+717+%28c%29&amp;f=treesort&amp;fq=true&amp;num=69&amp;hl=true&amp;edition=prelim&amp;granuleId=USC-prelim-title15-section717" TargetMode="External"/><Relationship Id="rId4" Type="http://schemas.openxmlformats.org/officeDocument/2006/relationships/footnotes" Target="footnotes.xml"/><Relationship Id="rId9" Type="http://schemas.openxmlformats.org/officeDocument/2006/relationships/hyperlink" Target="https://uscode.house.gov/view.xhtml?req=15+USC+717+%28c%29&amp;f=treesort&amp;fq=true&amp;num=69&amp;hl=true&amp;edition=prelim&amp;granuleId=USC-prelim-title15-section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1</cp:revision>
  <dcterms:created xsi:type="dcterms:W3CDTF">2020-02-11T18:32:00Z</dcterms:created>
  <dcterms:modified xsi:type="dcterms:W3CDTF">2020-02-11T18:34:00Z</dcterms:modified>
</cp:coreProperties>
</file>