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72D087FF" w14:textId="77777777" w:rsidR="00D001E4" w:rsidRDefault="00711414">
          <w:pPr>
            <w:rPr>
              <w:noProof/>
            </w:rPr>
          </w:pPr>
          <w:r>
            <w:rPr>
              <w:noProof/>
            </w:rPr>
            <mc:AlternateContent>
              <mc:Choice Requires="wps">
                <w:drawing>
                  <wp:anchor distT="0" distB="0" distL="114300" distR="114300" simplePos="0" relativeHeight="251658242" behindDoc="1" locked="0" layoutInCell="1" allowOverlap="1" wp14:anchorId="7BD9F5F2" wp14:editId="73BD4929">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1D5658" id="Rectangle 27" o:spid="_x0000_s1026"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58241" behindDoc="0" locked="0" layoutInCell="1" allowOverlap="1" wp14:anchorId="3FAC9AA9" wp14:editId="5BB62D78">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3"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8243" behindDoc="0" locked="0" layoutInCell="1" allowOverlap="1" wp14:anchorId="76FB39E5" wp14:editId="1EE8F636">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09686D"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44FE35A0" w14:textId="77777777" w:rsidR="00041909" w:rsidRDefault="001F3A8F" w:rsidP="00D928FD">
          <w:pPr>
            <w:ind w:left="1080"/>
          </w:pPr>
          <w:r>
            <w:rPr>
              <w:noProof/>
            </w:rPr>
            <w:softHyphen/>
          </w:r>
          <w:r>
            <w:rPr>
              <w:noProof/>
            </w:rPr>
            <w:softHyphen/>
          </w:r>
          <w:r>
            <w:rPr>
              <w:noProof/>
            </w:rPr>
            <w:softHyphen/>
          </w:r>
        </w:p>
      </w:sdtContent>
    </w:sdt>
    <w:p w14:paraId="675C1BDB"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53A58D81" w14:textId="211B7F34" w:rsidR="00711414" w:rsidRDefault="005F212E"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Electric Power and Renewable Surveys</w:t>
          </w:r>
        </w:p>
      </w:sdtContent>
    </w:sdt>
    <w:p w14:paraId="4627A54D" w14:textId="42DE7EB0" w:rsidR="001805F8" w:rsidRPr="001805F8" w:rsidRDefault="007E53C4" w:rsidP="00932E7D">
      <w:pPr>
        <w:pStyle w:val="Left05Indent"/>
        <w:ind w:left="0"/>
      </w:pPr>
      <w:bookmarkStart w:id="1" w:name="_Toc536707012"/>
      <w:r w:rsidRPr="00932E7D">
        <w:rPr>
          <w:rFonts w:asciiTheme="majorHAnsi" w:eastAsiaTheme="majorEastAsia" w:hAnsiTheme="majorHAnsi" w:cstheme="majorBidi"/>
          <w:b/>
          <w:bCs/>
          <w:sz w:val="44"/>
          <w:szCs w:val="44"/>
        </w:rPr>
        <w:t>Part B</w:t>
      </w:r>
      <w:r w:rsidR="00EE2CAF" w:rsidRPr="00932E7D">
        <w:rPr>
          <w:rFonts w:asciiTheme="majorHAnsi" w:eastAsiaTheme="majorEastAsia" w:hAnsiTheme="majorHAnsi" w:cstheme="majorBidi"/>
          <w:b/>
          <w:bCs/>
          <w:sz w:val="44"/>
          <w:szCs w:val="44"/>
        </w:rPr>
        <w:t xml:space="preserve">: </w:t>
      </w:r>
      <w:r w:rsidRPr="00932E7D">
        <w:rPr>
          <w:rFonts w:asciiTheme="majorHAnsi" w:eastAsiaTheme="majorEastAsia" w:hAnsiTheme="majorHAnsi" w:cstheme="majorBidi"/>
          <w:b/>
          <w:bCs/>
          <w:sz w:val="44"/>
          <w:szCs w:val="44"/>
        </w:rPr>
        <w:t>Collections of Information Employing Statistical Methods</w:t>
      </w:r>
      <w:bookmarkEnd w:id="1"/>
    </w:p>
    <w:p w14:paraId="565C6F14" w14:textId="22750DBF" w:rsidR="00711414" w:rsidRPr="00932E7D" w:rsidRDefault="001805F8" w:rsidP="00932E7D">
      <w:pPr>
        <w:pStyle w:val="Heading1"/>
        <w:rPr>
          <w:b w:val="0"/>
          <w:sz w:val="36"/>
          <w:szCs w:val="36"/>
        </w:rPr>
      </w:pPr>
      <w:r>
        <w:rPr>
          <w:noProof/>
        </w:rPr>
        <mc:AlternateContent>
          <mc:Choice Requires="wps">
            <w:drawing>
              <wp:anchor distT="0" distB="0" distL="114300" distR="114300" simplePos="0" relativeHeight="251663872" behindDoc="0" locked="0" layoutInCell="1" allowOverlap="1" wp14:anchorId="6A3A3E5F" wp14:editId="486A9DF4">
                <wp:simplePos x="0" y="0"/>
                <wp:positionH relativeFrom="margin">
                  <wp:align>left</wp:align>
                </wp:positionH>
                <wp:positionV relativeFrom="margin">
                  <wp:posOffset>3580765</wp:posOffset>
                </wp:positionV>
                <wp:extent cx="6143625" cy="2752725"/>
                <wp:effectExtent l="0" t="0" r="0"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75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35C2F" w14:textId="60F71FC7" w:rsidR="000A3507" w:rsidRPr="00406457" w:rsidRDefault="000A3507" w:rsidP="00C87150">
                            <w:pPr>
                              <w:tabs>
                                <w:tab w:val="left" w:pos="360"/>
                              </w:tabs>
                              <w:spacing w:after="0" w:line="240" w:lineRule="auto"/>
                              <w:rPr>
                                <w:rFonts w:ascii="Calibri" w:eastAsia="Calibri" w:hAnsi="Calibri" w:cs="Times New Roman"/>
                                <w:color w:val="000000"/>
                                <w:sz w:val="28"/>
                              </w:rPr>
                            </w:pPr>
                            <w:r w:rsidRPr="00932E7D">
                              <w:rPr>
                                <w:rFonts w:ascii="Calibri" w:eastAsia="Calibri" w:hAnsi="Calibri" w:cs="Times New Roman"/>
                                <w:color w:val="000000"/>
                                <w:sz w:val="28"/>
                              </w:rPr>
                              <w:t>Form EIA-63B</w:t>
                            </w:r>
                            <w:r w:rsidRPr="00406457">
                              <w:rPr>
                                <w:rFonts w:ascii="Calibri" w:eastAsia="Calibri" w:hAnsi="Calibri" w:cs="Times New Roman"/>
                                <w:color w:val="000000"/>
                                <w:sz w:val="28"/>
                              </w:rPr>
                              <w:t xml:space="preserve"> </w:t>
                            </w:r>
                            <w:r w:rsidRPr="00932E7D">
                              <w:rPr>
                                <w:rFonts w:ascii="Calibri" w:eastAsia="Calibri" w:hAnsi="Calibri" w:cs="Times New Roman"/>
                                <w:i/>
                                <w:color w:val="000000"/>
                                <w:sz w:val="28"/>
                              </w:rPr>
                              <w:t>Photovoltaic Module Shipments Report</w:t>
                            </w:r>
                          </w:p>
                          <w:p w14:paraId="4C6427DA" w14:textId="07C17EB9" w:rsidR="000A3507" w:rsidRPr="00406457" w:rsidRDefault="000A3507" w:rsidP="00406457">
                            <w:pPr>
                              <w:tabs>
                                <w:tab w:val="left" w:pos="360"/>
                              </w:tabs>
                              <w:spacing w:before="120" w:after="0" w:line="240" w:lineRule="auto"/>
                              <w:rPr>
                                <w:rFonts w:ascii="Calibri" w:eastAsia="Calibri" w:hAnsi="Calibri" w:cs="Times New Roman"/>
                                <w:color w:val="000000"/>
                                <w:sz w:val="28"/>
                              </w:rPr>
                            </w:pPr>
                            <w:r w:rsidRPr="00932E7D">
                              <w:rPr>
                                <w:rFonts w:ascii="Calibri" w:eastAsia="Calibri" w:hAnsi="Calibri" w:cs="Times New Roman"/>
                                <w:color w:val="000000"/>
                                <w:sz w:val="28"/>
                              </w:rPr>
                              <w:t>Form EIA-860</w:t>
                            </w:r>
                            <w:r w:rsidRPr="00406457">
                              <w:rPr>
                                <w:rFonts w:ascii="Calibri" w:eastAsia="Calibri" w:hAnsi="Calibri" w:cs="Times New Roman"/>
                                <w:color w:val="000000"/>
                                <w:sz w:val="28"/>
                              </w:rPr>
                              <w:t xml:space="preserve"> </w:t>
                            </w:r>
                            <w:r w:rsidRPr="00932E7D">
                              <w:rPr>
                                <w:rFonts w:ascii="Calibri" w:eastAsia="Calibri" w:hAnsi="Calibri" w:cs="Times New Roman"/>
                                <w:i/>
                                <w:color w:val="000000"/>
                                <w:sz w:val="28"/>
                              </w:rPr>
                              <w:t>Annual Electric Generator Report</w:t>
                            </w:r>
                          </w:p>
                          <w:p w14:paraId="3959B98D" w14:textId="25274651" w:rsidR="000A3507" w:rsidRDefault="000A3507" w:rsidP="00406457">
                            <w:pPr>
                              <w:tabs>
                                <w:tab w:val="left" w:pos="360"/>
                              </w:tabs>
                              <w:spacing w:before="120" w:after="0" w:line="240" w:lineRule="auto"/>
                              <w:rPr>
                                <w:rFonts w:ascii="Calibri" w:eastAsia="Calibri" w:hAnsi="Calibri" w:cs="Times New Roman"/>
                                <w:color w:val="000000"/>
                                <w:sz w:val="28"/>
                              </w:rPr>
                            </w:pPr>
                            <w:r w:rsidRPr="00932E7D">
                              <w:rPr>
                                <w:rFonts w:ascii="Calibri" w:eastAsia="Calibri" w:hAnsi="Calibri" w:cs="Times New Roman"/>
                                <w:color w:val="000000"/>
                                <w:sz w:val="28"/>
                              </w:rPr>
                              <w:t>Form EIA-860M</w:t>
                            </w:r>
                            <w:r w:rsidRPr="00406457">
                              <w:rPr>
                                <w:rFonts w:ascii="Calibri" w:eastAsia="Calibri" w:hAnsi="Calibri" w:cs="Times New Roman"/>
                                <w:color w:val="000000"/>
                                <w:sz w:val="28"/>
                              </w:rPr>
                              <w:t xml:space="preserve"> </w:t>
                            </w:r>
                            <w:r w:rsidRPr="00932E7D">
                              <w:rPr>
                                <w:rFonts w:ascii="Calibri" w:eastAsia="Calibri" w:hAnsi="Calibri" w:cs="Times New Roman"/>
                                <w:i/>
                                <w:color w:val="000000"/>
                                <w:sz w:val="28"/>
                              </w:rPr>
                              <w:t>Monthly Update to the Annual Electric Generator Report</w:t>
                            </w:r>
                          </w:p>
                          <w:p w14:paraId="42302A84" w14:textId="6EC1535C" w:rsidR="000A3507" w:rsidRPr="00406457" w:rsidRDefault="000A3507" w:rsidP="000D661F">
                            <w:pPr>
                              <w:tabs>
                                <w:tab w:val="left" w:pos="360"/>
                              </w:tabs>
                              <w:spacing w:before="120" w:after="0" w:line="240" w:lineRule="auto"/>
                              <w:rPr>
                                <w:rFonts w:ascii="Calibri" w:eastAsia="Calibri" w:hAnsi="Calibri" w:cs="Times New Roman"/>
                                <w:color w:val="000000"/>
                                <w:sz w:val="28"/>
                              </w:rPr>
                            </w:pPr>
                            <w:r w:rsidRPr="00932E7D">
                              <w:rPr>
                                <w:rFonts w:ascii="Calibri" w:eastAsia="Calibri" w:hAnsi="Calibri" w:cs="Times New Roman"/>
                                <w:color w:val="000000"/>
                                <w:sz w:val="28"/>
                              </w:rPr>
                              <w:t>Form EIA-861</w:t>
                            </w:r>
                            <w:r w:rsidRPr="00406457">
                              <w:rPr>
                                <w:rFonts w:ascii="Calibri" w:eastAsia="Calibri" w:hAnsi="Calibri" w:cs="Times New Roman"/>
                                <w:color w:val="000000"/>
                                <w:sz w:val="28"/>
                              </w:rPr>
                              <w:t xml:space="preserve"> </w:t>
                            </w:r>
                            <w:r w:rsidRPr="00932E7D">
                              <w:rPr>
                                <w:rFonts w:ascii="Calibri" w:eastAsia="Calibri" w:hAnsi="Calibri" w:cs="Times New Roman"/>
                                <w:i/>
                                <w:color w:val="000000"/>
                                <w:sz w:val="28"/>
                              </w:rPr>
                              <w:t>Annual Electric Power Industry Report</w:t>
                            </w:r>
                          </w:p>
                          <w:p w14:paraId="4CDBF10E" w14:textId="09A7EAA2" w:rsidR="000A3507" w:rsidRPr="00406457" w:rsidRDefault="000A3507" w:rsidP="000D661F">
                            <w:pPr>
                              <w:tabs>
                                <w:tab w:val="left" w:pos="360"/>
                              </w:tabs>
                              <w:spacing w:before="120" w:after="0" w:line="240" w:lineRule="auto"/>
                              <w:rPr>
                                <w:rFonts w:ascii="Calibri" w:eastAsia="Calibri" w:hAnsi="Calibri" w:cs="Times New Roman"/>
                                <w:color w:val="000000"/>
                                <w:sz w:val="28"/>
                              </w:rPr>
                            </w:pPr>
                            <w:r w:rsidRPr="00932E7D">
                              <w:rPr>
                                <w:rFonts w:ascii="Calibri" w:eastAsia="Calibri" w:hAnsi="Calibri" w:cs="Times New Roman"/>
                                <w:color w:val="000000"/>
                                <w:sz w:val="28"/>
                              </w:rPr>
                              <w:t>Form EIA-861S</w:t>
                            </w:r>
                            <w:r w:rsidRPr="00406457">
                              <w:rPr>
                                <w:rFonts w:ascii="Calibri" w:eastAsia="Calibri" w:hAnsi="Calibri" w:cs="Times New Roman"/>
                                <w:color w:val="000000"/>
                                <w:sz w:val="28"/>
                              </w:rPr>
                              <w:t xml:space="preserve"> </w:t>
                            </w:r>
                            <w:r w:rsidRPr="00932E7D">
                              <w:rPr>
                                <w:rFonts w:ascii="Calibri" w:eastAsia="Calibri" w:hAnsi="Calibri" w:cs="Times New Roman"/>
                                <w:i/>
                                <w:color w:val="000000"/>
                                <w:sz w:val="28"/>
                              </w:rPr>
                              <w:t>Annual Electric Power Industry Report (Short Form)</w:t>
                            </w:r>
                          </w:p>
                          <w:p w14:paraId="2CBB7D87" w14:textId="18B8631F" w:rsidR="000A3507" w:rsidRPr="00406457" w:rsidRDefault="000A3507" w:rsidP="000D661F">
                            <w:pPr>
                              <w:tabs>
                                <w:tab w:val="left" w:pos="360"/>
                              </w:tabs>
                              <w:spacing w:before="120" w:after="0" w:line="240" w:lineRule="auto"/>
                              <w:rPr>
                                <w:rFonts w:ascii="Calibri" w:eastAsia="Calibri" w:hAnsi="Calibri" w:cs="Times New Roman"/>
                                <w:color w:val="000000"/>
                                <w:sz w:val="28"/>
                              </w:rPr>
                            </w:pPr>
                            <w:r w:rsidRPr="00932E7D">
                              <w:rPr>
                                <w:rFonts w:ascii="Calibri" w:eastAsia="Calibri" w:hAnsi="Calibri" w:cs="Times New Roman"/>
                                <w:color w:val="000000"/>
                                <w:sz w:val="28"/>
                              </w:rPr>
                              <w:t>Form EIA-861M</w:t>
                            </w:r>
                            <w:r w:rsidRPr="00406457">
                              <w:rPr>
                                <w:rFonts w:ascii="Calibri" w:eastAsia="Calibri" w:hAnsi="Calibri" w:cs="Times New Roman"/>
                                <w:i/>
                                <w:color w:val="000000"/>
                                <w:sz w:val="28"/>
                              </w:rPr>
                              <w:t xml:space="preserve"> </w:t>
                            </w:r>
                            <w:r w:rsidRPr="00932E7D">
                              <w:rPr>
                                <w:rFonts w:ascii="Calibri" w:eastAsia="Calibri" w:hAnsi="Calibri" w:cs="Times New Roman"/>
                                <w:i/>
                                <w:color w:val="000000"/>
                                <w:sz w:val="28"/>
                              </w:rPr>
                              <w:t>Monthly Electric Power Industry Report</w:t>
                            </w:r>
                            <w:r>
                              <w:rPr>
                                <w:rFonts w:ascii="Calibri" w:eastAsia="Calibri" w:hAnsi="Calibri" w:cs="Times New Roman"/>
                                <w:color w:val="000000"/>
                                <w:sz w:val="28"/>
                              </w:rPr>
                              <w:t xml:space="preserve"> </w:t>
                            </w:r>
                          </w:p>
                          <w:p w14:paraId="2FCB7CE9" w14:textId="69492401" w:rsidR="000A3507" w:rsidRPr="00406457" w:rsidRDefault="000A3507" w:rsidP="000D661F">
                            <w:pPr>
                              <w:tabs>
                                <w:tab w:val="left" w:pos="360"/>
                              </w:tabs>
                              <w:spacing w:before="120" w:after="0" w:line="240" w:lineRule="auto"/>
                              <w:rPr>
                                <w:rFonts w:ascii="Calibri" w:eastAsia="Calibri" w:hAnsi="Calibri" w:cs="Times New Roman"/>
                                <w:color w:val="000000"/>
                                <w:sz w:val="28"/>
                              </w:rPr>
                            </w:pPr>
                            <w:r w:rsidRPr="00932E7D">
                              <w:rPr>
                                <w:rFonts w:ascii="Calibri" w:eastAsia="Calibri" w:hAnsi="Calibri" w:cs="Times New Roman"/>
                                <w:color w:val="000000"/>
                                <w:sz w:val="28"/>
                              </w:rPr>
                              <w:t>Form EIA-923</w:t>
                            </w:r>
                            <w:r w:rsidRPr="00406457">
                              <w:rPr>
                                <w:rFonts w:ascii="Calibri" w:eastAsia="Calibri" w:hAnsi="Calibri" w:cs="Times New Roman"/>
                                <w:color w:val="000000"/>
                                <w:sz w:val="28"/>
                              </w:rPr>
                              <w:t xml:space="preserve"> </w:t>
                            </w:r>
                            <w:r w:rsidRPr="00932E7D">
                              <w:rPr>
                                <w:rFonts w:ascii="Calibri" w:eastAsia="Calibri" w:hAnsi="Calibri" w:cs="Times New Roman"/>
                                <w:i/>
                                <w:color w:val="000000"/>
                                <w:sz w:val="28"/>
                              </w:rPr>
                              <w:t>Power Plant Operations Report</w:t>
                            </w:r>
                          </w:p>
                          <w:p w14:paraId="2C83BA75" w14:textId="65C5BE6B" w:rsidR="000A3507" w:rsidRPr="00406457" w:rsidRDefault="000A3507" w:rsidP="000D661F">
                            <w:pPr>
                              <w:tabs>
                                <w:tab w:val="left" w:pos="360"/>
                              </w:tabs>
                              <w:spacing w:before="120" w:after="0" w:line="240" w:lineRule="auto"/>
                              <w:rPr>
                                <w:rFonts w:ascii="Calibri" w:eastAsia="Calibri" w:hAnsi="Calibri" w:cs="Times New Roman"/>
                                <w:color w:val="000000"/>
                                <w:sz w:val="28"/>
                              </w:rPr>
                            </w:pPr>
                            <w:r w:rsidRPr="00932E7D">
                              <w:rPr>
                                <w:rFonts w:ascii="Calibri" w:eastAsia="Calibri" w:hAnsi="Calibri" w:cs="Times New Roman"/>
                                <w:color w:val="000000"/>
                                <w:sz w:val="28"/>
                              </w:rPr>
                              <w:t>Form EIA-930</w:t>
                            </w:r>
                            <w:r w:rsidRPr="00406457">
                              <w:rPr>
                                <w:rFonts w:ascii="Calibri" w:eastAsia="Calibri" w:hAnsi="Calibri" w:cs="Times New Roman"/>
                                <w:color w:val="000000"/>
                                <w:sz w:val="28"/>
                              </w:rPr>
                              <w:t xml:space="preserve"> </w:t>
                            </w:r>
                            <w:r w:rsidRPr="00932E7D">
                              <w:rPr>
                                <w:rFonts w:ascii="Calibri" w:eastAsia="Calibri" w:hAnsi="Calibri" w:cs="Times New Roman"/>
                                <w:i/>
                                <w:color w:val="000000"/>
                                <w:sz w:val="28"/>
                              </w:rPr>
                              <w:t>Balancing Authority Operations Report</w:t>
                            </w:r>
                          </w:p>
                          <w:p w14:paraId="5494DCBD" w14:textId="77777777" w:rsidR="000A3507" w:rsidRDefault="000A3507" w:rsidP="00406457">
                            <w:pPr>
                              <w:tabs>
                                <w:tab w:val="left" w:pos="360"/>
                              </w:tabs>
                              <w:spacing w:before="120" w:after="0" w:line="240" w:lineRule="auto"/>
                              <w:rPr>
                                <w:rFonts w:ascii="Calibri" w:eastAsia="Calibri" w:hAnsi="Calibri" w:cs="Times New Roman"/>
                                <w:color w:val="000000"/>
                                <w:sz w:val="28"/>
                              </w:rPr>
                            </w:pPr>
                          </w:p>
                          <w:p w14:paraId="6DE52E60" w14:textId="77777777" w:rsidR="000A3507" w:rsidRPr="00406457" w:rsidRDefault="000A3507" w:rsidP="00406457">
                            <w:pPr>
                              <w:tabs>
                                <w:tab w:val="left" w:pos="360"/>
                              </w:tabs>
                              <w:spacing w:before="120" w:after="0" w:line="240" w:lineRule="auto"/>
                              <w:rPr>
                                <w:rFonts w:ascii="Calibri" w:eastAsia="Calibri" w:hAnsi="Calibri" w:cs="Times New Roman"/>
                                <w:color w:val="000000"/>
                                <w:sz w:val="28"/>
                              </w:rPr>
                            </w:pPr>
                          </w:p>
                          <w:p w14:paraId="0C31126A" w14:textId="77777777" w:rsidR="000A3507" w:rsidRPr="00406457" w:rsidRDefault="000A3507" w:rsidP="00406457">
                            <w:pPr>
                              <w:tabs>
                                <w:tab w:val="left" w:pos="360"/>
                              </w:tabs>
                              <w:spacing w:before="120" w:after="0" w:line="240" w:lineRule="auto"/>
                              <w:rPr>
                                <w:rFonts w:ascii="Calibri" w:eastAsia="Calibri" w:hAnsi="Calibri" w:cs="Times New Roman"/>
                                <w:color w:val="000000"/>
                                <w:sz w:val="28"/>
                              </w:rPr>
                            </w:pPr>
                          </w:p>
                          <w:p w14:paraId="519C1199" w14:textId="77777777" w:rsidR="000A3507" w:rsidRPr="0059212D" w:rsidRDefault="000A3507" w:rsidP="00FB6BF3">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81.95pt;width:483.75pt;height:216.7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GVtgIAALg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" filled="f" stroked="f">
                <v:textbox inset="0">
                  <w:txbxContent>
                    <w:p w14:paraId="0B335C2F" w14:textId="60F71FC7" w:rsidR="000A3507" w:rsidRPr="00406457" w:rsidRDefault="000A3507" w:rsidP="00C87150">
                      <w:pPr>
                        <w:tabs>
                          <w:tab w:val="left" w:pos="360"/>
                        </w:tabs>
                        <w:spacing w:after="0" w:line="240" w:lineRule="auto"/>
                        <w:rPr>
                          <w:rFonts w:ascii="Calibri" w:eastAsia="Calibri" w:hAnsi="Calibri" w:cs="Times New Roman"/>
                          <w:color w:val="000000"/>
                          <w:sz w:val="28"/>
                        </w:rPr>
                      </w:pPr>
                      <w:r w:rsidRPr="00932E7D">
                        <w:rPr>
                          <w:rFonts w:ascii="Calibri" w:eastAsia="Calibri" w:hAnsi="Calibri" w:cs="Times New Roman"/>
                          <w:color w:val="000000"/>
                          <w:sz w:val="28"/>
                        </w:rPr>
                        <w:t>Form EIA-63B</w:t>
                      </w:r>
                      <w:r w:rsidRPr="00406457">
                        <w:rPr>
                          <w:rFonts w:ascii="Calibri" w:eastAsia="Calibri" w:hAnsi="Calibri" w:cs="Times New Roman"/>
                          <w:color w:val="000000"/>
                          <w:sz w:val="28"/>
                        </w:rPr>
                        <w:t xml:space="preserve"> </w:t>
                      </w:r>
                      <w:r w:rsidRPr="00932E7D">
                        <w:rPr>
                          <w:rFonts w:ascii="Calibri" w:eastAsia="Calibri" w:hAnsi="Calibri" w:cs="Times New Roman"/>
                          <w:i/>
                          <w:color w:val="000000"/>
                          <w:sz w:val="28"/>
                        </w:rPr>
                        <w:t>Photovoltaic Module Shipments Report</w:t>
                      </w:r>
                    </w:p>
                    <w:p w14:paraId="4C6427DA" w14:textId="07C17EB9" w:rsidR="000A3507" w:rsidRPr="00406457" w:rsidRDefault="000A3507" w:rsidP="00406457">
                      <w:pPr>
                        <w:tabs>
                          <w:tab w:val="left" w:pos="360"/>
                        </w:tabs>
                        <w:spacing w:before="120" w:after="0" w:line="240" w:lineRule="auto"/>
                        <w:rPr>
                          <w:rFonts w:ascii="Calibri" w:eastAsia="Calibri" w:hAnsi="Calibri" w:cs="Times New Roman"/>
                          <w:color w:val="000000"/>
                          <w:sz w:val="28"/>
                        </w:rPr>
                      </w:pPr>
                      <w:r w:rsidRPr="00932E7D">
                        <w:rPr>
                          <w:rFonts w:ascii="Calibri" w:eastAsia="Calibri" w:hAnsi="Calibri" w:cs="Times New Roman"/>
                          <w:color w:val="000000"/>
                          <w:sz w:val="28"/>
                        </w:rPr>
                        <w:t>Form EIA-860</w:t>
                      </w:r>
                      <w:r w:rsidRPr="00406457">
                        <w:rPr>
                          <w:rFonts w:ascii="Calibri" w:eastAsia="Calibri" w:hAnsi="Calibri" w:cs="Times New Roman"/>
                          <w:color w:val="000000"/>
                          <w:sz w:val="28"/>
                        </w:rPr>
                        <w:t xml:space="preserve"> </w:t>
                      </w:r>
                      <w:r w:rsidRPr="00932E7D">
                        <w:rPr>
                          <w:rFonts w:ascii="Calibri" w:eastAsia="Calibri" w:hAnsi="Calibri" w:cs="Times New Roman"/>
                          <w:i/>
                          <w:color w:val="000000"/>
                          <w:sz w:val="28"/>
                        </w:rPr>
                        <w:t>Annual Electric Generator Report</w:t>
                      </w:r>
                    </w:p>
                    <w:p w14:paraId="3959B98D" w14:textId="25274651" w:rsidR="000A3507" w:rsidRDefault="000A3507" w:rsidP="00406457">
                      <w:pPr>
                        <w:tabs>
                          <w:tab w:val="left" w:pos="360"/>
                        </w:tabs>
                        <w:spacing w:before="120" w:after="0" w:line="240" w:lineRule="auto"/>
                        <w:rPr>
                          <w:rFonts w:ascii="Calibri" w:eastAsia="Calibri" w:hAnsi="Calibri" w:cs="Times New Roman"/>
                          <w:color w:val="000000"/>
                          <w:sz w:val="28"/>
                        </w:rPr>
                      </w:pPr>
                      <w:r w:rsidRPr="00932E7D">
                        <w:rPr>
                          <w:rFonts w:ascii="Calibri" w:eastAsia="Calibri" w:hAnsi="Calibri" w:cs="Times New Roman"/>
                          <w:color w:val="000000"/>
                          <w:sz w:val="28"/>
                        </w:rPr>
                        <w:t>Form EIA-860M</w:t>
                      </w:r>
                      <w:r w:rsidRPr="00406457">
                        <w:rPr>
                          <w:rFonts w:ascii="Calibri" w:eastAsia="Calibri" w:hAnsi="Calibri" w:cs="Times New Roman"/>
                          <w:color w:val="000000"/>
                          <w:sz w:val="28"/>
                        </w:rPr>
                        <w:t xml:space="preserve"> </w:t>
                      </w:r>
                      <w:r w:rsidRPr="00932E7D">
                        <w:rPr>
                          <w:rFonts w:ascii="Calibri" w:eastAsia="Calibri" w:hAnsi="Calibri" w:cs="Times New Roman"/>
                          <w:i/>
                          <w:color w:val="000000"/>
                          <w:sz w:val="28"/>
                        </w:rPr>
                        <w:t>Monthly Update to the Annual Electric Generator Report</w:t>
                      </w:r>
                    </w:p>
                    <w:p w14:paraId="42302A84" w14:textId="6EC1535C" w:rsidR="000A3507" w:rsidRPr="00406457" w:rsidRDefault="000A3507" w:rsidP="000D661F">
                      <w:pPr>
                        <w:tabs>
                          <w:tab w:val="left" w:pos="360"/>
                        </w:tabs>
                        <w:spacing w:before="120" w:after="0" w:line="240" w:lineRule="auto"/>
                        <w:rPr>
                          <w:rFonts w:ascii="Calibri" w:eastAsia="Calibri" w:hAnsi="Calibri" w:cs="Times New Roman"/>
                          <w:color w:val="000000"/>
                          <w:sz w:val="28"/>
                        </w:rPr>
                      </w:pPr>
                      <w:r w:rsidRPr="00932E7D">
                        <w:rPr>
                          <w:rFonts w:ascii="Calibri" w:eastAsia="Calibri" w:hAnsi="Calibri" w:cs="Times New Roman"/>
                          <w:color w:val="000000"/>
                          <w:sz w:val="28"/>
                        </w:rPr>
                        <w:t>Form EIA-861</w:t>
                      </w:r>
                      <w:r w:rsidRPr="00406457">
                        <w:rPr>
                          <w:rFonts w:ascii="Calibri" w:eastAsia="Calibri" w:hAnsi="Calibri" w:cs="Times New Roman"/>
                          <w:color w:val="000000"/>
                          <w:sz w:val="28"/>
                        </w:rPr>
                        <w:t xml:space="preserve"> </w:t>
                      </w:r>
                      <w:r w:rsidRPr="00932E7D">
                        <w:rPr>
                          <w:rFonts w:ascii="Calibri" w:eastAsia="Calibri" w:hAnsi="Calibri" w:cs="Times New Roman"/>
                          <w:i/>
                          <w:color w:val="000000"/>
                          <w:sz w:val="28"/>
                        </w:rPr>
                        <w:t>Annual Electric Power Industry Report</w:t>
                      </w:r>
                    </w:p>
                    <w:p w14:paraId="4CDBF10E" w14:textId="09A7EAA2" w:rsidR="000A3507" w:rsidRPr="00406457" w:rsidRDefault="000A3507" w:rsidP="000D661F">
                      <w:pPr>
                        <w:tabs>
                          <w:tab w:val="left" w:pos="360"/>
                        </w:tabs>
                        <w:spacing w:before="120" w:after="0" w:line="240" w:lineRule="auto"/>
                        <w:rPr>
                          <w:rFonts w:ascii="Calibri" w:eastAsia="Calibri" w:hAnsi="Calibri" w:cs="Times New Roman"/>
                          <w:color w:val="000000"/>
                          <w:sz w:val="28"/>
                        </w:rPr>
                      </w:pPr>
                      <w:r w:rsidRPr="00932E7D">
                        <w:rPr>
                          <w:rFonts w:ascii="Calibri" w:eastAsia="Calibri" w:hAnsi="Calibri" w:cs="Times New Roman"/>
                          <w:color w:val="000000"/>
                          <w:sz w:val="28"/>
                        </w:rPr>
                        <w:t>Form EIA-861S</w:t>
                      </w:r>
                      <w:r w:rsidRPr="00406457">
                        <w:rPr>
                          <w:rFonts w:ascii="Calibri" w:eastAsia="Calibri" w:hAnsi="Calibri" w:cs="Times New Roman"/>
                          <w:color w:val="000000"/>
                          <w:sz w:val="28"/>
                        </w:rPr>
                        <w:t xml:space="preserve"> </w:t>
                      </w:r>
                      <w:r w:rsidRPr="00932E7D">
                        <w:rPr>
                          <w:rFonts w:ascii="Calibri" w:eastAsia="Calibri" w:hAnsi="Calibri" w:cs="Times New Roman"/>
                          <w:i/>
                          <w:color w:val="000000"/>
                          <w:sz w:val="28"/>
                        </w:rPr>
                        <w:t>Annual Electric Power Industry Report (Short Form)</w:t>
                      </w:r>
                    </w:p>
                    <w:p w14:paraId="2CBB7D87" w14:textId="18B8631F" w:rsidR="000A3507" w:rsidRPr="00406457" w:rsidRDefault="000A3507" w:rsidP="000D661F">
                      <w:pPr>
                        <w:tabs>
                          <w:tab w:val="left" w:pos="360"/>
                        </w:tabs>
                        <w:spacing w:before="120" w:after="0" w:line="240" w:lineRule="auto"/>
                        <w:rPr>
                          <w:rFonts w:ascii="Calibri" w:eastAsia="Calibri" w:hAnsi="Calibri" w:cs="Times New Roman"/>
                          <w:color w:val="000000"/>
                          <w:sz w:val="28"/>
                        </w:rPr>
                      </w:pPr>
                      <w:r w:rsidRPr="00932E7D">
                        <w:rPr>
                          <w:rFonts w:ascii="Calibri" w:eastAsia="Calibri" w:hAnsi="Calibri" w:cs="Times New Roman"/>
                          <w:color w:val="000000"/>
                          <w:sz w:val="28"/>
                        </w:rPr>
                        <w:t>Form EIA-861M</w:t>
                      </w:r>
                      <w:r w:rsidRPr="00406457">
                        <w:rPr>
                          <w:rFonts w:ascii="Calibri" w:eastAsia="Calibri" w:hAnsi="Calibri" w:cs="Times New Roman"/>
                          <w:i/>
                          <w:color w:val="000000"/>
                          <w:sz w:val="28"/>
                        </w:rPr>
                        <w:t xml:space="preserve"> </w:t>
                      </w:r>
                      <w:r w:rsidRPr="00932E7D">
                        <w:rPr>
                          <w:rFonts w:ascii="Calibri" w:eastAsia="Calibri" w:hAnsi="Calibri" w:cs="Times New Roman"/>
                          <w:i/>
                          <w:color w:val="000000"/>
                          <w:sz w:val="28"/>
                        </w:rPr>
                        <w:t>Monthly Electric Power Industry Report</w:t>
                      </w:r>
                      <w:r>
                        <w:rPr>
                          <w:rFonts w:ascii="Calibri" w:eastAsia="Calibri" w:hAnsi="Calibri" w:cs="Times New Roman"/>
                          <w:color w:val="000000"/>
                          <w:sz w:val="28"/>
                        </w:rPr>
                        <w:t xml:space="preserve"> </w:t>
                      </w:r>
                    </w:p>
                    <w:p w14:paraId="2FCB7CE9" w14:textId="69492401" w:rsidR="000A3507" w:rsidRPr="00406457" w:rsidRDefault="000A3507" w:rsidP="000D661F">
                      <w:pPr>
                        <w:tabs>
                          <w:tab w:val="left" w:pos="360"/>
                        </w:tabs>
                        <w:spacing w:before="120" w:after="0" w:line="240" w:lineRule="auto"/>
                        <w:rPr>
                          <w:rFonts w:ascii="Calibri" w:eastAsia="Calibri" w:hAnsi="Calibri" w:cs="Times New Roman"/>
                          <w:color w:val="000000"/>
                          <w:sz w:val="28"/>
                        </w:rPr>
                      </w:pPr>
                      <w:r w:rsidRPr="00932E7D">
                        <w:rPr>
                          <w:rFonts w:ascii="Calibri" w:eastAsia="Calibri" w:hAnsi="Calibri" w:cs="Times New Roman"/>
                          <w:color w:val="000000"/>
                          <w:sz w:val="28"/>
                        </w:rPr>
                        <w:t>Form EIA-923</w:t>
                      </w:r>
                      <w:r w:rsidRPr="00406457">
                        <w:rPr>
                          <w:rFonts w:ascii="Calibri" w:eastAsia="Calibri" w:hAnsi="Calibri" w:cs="Times New Roman"/>
                          <w:color w:val="000000"/>
                          <w:sz w:val="28"/>
                        </w:rPr>
                        <w:t xml:space="preserve"> </w:t>
                      </w:r>
                      <w:r w:rsidRPr="00932E7D">
                        <w:rPr>
                          <w:rFonts w:ascii="Calibri" w:eastAsia="Calibri" w:hAnsi="Calibri" w:cs="Times New Roman"/>
                          <w:i/>
                          <w:color w:val="000000"/>
                          <w:sz w:val="28"/>
                        </w:rPr>
                        <w:t>Power Plant Operations Report</w:t>
                      </w:r>
                    </w:p>
                    <w:p w14:paraId="2C83BA75" w14:textId="65C5BE6B" w:rsidR="000A3507" w:rsidRPr="00406457" w:rsidRDefault="000A3507" w:rsidP="000D661F">
                      <w:pPr>
                        <w:tabs>
                          <w:tab w:val="left" w:pos="360"/>
                        </w:tabs>
                        <w:spacing w:before="120" w:after="0" w:line="240" w:lineRule="auto"/>
                        <w:rPr>
                          <w:rFonts w:ascii="Calibri" w:eastAsia="Calibri" w:hAnsi="Calibri" w:cs="Times New Roman"/>
                          <w:color w:val="000000"/>
                          <w:sz w:val="28"/>
                        </w:rPr>
                      </w:pPr>
                      <w:r w:rsidRPr="00932E7D">
                        <w:rPr>
                          <w:rFonts w:ascii="Calibri" w:eastAsia="Calibri" w:hAnsi="Calibri" w:cs="Times New Roman"/>
                          <w:color w:val="000000"/>
                          <w:sz w:val="28"/>
                        </w:rPr>
                        <w:t>Form EIA-930</w:t>
                      </w:r>
                      <w:r w:rsidRPr="00406457">
                        <w:rPr>
                          <w:rFonts w:ascii="Calibri" w:eastAsia="Calibri" w:hAnsi="Calibri" w:cs="Times New Roman"/>
                          <w:color w:val="000000"/>
                          <w:sz w:val="28"/>
                        </w:rPr>
                        <w:t xml:space="preserve"> </w:t>
                      </w:r>
                      <w:r w:rsidRPr="00932E7D">
                        <w:rPr>
                          <w:rFonts w:ascii="Calibri" w:eastAsia="Calibri" w:hAnsi="Calibri" w:cs="Times New Roman"/>
                          <w:i/>
                          <w:color w:val="000000"/>
                          <w:sz w:val="28"/>
                        </w:rPr>
                        <w:t>Balancing Authority Operations Report</w:t>
                      </w:r>
                    </w:p>
                    <w:p w14:paraId="5494DCBD" w14:textId="77777777" w:rsidR="000A3507" w:rsidRDefault="000A3507" w:rsidP="00406457">
                      <w:pPr>
                        <w:tabs>
                          <w:tab w:val="left" w:pos="360"/>
                        </w:tabs>
                        <w:spacing w:before="120" w:after="0" w:line="240" w:lineRule="auto"/>
                        <w:rPr>
                          <w:rFonts w:ascii="Calibri" w:eastAsia="Calibri" w:hAnsi="Calibri" w:cs="Times New Roman"/>
                          <w:color w:val="000000"/>
                          <w:sz w:val="28"/>
                        </w:rPr>
                      </w:pPr>
                    </w:p>
                    <w:p w14:paraId="6DE52E60" w14:textId="77777777" w:rsidR="000A3507" w:rsidRPr="00406457" w:rsidRDefault="000A3507" w:rsidP="00406457">
                      <w:pPr>
                        <w:tabs>
                          <w:tab w:val="left" w:pos="360"/>
                        </w:tabs>
                        <w:spacing w:before="120" w:after="0" w:line="240" w:lineRule="auto"/>
                        <w:rPr>
                          <w:rFonts w:ascii="Calibri" w:eastAsia="Calibri" w:hAnsi="Calibri" w:cs="Times New Roman"/>
                          <w:color w:val="000000"/>
                          <w:sz w:val="28"/>
                        </w:rPr>
                      </w:pPr>
                    </w:p>
                    <w:p w14:paraId="0C31126A" w14:textId="77777777" w:rsidR="000A3507" w:rsidRPr="00406457" w:rsidRDefault="000A3507" w:rsidP="00406457">
                      <w:pPr>
                        <w:tabs>
                          <w:tab w:val="left" w:pos="360"/>
                        </w:tabs>
                        <w:spacing w:before="120" w:after="0" w:line="240" w:lineRule="auto"/>
                        <w:rPr>
                          <w:rFonts w:ascii="Calibri" w:eastAsia="Calibri" w:hAnsi="Calibri" w:cs="Times New Roman"/>
                          <w:color w:val="000000"/>
                          <w:sz w:val="28"/>
                        </w:rPr>
                      </w:pPr>
                    </w:p>
                    <w:p w14:paraId="519C1199" w14:textId="77777777" w:rsidR="000A3507" w:rsidRPr="0059212D" w:rsidRDefault="000A3507" w:rsidP="00FB6BF3">
                      <w:pPr>
                        <w:rPr>
                          <w:i/>
                          <w:sz w:val="28"/>
                          <w:szCs w:val="28"/>
                        </w:rPr>
                      </w:pPr>
                    </w:p>
                  </w:txbxContent>
                </v:textbox>
                <w10:wrap type="square" anchorx="margin" anchory="margin"/>
              </v:shape>
            </w:pict>
          </mc:Fallback>
        </mc:AlternateContent>
      </w:r>
      <w:r w:rsidR="00711414" w:rsidRPr="00932E7D">
        <w:rPr>
          <w:rFonts w:ascii="Times New Roman" w:hAnsi="Times New Roman" w:cs="Times New Roman"/>
          <w:sz w:val="36"/>
          <w:szCs w:val="36"/>
        </w:rPr>
        <w:t>OMB No.</w:t>
      </w:r>
      <w:r w:rsidR="00406457" w:rsidRPr="00932E7D">
        <w:rPr>
          <w:rFonts w:ascii="Times New Roman" w:hAnsi="Times New Roman" w:cs="Times New Roman"/>
          <w:sz w:val="36"/>
          <w:szCs w:val="36"/>
        </w:rPr>
        <w:t xml:space="preserve"> 1905-0</w:t>
      </w:r>
      <w:r w:rsidR="005217D9" w:rsidRPr="00932E7D">
        <w:rPr>
          <w:rFonts w:ascii="Times New Roman" w:hAnsi="Times New Roman" w:cs="Times New Roman"/>
          <w:sz w:val="36"/>
          <w:szCs w:val="36"/>
        </w:rPr>
        <w:t>1</w:t>
      </w:r>
      <w:r w:rsidR="00406457" w:rsidRPr="00932E7D">
        <w:rPr>
          <w:rFonts w:ascii="Times New Roman" w:hAnsi="Times New Roman" w:cs="Times New Roman"/>
          <w:sz w:val="36"/>
          <w:szCs w:val="36"/>
        </w:rPr>
        <w:t>29</w:t>
      </w:r>
    </w:p>
    <w:p w14:paraId="331E334D" w14:textId="77777777" w:rsidR="001F3A8F" w:rsidRPr="00711414" w:rsidRDefault="007E53C4" w:rsidP="00711414">
      <w:pPr>
        <w:rPr>
          <w:i/>
          <w:sz w:val="28"/>
          <w:szCs w:val="28"/>
        </w:rPr>
      </w:pPr>
      <w:r>
        <w:rPr>
          <w:noProof/>
        </w:rPr>
        <mc:AlternateContent>
          <mc:Choice Requires="wps">
            <w:drawing>
              <wp:anchor distT="0" distB="0" distL="114300" distR="114300" simplePos="0" relativeHeight="251658752" behindDoc="1" locked="0" layoutInCell="1" allowOverlap="1" wp14:anchorId="24DB01AB" wp14:editId="39E70B7B">
                <wp:simplePos x="0" y="0"/>
                <wp:positionH relativeFrom="column">
                  <wp:posOffset>-441325</wp:posOffset>
                </wp:positionH>
                <wp:positionV relativeFrom="paragraph">
                  <wp:posOffset>4243705</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CFCBD2" id="Rectangle 34" o:spid="_x0000_s1026" style="position:absolute;margin-left:-34.75pt;margin-top:334.15pt;width:540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" fillcolor="#0c95d3" stroked="f" strokecolor="#f2f2f2 [3041]" strokeweight="3pt">
                <v:shadow color="#50191f [1608]" opacity=".5" offset="1pt"/>
                <w10:wrap type="through"/>
              </v:rect>
            </w:pict>
          </mc:Fallback>
        </mc:AlternateContent>
      </w:r>
      <w:r w:rsidR="00EE2CAF">
        <w:rPr>
          <w:noProof/>
        </w:rPr>
        <mc:AlternateContent>
          <mc:Choice Requires="wps">
            <w:drawing>
              <wp:anchor distT="0" distB="0" distL="114300" distR="114300" simplePos="0" relativeHeight="251656704" behindDoc="0" locked="0" layoutInCell="1" allowOverlap="1" wp14:anchorId="09C77017" wp14:editId="4323D9A7">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B4ABA" w14:textId="14DC8F75" w:rsidR="000A3507" w:rsidRPr="009818F9" w:rsidRDefault="00660766">
                            <w:pPr>
                              <w:rPr>
                                <w:color w:val="A6A6A6" w:themeColor="background1" w:themeShade="A6"/>
                                <w:sz w:val="36"/>
                              </w:rPr>
                            </w:pPr>
                            <w:r>
                              <w:rPr>
                                <w:color w:val="A6A6A6" w:themeColor="background1" w:themeShade="A6"/>
                                <w:sz w:val="36"/>
                              </w:rPr>
                              <w:t>January 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413B4ABA" w14:textId="14DC8F75" w:rsidR="000A3507" w:rsidRPr="009818F9" w:rsidRDefault="00660766">
                      <w:pPr>
                        <w:rPr>
                          <w:color w:val="A6A6A6" w:themeColor="background1" w:themeShade="A6"/>
                          <w:sz w:val="36"/>
                        </w:rPr>
                      </w:pPr>
                      <w:r>
                        <w:rPr>
                          <w:color w:val="A6A6A6" w:themeColor="background1" w:themeShade="A6"/>
                          <w:sz w:val="36"/>
                        </w:rPr>
                        <w:t>January 2020</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54656" behindDoc="0" locked="0" layoutInCell="1" allowOverlap="1" wp14:anchorId="5161C2F5" wp14:editId="2E8106B9">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A2875" w14:textId="77777777" w:rsidR="000A3507" w:rsidRPr="00AA3D91" w:rsidRDefault="000A3507"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368A2875" w14:textId="77777777" w:rsidR="000A3507" w:rsidRPr="00AA3D91" w:rsidRDefault="000A3507"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2608" behindDoc="0" locked="0" layoutInCell="1" allowOverlap="1" wp14:anchorId="26EBB941" wp14:editId="3C2EC87B">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4"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60800" behindDoc="0" locked="0" layoutInCell="1" allowOverlap="1" wp14:anchorId="69CDF6AA" wp14:editId="1D7CCBC0">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71A67" w14:textId="77777777" w:rsidR="000A3507" w:rsidRPr="008F4CBD" w:rsidRDefault="000A3507"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4E7CB75C" w14:textId="77777777" w:rsidR="000A3507" w:rsidRPr="008F4CBD" w:rsidRDefault="000A3507"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1FB71A67" w14:textId="77777777" w:rsidR="000A3507" w:rsidRPr="008F4CBD" w:rsidRDefault="000A3507"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4E7CB75C" w14:textId="77777777" w:rsidR="000A3507" w:rsidRPr="008F4CBD" w:rsidRDefault="000A3507"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62848" behindDoc="0" locked="0" layoutInCell="1" allowOverlap="1" wp14:anchorId="57A13F1E" wp14:editId="5FFF4ED8">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3CB62" w14:textId="77777777" w:rsidR="000A3507" w:rsidRPr="008F4CBD" w:rsidRDefault="000A3507"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14CE2959" w14:textId="77777777" w:rsidR="000A3507" w:rsidRPr="008F4CBD" w:rsidRDefault="000A3507"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25F3CB62" w14:textId="77777777" w:rsidR="000A3507" w:rsidRPr="008F4CBD" w:rsidRDefault="000A3507"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14CE2959" w14:textId="77777777" w:rsidR="000A3507" w:rsidRPr="008F4CBD" w:rsidRDefault="000A3507"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14:paraId="28A2CD11" w14:textId="77777777" w:rsidR="00755C3D" w:rsidRDefault="00755C3D" w:rsidP="00D928FD">
      <w:pPr>
        <w:sectPr w:rsidR="00755C3D" w:rsidSect="001F3A8F">
          <w:headerReference w:type="even" r:id="rId15"/>
          <w:headerReference w:type="default" r:id="rId16"/>
          <w:footerReference w:type="even" r:id="rId17"/>
          <w:footerReference w:type="default" r:id="rId18"/>
          <w:headerReference w:type="first" r:id="rId19"/>
          <w:footerReference w:type="first" r:id="rId2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08A1D295" w14:textId="77777777" w:rsidR="0059212D" w:rsidRDefault="0059212D" w:rsidP="007E53C4">
          <w:pPr>
            <w:pStyle w:val="TOCHeading"/>
          </w:pPr>
          <w:r>
            <w:t>Table of Contents</w:t>
          </w:r>
        </w:p>
        <w:p w14:paraId="43184398" w14:textId="77777777" w:rsidR="00660253" w:rsidRDefault="0059212D">
          <w:pPr>
            <w:pStyle w:val="TOC1"/>
            <w:rPr>
              <w:rFonts w:eastAsiaTheme="minorEastAsia"/>
              <w:noProof/>
              <w:color w:val="auto"/>
            </w:rPr>
          </w:pPr>
          <w:r>
            <w:fldChar w:fldCharType="begin"/>
          </w:r>
          <w:r>
            <w:instrText xml:space="preserve"> TOC \o "1-3" \h \z \u </w:instrText>
          </w:r>
          <w:r>
            <w:fldChar w:fldCharType="separate"/>
          </w:r>
          <w:hyperlink w:anchor="_Toc536707012" w:history="1">
            <w:r w:rsidR="00660253" w:rsidRPr="000C6808">
              <w:rPr>
                <w:rStyle w:val="Hyperlink"/>
                <w:noProof/>
              </w:rPr>
              <w:t>Part B: Collections of Information Employing Statistical Methods</w:t>
            </w:r>
            <w:r w:rsidR="00660253">
              <w:rPr>
                <w:noProof/>
                <w:webHidden/>
              </w:rPr>
              <w:tab/>
            </w:r>
            <w:r w:rsidR="00660253">
              <w:rPr>
                <w:noProof/>
                <w:webHidden/>
              </w:rPr>
              <w:fldChar w:fldCharType="begin"/>
            </w:r>
            <w:r w:rsidR="00660253">
              <w:rPr>
                <w:noProof/>
                <w:webHidden/>
              </w:rPr>
              <w:instrText xml:space="preserve"> PAGEREF _Toc536707012 \h </w:instrText>
            </w:r>
            <w:r w:rsidR="00660253">
              <w:rPr>
                <w:noProof/>
                <w:webHidden/>
              </w:rPr>
            </w:r>
            <w:r w:rsidR="00660253">
              <w:rPr>
                <w:noProof/>
                <w:webHidden/>
              </w:rPr>
              <w:fldChar w:fldCharType="separate"/>
            </w:r>
            <w:r w:rsidR="004B0591">
              <w:rPr>
                <w:noProof/>
                <w:webHidden/>
              </w:rPr>
              <w:t>i</w:t>
            </w:r>
            <w:r w:rsidR="00660253">
              <w:rPr>
                <w:noProof/>
                <w:webHidden/>
              </w:rPr>
              <w:fldChar w:fldCharType="end"/>
            </w:r>
          </w:hyperlink>
        </w:p>
        <w:p w14:paraId="14E5F12B" w14:textId="77777777" w:rsidR="00660253" w:rsidRDefault="00EE4326">
          <w:pPr>
            <w:pStyle w:val="TOC2"/>
            <w:rPr>
              <w:rFonts w:eastAsiaTheme="minorEastAsia"/>
              <w:noProof/>
              <w:color w:val="auto"/>
            </w:rPr>
          </w:pPr>
          <w:hyperlink w:anchor="_Toc536707013" w:history="1">
            <w:r w:rsidR="00660253" w:rsidRPr="000C6808">
              <w:rPr>
                <w:rStyle w:val="Hyperlink"/>
                <w:noProof/>
              </w:rPr>
              <w:t>B.1. Respondent Universe</w:t>
            </w:r>
            <w:r w:rsidR="00660253">
              <w:rPr>
                <w:noProof/>
                <w:webHidden/>
              </w:rPr>
              <w:tab/>
            </w:r>
            <w:r w:rsidR="00660253">
              <w:rPr>
                <w:noProof/>
                <w:webHidden/>
              </w:rPr>
              <w:fldChar w:fldCharType="begin"/>
            </w:r>
            <w:r w:rsidR="00660253">
              <w:rPr>
                <w:noProof/>
                <w:webHidden/>
              </w:rPr>
              <w:instrText xml:space="preserve"> PAGEREF _Toc536707013 \h </w:instrText>
            </w:r>
            <w:r w:rsidR="00660253">
              <w:rPr>
                <w:noProof/>
                <w:webHidden/>
              </w:rPr>
            </w:r>
            <w:r w:rsidR="00660253">
              <w:rPr>
                <w:noProof/>
                <w:webHidden/>
              </w:rPr>
              <w:fldChar w:fldCharType="separate"/>
            </w:r>
            <w:r w:rsidR="004B0591">
              <w:rPr>
                <w:noProof/>
                <w:webHidden/>
              </w:rPr>
              <w:t>1</w:t>
            </w:r>
            <w:r w:rsidR="00660253">
              <w:rPr>
                <w:noProof/>
                <w:webHidden/>
              </w:rPr>
              <w:fldChar w:fldCharType="end"/>
            </w:r>
          </w:hyperlink>
        </w:p>
        <w:p w14:paraId="5461B505" w14:textId="7D735F0A" w:rsidR="00660253" w:rsidRDefault="00EE4326">
          <w:pPr>
            <w:pStyle w:val="TOC2"/>
            <w:rPr>
              <w:rFonts w:eastAsiaTheme="minorEastAsia"/>
              <w:noProof/>
              <w:color w:val="auto"/>
            </w:rPr>
          </w:pPr>
          <w:hyperlink w:anchor="_Toc536707014" w:history="1">
            <w:r w:rsidR="00660253" w:rsidRPr="000C6808">
              <w:rPr>
                <w:rStyle w:val="Hyperlink"/>
                <w:noProof/>
              </w:rPr>
              <w:t>B.2. Statistical Methods</w:t>
            </w:r>
            <w:r w:rsidR="00660253">
              <w:rPr>
                <w:noProof/>
                <w:webHidden/>
              </w:rPr>
              <w:tab/>
            </w:r>
            <w:r w:rsidR="00660253">
              <w:rPr>
                <w:noProof/>
                <w:webHidden/>
              </w:rPr>
              <w:fldChar w:fldCharType="begin"/>
            </w:r>
            <w:r w:rsidR="00660253">
              <w:rPr>
                <w:noProof/>
                <w:webHidden/>
              </w:rPr>
              <w:instrText xml:space="preserve"> PAGEREF _Toc536707014 \h </w:instrText>
            </w:r>
            <w:r w:rsidR="00660253">
              <w:rPr>
                <w:noProof/>
                <w:webHidden/>
              </w:rPr>
            </w:r>
            <w:r w:rsidR="00660253">
              <w:rPr>
                <w:noProof/>
                <w:webHidden/>
              </w:rPr>
              <w:fldChar w:fldCharType="separate"/>
            </w:r>
            <w:r w:rsidR="004B0591">
              <w:rPr>
                <w:noProof/>
                <w:webHidden/>
              </w:rPr>
              <w:t>4</w:t>
            </w:r>
            <w:r w:rsidR="00660253">
              <w:rPr>
                <w:noProof/>
                <w:webHidden/>
              </w:rPr>
              <w:fldChar w:fldCharType="end"/>
            </w:r>
          </w:hyperlink>
        </w:p>
        <w:p w14:paraId="436A55B6" w14:textId="77777777" w:rsidR="00660253" w:rsidRDefault="00EE4326">
          <w:pPr>
            <w:pStyle w:val="TOC3"/>
            <w:rPr>
              <w:rFonts w:eastAsiaTheme="minorEastAsia"/>
              <w:noProof/>
              <w:color w:val="auto"/>
            </w:rPr>
          </w:pPr>
          <w:hyperlink w:anchor="_Toc536707015" w:history="1">
            <w:r w:rsidR="00660253" w:rsidRPr="000C6808">
              <w:rPr>
                <w:rStyle w:val="Hyperlink"/>
                <w:noProof/>
              </w:rPr>
              <w:t>Cutoff Sampling Methods</w:t>
            </w:r>
            <w:r w:rsidR="00660253">
              <w:rPr>
                <w:noProof/>
                <w:webHidden/>
              </w:rPr>
              <w:tab/>
            </w:r>
            <w:r w:rsidR="00660253">
              <w:rPr>
                <w:noProof/>
                <w:webHidden/>
              </w:rPr>
              <w:fldChar w:fldCharType="begin"/>
            </w:r>
            <w:r w:rsidR="00660253">
              <w:rPr>
                <w:noProof/>
                <w:webHidden/>
              </w:rPr>
              <w:instrText xml:space="preserve"> PAGEREF _Toc536707015 \h </w:instrText>
            </w:r>
            <w:r w:rsidR="00660253">
              <w:rPr>
                <w:noProof/>
                <w:webHidden/>
              </w:rPr>
            </w:r>
            <w:r w:rsidR="00660253">
              <w:rPr>
                <w:noProof/>
                <w:webHidden/>
              </w:rPr>
              <w:fldChar w:fldCharType="separate"/>
            </w:r>
            <w:r w:rsidR="004B0591">
              <w:rPr>
                <w:noProof/>
                <w:webHidden/>
              </w:rPr>
              <w:t>5</w:t>
            </w:r>
            <w:r w:rsidR="00660253">
              <w:rPr>
                <w:noProof/>
                <w:webHidden/>
              </w:rPr>
              <w:fldChar w:fldCharType="end"/>
            </w:r>
          </w:hyperlink>
        </w:p>
        <w:p w14:paraId="6166F93D" w14:textId="77777777" w:rsidR="00660253" w:rsidRDefault="00EE4326">
          <w:pPr>
            <w:pStyle w:val="TOC3"/>
            <w:rPr>
              <w:rFonts w:eastAsiaTheme="minorEastAsia"/>
              <w:noProof/>
              <w:color w:val="auto"/>
            </w:rPr>
          </w:pPr>
          <w:hyperlink w:anchor="_Toc536707016" w:history="1">
            <w:r w:rsidR="00660253" w:rsidRPr="000C6808">
              <w:rPr>
                <w:rStyle w:val="Hyperlink"/>
                <w:noProof/>
              </w:rPr>
              <w:t>Relative Standard Error as a Measure of Sample Accuracy</w:t>
            </w:r>
            <w:r w:rsidR="00660253">
              <w:rPr>
                <w:noProof/>
                <w:webHidden/>
              </w:rPr>
              <w:tab/>
            </w:r>
            <w:r w:rsidR="00660253">
              <w:rPr>
                <w:noProof/>
                <w:webHidden/>
              </w:rPr>
              <w:fldChar w:fldCharType="begin"/>
            </w:r>
            <w:r w:rsidR="00660253">
              <w:rPr>
                <w:noProof/>
                <w:webHidden/>
              </w:rPr>
              <w:instrText xml:space="preserve"> PAGEREF _Toc536707016 \h </w:instrText>
            </w:r>
            <w:r w:rsidR="00660253">
              <w:rPr>
                <w:noProof/>
                <w:webHidden/>
              </w:rPr>
            </w:r>
            <w:r w:rsidR="00660253">
              <w:rPr>
                <w:noProof/>
                <w:webHidden/>
              </w:rPr>
              <w:fldChar w:fldCharType="separate"/>
            </w:r>
            <w:r w:rsidR="004B0591">
              <w:rPr>
                <w:noProof/>
                <w:webHidden/>
              </w:rPr>
              <w:t>6</w:t>
            </w:r>
            <w:r w:rsidR="00660253">
              <w:rPr>
                <w:noProof/>
                <w:webHidden/>
              </w:rPr>
              <w:fldChar w:fldCharType="end"/>
            </w:r>
          </w:hyperlink>
        </w:p>
        <w:p w14:paraId="467475FF" w14:textId="77777777" w:rsidR="00660253" w:rsidRDefault="00EE4326">
          <w:pPr>
            <w:pStyle w:val="TOC3"/>
            <w:rPr>
              <w:rFonts w:eastAsiaTheme="minorEastAsia"/>
              <w:noProof/>
              <w:color w:val="auto"/>
            </w:rPr>
          </w:pPr>
          <w:hyperlink w:anchor="_Toc536707017" w:history="1">
            <w:r w:rsidR="00660253" w:rsidRPr="000C6808">
              <w:rPr>
                <w:rStyle w:val="Hyperlink"/>
                <w:noProof/>
              </w:rPr>
              <w:t>Electric Power Surveys Sampling and Estimation/Imputation</w:t>
            </w:r>
            <w:r w:rsidR="00660253">
              <w:rPr>
                <w:noProof/>
                <w:webHidden/>
              </w:rPr>
              <w:tab/>
            </w:r>
            <w:r w:rsidR="00660253">
              <w:rPr>
                <w:noProof/>
                <w:webHidden/>
              </w:rPr>
              <w:fldChar w:fldCharType="begin"/>
            </w:r>
            <w:r w:rsidR="00660253">
              <w:rPr>
                <w:noProof/>
                <w:webHidden/>
              </w:rPr>
              <w:instrText xml:space="preserve"> PAGEREF _Toc536707017 \h </w:instrText>
            </w:r>
            <w:r w:rsidR="00660253">
              <w:rPr>
                <w:noProof/>
                <w:webHidden/>
              </w:rPr>
            </w:r>
            <w:r w:rsidR="00660253">
              <w:rPr>
                <w:noProof/>
                <w:webHidden/>
              </w:rPr>
              <w:fldChar w:fldCharType="separate"/>
            </w:r>
            <w:r w:rsidR="004B0591">
              <w:rPr>
                <w:noProof/>
                <w:webHidden/>
              </w:rPr>
              <w:t>6</w:t>
            </w:r>
            <w:r w:rsidR="00660253">
              <w:rPr>
                <w:noProof/>
                <w:webHidden/>
              </w:rPr>
              <w:fldChar w:fldCharType="end"/>
            </w:r>
          </w:hyperlink>
        </w:p>
        <w:p w14:paraId="7CDF937F" w14:textId="4E120B00" w:rsidR="00660253" w:rsidRDefault="00EE4326">
          <w:pPr>
            <w:pStyle w:val="TOC2"/>
            <w:rPr>
              <w:rFonts w:eastAsiaTheme="minorEastAsia"/>
              <w:noProof/>
              <w:color w:val="auto"/>
            </w:rPr>
          </w:pPr>
          <w:hyperlink w:anchor="_Toc536707018" w:history="1">
            <w:r w:rsidR="00660253" w:rsidRPr="000C6808">
              <w:rPr>
                <w:rStyle w:val="Hyperlink"/>
                <w:noProof/>
              </w:rPr>
              <w:t>B.3. Maximizing Response Rates</w:t>
            </w:r>
            <w:r w:rsidR="00660253">
              <w:rPr>
                <w:noProof/>
                <w:webHidden/>
              </w:rPr>
              <w:tab/>
            </w:r>
            <w:r w:rsidR="00660253">
              <w:rPr>
                <w:noProof/>
                <w:webHidden/>
              </w:rPr>
              <w:fldChar w:fldCharType="begin"/>
            </w:r>
            <w:r w:rsidR="00660253">
              <w:rPr>
                <w:noProof/>
                <w:webHidden/>
              </w:rPr>
              <w:instrText xml:space="preserve"> PAGEREF _Toc536707018 \h </w:instrText>
            </w:r>
            <w:r w:rsidR="00660253">
              <w:rPr>
                <w:noProof/>
                <w:webHidden/>
              </w:rPr>
            </w:r>
            <w:r w:rsidR="00660253">
              <w:rPr>
                <w:noProof/>
                <w:webHidden/>
              </w:rPr>
              <w:fldChar w:fldCharType="separate"/>
            </w:r>
            <w:r w:rsidR="004B0591">
              <w:rPr>
                <w:noProof/>
                <w:webHidden/>
              </w:rPr>
              <w:t>12</w:t>
            </w:r>
            <w:r w:rsidR="00660253">
              <w:rPr>
                <w:noProof/>
                <w:webHidden/>
              </w:rPr>
              <w:fldChar w:fldCharType="end"/>
            </w:r>
          </w:hyperlink>
        </w:p>
        <w:p w14:paraId="282A6381" w14:textId="253CEF52" w:rsidR="00660253" w:rsidRDefault="00EE4326">
          <w:pPr>
            <w:pStyle w:val="TOC2"/>
            <w:rPr>
              <w:rFonts w:eastAsiaTheme="minorEastAsia"/>
              <w:noProof/>
              <w:color w:val="auto"/>
            </w:rPr>
          </w:pPr>
          <w:hyperlink w:anchor="_Toc536707019" w:history="1">
            <w:r w:rsidR="00660253" w:rsidRPr="000C6808">
              <w:rPr>
                <w:rStyle w:val="Hyperlink"/>
                <w:noProof/>
              </w:rPr>
              <w:t>B.4. Test Procedures and Form Consultations</w:t>
            </w:r>
            <w:r w:rsidR="00660253">
              <w:rPr>
                <w:noProof/>
                <w:webHidden/>
              </w:rPr>
              <w:tab/>
            </w:r>
            <w:r w:rsidR="00660253">
              <w:rPr>
                <w:noProof/>
                <w:webHidden/>
              </w:rPr>
              <w:fldChar w:fldCharType="begin"/>
            </w:r>
            <w:r w:rsidR="00660253">
              <w:rPr>
                <w:noProof/>
                <w:webHidden/>
              </w:rPr>
              <w:instrText xml:space="preserve"> PAGEREF _Toc536707019 \h </w:instrText>
            </w:r>
            <w:r w:rsidR="00660253">
              <w:rPr>
                <w:noProof/>
                <w:webHidden/>
              </w:rPr>
            </w:r>
            <w:r w:rsidR="00660253">
              <w:rPr>
                <w:noProof/>
                <w:webHidden/>
              </w:rPr>
              <w:fldChar w:fldCharType="separate"/>
            </w:r>
            <w:r w:rsidR="004B0591">
              <w:rPr>
                <w:noProof/>
                <w:webHidden/>
              </w:rPr>
              <w:t>14</w:t>
            </w:r>
            <w:r w:rsidR="00660253">
              <w:rPr>
                <w:noProof/>
                <w:webHidden/>
              </w:rPr>
              <w:fldChar w:fldCharType="end"/>
            </w:r>
          </w:hyperlink>
        </w:p>
        <w:p w14:paraId="7D3802C8" w14:textId="2DB5DAFB" w:rsidR="00660253" w:rsidRDefault="00EE4326">
          <w:pPr>
            <w:pStyle w:val="TOC2"/>
            <w:rPr>
              <w:rFonts w:eastAsiaTheme="minorEastAsia"/>
              <w:noProof/>
              <w:color w:val="auto"/>
            </w:rPr>
          </w:pPr>
          <w:hyperlink w:anchor="_Toc536707020" w:history="1">
            <w:r w:rsidR="00660253" w:rsidRPr="000C6808">
              <w:rPr>
                <w:rStyle w:val="Hyperlink"/>
                <w:noProof/>
              </w:rPr>
              <w:t>B.5. Statistical Consultations</w:t>
            </w:r>
            <w:r w:rsidR="00660253">
              <w:rPr>
                <w:noProof/>
                <w:webHidden/>
              </w:rPr>
              <w:tab/>
            </w:r>
            <w:r w:rsidR="00660253">
              <w:rPr>
                <w:noProof/>
                <w:webHidden/>
              </w:rPr>
              <w:fldChar w:fldCharType="begin"/>
            </w:r>
            <w:r w:rsidR="00660253">
              <w:rPr>
                <w:noProof/>
                <w:webHidden/>
              </w:rPr>
              <w:instrText xml:space="preserve"> PAGEREF _Toc536707020 \h </w:instrText>
            </w:r>
            <w:r w:rsidR="00660253">
              <w:rPr>
                <w:noProof/>
                <w:webHidden/>
              </w:rPr>
            </w:r>
            <w:r w:rsidR="00660253">
              <w:rPr>
                <w:noProof/>
                <w:webHidden/>
              </w:rPr>
              <w:fldChar w:fldCharType="separate"/>
            </w:r>
            <w:r w:rsidR="004B0591">
              <w:rPr>
                <w:noProof/>
                <w:webHidden/>
              </w:rPr>
              <w:t>14</w:t>
            </w:r>
            <w:r w:rsidR="00660253">
              <w:rPr>
                <w:noProof/>
                <w:webHidden/>
              </w:rPr>
              <w:fldChar w:fldCharType="end"/>
            </w:r>
          </w:hyperlink>
        </w:p>
        <w:p w14:paraId="68CFB853" w14:textId="77777777" w:rsidR="0059212D" w:rsidRDefault="0059212D">
          <w:r>
            <w:rPr>
              <w:b/>
              <w:bCs/>
              <w:noProof/>
            </w:rPr>
            <w:fldChar w:fldCharType="end"/>
          </w:r>
        </w:p>
      </w:sdtContent>
    </w:sdt>
    <w:p w14:paraId="03DF4A28" w14:textId="77777777" w:rsidR="001F3A8F" w:rsidRDefault="001F3A8F" w:rsidP="00D928FD"/>
    <w:p w14:paraId="282C99A1" w14:textId="77777777" w:rsidR="00D928FD" w:rsidRDefault="00D928FD" w:rsidP="00D928FD">
      <w:pPr>
        <w:sectPr w:rsidR="00D928FD" w:rsidSect="00725453">
          <w:footerReference w:type="first" r:id="rId21"/>
          <w:footnotePr>
            <w:pos w:val="beneathText"/>
          </w:footnotePr>
          <w:type w:val="continuous"/>
          <w:pgSz w:w="12240" w:h="15840"/>
          <w:pgMar w:top="1440" w:right="1440" w:bottom="1440" w:left="1440" w:header="720" w:footer="720" w:gutter="0"/>
          <w:pgNumType w:fmt="lowerRoman" w:start="1"/>
          <w:cols w:space="720"/>
          <w:docGrid w:linePitch="360"/>
        </w:sectPr>
      </w:pPr>
    </w:p>
    <w:p w14:paraId="520E78B3" w14:textId="77777777" w:rsidR="00041909" w:rsidRDefault="00041909" w:rsidP="00836D62">
      <w:pPr>
        <w:spacing w:line="240" w:lineRule="auto"/>
        <w:sectPr w:rsidR="00041909" w:rsidSect="00725453">
          <w:footerReference w:type="first" r:id="rId22"/>
          <w:footnotePr>
            <w:pos w:val="beneathText"/>
          </w:footnotePr>
          <w:type w:val="continuous"/>
          <w:pgSz w:w="12240" w:h="15840"/>
          <w:pgMar w:top="1440" w:right="1440" w:bottom="1440" w:left="1440" w:header="720" w:footer="720" w:gutter="0"/>
          <w:pgNumType w:fmt="lowerRoman"/>
          <w:cols w:space="720"/>
          <w:docGrid w:linePitch="360"/>
        </w:sectPr>
      </w:pPr>
    </w:p>
    <w:p w14:paraId="1039423F" w14:textId="77777777" w:rsidR="007E53C4" w:rsidRDefault="00844524" w:rsidP="007E53C4">
      <w:pPr>
        <w:pStyle w:val="Heading2"/>
      </w:pPr>
      <w:bookmarkStart w:id="2" w:name="_Toc536707013"/>
      <w:r>
        <w:t>B.</w:t>
      </w:r>
      <w:r w:rsidR="00A41763" w:rsidRPr="00A41763">
        <w:t xml:space="preserve">1. </w:t>
      </w:r>
      <w:r w:rsidR="007E53C4">
        <w:t>Respondent Universe</w:t>
      </w:r>
      <w:bookmarkEnd w:id="2"/>
    </w:p>
    <w:p w14:paraId="7FAF2ED8" w14:textId="732C5BDF" w:rsidR="00406457" w:rsidRPr="00C87150" w:rsidRDefault="00406457">
      <w:pPr>
        <w:rPr>
          <w:u w:val="single"/>
        </w:rPr>
      </w:pPr>
      <w:r w:rsidRPr="00FF3053">
        <w:rPr>
          <w:u w:val="single"/>
        </w:rPr>
        <w:t>Form EIA-63B</w:t>
      </w:r>
      <w:r w:rsidR="0092620C">
        <w:rPr>
          <w:u w:val="single"/>
        </w:rPr>
        <w:t xml:space="preserve"> </w:t>
      </w:r>
      <w:r w:rsidRPr="006B675E">
        <w:rPr>
          <w:i/>
          <w:iCs/>
          <w:u w:val="single"/>
        </w:rPr>
        <w:t>Photovoltaic Module Shipments Report</w:t>
      </w:r>
    </w:p>
    <w:p w14:paraId="7EA50B00" w14:textId="577C8A42" w:rsidR="00406457" w:rsidRDefault="00406457" w:rsidP="00406457">
      <w:r>
        <w:t xml:space="preserve">Form EIA-63B </w:t>
      </w:r>
      <w:r w:rsidR="00572FCC">
        <w:t xml:space="preserve">collects information on </w:t>
      </w:r>
      <w:r>
        <w:t>a monthly</w:t>
      </w:r>
      <w:r w:rsidR="0092620C">
        <w:t xml:space="preserve"> and annual</w:t>
      </w:r>
      <w:r>
        <w:t xml:space="preserve"> </w:t>
      </w:r>
      <w:r w:rsidR="00572FCC">
        <w:t xml:space="preserve">basis from </w:t>
      </w:r>
      <w:r>
        <w:t>companies engaged in photovoltaic module manufacturing, shipping, importing, or exporting within the United States, its ter</w:t>
      </w:r>
      <w:r w:rsidR="00660253">
        <w:t xml:space="preserve">ritories, and possessions. The </w:t>
      </w:r>
      <w:r>
        <w:t>monthly survey, like t</w:t>
      </w:r>
      <w:r w:rsidR="00660253">
        <w:t>he existing annual version,</w:t>
      </w:r>
      <w:r>
        <w:t xml:space="preserve"> collect</w:t>
      </w:r>
      <w:r w:rsidR="00660253">
        <w:t>s</w:t>
      </w:r>
      <w:r>
        <w:t xml:space="preserve"> information </w:t>
      </w:r>
      <w:r w:rsidR="00C87150">
        <w:t xml:space="preserve">on the </w:t>
      </w:r>
      <w:r>
        <w:t xml:space="preserve">volume and value of shipments, technical characteristics of the modules shipped, and employment data. The survey frame for Form EIA-63B </w:t>
      </w:r>
      <w:r w:rsidR="00660253">
        <w:t>contains</w:t>
      </w:r>
      <w:r>
        <w:t xml:space="preserve"> approximately </w:t>
      </w:r>
      <w:r w:rsidR="00660253">
        <w:t>57</w:t>
      </w:r>
      <w:r>
        <w:t xml:space="preserve"> respondents</w:t>
      </w:r>
      <w:r w:rsidR="00660253">
        <w:t>; 12</w:t>
      </w:r>
      <w:r w:rsidRPr="48221154">
        <w:t xml:space="preserve"> </w:t>
      </w:r>
      <w:r w:rsidR="00660253">
        <w:t>report monthly and 45</w:t>
      </w:r>
      <w:r>
        <w:t xml:space="preserve"> report annually. T</w:t>
      </w:r>
      <w:r w:rsidRPr="00A20F0A">
        <w:t xml:space="preserve">he monthly frame </w:t>
      </w:r>
      <w:r w:rsidR="00660253">
        <w:t>includes</w:t>
      </w:r>
      <w:r w:rsidRPr="00A20F0A">
        <w:t xml:space="preserve"> only ‘large’ producers with the intent of capturing at least 90% of peak kilowatts </w:t>
      </w:r>
      <w:r w:rsidRPr="48221154">
        <w:t>(</w:t>
      </w:r>
      <w:r>
        <w:t>kWp</w:t>
      </w:r>
      <w:r w:rsidRPr="48221154">
        <w:t xml:space="preserve">) </w:t>
      </w:r>
      <w:r w:rsidRPr="00A20F0A">
        <w:t xml:space="preserve">shipped. Respondents reporting total shipments of at least 100,000 </w:t>
      </w:r>
      <w:r>
        <w:t>kWp</w:t>
      </w:r>
      <w:r w:rsidRPr="00A20F0A">
        <w:t xml:space="preserve"> during the previous year </w:t>
      </w:r>
      <w:r w:rsidR="0092620C">
        <w:t>are</w:t>
      </w:r>
      <w:r w:rsidRPr="00A20F0A">
        <w:t xml:space="preserve"> surveyed monthly</w:t>
      </w:r>
      <w:r w:rsidRPr="00EF4FC7">
        <w:t>, and the published monthly data reflect</w:t>
      </w:r>
      <w:r w:rsidR="0092620C">
        <w:t>s</w:t>
      </w:r>
      <w:r w:rsidRPr="00EF4FC7">
        <w:t xml:space="preserve"> only sampled unit</w:t>
      </w:r>
      <w:r>
        <w:t>s.</w:t>
      </w:r>
      <w:r w:rsidR="009D3901" w:rsidRPr="48221154">
        <w:t xml:space="preserve"> </w:t>
      </w:r>
      <w:r>
        <w:t>The annual s</w:t>
      </w:r>
      <w:r w:rsidRPr="00A20F0A">
        <w:t xml:space="preserve">urvey </w:t>
      </w:r>
      <w:r w:rsidR="00660253">
        <w:t>collects</w:t>
      </w:r>
      <w:r>
        <w:t xml:space="preserve"> data from </w:t>
      </w:r>
      <w:r w:rsidRPr="00A20F0A">
        <w:t xml:space="preserve">all known U.S. producers </w:t>
      </w:r>
      <w:r>
        <w:t>using</w:t>
      </w:r>
      <w:r w:rsidRPr="00A20F0A">
        <w:t xml:space="preserve"> a short</w:t>
      </w:r>
      <w:r>
        <w:t>er</w:t>
      </w:r>
      <w:r w:rsidRPr="00A20F0A">
        <w:t xml:space="preserve"> version of the </w:t>
      </w:r>
      <w:r>
        <w:t xml:space="preserve">monthly </w:t>
      </w:r>
      <w:r w:rsidRPr="00A20F0A">
        <w:t>form</w:t>
      </w:r>
      <w:r w:rsidRPr="48221154">
        <w:t xml:space="preserve">. </w:t>
      </w:r>
      <w:r w:rsidRPr="00EA5EBD">
        <w:t xml:space="preserve">Potential respondents </w:t>
      </w:r>
      <w:r w:rsidR="0092620C">
        <w:t>are</w:t>
      </w:r>
      <w:r w:rsidRPr="00EA5EBD">
        <w:t xml:space="preserve"> identified from </w:t>
      </w:r>
      <w:r>
        <w:t xml:space="preserve">U.S. </w:t>
      </w:r>
      <w:r w:rsidRPr="00EA5EBD">
        <w:t>D</w:t>
      </w:r>
      <w:r>
        <w:t>epartment of Energy (DOE)</w:t>
      </w:r>
      <w:r w:rsidRPr="00EA5EBD">
        <w:t xml:space="preserve"> and </w:t>
      </w:r>
      <w:r>
        <w:t xml:space="preserve">U.S. </w:t>
      </w:r>
      <w:r w:rsidRPr="00EA5EBD">
        <w:t>E</w:t>
      </w:r>
      <w:r>
        <w:t>nergy Information Administration (EIA) d</w:t>
      </w:r>
      <w:r w:rsidRPr="00EA5EBD">
        <w:t>a</w:t>
      </w:r>
      <w:r>
        <w:t>ta</w:t>
      </w:r>
      <w:r w:rsidRPr="00EA5EBD">
        <w:t>bases</w:t>
      </w:r>
      <w:r w:rsidRPr="48221154">
        <w:t>,</w:t>
      </w:r>
      <w:r w:rsidRPr="00EA5EBD">
        <w:t xml:space="preserve"> industry/manufacturer directories</w:t>
      </w:r>
      <w:r w:rsidRPr="48221154">
        <w:t xml:space="preserve">, </w:t>
      </w:r>
      <w:r>
        <w:t xml:space="preserve">and </w:t>
      </w:r>
      <w:r w:rsidRPr="00EA5EBD">
        <w:t>trade publications.</w:t>
      </w:r>
    </w:p>
    <w:p w14:paraId="0A12564E" w14:textId="6A70EA30" w:rsidR="00406457" w:rsidRPr="0044068C" w:rsidRDefault="00406457" w:rsidP="00406457">
      <w:pPr>
        <w:spacing w:before="240"/>
        <w:rPr>
          <w:u w:val="single"/>
        </w:rPr>
      </w:pPr>
      <w:r w:rsidRPr="0044068C">
        <w:rPr>
          <w:u w:val="single"/>
        </w:rPr>
        <w:t>Form EIA-860</w:t>
      </w:r>
      <w:r w:rsidR="006866CF" w:rsidRPr="0044068C">
        <w:rPr>
          <w:u w:val="single"/>
        </w:rPr>
        <w:t xml:space="preserve"> </w:t>
      </w:r>
      <w:r w:rsidRPr="006B675E">
        <w:rPr>
          <w:i/>
          <w:iCs/>
          <w:u w:val="single"/>
        </w:rPr>
        <w:t>Annual Electric Generator Report</w:t>
      </w:r>
      <w:r w:rsidRPr="0044068C">
        <w:rPr>
          <w:u w:val="single"/>
        </w:rPr>
        <w:t xml:space="preserve"> and Form EIA-860M</w:t>
      </w:r>
      <w:r w:rsidR="006866CF" w:rsidRPr="0044068C">
        <w:rPr>
          <w:u w:val="single"/>
        </w:rPr>
        <w:t xml:space="preserve"> </w:t>
      </w:r>
      <w:r w:rsidRPr="006B675E">
        <w:rPr>
          <w:i/>
          <w:u w:val="single"/>
        </w:rPr>
        <w:t>Monthly Update to the Annual Electric Generator Report</w:t>
      </w:r>
    </w:p>
    <w:p w14:paraId="7C8593A6" w14:textId="78C83BA2" w:rsidR="00406457" w:rsidRDefault="00406457" w:rsidP="00406457">
      <w:r>
        <w:t xml:space="preserve">Form EIA-860 collects data on the </w:t>
      </w:r>
      <w:r w:rsidRPr="00EF28E6">
        <w:t>status of electric generating plants and associated equipment</w:t>
      </w:r>
      <w:r>
        <w:t xml:space="preserve"> (such as environmental control systems) that are connected to the U.S. power transmission grid</w:t>
      </w:r>
      <w:r w:rsidR="008A1465">
        <w:t xml:space="preserve"> </w:t>
      </w:r>
      <w:r w:rsidR="00355BF5">
        <w:t>on an annual basis</w:t>
      </w:r>
      <w:r>
        <w:t xml:space="preserve">. </w:t>
      </w:r>
      <w:r w:rsidRPr="00460AFA">
        <w:t xml:space="preserve">The target population comprises existing and proposed </w:t>
      </w:r>
      <w:r>
        <w:t>electric power plants, including the following:</w:t>
      </w:r>
    </w:p>
    <w:p w14:paraId="774D47B1" w14:textId="31E055BA" w:rsidR="003A5CEB" w:rsidRDefault="00406457" w:rsidP="007F17B8">
      <w:pPr>
        <w:pStyle w:val="ListParagraph"/>
        <w:numPr>
          <w:ilvl w:val="0"/>
          <w:numId w:val="18"/>
        </w:numPr>
      </w:pPr>
      <w:r>
        <w:t xml:space="preserve">All </w:t>
      </w:r>
      <w:r w:rsidRPr="003A5CEB">
        <w:rPr>
          <w:b/>
          <w:bCs/>
        </w:rPr>
        <w:t>existing plants</w:t>
      </w:r>
      <w:r>
        <w:t xml:space="preserve"> that have a total generator nameplate capacity (sum for generators at a single site) of 1 megawatt (MW) or greater; and where the generator(s), or the facility in which the generator(s) resides, is connected to the local or regional electric power grid and has the ability to draw power from the grid or deliver power to the grid; and</w:t>
      </w:r>
    </w:p>
    <w:p w14:paraId="236AFBEE" w14:textId="77777777" w:rsidR="00406457" w:rsidRDefault="00406457" w:rsidP="00406457">
      <w:pPr>
        <w:ind w:left="720" w:hanging="360"/>
      </w:pPr>
      <w:r>
        <w:t>B.</w:t>
      </w:r>
      <w:r>
        <w:tab/>
        <w:t xml:space="preserve">All </w:t>
      </w:r>
      <w:r w:rsidRPr="00C87150">
        <w:rPr>
          <w:b/>
        </w:rPr>
        <w:t>proposed plants</w:t>
      </w:r>
      <w:r>
        <w:t xml:space="preserve"> that: 1) have an expected total generator(s) nameplate capacity of 1 MW or greater; 2) expect the generator(s), or the facility in which the generator(s) resides, to be connected to the local or regional electric power grid and expected to be able to draw power from the grid or deliver power to the grid; and 3) expect to commence commercial operation within 10 years in the case of coal, petroleum coke, nuclear, and hydroelectric (both conventional and pumped storage) units, or within 5 years for all other units.</w:t>
      </w:r>
    </w:p>
    <w:p w14:paraId="5A4F8E36" w14:textId="5CDB6F52" w:rsidR="00406457" w:rsidRDefault="008A1465" w:rsidP="00406457">
      <w:r>
        <w:t xml:space="preserve">Entities </w:t>
      </w:r>
      <w:r w:rsidR="00406457" w:rsidRPr="00460AFA">
        <w:t xml:space="preserve">complete the form for all the plants they operate. </w:t>
      </w:r>
      <w:r w:rsidR="00406457">
        <w:t>Over</w:t>
      </w:r>
      <w:r w:rsidR="0088497F">
        <w:t xml:space="preserve"> 3,8</w:t>
      </w:r>
      <w:r w:rsidR="00406457">
        <w:t>00</w:t>
      </w:r>
      <w:r w:rsidR="00406457" w:rsidRPr="00460AFA">
        <w:t xml:space="preserve"> entities </w:t>
      </w:r>
      <w:r w:rsidR="00406457">
        <w:t>are required to file Form EIA-860.</w:t>
      </w:r>
      <w:r w:rsidR="009D3901">
        <w:t xml:space="preserve"> </w:t>
      </w:r>
      <w:r w:rsidR="00406457">
        <w:t xml:space="preserve">They currently </w:t>
      </w:r>
      <w:r w:rsidR="00406457" w:rsidRPr="00460AFA">
        <w:t>operate and/or propose to operate a</w:t>
      </w:r>
      <w:r w:rsidR="00355BF5">
        <w:t>pproximately</w:t>
      </w:r>
      <w:r w:rsidR="00406457" w:rsidRPr="00460AFA">
        <w:t xml:space="preserve"> </w:t>
      </w:r>
      <w:r w:rsidR="00406457">
        <w:t>8,700</w:t>
      </w:r>
      <w:r w:rsidR="00406457" w:rsidRPr="00460AFA">
        <w:t xml:space="preserve"> facilities, containing over </w:t>
      </w:r>
      <w:r w:rsidR="00406457">
        <w:t>24,700</w:t>
      </w:r>
      <w:r w:rsidR="00406457" w:rsidRPr="00460AFA">
        <w:t xml:space="preserve"> generators.</w:t>
      </w:r>
      <w:r w:rsidR="009D3901">
        <w:t xml:space="preserve"> </w:t>
      </w:r>
      <w:r w:rsidR="00406457" w:rsidRPr="00460AFA">
        <w:t>The respondents to this survey form the basis of the EIA electric power entity frame, from which samples for other surveys are drawn.</w:t>
      </w:r>
      <w:r w:rsidR="009D3901">
        <w:t xml:space="preserve"> </w:t>
      </w:r>
      <w:r w:rsidR="00406457">
        <w:t>Respondents are either self-identified or identified through industry publications and data services to which EIA subscribes.</w:t>
      </w:r>
    </w:p>
    <w:p w14:paraId="390F82A9" w14:textId="66FBB06B" w:rsidR="00406457" w:rsidRDefault="00406457" w:rsidP="00406457">
      <w:r>
        <w:t>Form EIA-860M monthly survey collects data from the Form EIA-860 population when a respondent has any of the following:</w:t>
      </w:r>
    </w:p>
    <w:p w14:paraId="23146D74" w14:textId="77777777" w:rsidR="00406457" w:rsidRDefault="00406457" w:rsidP="00C87150">
      <w:pPr>
        <w:pStyle w:val="ListParagraph"/>
        <w:numPr>
          <w:ilvl w:val="0"/>
          <w:numId w:val="10"/>
        </w:numPr>
      </w:pPr>
      <w:r>
        <w:t>A</w:t>
      </w:r>
      <w:r w:rsidRPr="001A6D0A">
        <w:t xml:space="preserve"> new generator scheduled to begin commercial operations within the next 12 months</w:t>
      </w:r>
    </w:p>
    <w:p w14:paraId="61B7CFBC" w14:textId="77777777" w:rsidR="00406457" w:rsidRDefault="00406457" w:rsidP="00C87150">
      <w:pPr>
        <w:pStyle w:val="ListParagraph"/>
        <w:numPr>
          <w:ilvl w:val="0"/>
          <w:numId w:val="10"/>
        </w:numPr>
      </w:pPr>
      <w:r>
        <w:t>A</w:t>
      </w:r>
      <w:r w:rsidRPr="001A6D0A">
        <w:t>n existing generator scheduled for retirement within the next 12 months</w:t>
      </w:r>
    </w:p>
    <w:p w14:paraId="63A93BE8" w14:textId="77777777" w:rsidR="00406457" w:rsidRDefault="00406457" w:rsidP="00C87150">
      <w:pPr>
        <w:pStyle w:val="ListParagraph"/>
        <w:numPr>
          <w:ilvl w:val="0"/>
          <w:numId w:val="10"/>
        </w:numPr>
      </w:pPr>
      <w:r>
        <w:t>A</w:t>
      </w:r>
      <w:r w:rsidRPr="001A6D0A">
        <w:t>n existing generator undergoing modifications resulting in changes in capacity or other major modifications that are scheduled to be completed within 1 month</w:t>
      </w:r>
    </w:p>
    <w:p w14:paraId="452B8E4F" w14:textId="7C6C866B" w:rsidR="00406457" w:rsidRDefault="00406457" w:rsidP="00406457">
      <w:pPr>
        <w:spacing w:before="240"/>
        <w:rPr>
          <w:u w:val="single"/>
        </w:rPr>
      </w:pPr>
      <w:r w:rsidRPr="001A6D0A">
        <w:t>Respondents are the operators of the power plants where these new generators and existing generators are located.</w:t>
      </w:r>
      <w:r w:rsidR="009D3901">
        <w:t xml:space="preserve"> </w:t>
      </w:r>
      <w:r w:rsidRPr="001A6D0A">
        <w:t xml:space="preserve">Based on </w:t>
      </w:r>
      <w:r>
        <w:t>recent experience,</w:t>
      </w:r>
      <w:r w:rsidRPr="00C97E9C">
        <w:rPr>
          <w:color w:val="006600"/>
        </w:rPr>
        <w:t xml:space="preserve"> </w:t>
      </w:r>
      <w:r w:rsidRPr="001A6D0A">
        <w:t>EIA estimates that Form EIA-860M collect</w:t>
      </w:r>
      <w:r w:rsidR="00355BF5">
        <w:t>s</w:t>
      </w:r>
      <w:r w:rsidRPr="001A6D0A">
        <w:t xml:space="preserve"> data from approximately </w:t>
      </w:r>
      <w:r w:rsidR="0088497F">
        <w:t>312</w:t>
      </w:r>
      <w:r w:rsidRPr="00C97E9C">
        <w:rPr>
          <w:b/>
          <w:color w:val="006600"/>
        </w:rPr>
        <w:t xml:space="preserve"> </w:t>
      </w:r>
      <w:r w:rsidRPr="001A6D0A">
        <w:t>respondent entities</w:t>
      </w:r>
      <w:r>
        <w:t xml:space="preserve"> on average each month</w:t>
      </w:r>
      <w:r w:rsidRPr="001A6D0A">
        <w:t>.</w:t>
      </w:r>
    </w:p>
    <w:p w14:paraId="32FF48F0" w14:textId="0DF0C16D" w:rsidR="00D05524" w:rsidRDefault="00D05524" w:rsidP="00D05524">
      <w:pPr>
        <w:spacing w:before="240"/>
      </w:pPr>
      <w:r w:rsidRPr="00995F7F">
        <w:rPr>
          <w:u w:val="single"/>
        </w:rPr>
        <w:t>Form EIA-861</w:t>
      </w:r>
      <w:r w:rsidR="009A1A33">
        <w:rPr>
          <w:u w:val="single"/>
        </w:rPr>
        <w:t xml:space="preserve"> </w:t>
      </w:r>
      <w:r w:rsidRPr="00932E7D">
        <w:rPr>
          <w:i/>
          <w:u w:val="single"/>
        </w:rPr>
        <w:t>Annual Electric Power Industry Report</w:t>
      </w:r>
      <w:r>
        <w:rPr>
          <w:u w:val="single"/>
        </w:rPr>
        <w:t xml:space="preserve">; Form </w:t>
      </w:r>
      <w:r w:rsidRPr="00995F7F">
        <w:rPr>
          <w:u w:val="single"/>
        </w:rPr>
        <w:t>EIA-861</w:t>
      </w:r>
      <w:r>
        <w:rPr>
          <w:u w:val="single"/>
        </w:rPr>
        <w:t>S</w:t>
      </w:r>
      <w:r w:rsidR="009A1A33">
        <w:rPr>
          <w:u w:val="single"/>
        </w:rPr>
        <w:t xml:space="preserve"> </w:t>
      </w:r>
      <w:r w:rsidRPr="00932E7D">
        <w:rPr>
          <w:i/>
          <w:u w:val="single"/>
        </w:rPr>
        <w:t>Annual Electric Power Industry Report (Short Form)</w:t>
      </w:r>
      <w:r>
        <w:rPr>
          <w:u w:val="single"/>
        </w:rPr>
        <w:t>;</w:t>
      </w:r>
      <w:r w:rsidR="009A1A33">
        <w:rPr>
          <w:u w:val="single"/>
        </w:rPr>
        <w:t xml:space="preserve"> </w:t>
      </w:r>
      <w:r>
        <w:rPr>
          <w:u w:val="single"/>
        </w:rPr>
        <w:t xml:space="preserve">and Form </w:t>
      </w:r>
      <w:r w:rsidRPr="008F167B">
        <w:rPr>
          <w:u w:val="single"/>
        </w:rPr>
        <w:t>EIA-8</w:t>
      </w:r>
      <w:r>
        <w:rPr>
          <w:u w:val="single"/>
        </w:rPr>
        <w:t>61M</w:t>
      </w:r>
      <w:r w:rsidR="009A1A33">
        <w:rPr>
          <w:u w:val="single"/>
        </w:rPr>
        <w:t xml:space="preserve"> </w:t>
      </w:r>
      <w:r w:rsidRPr="00932E7D">
        <w:rPr>
          <w:i/>
          <w:u w:val="single"/>
        </w:rPr>
        <w:t>Monthly Electric Power Industry Report</w:t>
      </w:r>
    </w:p>
    <w:p w14:paraId="069DE9AC" w14:textId="4C26864A" w:rsidR="00D05524" w:rsidRDefault="00D05524" w:rsidP="00D05524">
      <w:pPr>
        <w:spacing w:before="240"/>
      </w:pPr>
      <w:r>
        <w:t xml:space="preserve">The approximately 3,400 entities that constitute the universe for these three mandatory surveys are all </w:t>
      </w:r>
      <w:r w:rsidRPr="00821DF3">
        <w:t xml:space="preserve">participants in the electric power industry </w:t>
      </w:r>
      <w:r>
        <w:t xml:space="preserve">who are </w:t>
      </w:r>
      <w:r w:rsidRPr="00821DF3">
        <w:t>involved in the generation, transmission, or distribution of electricity in the United States and its territories.</w:t>
      </w:r>
      <w:r w:rsidR="009D3901">
        <w:t xml:space="preserve"> </w:t>
      </w:r>
      <w:r w:rsidRPr="00821DF3">
        <w:t>Target population members include electric utilities, wholesale power marketers (registered with the Federal Energy Regulatory Commission</w:t>
      </w:r>
      <w:r>
        <w:t xml:space="preserve"> [FERC]</w:t>
      </w:r>
      <w:r w:rsidRPr="00821DF3">
        <w:t>), energy service providers, and electric power producers</w:t>
      </w:r>
      <w:r>
        <w:t>.</w:t>
      </w:r>
    </w:p>
    <w:p w14:paraId="5C3EB9FC" w14:textId="77777777" w:rsidR="006B675E" w:rsidRPr="00EB0153" w:rsidRDefault="006B675E" w:rsidP="006B675E">
      <w:pPr>
        <w:spacing w:before="100" w:beforeAutospacing="1" w:after="100" w:afterAutospacing="1" w:line="240" w:lineRule="auto"/>
        <w:textAlignment w:val="baseline"/>
        <w:rPr>
          <w:rFonts w:ascii="Calibri" w:eastAsia="Times New Roman" w:hAnsi="Calibri" w:cs="Times New Roman"/>
          <w:i/>
        </w:rPr>
      </w:pPr>
      <w:r w:rsidRPr="00EB0153">
        <w:rPr>
          <w:rFonts w:ascii="Calibri" w:eastAsia="Times New Roman" w:hAnsi="Calibri" w:cs="Times New Roman"/>
          <w:i/>
        </w:rPr>
        <w:t>Form EIA-861</w:t>
      </w:r>
    </w:p>
    <w:p w14:paraId="731A0DB9" w14:textId="1614D793" w:rsidR="00D05524" w:rsidRDefault="00D05524" w:rsidP="00D05524">
      <w:pPr>
        <w:spacing w:before="240"/>
      </w:pPr>
      <w:r>
        <w:t xml:space="preserve">The </w:t>
      </w:r>
      <w:r w:rsidR="008A3EB0">
        <w:t xml:space="preserve">annual </w:t>
      </w:r>
      <w:r>
        <w:t xml:space="preserve">Form EIA-861 collects a range of </w:t>
      </w:r>
      <w:r w:rsidRPr="004157D6">
        <w:t xml:space="preserve">information related to electricity sales, </w:t>
      </w:r>
      <w:r w:rsidR="00B911B8">
        <w:t xml:space="preserve">number and type of </w:t>
      </w:r>
      <w:r w:rsidRPr="004157D6">
        <w:t>customers, and demand response and energy efficiency activities</w:t>
      </w:r>
      <w:r>
        <w:t>.</w:t>
      </w:r>
      <w:r w:rsidR="009D3901">
        <w:t xml:space="preserve"> </w:t>
      </w:r>
      <w:r w:rsidR="00B911B8">
        <w:t xml:space="preserve">A sample of respondents report on </w:t>
      </w:r>
      <w:r>
        <w:t xml:space="preserve">Form EIA-861, where the largest of </w:t>
      </w:r>
      <w:r w:rsidRPr="00CE649B">
        <w:t>the 3,4</w:t>
      </w:r>
      <w:r>
        <w:t>27</w:t>
      </w:r>
      <w:r w:rsidRPr="00CE649B">
        <w:t xml:space="preserve"> entities</w:t>
      </w:r>
      <w:r>
        <w:t xml:space="preserve"> in the survey universe (</w:t>
      </w:r>
      <w:r w:rsidRPr="0081155F">
        <w:t xml:space="preserve">approximately </w:t>
      </w:r>
      <w:r w:rsidRPr="00CE649B">
        <w:t>2,</w:t>
      </w:r>
      <w:r>
        <w:t>323 entities) are sampled, based on a threshold of annual retail sales and other factors explained below.</w:t>
      </w:r>
      <w:r w:rsidR="009D3901">
        <w:t xml:space="preserve"> </w:t>
      </w:r>
      <w:r>
        <w:t xml:space="preserve">The remaining smaller entities, </w:t>
      </w:r>
      <w:r w:rsidRPr="00CE649B">
        <w:t>about 1,1</w:t>
      </w:r>
      <w:r>
        <w:t>04</w:t>
      </w:r>
      <w:r w:rsidRPr="00CE649B">
        <w:t xml:space="preserve"> of the</w:t>
      </w:r>
      <w:r>
        <w:t xml:space="preserve"> potential respondents, account for </w:t>
      </w:r>
      <w:r w:rsidRPr="004C4A49">
        <w:t>only about 1 percent of total U.S. electricity sales and rarely</w:t>
      </w:r>
      <w:r>
        <w:t xml:space="preserve"> engage in</w:t>
      </w:r>
      <w:r w:rsidRPr="004C4A49">
        <w:t xml:space="preserve"> any</w:t>
      </w:r>
      <w:r>
        <w:t xml:space="preserve"> other activities</w:t>
      </w:r>
      <w:r w:rsidRPr="004C4A49">
        <w:t xml:space="preserve"> outside of basic electricity sales and distribution</w:t>
      </w:r>
      <w:r>
        <w:t>.</w:t>
      </w:r>
    </w:p>
    <w:p w14:paraId="498D72C9" w14:textId="4E9216EA" w:rsidR="00D05524" w:rsidRDefault="00D05524" w:rsidP="00D05524">
      <w:r w:rsidRPr="00CE649B">
        <w:rPr>
          <w:rFonts w:cs="Arial"/>
        </w:rPr>
        <w:t>In 2013, EIA implemented a burden reduction plan by creating a short form for the smallest 1</w:t>
      </w:r>
      <w:r w:rsidR="008A3EB0">
        <w:rPr>
          <w:rFonts w:cs="Arial"/>
        </w:rPr>
        <w:t>,</w:t>
      </w:r>
      <w:r w:rsidRPr="00CE649B">
        <w:rPr>
          <w:rFonts w:cs="Arial"/>
        </w:rPr>
        <w:t>1</w:t>
      </w:r>
      <w:r w:rsidR="00374A54">
        <w:rPr>
          <w:rFonts w:cs="Arial"/>
        </w:rPr>
        <w:t>0</w:t>
      </w:r>
      <w:r>
        <w:rPr>
          <w:rFonts w:cs="Arial"/>
        </w:rPr>
        <w:t>4</w:t>
      </w:r>
      <w:r w:rsidRPr="00CE649B">
        <w:rPr>
          <w:rFonts w:cs="Arial"/>
        </w:rPr>
        <w:t xml:space="preserve"> utilities </w:t>
      </w:r>
      <w:r w:rsidR="008A3EB0">
        <w:rPr>
          <w:rFonts w:cs="Arial"/>
        </w:rPr>
        <w:t>that represent</w:t>
      </w:r>
      <w:r w:rsidRPr="00CE649B">
        <w:rPr>
          <w:rFonts w:cs="Arial"/>
        </w:rPr>
        <w:t xml:space="preserve"> approximately</w:t>
      </w:r>
      <w:r w:rsidR="00374A54">
        <w:rPr>
          <w:rFonts w:cs="Arial"/>
        </w:rPr>
        <w:t xml:space="preserve"> </w:t>
      </w:r>
      <w:r w:rsidR="00C437CC">
        <w:rPr>
          <w:rFonts w:cs="Arial"/>
        </w:rPr>
        <w:t>1%</w:t>
      </w:r>
      <w:r w:rsidRPr="00CE649B">
        <w:rPr>
          <w:rFonts w:cs="Arial"/>
        </w:rPr>
        <w:t xml:space="preserve"> of the annual national retail sales. These smaller size utilities currently report on </w:t>
      </w:r>
      <w:r w:rsidR="008A3EB0">
        <w:rPr>
          <w:rFonts w:cs="Arial"/>
        </w:rPr>
        <w:t xml:space="preserve">the annual </w:t>
      </w:r>
      <w:r w:rsidRPr="00CE649B">
        <w:rPr>
          <w:rFonts w:cs="Arial"/>
        </w:rPr>
        <w:t>Form EIA</w:t>
      </w:r>
      <w:r w:rsidRPr="00CE649B">
        <w:rPr>
          <w:rFonts w:cs="Arial"/>
        </w:rPr>
        <w:noBreakHyphen/>
        <w:t>861S.</w:t>
      </w:r>
      <w:r w:rsidR="009D3901">
        <w:rPr>
          <w:rFonts w:cs="Arial"/>
        </w:rPr>
        <w:t xml:space="preserve"> </w:t>
      </w:r>
      <w:r w:rsidRPr="00CE649B">
        <w:rPr>
          <w:rFonts w:cs="Arial"/>
        </w:rPr>
        <w:t>Respondents to Form EIA-861S report only a selected subset of data elements that are collected each year on Form EIA-861.</w:t>
      </w:r>
      <w:r w:rsidR="009D3901">
        <w:rPr>
          <w:rFonts w:cs="Arial"/>
        </w:rPr>
        <w:t xml:space="preserve"> </w:t>
      </w:r>
      <w:r w:rsidRPr="00CE649B">
        <w:rPr>
          <w:rFonts w:cs="Arial"/>
        </w:rPr>
        <w:t xml:space="preserve">All Form EIA-861S respondents are currently required to complete the long form in lieu of the short form once every </w:t>
      </w:r>
      <w:r>
        <w:rPr>
          <w:rFonts w:cs="Arial"/>
        </w:rPr>
        <w:t>eight</w:t>
      </w:r>
      <w:r w:rsidRPr="00CE649B">
        <w:rPr>
          <w:rFonts w:cs="Arial"/>
        </w:rPr>
        <w:t xml:space="preserve"> years to account for changes in total revenues and sales over time.</w:t>
      </w:r>
      <w:r w:rsidR="009D3901">
        <w:rPr>
          <w:rFonts w:cs="Arial"/>
        </w:rPr>
        <w:t xml:space="preserve"> </w:t>
      </w:r>
      <w:r w:rsidRPr="00CE649B">
        <w:t>Consequently, these smaller entities are required to provide only a limited amount of sales, revenue, and customer count data on Form EIA</w:t>
      </w:r>
      <w:r w:rsidR="00CA0B2F">
        <w:noBreakHyphen/>
      </w:r>
      <w:r w:rsidRPr="00CE649B">
        <w:t>861S and, for certain respondents, they also report data on time-based rate customers and advanced meter reading.</w:t>
      </w:r>
      <w:r w:rsidR="009D3901">
        <w:t xml:space="preserve"> </w:t>
      </w:r>
      <w:r w:rsidRPr="00CE649B">
        <w:t xml:space="preserve">Once every </w:t>
      </w:r>
      <w:r>
        <w:t>eight</w:t>
      </w:r>
      <w:r w:rsidRPr="00CE649B">
        <w:t xml:space="preserve"> years</w:t>
      </w:r>
      <w:r w:rsidR="00B911B8">
        <w:t>,</w:t>
      </w:r>
      <w:r w:rsidRPr="00CE649B">
        <w:t xml:space="preserve"> and in lieu of the short form, all entities that normally complete Form EIA-861S are currently required to complete Form EIA-861.</w:t>
      </w:r>
      <w:r w:rsidRPr="00A34216">
        <w:t xml:space="preserve"> </w:t>
      </w:r>
    </w:p>
    <w:p w14:paraId="518C5BFB" w14:textId="6E939171" w:rsidR="00CA0B2F" w:rsidRPr="00EB0153" w:rsidRDefault="00DE21A6" w:rsidP="00CA0B2F">
      <w:pPr>
        <w:spacing w:before="100" w:beforeAutospacing="1" w:after="100" w:afterAutospacing="1" w:line="240" w:lineRule="auto"/>
        <w:jc w:val="both"/>
        <w:textAlignment w:val="baseline"/>
        <w:rPr>
          <w:rFonts w:ascii="Calibri" w:eastAsia="Times New Roman" w:hAnsi="Calibri" w:cs="Times New Roman"/>
          <w:i/>
        </w:rPr>
      </w:pPr>
      <w:r>
        <w:rPr>
          <w:rFonts w:ascii="Calibri" w:eastAsia="Times New Roman" w:hAnsi="Calibri" w:cs="Times New Roman"/>
          <w:i/>
        </w:rPr>
        <w:t xml:space="preserve">Form </w:t>
      </w:r>
      <w:r w:rsidR="00CA0B2F" w:rsidRPr="00EB0153">
        <w:rPr>
          <w:rFonts w:ascii="Calibri" w:eastAsia="Times New Roman" w:hAnsi="Calibri" w:cs="Times New Roman"/>
          <w:i/>
        </w:rPr>
        <w:t>EIA-861M</w:t>
      </w:r>
    </w:p>
    <w:p w14:paraId="1411F7C6" w14:textId="3C88FF61" w:rsidR="00D05524" w:rsidRDefault="00644855" w:rsidP="00D05524">
      <w:pPr>
        <w:pStyle w:val="NoSpacing"/>
        <w:spacing w:line="300" w:lineRule="atLeast"/>
        <w:rPr>
          <w:rFonts w:cs="Arial"/>
        </w:rPr>
      </w:pPr>
      <w:r>
        <w:rPr>
          <w:rFonts w:cs="Arial"/>
        </w:rPr>
        <w:t>F</w:t>
      </w:r>
      <w:r w:rsidR="00D05524">
        <w:rPr>
          <w:rFonts w:cs="Arial"/>
        </w:rPr>
        <w:t>orm EIA-861M</w:t>
      </w:r>
      <w:r w:rsidR="00D05524" w:rsidRPr="00B7048A">
        <w:rPr>
          <w:rFonts w:cs="Arial"/>
        </w:rPr>
        <w:t xml:space="preserve"> </w:t>
      </w:r>
      <w:r w:rsidR="005C2F30">
        <w:rPr>
          <w:rFonts w:cs="Arial"/>
        </w:rPr>
        <w:t xml:space="preserve">collects </w:t>
      </w:r>
      <w:r w:rsidR="00D05524" w:rsidRPr="00B7048A">
        <w:rPr>
          <w:rFonts w:cs="Arial"/>
        </w:rPr>
        <w:t xml:space="preserve">monthly </w:t>
      </w:r>
      <w:r w:rsidR="00D05524">
        <w:rPr>
          <w:rFonts w:cs="Arial"/>
        </w:rPr>
        <w:t>data on electricity sales and related end-use categories</w:t>
      </w:r>
      <w:r w:rsidR="00D05524" w:rsidRPr="00046F06">
        <w:rPr>
          <w:rFonts w:cs="Arial"/>
        </w:rPr>
        <w:t>.</w:t>
      </w:r>
      <w:r w:rsidR="009D3901">
        <w:rPr>
          <w:rFonts w:cs="Arial"/>
        </w:rPr>
        <w:t xml:space="preserve"> </w:t>
      </w:r>
      <w:r w:rsidR="00D05524" w:rsidRPr="00046F06">
        <w:rPr>
          <w:rFonts w:cs="Arial"/>
        </w:rPr>
        <w:t xml:space="preserve">Since monthly survey reports are not required </w:t>
      </w:r>
      <w:r w:rsidR="004668DB">
        <w:rPr>
          <w:rFonts w:cs="Arial"/>
        </w:rPr>
        <w:t>of</w:t>
      </w:r>
      <w:r w:rsidR="00D05524" w:rsidRPr="00046F06">
        <w:rPr>
          <w:rFonts w:cs="Arial"/>
        </w:rPr>
        <w:t xml:space="preserve"> all utilities, a model-based imputation process is used to estimate for non-sampled entities and for nonresponses. </w:t>
      </w:r>
      <w:r w:rsidR="00D05524" w:rsidRPr="0072035F">
        <w:rPr>
          <w:rFonts w:cs="Arial"/>
        </w:rPr>
        <w:t xml:space="preserve">Only larger utilities report </w:t>
      </w:r>
      <w:r w:rsidR="00D05524">
        <w:rPr>
          <w:rFonts w:cs="Arial"/>
        </w:rPr>
        <w:t xml:space="preserve">monthly </w:t>
      </w:r>
      <w:r w:rsidR="00D05524" w:rsidRPr="0072035F">
        <w:rPr>
          <w:rFonts w:cs="Arial"/>
        </w:rPr>
        <w:t>sales a</w:t>
      </w:r>
      <w:r w:rsidR="0088497F">
        <w:rPr>
          <w:rFonts w:cs="Arial"/>
        </w:rPr>
        <w:t>nd revenues data on Form EIA-861M</w:t>
      </w:r>
      <w:r w:rsidR="00D05524" w:rsidRPr="0072035F">
        <w:rPr>
          <w:rFonts w:cs="Arial"/>
        </w:rPr>
        <w:t>, as well as annually on Form EIA-861.</w:t>
      </w:r>
      <w:r w:rsidR="009D3901">
        <w:rPr>
          <w:rFonts w:cs="Arial"/>
        </w:rPr>
        <w:t xml:space="preserve"> </w:t>
      </w:r>
      <w:r w:rsidR="00D05524" w:rsidRPr="0072035F">
        <w:rPr>
          <w:rFonts w:cs="Arial"/>
        </w:rPr>
        <w:t xml:space="preserve">Data reported by these </w:t>
      </w:r>
      <w:r w:rsidR="00CA0B2F">
        <w:rPr>
          <w:rFonts w:cs="Arial"/>
        </w:rPr>
        <w:t xml:space="preserve">monthly </w:t>
      </w:r>
      <w:r w:rsidR="00D05524" w:rsidRPr="0072035F">
        <w:rPr>
          <w:rFonts w:cs="Arial"/>
        </w:rPr>
        <w:t>utilities form the bases for E</w:t>
      </w:r>
      <w:r w:rsidR="00D05524">
        <w:rPr>
          <w:rFonts w:cs="Arial"/>
        </w:rPr>
        <w:t>IA</w:t>
      </w:r>
      <w:r w:rsidR="00D05524" w:rsidRPr="0072035F">
        <w:rPr>
          <w:rFonts w:cs="Arial"/>
        </w:rPr>
        <w:t>’s model-based imputations.</w:t>
      </w:r>
      <w:r w:rsidR="00D05524">
        <w:rPr>
          <w:rFonts w:cs="Arial"/>
        </w:rPr>
        <w:t xml:space="preserve"> </w:t>
      </w:r>
      <w:r w:rsidR="00D05524" w:rsidRPr="00B7048A">
        <w:rPr>
          <w:rFonts w:cs="Arial"/>
        </w:rPr>
        <w:t>This enables E</w:t>
      </w:r>
      <w:r w:rsidR="00D05524">
        <w:rPr>
          <w:rFonts w:cs="Arial"/>
        </w:rPr>
        <w:t>IA t</w:t>
      </w:r>
      <w:r w:rsidR="00D05524" w:rsidRPr="00046F06">
        <w:rPr>
          <w:rFonts w:cs="Arial"/>
        </w:rPr>
        <w:t>o publish</w:t>
      </w:r>
      <w:r w:rsidR="00D05524">
        <w:rPr>
          <w:rFonts w:cs="Arial"/>
        </w:rPr>
        <w:t xml:space="preserve"> monthly estimates of</w:t>
      </w:r>
      <w:r w:rsidR="00D05524" w:rsidRPr="00B7048A">
        <w:rPr>
          <w:rFonts w:cs="Arial"/>
        </w:rPr>
        <w:t xml:space="preserve"> </w:t>
      </w:r>
      <w:r w:rsidR="00D05524" w:rsidRPr="00B7048A">
        <w:rPr>
          <w:rFonts w:cs="Arial"/>
          <w:i/>
        </w:rPr>
        <w:t>total</w:t>
      </w:r>
      <w:r w:rsidR="00D05524" w:rsidRPr="00B7048A">
        <w:rPr>
          <w:rFonts w:cs="Arial"/>
        </w:rPr>
        <w:t xml:space="preserve"> electricity sales and revenues by state, region and nation.</w:t>
      </w:r>
    </w:p>
    <w:p w14:paraId="3755B345" w14:textId="77777777" w:rsidR="00CA0B2F" w:rsidRPr="00B7048A" w:rsidRDefault="00CA0B2F" w:rsidP="00D05524">
      <w:pPr>
        <w:pStyle w:val="NoSpacing"/>
        <w:spacing w:line="300" w:lineRule="atLeast"/>
        <w:rPr>
          <w:rFonts w:cs="Arial"/>
        </w:rPr>
      </w:pPr>
    </w:p>
    <w:p w14:paraId="105B10AB" w14:textId="6EE1B475" w:rsidR="00D05524" w:rsidRDefault="00D05524" w:rsidP="00D05524">
      <w:r>
        <w:t>Form EIA-861M collect</w:t>
      </w:r>
      <w:r w:rsidR="004668DB">
        <w:t>s</w:t>
      </w:r>
      <w:r>
        <w:t xml:space="preserve"> data from a sample of the universe of entities that report on Form</w:t>
      </w:r>
      <w:r w:rsidR="004668DB">
        <w:t xml:space="preserve">s </w:t>
      </w:r>
      <w:r>
        <w:t>EIA-861 and EIA-861S.</w:t>
      </w:r>
      <w:r w:rsidR="009D3901">
        <w:t xml:space="preserve"> </w:t>
      </w:r>
      <w:r w:rsidRPr="00484765">
        <w:t>Cutoff sampling</w:t>
      </w:r>
      <w:r w:rsidR="004668DB">
        <w:t xml:space="preserve"> is</w:t>
      </w:r>
      <w:r w:rsidRPr="00484765">
        <w:t xml:space="preserve"> used to select the </w:t>
      </w:r>
      <w:r>
        <w:t>survey frame</w:t>
      </w:r>
      <w:r w:rsidRPr="00484765">
        <w:t xml:space="preserve"> for</w:t>
      </w:r>
      <w:r w:rsidR="004668DB">
        <w:t xml:space="preserve"> </w:t>
      </w:r>
      <w:r w:rsidRPr="00484765">
        <w:t>Form EIA-86</w:t>
      </w:r>
      <w:r>
        <w:t>1M.</w:t>
      </w:r>
      <w:r w:rsidR="009D3901">
        <w:t xml:space="preserve"> </w:t>
      </w:r>
      <w:r>
        <w:t>Form EIA-861M frame include</w:t>
      </w:r>
      <w:r w:rsidR="004668DB">
        <w:t>s</w:t>
      </w:r>
      <w:r>
        <w:t xml:space="preserve"> approximately 640 entities</w:t>
      </w:r>
      <w:r w:rsidRPr="00484765">
        <w:t>.</w:t>
      </w:r>
      <w:r w:rsidR="009D3901">
        <w:t xml:space="preserve"> </w:t>
      </w:r>
      <w:r>
        <w:t xml:space="preserve">The survey respondents </w:t>
      </w:r>
      <w:r w:rsidR="004668DB">
        <w:t>are</w:t>
      </w:r>
      <w:r>
        <w:t xml:space="preserve"> generally identified through information submitted on the annual Form EIA-861.</w:t>
      </w:r>
      <w:r w:rsidR="009D3901">
        <w:t xml:space="preserve"> </w:t>
      </w:r>
      <w:r>
        <w:t xml:space="preserve">New respondents to the Form EIA-861M survey frame </w:t>
      </w:r>
      <w:r w:rsidR="004668DB">
        <w:t>are also added to</w:t>
      </w:r>
      <w:r>
        <w:t xml:space="preserve"> the annual Form EIA-861 census survey.</w:t>
      </w:r>
      <w:r w:rsidR="009D3901">
        <w:t xml:space="preserve"> </w:t>
      </w:r>
      <w:r>
        <w:t>All respondents to the monthly Form EIA-861M also report on the annual Form EIA-861</w:t>
      </w:r>
      <w:r w:rsidR="00CA0B2F">
        <w:t xml:space="preserve"> and EIA-</w:t>
      </w:r>
      <w:r>
        <w:t>861S.</w:t>
      </w:r>
    </w:p>
    <w:p w14:paraId="109B2A45" w14:textId="4CFC3528" w:rsidR="00406457" w:rsidRPr="00D66EB4" w:rsidRDefault="00406457" w:rsidP="00406457">
      <w:pPr>
        <w:rPr>
          <w:u w:val="single"/>
        </w:rPr>
      </w:pPr>
      <w:r w:rsidRPr="00D66EB4">
        <w:rPr>
          <w:u w:val="single"/>
        </w:rPr>
        <w:t>Form EIA-923</w:t>
      </w:r>
      <w:r w:rsidR="00974538">
        <w:rPr>
          <w:u w:val="single"/>
        </w:rPr>
        <w:t xml:space="preserve"> </w:t>
      </w:r>
      <w:r w:rsidRPr="00932E7D">
        <w:rPr>
          <w:i/>
          <w:u w:val="single"/>
        </w:rPr>
        <w:t>Power Plant Operations Report</w:t>
      </w:r>
      <w:r w:rsidR="00CA0B2F">
        <w:rPr>
          <w:i/>
          <w:u w:val="single"/>
        </w:rPr>
        <w:t xml:space="preserve"> </w:t>
      </w:r>
      <w:r w:rsidR="00CA0B2F" w:rsidRPr="00A56314">
        <w:rPr>
          <w:u w:val="single"/>
        </w:rPr>
        <w:t>(Annual and Monthly)</w:t>
      </w:r>
    </w:p>
    <w:p w14:paraId="2BB14ABF" w14:textId="3E2702A6" w:rsidR="00406457" w:rsidRDefault="00406457" w:rsidP="00406457">
      <w:r>
        <w:t>The target population for th</w:t>
      </w:r>
      <w:r w:rsidR="008E6211">
        <w:t>ese</w:t>
      </w:r>
      <w:r>
        <w:t xml:space="preserve"> mandatory annual and monthly survey</w:t>
      </w:r>
      <w:r w:rsidR="008E6211">
        <w:t>s</w:t>
      </w:r>
      <w:r>
        <w:t xml:space="preserve"> comprise</w:t>
      </w:r>
      <w:r w:rsidR="008A1465">
        <w:t>s</w:t>
      </w:r>
      <w:r w:rsidR="00EE4BD3">
        <w:t xml:space="preserve"> </w:t>
      </w:r>
      <w:r>
        <w:t xml:space="preserve">all electric </w:t>
      </w:r>
      <w:r w:rsidR="00E13DB2">
        <w:t xml:space="preserve">power </w:t>
      </w:r>
      <w:r>
        <w:t>plants in the United States that are connected to the electric power grid and have a generating capacity of 1 MW or greater.</w:t>
      </w:r>
      <w:r w:rsidR="009D3901">
        <w:t xml:space="preserve"> </w:t>
      </w:r>
      <w:r>
        <w:t xml:space="preserve">The survey frame </w:t>
      </w:r>
      <w:r w:rsidR="00EE4BD3">
        <w:t>for EIA-923 is</w:t>
      </w:r>
      <w:r>
        <w:t xml:space="preserve"> established by Form EIA-860 and is identical to the set of operational and standby power plants </w:t>
      </w:r>
      <w:r w:rsidR="00EE4BD3">
        <w:t>with</w:t>
      </w:r>
      <w:r>
        <w:t>in the frame of that survey.</w:t>
      </w:r>
    </w:p>
    <w:p w14:paraId="4B8D4545" w14:textId="60C1012B" w:rsidR="00406457" w:rsidRDefault="00406457" w:rsidP="00406457">
      <w:r>
        <w:t xml:space="preserve">There are </w:t>
      </w:r>
      <w:r w:rsidRPr="00845290">
        <w:t xml:space="preserve">over </w:t>
      </w:r>
      <w:r w:rsidR="004A10D0">
        <w:t>9,000</w:t>
      </w:r>
      <w:r>
        <w:t xml:space="preserve"> power plants f</w:t>
      </w:r>
      <w:r w:rsidR="00A97041">
        <w:t>rom</w:t>
      </w:r>
      <w:r>
        <w:t xml:space="preserve"> which data are collected through Form EIA-923.</w:t>
      </w:r>
      <w:r w:rsidR="009D3901">
        <w:t xml:space="preserve"> </w:t>
      </w:r>
      <w:r>
        <w:t xml:space="preserve">The data collected includes </w:t>
      </w:r>
      <w:r w:rsidRPr="00D66EB4">
        <w:t xml:space="preserve">electric power generation, fuel consumption, fossil fuel stocks, delivered fossil fuel cost, combustion byproducts, operational cooling water data, and operational </w:t>
      </w:r>
      <w:r w:rsidR="00E90C88">
        <w:t xml:space="preserve">air emissions control equipment </w:t>
      </w:r>
      <w:r w:rsidRPr="00D66EB4">
        <w:t>data</w:t>
      </w:r>
      <w:r w:rsidR="00E90C88">
        <w:t xml:space="preserve">, such as </w:t>
      </w:r>
      <w:r w:rsidR="006F64E8">
        <w:t>nitrogen o</w:t>
      </w:r>
      <w:r w:rsidR="00A97041">
        <w:t>xides (</w:t>
      </w:r>
      <w:r w:rsidRPr="00D66EB4">
        <w:t>NO</w:t>
      </w:r>
      <w:r w:rsidRPr="006C3B7D">
        <w:rPr>
          <w:vertAlign w:val="subscript"/>
        </w:rPr>
        <w:t>x</w:t>
      </w:r>
      <w:r w:rsidR="00A97041">
        <w:t>)</w:t>
      </w:r>
      <w:r w:rsidRPr="00D66EB4">
        <w:t>,</w:t>
      </w:r>
      <w:r w:rsidR="006F64E8">
        <w:t xml:space="preserve"> s</w:t>
      </w:r>
      <w:r w:rsidR="00A97041">
        <w:t xml:space="preserve">ulphur </w:t>
      </w:r>
      <w:r w:rsidR="006F64E8">
        <w:t>d</w:t>
      </w:r>
      <w:r w:rsidR="00A97041">
        <w:t>ioxide</w:t>
      </w:r>
      <w:r w:rsidRPr="00D66EB4">
        <w:t xml:space="preserve"> </w:t>
      </w:r>
      <w:r w:rsidR="00A97041">
        <w:t>(</w:t>
      </w:r>
      <w:r w:rsidRPr="00D66EB4">
        <w:t>SO</w:t>
      </w:r>
      <w:r w:rsidRPr="006C3B7D">
        <w:rPr>
          <w:vertAlign w:val="subscript"/>
        </w:rPr>
        <w:t>2</w:t>
      </w:r>
      <w:r w:rsidR="006F64E8">
        <w:t>)</w:t>
      </w:r>
      <w:r w:rsidRPr="00D66EB4">
        <w:t>, particulate matter</w:t>
      </w:r>
      <w:r w:rsidR="00E90C88">
        <w:t xml:space="preserve"> emissions rates</w:t>
      </w:r>
      <w:r>
        <w:t>,</w:t>
      </w:r>
      <w:r w:rsidRPr="00D66EB4">
        <w:t xml:space="preserve"> </w:t>
      </w:r>
      <w:r w:rsidR="00E90C88">
        <w:t xml:space="preserve">and </w:t>
      </w:r>
      <w:r w:rsidRPr="00D66EB4">
        <w:t>mercury</w:t>
      </w:r>
      <w:r>
        <w:t>,</w:t>
      </w:r>
      <w:r w:rsidRPr="00D66EB4">
        <w:t xml:space="preserve"> and acid gas </w:t>
      </w:r>
      <w:r w:rsidR="00E90C88">
        <w:t>removal efficiencies</w:t>
      </w:r>
      <w:r w:rsidRPr="00D66EB4">
        <w:t>.</w:t>
      </w:r>
      <w:r w:rsidR="009D3901">
        <w:t xml:space="preserve"> </w:t>
      </w:r>
      <w:r>
        <w:t>Not all respondents answer all questions on the survey instrument; for example, questions on fuel consumption are inapplicable to hydroelectric, wind, and certain other types of power plants.</w:t>
      </w:r>
    </w:p>
    <w:p w14:paraId="05A757A3" w14:textId="36E5F95A" w:rsidR="00406457" w:rsidRDefault="009B1448" w:rsidP="00406457">
      <w:r>
        <w:t>One</w:t>
      </w:r>
      <w:r w:rsidR="00406457">
        <w:t xml:space="preserve"> survey form is completed for each power plant in the survey.</w:t>
      </w:r>
      <w:r w:rsidR="009D3901">
        <w:t xml:space="preserve"> </w:t>
      </w:r>
      <w:r w:rsidR="00406457">
        <w:t>If a single entity operates several power plants, it will complete a separate form for each plant and each form is treated as a unique response for estimation and burden calculation purposes.</w:t>
      </w:r>
    </w:p>
    <w:p w14:paraId="7FD9CD72" w14:textId="71E7ABF0" w:rsidR="00406457" w:rsidRDefault="005E4E8E" w:rsidP="00406457">
      <w:r>
        <w:t xml:space="preserve">The </w:t>
      </w:r>
      <w:r w:rsidR="00406457">
        <w:t xml:space="preserve">current monthly sample </w:t>
      </w:r>
      <w:r>
        <w:t>uses a</w:t>
      </w:r>
      <w:r w:rsidR="00406457">
        <w:t xml:space="preserve"> model-based cutoff design.</w:t>
      </w:r>
      <w:r w:rsidR="009D3901">
        <w:t xml:space="preserve"> </w:t>
      </w:r>
      <w:r w:rsidRPr="00845290">
        <w:t xml:space="preserve">Approximately </w:t>
      </w:r>
      <w:r w:rsidR="00845290" w:rsidRPr="00845290">
        <w:t>1,945</w:t>
      </w:r>
      <w:r>
        <w:t xml:space="preserve"> plants report monthly. </w:t>
      </w:r>
      <w:r w:rsidR="00406457">
        <w:t xml:space="preserve">These plants </w:t>
      </w:r>
      <w:r>
        <w:t>r</w:t>
      </w:r>
      <w:r w:rsidR="00406457">
        <w:t xml:space="preserve">eport monthly data on electricity generation, fuel consumption, and, in some cases, the cost and quality of </w:t>
      </w:r>
      <w:r w:rsidR="00406457" w:rsidRPr="00EB445B">
        <w:t>certain fossil fuel deliveries.</w:t>
      </w:r>
      <w:r w:rsidR="00406457" w:rsidRPr="00EB445B">
        <w:rPr>
          <w:rStyle w:val="FootnoteReference"/>
        </w:rPr>
        <w:footnoteReference w:id="2"/>
      </w:r>
      <w:r w:rsidR="009D3901">
        <w:t xml:space="preserve"> </w:t>
      </w:r>
      <w:r w:rsidR="00406457" w:rsidRPr="00EB445B">
        <w:t xml:space="preserve">At the end of the year, most of the monthly respondents (approximately </w:t>
      </w:r>
      <w:r w:rsidR="00845290" w:rsidRPr="00EB445B">
        <w:t>1,580 of the 1,945</w:t>
      </w:r>
      <w:r w:rsidR="00406457" w:rsidRPr="00EB445B">
        <w:t xml:space="preserve"> monthly</w:t>
      </w:r>
      <w:r w:rsidR="00406457">
        <w:t xml:space="preserve"> plants) also file a supplemental form that provides annual information on nonutility power sales and the operation of environmental </w:t>
      </w:r>
      <w:r w:rsidR="00E90C88">
        <w:t xml:space="preserve">emissions </w:t>
      </w:r>
      <w:r w:rsidR="00406457">
        <w:t>control equipment</w:t>
      </w:r>
      <w:r w:rsidR="00406457" w:rsidRPr="00CB28C6">
        <w:t>.</w:t>
      </w:r>
      <w:r w:rsidR="00406457">
        <w:rPr>
          <w:rStyle w:val="FootnoteReference"/>
        </w:rPr>
        <w:footnoteReference w:id="3"/>
      </w:r>
    </w:p>
    <w:p w14:paraId="61AB8852" w14:textId="6756AD41" w:rsidR="00406457" w:rsidRDefault="00406457" w:rsidP="00406457">
      <w:r w:rsidRPr="00CB28C6">
        <w:t xml:space="preserve">The </w:t>
      </w:r>
      <w:r w:rsidRPr="00EB445B">
        <w:t xml:space="preserve">approximately </w:t>
      </w:r>
      <w:r w:rsidR="004A10D0">
        <w:t>7</w:t>
      </w:r>
      <w:r w:rsidRPr="00EB445B">
        <w:t>,000 plants</w:t>
      </w:r>
      <w:r>
        <w:t xml:space="preserve"> </w:t>
      </w:r>
      <w:r w:rsidRPr="00CB28C6">
        <w:t xml:space="preserve">not in the monthly </w:t>
      </w:r>
      <w:r>
        <w:t>sample</w:t>
      </w:r>
      <w:r w:rsidRPr="00CB28C6">
        <w:t xml:space="preserve"> </w:t>
      </w:r>
      <w:r w:rsidR="0042655B">
        <w:t xml:space="preserve">only </w:t>
      </w:r>
      <w:r w:rsidRPr="00CB28C6">
        <w:t xml:space="preserve">file </w:t>
      </w:r>
      <w:r>
        <w:t xml:space="preserve">data </w:t>
      </w:r>
      <w:r w:rsidRPr="00CB28C6">
        <w:t>annual</w:t>
      </w:r>
      <w:r>
        <w:t>ly</w:t>
      </w:r>
      <w:r w:rsidRPr="00CB28C6">
        <w:t>.</w:t>
      </w:r>
      <w:r w:rsidR="009D3901">
        <w:t xml:space="preserve"> </w:t>
      </w:r>
      <w:r>
        <w:t>This includes data on generation and fuel consumption and, whe</w:t>
      </w:r>
      <w:r w:rsidR="0042655B">
        <w:t>n</w:t>
      </w:r>
      <w:r>
        <w:t xml:space="preserve"> applicable, data on fuel cost and quality and environmental equipment performance.</w:t>
      </w:r>
    </w:p>
    <w:p w14:paraId="0C99A003" w14:textId="605590E3" w:rsidR="00406457" w:rsidRPr="00D66EB4" w:rsidRDefault="00406457" w:rsidP="00406457">
      <w:pPr>
        <w:spacing w:before="240"/>
        <w:rPr>
          <w:u w:val="single"/>
        </w:rPr>
      </w:pPr>
      <w:r w:rsidRPr="00D66EB4">
        <w:rPr>
          <w:u w:val="single"/>
        </w:rPr>
        <w:t>Form EIA-</w:t>
      </w:r>
      <w:r>
        <w:rPr>
          <w:u w:val="single"/>
        </w:rPr>
        <w:t>930</w:t>
      </w:r>
      <w:r w:rsidR="001E59E5">
        <w:rPr>
          <w:u w:val="single"/>
        </w:rPr>
        <w:t xml:space="preserve"> </w:t>
      </w:r>
      <w:r w:rsidRPr="00932E7D">
        <w:rPr>
          <w:i/>
          <w:u w:val="single"/>
        </w:rPr>
        <w:t>Hourly and Daily Balancing Authority Operations Report</w:t>
      </w:r>
    </w:p>
    <w:p w14:paraId="7C9C4DFB" w14:textId="02E26887" w:rsidR="00406457" w:rsidRDefault="00406457" w:rsidP="00406457">
      <w:r>
        <w:t>Form EIA-930 is a census survey of hourly electric power operating data from Balancing Authorities in the contiguous United States.</w:t>
      </w:r>
      <w:r w:rsidR="009D3901">
        <w:t xml:space="preserve"> </w:t>
      </w:r>
      <w:r>
        <w:t>The data collected include:</w:t>
      </w:r>
    </w:p>
    <w:p w14:paraId="13688D8C" w14:textId="77777777" w:rsidR="00406457" w:rsidRDefault="00406457" w:rsidP="00A56314">
      <w:pPr>
        <w:pStyle w:val="ListParagraph"/>
        <w:numPr>
          <w:ilvl w:val="0"/>
          <w:numId w:val="11"/>
        </w:numPr>
      </w:pPr>
      <w:r>
        <w:t>Hourly demand,</w:t>
      </w:r>
    </w:p>
    <w:p w14:paraId="2D0AF4F9" w14:textId="77777777" w:rsidR="00406457" w:rsidRDefault="00406457" w:rsidP="00A56314">
      <w:pPr>
        <w:pStyle w:val="ListParagraph"/>
        <w:numPr>
          <w:ilvl w:val="0"/>
          <w:numId w:val="11"/>
        </w:numPr>
      </w:pPr>
      <w:r>
        <w:t>Hourly next-day demand forecast,</w:t>
      </w:r>
    </w:p>
    <w:p w14:paraId="1864C861" w14:textId="77777777" w:rsidR="00406457" w:rsidRDefault="00406457" w:rsidP="00A56314">
      <w:pPr>
        <w:pStyle w:val="ListParagraph"/>
        <w:numPr>
          <w:ilvl w:val="0"/>
          <w:numId w:val="11"/>
        </w:numPr>
      </w:pPr>
      <w:r>
        <w:t>Hourly net generation,</w:t>
      </w:r>
    </w:p>
    <w:p w14:paraId="6D67F57F" w14:textId="77777777" w:rsidR="00406457" w:rsidRDefault="00406457" w:rsidP="00A56314">
      <w:pPr>
        <w:pStyle w:val="ListParagraph"/>
        <w:numPr>
          <w:ilvl w:val="0"/>
          <w:numId w:val="11"/>
        </w:numPr>
      </w:pPr>
      <w:r>
        <w:t>Hourly actual interchange with each interconnected Balancing Authority.</w:t>
      </w:r>
    </w:p>
    <w:p w14:paraId="4841F52F" w14:textId="77777777" w:rsidR="0088497F" w:rsidRDefault="0088497F" w:rsidP="0088497F">
      <w:pPr>
        <w:spacing w:line="240" w:lineRule="auto"/>
      </w:pPr>
    </w:p>
    <w:p w14:paraId="2567E338" w14:textId="22C320EF" w:rsidR="00406457" w:rsidRDefault="00406457" w:rsidP="0088497F">
      <w:pPr>
        <w:spacing w:line="240" w:lineRule="auto"/>
      </w:pPr>
      <w:r>
        <w:t>Balancing Authorities are generally either Regional Transmission Organizations or electric utilities that have transmission grid management responsib</w:t>
      </w:r>
      <w:r w:rsidR="0088497F">
        <w:t>ilities.</w:t>
      </w:r>
      <w:r w:rsidR="009D3901">
        <w:t xml:space="preserve"> </w:t>
      </w:r>
      <w:r w:rsidR="0088497F">
        <w:t>There are currently 65</w:t>
      </w:r>
      <w:r>
        <w:t xml:space="preserve"> Balancing Authorities in the contiguous United States and they constitute the census frame for this survey.</w:t>
      </w:r>
      <w:r w:rsidR="009D3901">
        <w:t xml:space="preserve"> </w:t>
      </w:r>
    </w:p>
    <w:p w14:paraId="1D849856" w14:textId="77777777" w:rsidR="007E53C4" w:rsidRPr="00A41763" w:rsidRDefault="007E53C4" w:rsidP="00A41763"/>
    <w:p w14:paraId="02D4EF8A" w14:textId="77777777" w:rsidR="007E53C4" w:rsidRDefault="00844524" w:rsidP="007E53C4">
      <w:pPr>
        <w:pStyle w:val="Heading2"/>
      </w:pPr>
      <w:bookmarkStart w:id="3" w:name="_Toc536707014"/>
      <w:r>
        <w:t>B.</w:t>
      </w:r>
      <w:r w:rsidR="00A41763" w:rsidRPr="00A41763">
        <w:t xml:space="preserve">2. </w:t>
      </w:r>
      <w:r w:rsidR="007E53C4">
        <w:t>Statistical Methods</w:t>
      </w:r>
      <w:bookmarkEnd w:id="3"/>
    </w:p>
    <w:p w14:paraId="3DF641DF" w14:textId="77777777" w:rsidR="00DB0C38" w:rsidRDefault="00DB0C38" w:rsidP="00DB0C38">
      <w:r>
        <w:t>Four of the surveys in this Information Collection Request use sampling methodology:</w:t>
      </w:r>
    </w:p>
    <w:p w14:paraId="2B49DF75" w14:textId="3C892F63" w:rsidR="005E4E8E" w:rsidRDefault="00140A2E" w:rsidP="00A56314">
      <w:pPr>
        <w:pStyle w:val="ListParagraph"/>
        <w:numPr>
          <w:ilvl w:val="0"/>
          <w:numId w:val="13"/>
        </w:numPr>
      </w:pPr>
      <w:r>
        <w:t>A</w:t>
      </w:r>
      <w:r w:rsidR="00DB0C38">
        <w:t xml:space="preserve">nnual Form EIA-861, </w:t>
      </w:r>
      <w:r>
        <w:t>a</w:t>
      </w:r>
      <w:r w:rsidR="00DB0C38">
        <w:t xml:space="preserve">nnual Form EIA-861S (Short Form), and </w:t>
      </w:r>
      <w:r>
        <w:t>m</w:t>
      </w:r>
      <w:r w:rsidR="00DB0C38">
        <w:t xml:space="preserve">onthly Form </w:t>
      </w:r>
      <w:r w:rsidR="005E4E8E">
        <w:t>EIA-861M</w:t>
      </w:r>
      <w:r w:rsidR="00DB0C38">
        <w:t xml:space="preserve"> </w:t>
      </w:r>
    </w:p>
    <w:p w14:paraId="4C0E5502" w14:textId="75EBB923" w:rsidR="00DB0C38" w:rsidRDefault="00DB0C38" w:rsidP="00A56314">
      <w:pPr>
        <w:pStyle w:val="ListParagraph"/>
        <w:numPr>
          <w:ilvl w:val="0"/>
          <w:numId w:val="13"/>
        </w:numPr>
      </w:pPr>
      <w:r>
        <w:t>Form EIA-923 monthly and annual surveys of power plant operations.</w:t>
      </w:r>
    </w:p>
    <w:p w14:paraId="1AA5EACE" w14:textId="77777777" w:rsidR="00DB0C38" w:rsidRPr="005600B7" w:rsidRDefault="00DB0C38" w:rsidP="005600B7">
      <w:pPr>
        <w:pStyle w:val="Heading3"/>
      </w:pPr>
      <w:bookmarkStart w:id="4" w:name="_Toc448501698"/>
      <w:bookmarkStart w:id="5" w:name="_Toc536707015"/>
      <w:r w:rsidRPr="005600B7">
        <w:t>Cutoff Sampling Methods</w:t>
      </w:r>
      <w:bookmarkEnd w:id="4"/>
      <w:bookmarkEnd w:id="5"/>
    </w:p>
    <w:p w14:paraId="6A2DAA1D" w14:textId="2955D27D" w:rsidR="00DB0C38" w:rsidRDefault="00DB0C38" w:rsidP="00DB0C38">
      <w:r>
        <w:t>EIA utilizes cutoff samples for the survey frames of four of its electric power surveys</w:t>
      </w:r>
      <w:r w:rsidR="00E90C88">
        <w:t xml:space="preserve"> mentioned above</w:t>
      </w:r>
      <w:r>
        <w:t xml:space="preserve">: </w:t>
      </w:r>
      <w:r w:rsidR="007A1D2B">
        <w:t xml:space="preserve">the annual Forms EIA-861 and EIA-861S, </w:t>
      </w:r>
      <w:r>
        <w:t>the monthly Form EIA-861M</w:t>
      </w:r>
      <w:r w:rsidR="007A1D2B">
        <w:t xml:space="preserve">, </w:t>
      </w:r>
      <w:r>
        <w:t xml:space="preserve">and </w:t>
      </w:r>
      <w:r w:rsidR="007A1D2B">
        <w:t xml:space="preserve">the monthly and annual Form </w:t>
      </w:r>
      <w:r>
        <w:t>EIA-923</w:t>
      </w:r>
      <w:r w:rsidR="007A1D2B">
        <w:t xml:space="preserve"> surveys</w:t>
      </w:r>
      <w:r>
        <w:t>.</w:t>
      </w:r>
      <w:r w:rsidR="009D3901">
        <w:t xml:space="preserve"> </w:t>
      </w:r>
      <w:r>
        <w:t xml:space="preserve">These cutoff samples </w:t>
      </w:r>
      <w:r w:rsidR="007A1D2B">
        <w:t>comprise</w:t>
      </w:r>
      <w:r w:rsidR="00056602">
        <w:t xml:space="preserve"> </w:t>
      </w:r>
      <w:r w:rsidRPr="00CB28C6">
        <w:t xml:space="preserve">all units with measures of size </w:t>
      </w:r>
      <w:r w:rsidR="007A1D2B">
        <w:t>(sales, revenues from sales</w:t>
      </w:r>
      <w:r w:rsidR="00F1479B">
        <w:t xml:space="preserve"> for EIA-861 surveys</w:t>
      </w:r>
      <w:r w:rsidR="007A1D2B">
        <w:t xml:space="preserve">, </w:t>
      </w:r>
      <w:r w:rsidR="00F1479B">
        <w:t xml:space="preserve">and </w:t>
      </w:r>
      <w:r>
        <w:t>capacity and/or production</w:t>
      </w:r>
      <w:r w:rsidR="00F1479B">
        <w:t xml:space="preserve"> for EIA-923 surveys</w:t>
      </w:r>
      <w:r w:rsidR="007A1D2B">
        <w:t>)</w:t>
      </w:r>
      <w:r>
        <w:t xml:space="preserve"> variables </w:t>
      </w:r>
      <w:r w:rsidRPr="00CB28C6">
        <w:t>larger than predefined threshold</w:t>
      </w:r>
      <w:r>
        <w:t xml:space="preserve">s, taking into account </w:t>
      </w:r>
      <w:r w:rsidRPr="00CB28C6">
        <w:t>the need for data on multiple variables of interest</w:t>
      </w:r>
      <w:r>
        <w:t xml:space="preserve"> within survey instruments.</w:t>
      </w:r>
    </w:p>
    <w:p w14:paraId="6BD76DDE" w14:textId="30708561" w:rsidR="00DB0C38" w:rsidRDefault="00DB0C38" w:rsidP="00DB0C38">
      <w:pPr>
        <w:pStyle w:val="NoSpacing"/>
        <w:spacing w:before="240" w:line="300" w:lineRule="atLeast"/>
      </w:pPr>
      <w:r>
        <w:t>EIA uses a monthly version</w:t>
      </w:r>
      <w:r w:rsidR="007A1D2B">
        <w:t>, Form EIA-861M,</w:t>
      </w:r>
      <w:r>
        <w:t xml:space="preserve"> of the annual survey Form EIA-861 to collect the same data from </w:t>
      </w:r>
      <w:r w:rsidR="00F1479B">
        <w:t>the largest</w:t>
      </w:r>
      <w:r w:rsidR="00056602">
        <w:t xml:space="preserve"> but </w:t>
      </w:r>
      <w:r>
        <w:t>a smaller set of industry participants.</w:t>
      </w:r>
      <w:r w:rsidR="009D3901">
        <w:t xml:space="preserve"> </w:t>
      </w:r>
      <w:r>
        <w:t xml:space="preserve">Form EIA-861M respondents are drawn from </w:t>
      </w:r>
      <w:r w:rsidR="007A1D2B">
        <w:t xml:space="preserve">the </w:t>
      </w:r>
      <w:r>
        <w:t>EIA-861 frame using cutoff sampling.</w:t>
      </w:r>
      <w:r w:rsidR="00056602">
        <w:t xml:space="preserve"> </w:t>
      </w:r>
      <w:r>
        <w:t xml:space="preserve">The cutoff sample consists of all </w:t>
      </w:r>
      <w:r w:rsidR="00056602">
        <w:t xml:space="preserve">utilities </w:t>
      </w:r>
      <w:r>
        <w:t xml:space="preserve">with sales and revenues of electricity larger than predefined thresholds which are specific to key estimates for various publication </w:t>
      </w:r>
      <w:r w:rsidR="00056602">
        <w:t>strata. The monthly respondents</w:t>
      </w:r>
      <w:r>
        <w:t xml:space="preserve"> generally </w:t>
      </w:r>
      <w:r w:rsidR="00056602">
        <w:t xml:space="preserve">provide </w:t>
      </w:r>
      <w:r>
        <w:t xml:space="preserve">upwards of 80 percent of total </w:t>
      </w:r>
      <w:r w:rsidR="00056602">
        <w:t xml:space="preserve">electricity </w:t>
      </w:r>
      <w:r>
        <w:t>sales or revenues.</w:t>
      </w:r>
    </w:p>
    <w:p w14:paraId="429ECC2B" w14:textId="203421BA" w:rsidR="00DB0C38" w:rsidRDefault="00DB0C38" w:rsidP="00DB0C38">
      <w:pPr>
        <w:spacing w:before="240"/>
      </w:pPr>
      <w:r>
        <w:t xml:space="preserve">Cutoff sampling </w:t>
      </w:r>
      <w:r w:rsidR="00F1479B">
        <w:t xml:space="preserve">allows EIA </w:t>
      </w:r>
      <w:r w:rsidR="005C2F30">
        <w:t>measure</w:t>
      </w:r>
      <w:r w:rsidR="00F1479B">
        <w:t xml:space="preserve"> the change </w:t>
      </w:r>
      <w:r w:rsidR="005C2F30">
        <w:t xml:space="preserve">more accurately </w:t>
      </w:r>
      <w:r w:rsidR="00F1479B">
        <w:t xml:space="preserve">over time of electric utility activity, while reducing </w:t>
      </w:r>
      <w:r>
        <w:t>the monthly reporting burden for smaller industry participants. Because smaller units have been responsible for a high percentage of reporting errors</w:t>
      </w:r>
      <w:r w:rsidR="009D3901">
        <w:t xml:space="preserve"> </w:t>
      </w:r>
      <w:r>
        <w:t>historically observed for Form EIA-861, cutoff sampling may also reduce the levels of non-sampling error affecting the published estimates. Section B.2.3 below provides details about the sampling and estimation methods used for Form EIA-861M.</w:t>
      </w:r>
    </w:p>
    <w:p w14:paraId="610B6476" w14:textId="4E214248" w:rsidR="00DB0C38" w:rsidRPr="008368FD" w:rsidRDefault="00DB0C38" w:rsidP="00DB0C38">
      <w:pPr>
        <w:pStyle w:val="NoSpacing"/>
        <w:spacing w:before="240" w:line="300" w:lineRule="atLeast"/>
      </w:pPr>
      <w:r w:rsidRPr="008368FD">
        <w:t>EIA uses a monthly version of the annual survey Form EIA-923 to collect the same data from a smaller set of industry participants</w:t>
      </w:r>
      <w:r>
        <w:t>.</w:t>
      </w:r>
      <w:r w:rsidR="009D3901">
        <w:t xml:space="preserve"> </w:t>
      </w:r>
      <w:r>
        <w:t xml:space="preserve">This approach allows EIA to </w:t>
      </w:r>
      <w:r w:rsidRPr="008368FD">
        <w:t xml:space="preserve">better track the change over time of power plant operations data while reducing burden both for respondents and the agency. </w:t>
      </w:r>
      <w:r w:rsidR="000456B2" w:rsidRPr="008368FD">
        <w:t xml:space="preserve">Form EIA-923M </w:t>
      </w:r>
      <w:r w:rsidR="000456B2">
        <w:t>is t</w:t>
      </w:r>
      <w:r w:rsidRPr="008368FD">
        <w:t>h</w:t>
      </w:r>
      <w:r>
        <w:t>e</w:t>
      </w:r>
      <w:r w:rsidRPr="008368FD">
        <w:t xml:space="preserve"> monthly version </w:t>
      </w:r>
      <w:r w:rsidR="000456B2">
        <w:t xml:space="preserve">of the </w:t>
      </w:r>
      <w:r w:rsidR="000456B2">
        <w:rPr>
          <w:i/>
        </w:rPr>
        <w:t xml:space="preserve">Power Plant Operation Report </w:t>
      </w:r>
      <w:r w:rsidRPr="008368FD">
        <w:t xml:space="preserve">and its respondents are drawn from </w:t>
      </w:r>
      <w:r>
        <w:t xml:space="preserve">Form </w:t>
      </w:r>
      <w:r w:rsidRPr="008368FD">
        <w:t>EIA-860</w:t>
      </w:r>
      <w:r w:rsidR="004C4394">
        <w:t xml:space="preserve"> </w:t>
      </w:r>
      <w:r w:rsidRPr="00932E7D">
        <w:rPr>
          <w:i/>
        </w:rPr>
        <w:t>Annual Electric Generator Report</w:t>
      </w:r>
      <w:r w:rsidRPr="008368FD">
        <w:t xml:space="preserve"> frame using model-based cutoff sampling.</w:t>
      </w:r>
    </w:p>
    <w:p w14:paraId="0D19F0B7" w14:textId="77777777" w:rsidR="00DB0C38" w:rsidRPr="008368FD" w:rsidRDefault="00DB0C38" w:rsidP="00DB0C38">
      <w:pPr>
        <w:pStyle w:val="NoSpacing"/>
        <w:spacing w:line="300" w:lineRule="atLeast"/>
      </w:pPr>
    </w:p>
    <w:p w14:paraId="37345AE6" w14:textId="4E1206F9" w:rsidR="00DB0C38" w:rsidRPr="008368FD" w:rsidRDefault="00DB0C38" w:rsidP="00DB0C38">
      <w:pPr>
        <w:pStyle w:val="NoSpacing"/>
        <w:spacing w:line="300" w:lineRule="atLeast"/>
      </w:pPr>
      <w:r w:rsidRPr="008368FD">
        <w:t xml:space="preserve">The current </w:t>
      </w:r>
      <w:r>
        <w:t xml:space="preserve">monthly </w:t>
      </w:r>
      <w:r w:rsidRPr="008368FD">
        <w:t xml:space="preserve">sample design starts with a convenient core sample of power plants, calculates </w:t>
      </w:r>
      <w:r w:rsidR="00F938C8">
        <w:t>R</w:t>
      </w:r>
      <w:r w:rsidRPr="008368FD">
        <w:t xml:space="preserve">elative </w:t>
      </w:r>
      <w:r w:rsidR="00F938C8">
        <w:t>S</w:t>
      </w:r>
      <w:r w:rsidRPr="008368FD">
        <w:t xml:space="preserve">tandard </w:t>
      </w:r>
      <w:r w:rsidR="00F938C8">
        <w:t>E</w:t>
      </w:r>
      <w:r w:rsidRPr="008368FD">
        <w:t>rrors (RSEs</w:t>
      </w:r>
      <w:r w:rsidR="00F938C8">
        <w:t xml:space="preserve">) </w:t>
      </w:r>
      <w:r w:rsidRPr="008368FD">
        <w:t>--a measure of reliability of estimates, and then adds more sample units as needed</w:t>
      </w:r>
      <w:r w:rsidR="00F938C8">
        <w:t>,</w:t>
      </w:r>
      <w:r w:rsidRPr="008368FD">
        <w:t xml:space="preserve"> in publication </w:t>
      </w:r>
      <w:r w:rsidR="00F938C8">
        <w:t>categories</w:t>
      </w:r>
      <w:r w:rsidR="00F938C8" w:rsidRPr="008368FD">
        <w:t xml:space="preserve"> </w:t>
      </w:r>
      <w:r w:rsidRPr="008368FD">
        <w:t>where t</w:t>
      </w:r>
      <w:r w:rsidR="00C350CC">
        <w:t xml:space="preserve">he RSE is larger than </w:t>
      </w:r>
      <w:r w:rsidR="00F938C8">
        <w:t xml:space="preserve">the </w:t>
      </w:r>
      <w:r w:rsidR="00C350CC">
        <w:t>desired</w:t>
      </w:r>
      <w:r w:rsidR="00F938C8">
        <w:t xml:space="preserve"> threshold</w:t>
      </w:r>
      <w:r w:rsidR="00C350CC">
        <w:t xml:space="preserve">. </w:t>
      </w:r>
      <w:r w:rsidRPr="008368FD">
        <w:t>The new cuto</w:t>
      </w:r>
      <w:r w:rsidR="00C350CC">
        <w:t xml:space="preserve">ff sample for Form EIA-923 </w:t>
      </w:r>
      <w:r w:rsidRPr="008368FD">
        <w:t>consist</w:t>
      </w:r>
      <w:r w:rsidR="00C350CC">
        <w:t>s</w:t>
      </w:r>
      <w:r w:rsidRPr="008368FD">
        <w:t xml:space="preserve"> of all units with a capacity</w:t>
      </w:r>
      <w:r w:rsidR="00F938C8">
        <w:t xml:space="preserve"> or generation </w:t>
      </w:r>
      <w:r w:rsidRPr="008368FD">
        <w:t xml:space="preserve">size that is larger than </w:t>
      </w:r>
      <w:r w:rsidR="00B32D1B">
        <w:t xml:space="preserve">the </w:t>
      </w:r>
      <w:r w:rsidRPr="008368FD">
        <w:t>predefined thresholds</w:t>
      </w:r>
      <w:r w:rsidR="00B32D1B">
        <w:t xml:space="preserve">. </w:t>
      </w:r>
      <w:r w:rsidR="00B32D1B">
        <w:rPr>
          <w:rFonts w:ascii="Calibri" w:eastAsia="Times New Roman" w:hAnsi="Calibri" w:cs="Times New Roman"/>
        </w:rPr>
        <w:t>The monthly sample respondents</w:t>
      </w:r>
      <w:r w:rsidR="00B32D1B" w:rsidRPr="003D089B">
        <w:rPr>
          <w:rFonts w:ascii="Calibri" w:eastAsia="Times New Roman" w:hAnsi="Calibri" w:cs="Times New Roman"/>
        </w:rPr>
        <w:t xml:space="preserve"> generally </w:t>
      </w:r>
      <w:r w:rsidR="00B32D1B">
        <w:rPr>
          <w:rFonts w:ascii="Calibri" w:eastAsia="Times New Roman" w:hAnsi="Calibri" w:cs="Times New Roman"/>
        </w:rPr>
        <w:t xml:space="preserve">provide </w:t>
      </w:r>
      <w:r w:rsidRPr="008368FD">
        <w:t>upwards of 80 percent of total electricity generation.</w:t>
      </w:r>
    </w:p>
    <w:p w14:paraId="6E8FE8CB" w14:textId="01985F01" w:rsidR="00DB0C38" w:rsidRPr="00EB0457" w:rsidRDefault="00DB0C38" w:rsidP="00DB0C38">
      <w:pPr>
        <w:spacing w:before="240"/>
      </w:pPr>
      <w:r w:rsidRPr="008368FD">
        <w:t xml:space="preserve">Cutoff sampling eliminates the monthly reporting burden for smaller industry participants. Because smaller units have been responsible for a high percentage of reporting errors historically observed for Form EIA-923, cutoff sampling may also reduce the levels of non-sampling error affecting the published estimates. </w:t>
      </w:r>
      <w:r w:rsidR="00C350CC">
        <w:t>The</w:t>
      </w:r>
      <w:r w:rsidRPr="008368FD">
        <w:t xml:space="preserve"> </w:t>
      </w:r>
      <w:r w:rsidR="00C350CC">
        <w:t>section</w:t>
      </w:r>
      <w:r w:rsidRPr="008368FD">
        <w:t xml:space="preserve"> </w:t>
      </w:r>
      <w:r w:rsidR="00B32D1B" w:rsidRPr="008368FD">
        <w:t>below</w:t>
      </w:r>
      <w:r w:rsidR="00B32D1B">
        <w:t xml:space="preserve"> </w:t>
      </w:r>
      <w:r w:rsidRPr="008368FD">
        <w:t>provides details about the sampling and estimation methods used for Form EIA-923.</w:t>
      </w:r>
    </w:p>
    <w:p w14:paraId="21E29947" w14:textId="77777777" w:rsidR="00DB0C38" w:rsidRDefault="00DB0C38" w:rsidP="005600B7">
      <w:pPr>
        <w:pStyle w:val="Heading3"/>
      </w:pPr>
      <w:bookmarkStart w:id="6" w:name="_Toc448501699"/>
      <w:bookmarkStart w:id="7" w:name="_Toc536707016"/>
      <w:r>
        <w:t>Relative Standard Error as a Measure of Sample Accuracy</w:t>
      </w:r>
      <w:bookmarkEnd w:id="6"/>
      <w:bookmarkEnd w:id="7"/>
    </w:p>
    <w:p w14:paraId="0D1EF111" w14:textId="1DD1C2A9" w:rsidR="00DB0C38" w:rsidRDefault="00DB0C38" w:rsidP="00C350CC">
      <w:r>
        <w:t>EIA uses the relative standard error (RSE) measure to evaluate the reliability of an estimated statistic.</w:t>
      </w:r>
      <w:r w:rsidR="009D3901">
        <w:t xml:space="preserve"> </w:t>
      </w:r>
      <w:r>
        <w:t>R</w:t>
      </w:r>
      <w:r w:rsidR="00B32D1B">
        <w:t>SE</w:t>
      </w:r>
      <w:r>
        <w:t xml:space="preserve"> is based on the standard deviation about the mean of a statistic in a sample.</w:t>
      </w:r>
      <w:r w:rsidR="009D3901">
        <w:t xml:space="preserve"> </w:t>
      </w:r>
      <w:r>
        <w:t xml:space="preserve">Standard deviation </w:t>
      </w:r>
      <w:r w:rsidR="00B32D1B">
        <w:t xml:space="preserve">(error) </w:t>
      </w:r>
      <w:r>
        <w:t>is a measure of the spread of data values in relation to the mean value.</w:t>
      </w:r>
      <w:r w:rsidR="009D3901">
        <w:t xml:space="preserve"> </w:t>
      </w:r>
      <w:r>
        <w:t xml:space="preserve">Standard error normalizes this measure in terms of sample size, and </w:t>
      </w:r>
      <w:r w:rsidR="00B32D1B">
        <w:t>RSE</w:t>
      </w:r>
      <w:r>
        <w:t xml:space="preserve"> expresses this result as a percentage of the mean.</w:t>
      </w:r>
    </w:p>
    <w:p w14:paraId="7712DC75" w14:textId="13258179" w:rsidR="00DB0C38" w:rsidRDefault="00B32D1B" w:rsidP="005600B7">
      <w:pPr>
        <w:pStyle w:val="Heading3"/>
      </w:pPr>
      <w:bookmarkStart w:id="8" w:name="_Toc448501700"/>
      <w:bookmarkStart w:id="9" w:name="_Toc536707017"/>
      <w:r>
        <w:t xml:space="preserve">Sample Selection and Estimation/Imputation Procedures for </w:t>
      </w:r>
      <w:r w:rsidR="00DB0C38">
        <w:t>Electric Power Surveys</w:t>
      </w:r>
      <w:bookmarkEnd w:id="8"/>
      <w:bookmarkEnd w:id="9"/>
    </w:p>
    <w:p w14:paraId="29A0790E" w14:textId="77777777" w:rsidR="00DB0C38" w:rsidRPr="00A56314" w:rsidRDefault="00DB0C38" w:rsidP="00DB0C38">
      <w:pPr>
        <w:spacing w:before="240"/>
        <w:rPr>
          <w:b/>
          <w:i/>
          <w:u w:val="single"/>
        </w:rPr>
      </w:pPr>
      <w:r w:rsidRPr="00A56314">
        <w:rPr>
          <w:b/>
          <w:i/>
          <w:u w:val="single"/>
        </w:rPr>
        <w:t>Form EIA-861M</w:t>
      </w:r>
    </w:p>
    <w:p w14:paraId="0C50CE01" w14:textId="3C872464" w:rsidR="00DB0C38" w:rsidRPr="0059709E" w:rsidRDefault="00DB0C38" w:rsidP="00DB0C38">
      <w:pPr>
        <w:spacing w:before="240"/>
      </w:pPr>
      <w:r>
        <w:t xml:space="preserve">Form </w:t>
      </w:r>
      <w:r w:rsidRPr="00F40543">
        <w:t>EIA-8</w:t>
      </w:r>
      <w:r>
        <w:t xml:space="preserve">61M </w:t>
      </w:r>
      <w:r w:rsidR="00C350CC">
        <w:t>is</w:t>
      </w:r>
      <w:r w:rsidRPr="00F40543">
        <w:t xml:space="preserve"> a monthly survey of</w:t>
      </w:r>
      <w:r w:rsidR="00DE21A6" w:rsidRPr="003D089B">
        <w:rPr>
          <w:rFonts w:ascii="Calibri" w:eastAsia="Times New Roman" w:hAnsi="Calibri" w:cs="Times New Roman"/>
        </w:rPr>
        <w:t xml:space="preserve"> </w:t>
      </w:r>
      <w:r w:rsidR="00DE21A6">
        <w:rPr>
          <w:rFonts w:ascii="Calibri" w:eastAsia="Times New Roman" w:hAnsi="Calibri" w:cs="Times New Roman"/>
        </w:rPr>
        <w:t xml:space="preserve">all energy marketers and service providers, most investor-owned utilities, all federal </w:t>
      </w:r>
      <w:r w:rsidR="00CC59FB">
        <w:rPr>
          <w:rFonts w:ascii="Calibri" w:eastAsia="Times New Roman" w:hAnsi="Calibri" w:cs="Times New Roman"/>
        </w:rPr>
        <w:t xml:space="preserve">end-use </w:t>
      </w:r>
      <w:r w:rsidR="00DE21A6">
        <w:rPr>
          <w:rFonts w:ascii="Calibri" w:eastAsia="Times New Roman" w:hAnsi="Calibri" w:cs="Times New Roman"/>
        </w:rPr>
        <w:t xml:space="preserve">utilities, and </w:t>
      </w:r>
      <w:r w:rsidRPr="00F40543">
        <w:t xml:space="preserve">a sample of </w:t>
      </w:r>
      <w:r w:rsidR="00DE21A6">
        <w:rPr>
          <w:rFonts w:ascii="Calibri" w:eastAsia="Times New Roman" w:hAnsi="Calibri" w:cs="Times New Roman"/>
        </w:rPr>
        <w:t xml:space="preserve">municipal and cooperative </w:t>
      </w:r>
      <w:r w:rsidRPr="00F40543">
        <w:t xml:space="preserve">electric power </w:t>
      </w:r>
      <w:r>
        <w:t>utilities</w:t>
      </w:r>
      <w:r w:rsidR="00DE21A6">
        <w:t xml:space="preserve"> which</w:t>
      </w:r>
      <w:r w:rsidRPr="00F40543">
        <w:t xml:space="preserve"> sell or deliver electric power to end users.</w:t>
      </w:r>
      <w:r w:rsidR="009D3901">
        <w:t xml:space="preserve"> </w:t>
      </w:r>
      <w:r w:rsidR="00C350CC">
        <w:t xml:space="preserve">The sample </w:t>
      </w:r>
      <w:r>
        <w:t>include</w:t>
      </w:r>
      <w:r w:rsidR="00C350CC">
        <w:t>s</w:t>
      </w:r>
      <w:r w:rsidRPr="00F40543">
        <w:t xml:space="preserve"> electric power entities </w:t>
      </w:r>
      <w:r w:rsidR="00CC59FB">
        <w:t xml:space="preserve">that </w:t>
      </w:r>
      <w:r w:rsidRPr="00F40543">
        <w:t>pro</w:t>
      </w:r>
      <w:r>
        <w:t>vid</w:t>
      </w:r>
      <w:r w:rsidR="00CC59FB">
        <w:t>e</w:t>
      </w:r>
      <w:r>
        <w:t xml:space="preserve"> bundled electric service</w:t>
      </w:r>
      <w:r w:rsidR="00CC59FB">
        <w:t>s.</w:t>
      </w:r>
      <w:r w:rsidR="009D3901">
        <w:t xml:space="preserve"> </w:t>
      </w:r>
      <w:r w:rsidR="00CC59FB">
        <w:t>From the respondents, t</w:t>
      </w:r>
      <w:r w:rsidRPr="00F40543">
        <w:t xml:space="preserve">he survey </w:t>
      </w:r>
      <w:r w:rsidR="00C350CC">
        <w:t>collects</w:t>
      </w:r>
      <w:r w:rsidRPr="00F40543">
        <w:t xml:space="preserve"> </w:t>
      </w:r>
      <w:r w:rsidR="00CC59FB">
        <w:t xml:space="preserve">monthly operation </w:t>
      </w:r>
      <w:r w:rsidRPr="00F40543">
        <w:t xml:space="preserve">information </w:t>
      </w:r>
      <w:r>
        <w:t>on</w:t>
      </w:r>
      <w:r w:rsidRPr="00F40543">
        <w:t xml:space="preserve"> retail electric sales</w:t>
      </w:r>
      <w:r w:rsidR="00CC59FB">
        <w:t xml:space="preserve">, sale </w:t>
      </w:r>
      <w:r w:rsidRPr="00F40543">
        <w:t>revenue</w:t>
      </w:r>
      <w:r w:rsidR="00CC59FB">
        <w:t xml:space="preserve">s and retail customer counts </w:t>
      </w:r>
      <w:r w:rsidRPr="00F40543">
        <w:t>by end-use sector (residential, commercial, industrial, transportation) and state.</w:t>
      </w:r>
      <w:r w:rsidR="009D3901">
        <w:t xml:space="preserve"> </w:t>
      </w:r>
      <w:r w:rsidRPr="00F40543">
        <w:t xml:space="preserve">These data </w:t>
      </w:r>
      <w:r w:rsidR="00CC59FB">
        <w:t>are</w:t>
      </w:r>
      <w:r w:rsidRPr="00F40543">
        <w:t xml:space="preserve"> the monthly equivalent to the corresponding annual data reported on</w:t>
      </w:r>
      <w:r w:rsidR="008103F6">
        <w:t xml:space="preserve"> </w:t>
      </w:r>
      <w:r>
        <w:t xml:space="preserve">Form </w:t>
      </w:r>
      <w:r w:rsidRPr="00F40543">
        <w:t>EIA-861.</w:t>
      </w:r>
    </w:p>
    <w:p w14:paraId="4F6C26B0" w14:textId="360A4955" w:rsidR="00474162" w:rsidRDefault="00DB0C38" w:rsidP="00DB0C38">
      <w:pPr>
        <w:spacing w:before="240"/>
      </w:pPr>
      <w:r>
        <w:t xml:space="preserve">Form </w:t>
      </w:r>
      <w:r w:rsidRPr="00F40543">
        <w:t>EIA-8</w:t>
      </w:r>
      <w:r>
        <w:t xml:space="preserve">61M </w:t>
      </w:r>
      <w:r w:rsidR="00C350CC">
        <w:t>uses</w:t>
      </w:r>
      <w:r w:rsidRPr="00F40543">
        <w:t xml:space="preserve"> the annual </w:t>
      </w:r>
      <w:r>
        <w:t xml:space="preserve">Form </w:t>
      </w:r>
      <w:r w:rsidRPr="00F40543">
        <w:t>EIA-861 as its sampling frame</w:t>
      </w:r>
      <w:r w:rsidR="00474162">
        <w:t>,</w:t>
      </w:r>
      <w:r w:rsidRPr="00F40543">
        <w:t xml:space="preserve"> and </w:t>
      </w:r>
      <w:r w:rsidR="00474162">
        <w:t xml:space="preserve">each month </w:t>
      </w:r>
      <w:r w:rsidRPr="00F40543">
        <w:t>estimates for the non</w:t>
      </w:r>
      <w:r w:rsidR="00474162">
        <w:t>-</w:t>
      </w:r>
      <w:r w:rsidRPr="00F40543">
        <w:t>sampled members of the universe</w:t>
      </w:r>
      <w:r w:rsidR="00474162">
        <w:t xml:space="preserve"> using regression based imputation models for each end-use sector.  The same estimation procedure imputes </w:t>
      </w:r>
      <w:r>
        <w:t xml:space="preserve">for any </w:t>
      </w:r>
      <w:r w:rsidR="00474162">
        <w:t xml:space="preserve">missing </w:t>
      </w:r>
      <w:r>
        <w:t xml:space="preserve">monthly data or </w:t>
      </w:r>
      <w:r w:rsidR="00474162">
        <w:t xml:space="preserve">survey submissions that </w:t>
      </w:r>
      <w:r>
        <w:t>fail</w:t>
      </w:r>
      <w:r w:rsidR="00474162">
        <w:t xml:space="preserve"> EIA validation</w:t>
      </w:r>
      <w:r>
        <w:t xml:space="preserve"> edits</w:t>
      </w:r>
      <w:r w:rsidRPr="00F40543">
        <w:t>.</w:t>
      </w:r>
      <w:r w:rsidR="009D3901">
        <w:t xml:space="preserve"> </w:t>
      </w:r>
      <w:r w:rsidRPr="00F40543">
        <w:t xml:space="preserve">The </w:t>
      </w:r>
      <w:r w:rsidR="00474162">
        <w:t>monthly respondents are</w:t>
      </w:r>
      <w:r>
        <w:t xml:space="preserve"> </w:t>
      </w:r>
      <w:r w:rsidRPr="00F40543">
        <w:t xml:space="preserve">a </w:t>
      </w:r>
      <w:r w:rsidR="00474162">
        <w:t xml:space="preserve">model-based </w:t>
      </w:r>
      <w:r w:rsidRPr="00F40543">
        <w:t xml:space="preserve">cutoff sample composed of </w:t>
      </w:r>
      <w:r w:rsidR="00474162">
        <w:t xml:space="preserve">larger </w:t>
      </w:r>
      <w:r w:rsidRPr="00F40543">
        <w:t xml:space="preserve">companies that typically sell most of the electricity in each </w:t>
      </w:r>
      <w:r w:rsidR="00474162">
        <w:t xml:space="preserve">state and </w:t>
      </w:r>
      <w:r w:rsidRPr="00F40543">
        <w:t>customer class.</w:t>
      </w:r>
      <w:r w:rsidR="009D3901">
        <w:t xml:space="preserve"> </w:t>
      </w:r>
    </w:p>
    <w:p w14:paraId="12FBAD85" w14:textId="43AC09E3" w:rsidR="00DB0C38" w:rsidRPr="0059709E" w:rsidRDefault="00474162" w:rsidP="00DB0C38">
      <w:pPr>
        <w:spacing w:before="240"/>
      </w:pPr>
      <w:r>
        <w:t>Form EIA-861M r</w:t>
      </w:r>
      <w:r w:rsidR="00DB0C38" w:rsidRPr="00F40543">
        <w:t>espondents include:</w:t>
      </w:r>
    </w:p>
    <w:p w14:paraId="5C3C80C9" w14:textId="77777777" w:rsidR="00DB0C38" w:rsidRPr="0059709E" w:rsidRDefault="00DB0C38" w:rsidP="00A56314">
      <w:pPr>
        <w:spacing w:before="240"/>
        <w:ind w:left="1170" w:hanging="450"/>
      </w:pPr>
      <w:r w:rsidRPr="00F40543">
        <w:t>•</w:t>
      </w:r>
      <w:r w:rsidRPr="00F40543">
        <w:tab/>
        <w:t>All investor-owned utilities (IOUs), except for a few small IOUs in Alaska</w:t>
      </w:r>
    </w:p>
    <w:p w14:paraId="18258513" w14:textId="77777777" w:rsidR="00DB0C38" w:rsidRPr="0059709E" w:rsidRDefault="00DB0C38" w:rsidP="00A56314">
      <w:pPr>
        <w:spacing w:before="240"/>
        <w:ind w:left="1170" w:hanging="450"/>
      </w:pPr>
      <w:r w:rsidRPr="00F40543">
        <w:t>•</w:t>
      </w:r>
      <w:r w:rsidRPr="00F40543">
        <w:tab/>
        <w:t>All retail power marketers</w:t>
      </w:r>
    </w:p>
    <w:p w14:paraId="726EEC83" w14:textId="5CC877A3" w:rsidR="00DB0C38" w:rsidRPr="0059709E" w:rsidRDefault="00DB0C38" w:rsidP="00A56314">
      <w:pPr>
        <w:spacing w:before="240"/>
        <w:ind w:left="1170" w:hanging="450"/>
      </w:pPr>
      <w:r w:rsidRPr="00F40543">
        <w:t>•</w:t>
      </w:r>
      <w:r w:rsidRPr="00F40543">
        <w:tab/>
        <w:t xml:space="preserve">All </w:t>
      </w:r>
      <w:r w:rsidR="00490197">
        <w:t xml:space="preserve">end-use </w:t>
      </w:r>
      <w:r>
        <w:t>f</w:t>
      </w:r>
      <w:r w:rsidRPr="00F40543">
        <w:t xml:space="preserve">ederal </w:t>
      </w:r>
      <w:r>
        <w:t>u</w:t>
      </w:r>
      <w:r w:rsidRPr="00F40543">
        <w:t>tilities</w:t>
      </w:r>
    </w:p>
    <w:p w14:paraId="247449CA" w14:textId="7D537D35" w:rsidR="00DB0C38" w:rsidRPr="0059709E" w:rsidRDefault="00DB0C38" w:rsidP="00A56314">
      <w:pPr>
        <w:spacing w:before="240"/>
        <w:ind w:left="1170" w:hanging="450"/>
      </w:pPr>
      <w:r w:rsidRPr="00F40543">
        <w:t>•</w:t>
      </w:r>
      <w:r w:rsidRPr="00F40543">
        <w:tab/>
        <w:t xml:space="preserve">All entities selling </w:t>
      </w:r>
      <w:r>
        <w:t>electricity to</w:t>
      </w:r>
      <w:r w:rsidRPr="00F40543">
        <w:t xml:space="preserve"> the public transportation sector</w:t>
      </w:r>
      <w:r w:rsidR="00490197">
        <w:t>, and</w:t>
      </w:r>
    </w:p>
    <w:p w14:paraId="1C3F88F3" w14:textId="77777777" w:rsidR="00DB0C38" w:rsidRPr="0059709E" w:rsidRDefault="00DB0C38" w:rsidP="00A56314">
      <w:pPr>
        <w:spacing w:before="240"/>
        <w:ind w:left="1170" w:hanging="450"/>
      </w:pPr>
      <w:r w:rsidRPr="00F40543">
        <w:t>•</w:t>
      </w:r>
      <w:r w:rsidRPr="00F40543">
        <w:tab/>
        <w:t>A sample of the municipal and cooperative utilities</w:t>
      </w:r>
    </w:p>
    <w:p w14:paraId="4225BA52" w14:textId="0875BE19" w:rsidR="004F5587" w:rsidRDefault="009F7242" w:rsidP="00DB0C38">
      <w:pPr>
        <w:spacing w:before="240"/>
      </w:pPr>
      <w:r>
        <w:t>Form EIA-861M is a smaller cutoff sample of Form EIA</w:t>
      </w:r>
      <w:r>
        <w:noBreakHyphen/>
        <w:t>861</w:t>
      </w:r>
      <w:r w:rsidR="004F5587">
        <w:t>.</w:t>
      </w:r>
      <w:r>
        <w:t xml:space="preserve"> </w:t>
      </w:r>
      <w:r w:rsidR="00DB0C38" w:rsidRPr="00F40543">
        <w:t xml:space="preserve">The </w:t>
      </w:r>
      <w:r w:rsidR="00DB0C38">
        <w:t xml:space="preserve">Form </w:t>
      </w:r>
      <w:r w:rsidR="00DB0C38" w:rsidRPr="00F40543">
        <w:t>EIA-8</w:t>
      </w:r>
      <w:r w:rsidR="00DB0C38">
        <w:t>61M</w:t>
      </w:r>
      <w:r w:rsidR="00DB0C38" w:rsidRPr="00F40543">
        <w:t xml:space="preserve"> sample d</w:t>
      </w:r>
      <w:r w:rsidR="00C350CC">
        <w:t>esign and estimation procedures</w:t>
      </w:r>
      <w:r w:rsidR="00DB0C38">
        <w:t xml:space="preserve"> </w:t>
      </w:r>
      <w:r w:rsidR="00DB0C38" w:rsidRPr="00F40543">
        <w:t>employ weighted linear regression model</w:t>
      </w:r>
      <w:r w:rsidR="004F5587">
        <w:t>s</w:t>
      </w:r>
      <w:r w:rsidR="00DB0C38" w:rsidRPr="00F40543">
        <w:t xml:space="preserve"> to represent the relationship between a respondent’s </w:t>
      </w:r>
      <w:r>
        <w:t xml:space="preserve">most recent </w:t>
      </w:r>
      <w:r w:rsidR="00DB0C38" w:rsidRPr="00F40543">
        <w:t xml:space="preserve">annual </w:t>
      </w:r>
      <w:r>
        <w:t xml:space="preserve">and </w:t>
      </w:r>
      <w:r w:rsidR="00DB0C38" w:rsidRPr="00F40543">
        <w:t xml:space="preserve">current monthly </w:t>
      </w:r>
      <w:r>
        <w:t xml:space="preserve">sales and revenue </w:t>
      </w:r>
      <w:r w:rsidR="00DB0C38" w:rsidRPr="00F40543">
        <w:t>data.</w:t>
      </w:r>
      <w:r w:rsidR="00140A2E">
        <w:t xml:space="preserve"> </w:t>
      </w:r>
      <w:r w:rsidR="004F5587">
        <w:t xml:space="preserve">The retail sales and revenue reported on the most recently completed annual EIA-861 data are utilized as regressor data for the models. </w:t>
      </w:r>
    </w:p>
    <w:p w14:paraId="4C759F74" w14:textId="3C8C88A1" w:rsidR="00DB0C38" w:rsidRPr="00C350CC" w:rsidRDefault="00DB0C38" w:rsidP="00DB0C38">
      <w:pPr>
        <w:spacing w:before="240"/>
        <w:rPr>
          <w:highlight w:val="yellow"/>
        </w:rPr>
      </w:pPr>
      <w:r w:rsidRPr="00F40543">
        <w:t xml:space="preserve">For example, the </w:t>
      </w:r>
      <w:r w:rsidR="00490197">
        <w:t xml:space="preserve">weighted least square </w:t>
      </w:r>
      <w:r w:rsidRPr="00F40543">
        <w:t xml:space="preserve">model used for estimating </w:t>
      </w:r>
      <w:r>
        <w:t>monthly data</w:t>
      </w:r>
      <w:r w:rsidRPr="00F40543">
        <w:t xml:space="preserve"> of </w:t>
      </w:r>
      <w:r>
        <w:t xml:space="preserve">a </w:t>
      </w:r>
      <w:r w:rsidRPr="00F40543">
        <w:t xml:space="preserve">company in January </w:t>
      </w:r>
      <w:r w:rsidRPr="00C350CC">
        <w:rPr>
          <w:highlight w:val="yellow"/>
        </w:rPr>
        <w:t>2017 would be:</w:t>
      </w:r>
    </w:p>
    <w:p w14:paraId="50B01C8D" w14:textId="76362B5B" w:rsidR="00490197" w:rsidRDefault="00140A2E" w:rsidP="00DB0C38">
      <w:pPr>
        <w:spacing w:before="240"/>
        <w:ind w:left="360"/>
        <w:jc w:val="center"/>
        <w:rPr>
          <w:highlight w:val="yellow"/>
        </w:rPr>
      </w:pPr>
      <w:r>
        <w:rPr>
          <w:highlight w:val="yellow"/>
        </w:rPr>
        <w:t xml:space="preserve">           </w:t>
      </w:r>
      <w:r w:rsidR="00DB0C38" w:rsidRPr="00C350CC">
        <w:rPr>
          <w:position w:val="-12"/>
          <w:highlight w:val="yellow"/>
        </w:rPr>
        <w:object w:dxaOrig="2160" w:dyaOrig="400" w14:anchorId="60809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3pt;height:24pt" o:ole="">
            <v:imagedata r:id="rId23" o:title=""/>
          </v:shape>
          <o:OLEObject Type="Embed" ProgID="Equation.3" ShapeID="_x0000_i1025" DrawAspect="Content" ObjectID="_1639482441" r:id="rId24"/>
        </w:object>
      </w:r>
      <w:r>
        <w:rPr>
          <w:highlight w:val="yellow"/>
        </w:rPr>
        <w:t xml:space="preserve">            </w:t>
      </w:r>
      <w:r w:rsidR="00221CF3">
        <w:rPr>
          <w:highlight w:val="yellow"/>
        </w:rPr>
        <w:tab/>
      </w:r>
      <w:r w:rsidR="00221CF3">
        <w:rPr>
          <w:highlight w:val="yellow"/>
        </w:rPr>
        <w:tab/>
      </w:r>
      <w:r w:rsidR="00221CF3">
        <w:rPr>
          <w:highlight w:val="yellow"/>
        </w:rPr>
        <w:tab/>
      </w:r>
      <w:r w:rsidR="00221CF3">
        <w:rPr>
          <w:highlight w:val="yellow"/>
        </w:rPr>
        <w:tab/>
      </w:r>
      <w:r w:rsidR="00221CF3">
        <w:rPr>
          <w:highlight w:val="yellow"/>
        </w:rPr>
        <w:tab/>
      </w:r>
      <w:r w:rsidR="00221CF3">
        <w:rPr>
          <w:highlight w:val="yellow"/>
        </w:rPr>
        <w:tab/>
      </w:r>
      <w:r w:rsidR="00221CF3">
        <w:rPr>
          <w:highlight w:val="yellow"/>
        </w:rPr>
        <w:tab/>
        <w:t>(1)</w:t>
      </w:r>
    </w:p>
    <w:p w14:paraId="2E78AA7F" w14:textId="280A8A9E" w:rsidR="009D3901" w:rsidRDefault="00490197" w:rsidP="00A56314">
      <w:pPr>
        <w:rPr>
          <w:highlight w:val="yellow"/>
        </w:rPr>
      </w:pPr>
      <w:r>
        <w:rPr>
          <w:highlight w:val="yellow"/>
        </w:rPr>
        <w:t>where</w:t>
      </w:r>
    </w:p>
    <w:p w14:paraId="7FA40C90" w14:textId="080D91D9" w:rsidR="00490197" w:rsidRPr="00490197" w:rsidRDefault="00DB0C38" w:rsidP="00A56314">
      <w:pPr>
        <w:pStyle w:val="ListParagraph"/>
        <w:rPr>
          <w:highlight w:val="yellow"/>
        </w:rPr>
      </w:pPr>
      <w:r w:rsidRPr="00490197">
        <w:rPr>
          <w:highlight w:val="yellow"/>
        </w:rPr>
        <w:t xml:space="preserve">1 </w:t>
      </w:r>
      <w:r w:rsidR="00490197">
        <w:rPr>
          <w:highlight w:val="yellow"/>
        </w:rPr>
        <w:t xml:space="preserve">in the model coefficient beta </w:t>
      </w:r>
      <w:r w:rsidRPr="00490197">
        <w:rPr>
          <w:highlight w:val="yellow"/>
        </w:rPr>
        <w:t>represents January</w:t>
      </w:r>
    </w:p>
    <w:p w14:paraId="1122FF9C" w14:textId="5BB7F6D4" w:rsidR="00490197" w:rsidRPr="00A56314" w:rsidRDefault="00DB0C38" w:rsidP="00A56314">
      <w:pPr>
        <w:pStyle w:val="ListParagraph"/>
      </w:pPr>
      <w:r w:rsidRPr="00490197">
        <w:rPr>
          <w:highlight w:val="yellow"/>
        </w:rPr>
        <w:t xml:space="preserve">x represents </w:t>
      </w:r>
      <w:r w:rsidR="004F5587">
        <w:rPr>
          <w:highlight w:val="yellow"/>
        </w:rPr>
        <w:t>most recent</w:t>
      </w:r>
      <w:r w:rsidR="00490197">
        <w:rPr>
          <w:highlight w:val="yellow"/>
        </w:rPr>
        <w:t xml:space="preserve"> </w:t>
      </w:r>
      <w:r w:rsidRPr="00490197">
        <w:rPr>
          <w:highlight w:val="yellow"/>
        </w:rPr>
        <w:t>2015 annual data</w:t>
      </w:r>
    </w:p>
    <w:p w14:paraId="25FC51A1" w14:textId="2C652B52" w:rsidR="00490197" w:rsidRPr="00A56314" w:rsidRDefault="00490197" w:rsidP="00A56314">
      <w:pPr>
        <w:pStyle w:val="ListParagraph"/>
      </w:pPr>
      <w:r>
        <w:rPr>
          <w:shd w:val="clear" w:color="auto" w:fill="FFFF00"/>
        </w:rPr>
        <w:t xml:space="preserve">y represents </w:t>
      </w:r>
      <w:r w:rsidR="004F5587">
        <w:rPr>
          <w:shd w:val="clear" w:color="auto" w:fill="FFFF00"/>
        </w:rPr>
        <w:t xml:space="preserve">current </w:t>
      </w:r>
      <w:r>
        <w:rPr>
          <w:shd w:val="clear" w:color="auto" w:fill="FFFF00"/>
        </w:rPr>
        <w:t>2017 monthly data, and</w:t>
      </w:r>
    </w:p>
    <w:p w14:paraId="7230EEE7" w14:textId="0BA0E370" w:rsidR="00DB0C38" w:rsidRPr="0059709E" w:rsidRDefault="00490197" w:rsidP="00A56314">
      <w:pPr>
        <w:pStyle w:val="ListParagraph"/>
      </w:pPr>
      <w:r>
        <w:rPr>
          <w:shd w:val="clear" w:color="auto" w:fill="FFFF00"/>
        </w:rPr>
        <w:t>w represents the weights, usually the inverse of x</w:t>
      </w:r>
      <w:r w:rsidR="004F5587">
        <w:rPr>
          <w:shd w:val="clear" w:color="auto" w:fill="FFFF00"/>
        </w:rPr>
        <w:t>.</w:t>
      </w:r>
      <w:r w:rsidR="00140A2E">
        <w:t xml:space="preserve"> </w:t>
      </w:r>
    </w:p>
    <w:p w14:paraId="5A4A15EB" w14:textId="71BCD020" w:rsidR="00DB0C38" w:rsidRDefault="00DB0C38" w:rsidP="00490197">
      <w:pPr>
        <w:spacing w:before="240"/>
      </w:pPr>
      <w:r w:rsidRPr="00F40543">
        <w:t>Th</w:t>
      </w:r>
      <w:r>
        <w:t>ese</w:t>
      </w:r>
      <w:r w:rsidRPr="00F40543">
        <w:t xml:space="preserve"> model </w:t>
      </w:r>
      <w:r>
        <w:t>parameters are estimated</w:t>
      </w:r>
      <w:r w:rsidRPr="00F40543">
        <w:t xml:space="preserve"> for all respondents having valid data for both the current month on the </w:t>
      </w:r>
      <w:r>
        <w:t xml:space="preserve">Form </w:t>
      </w:r>
      <w:r w:rsidRPr="00F40543">
        <w:t>EIA-8</w:t>
      </w:r>
      <w:r>
        <w:t>61M</w:t>
      </w:r>
      <w:r w:rsidRPr="00F40543">
        <w:t xml:space="preserve"> and the mos</w:t>
      </w:r>
      <w:r>
        <w:t>t recent annual Form EIA-861 data.</w:t>
      </w:r>
      <w:r w:rsidR="009D3901">
        <w:t xml:space="preserve"> </w:t>
      </w:r>
      <w:r w:rsidRPr="00F40543">
        <w:t xml:space="preserve">The model is not used when prior annual data are </w:t>
      </w:r>
      <w:r>
        <w:t>un</w:t>
      </w:r>
      <w:r w:rsidRPr="00F40543">
        <w:t xml:space="preserve">available, as is the case for respondents that are new to the target population </w:t>
      </w:r>
      <w:r>
        <w:t>(</w:t>
      </w:r>
      <w:r w:rsidRPr="00F40543">
        <w:t xml:space="preserve">although this is </w:t>
      </w:r>
      <w:r>
        <w:t>un</w:t>
      </w:r>
      <w:r w:rsidRPr="00F40543">
        <w:t>common</w:t>
      </w:r>
      <w:r>
        <w:t>).</w:t>
      </w:r>
      <w:r w:rsidR="009D3901">
        <w:t xml:space="preserve"> </w:t>
      </w:r>
      <w:r>
        <w:t>For a new respondent, t</w:t>
      </w:r>
      <w:r w:rsidRPr="00F40543">
        <w:t>he respondent</w:t>
      </w:r>
      <w:r>
        <w:t>’s</w:t>
      </w:r>
      <w:r w:rsidRPr="00F40543">
        <w:t xml:space="preserve"> monthly data are used in estimating totals.</w:t>
      </w:r>
    </w:p>
    <w:p w14:paraId="6737B7E7" w14:textId="1C8493A3" w:rsidR="00DB0C38" w:rsidRDefault="00DB0C38" w:rsidP="00DB0C38">
      <w:pPr>
        <w:spacing w:before="240"/>
      </w:pPr>
      <w:r w:rsidRPr="002D0034">
        <w:t>The model parameters are estimated separately each month using three variables (sales volume</w:t>
      </w:r>
      <w:r w:rsidR="00D030E0">
        <w:t xml:space="preserve"> in MWh</w:t>
      </w:r>
      <w:r w:rsidRPr="002D0034">
        <w:t>, revenues</w:t>
      </w:r>
      <w:r w:rsidR="00D030E0">
        <w:t xml:space="preserve"> </w:t>
      </w:r>
      <w:r w:rsidR="00A64E66">
        <w:t xml:space="preserve">in </w:t>
      </w:r>
      <w:r w:rsidR="00D030E0">
        <w:t>thousand</w:t>
      </w:r>
      <w:r w:rsidR="00A64E66">
        <w:t>s</w:t>
      </w:r>
      <w:r w:rsidR="003511F0">
        <w:t xml:space="preserve"> of</w:t>
      </w:r>
      <w:r w:rsidR="00D030E0">
        <w:t xml:space="preserve"> US dollars</w:t>
      </w:r>
      <w:r w:rsidRPr="002D0034">
        <w:t xml:space="preserve">, and </w:t>
      </w:r>
      <w:r w:rsidR="00A64E66">
        <w:t xml:space="preserve">the </w:t>
      </w:r>
      <w:r w:rsidRPr="002D0034">
        <w:t>number of customers) by end-use sector and geographic region.</w:t>
      </w:r>
      <w:r w:rsidR="009D3901">
        <w:t xml:space="preserve"> </w:t>
      </w:r>
      <w:r w:rsidRPr="00F40543">
        <w:t>The models are then applied to estimate data for entities no</w:t>
      </w:r>
      <w:r>
        <w:t>t in the Form EIA-861M monthly sample</w:t>
      </w:r>
      <w:r w:rsidRPr="00F40543">
        <w:t xml:space="preserve"> but with valid annual </w:t>
      </w:r>
      <w:r>
        <w:t xml:space="preserve">Form </w:t>
      </w:r>
      <w:r w:rsidRPr="00F40543">
        <w:t>EIA-861 data.</w:t>
      </w:r>
      <w:r w:rsidR="009D3901">
        <w:t xml:space="preserve"> </w:t>
      </w:r>
      <w:r w:rsidRPr="00F40543">
        <w:t xml:space="preserve">The same model is used to </w:t>
      </w:r>
      <w:r>
        <w:t>impute for non</w:t>
      </w:r>
      <w:r w:rsidR="002211AA">
        <w:noBreakHyphen/>
      </w:r>
      <w:r>
        <w:t xml:space="preserve">respondents and cases </w:t>
      </w:r>
      <w:r w:rsidRPr="00F40543">
        <w:t>where submitted data fails EIA</w:t>
      </w:r>
      <w:r>
        <w:t xml:space="preserve">’s </w:t>
      </w:r>
      <w:r w:rsidRPr="00F40543">
        <w:t xml:space="preserve">data </w:t>
      </w:r>
      <w:r>
        <w:t>review</w:t>
      </w:r>
      <w:r w:rsidRPr="00F40543">
        <w:t>.</w:t>
      </w:r>
      <w:r w:rsidR="009D3901">
        <w:t xml:space="preserve"> </w:t>
      </w:r>
      <w:r>
        <w:t>Data for which EIA has a complete census each month –</w:t>
      </w:r>
      <w:r w:rsidRPr="00F40543">
        <w:t xml:space="preserve"> </w:t>
      </w:r>
      <w:r>
        <w:t xml:space="preserve">that is, </w:t>
      </w:r>
      <w:r w:rsidRPr="00F40543">
        <w:t xml:space="preserve">retail </w:t>
      </w:r>
      <w:r>
        <w:t>power marketers</w:t>
      </w:r>
      <w:r w:rsidRPr="00F40543">
        <w:t xml:space="preserve"> and </w:t>
      </w:r>
      <w:r>
        <w:t xml:space="preserve">the </w:t>
      </w:r>
      <w:r w:rsidRPr="00F40543">
        <w:t xml:space="preserve">electric </w:t>
      </w:r>
      <w:r>
        <w:t xml:space="preserve">utilities that provide </w:t>
      </w:r>
      <w:r w:rsidRPr="00F40543">
        <w:t xml:space="preserve">distribution services for </w:t>
      </w:r>
      <w:r>
        <w:t>the marketers</w:t>
      </w:r>
      <w:r>
        <w:rPr>
          <w:rStyle w:val="FootnoteReference"/>
        </w:rPr>
        <w:footnoteReference w:id="4"/>
      </w:r>
      <w:r>
        <w:t xml:space="preserve"> --</w:t>
      </w:r>
      <w:r w:rsidRPr="00F40543">
        <w:t xml:space="preserve"> </w:t>
      </w:r>
      <w:r w:rsidR="00483672">
        <w:t>are</w:t>
      </w:r>
      <w:r w:rsidRPr="00F40543">
        <w:t xml:space="preserve"> added to the </w:t>
      </w:r>
      <w:r>
        <w:t xml:space="preserve">sampled and estimated </w:t>
      </w:r>
      <w:r w:rsidRPr="00F40543">
        <w:t>values to obtain monthly esti</w:t>
      </w:r>
      <w:r>
        <w:t>mates for the entire universe.</w:t>
      </w:r>
    </w:p>
    <w:p w14:paraId="5F970975" w14:textId="6EE15AAD" w:rsidR="00DB0C38" w:rsidRPr="0059709E" w:rsidRDefault="00DB0C38" w:rsidP="00DB0C38">
      <w:pPr>
        <w:spacing w:before="240"/>
      </w:pPr>
      <w:r w:rsidRPr="00F40543">
        <w:t>The monthly cutoff sample thresholds for</w:t>
      </w:r>
      <w:r w:rsidR="0013348B">
        <w:t xml:space="preserve"> </w:t>
      </w:r>
      <w:r>
        <w:t xml:space="preserve">Form </w:t>
      </w:r>
      <w:r w:rsidRPr="00F40543">
        <w:t>EIA-8</w:t>
      </w:r>
      <w:r>
        <w:t xml:space="preserve">61M </w:t>
      </w:r>
      <w:r w:rsidR="00C350CC">
        <w:t>are</w:t>
      </w:r>
      <w:r w:rsidRPr="00F40543">
        <w:t xml:space="preserve"> selected based on the criterion of having estimated RSE values </w:t>
      </w:r>
      <w:r w:rsidR="007C36DC">
        <w:t xml:space="preserve">of </w:t>
      </w:r>
      <w:r w:rsidRPr="00F40543">
        <w:t xml:space="preserve">less than 1 percent for all data published at the state </w:t>
      </w:r>
      <w:r>
        <w:t xml:space="preserve">level </w:t>
      </w:r>
      <w:r w:rsidRPr="00F40543">
        <w:t>by end-use sector.</w:t>
      </w:r>
      <w:r w:rsidR="009D3901">
        <w:t xml:space="preserve"> </w:t>
      </w:r>
      <w:r w:rsidRPr="00F40543">
        <w:t xml:space="preserve">The RSE is a percentage measure of the precision of a survey statistic and is used as </w:t>
      </w:r>
      <w:r w:rsidR="00483672">
        <w:t>a</w:t>
      </w:r>
      <w:r w:rsidR="00483672" w:rsidRPr="00F40543">
        <w:t xml:space="preserve"> </w:t>
      </w:r>
      <w:r w:rsidRPr="00F40543">
        <w:t xml:space="preserve">way to measure error introduced by using model-based predicted monthly values in place of </w:t>
      </w:r>
      <w:r w:rsidR="00483672" w:rsidRPr="00F40543">
        <w:t xml:space="preserve">non-sampled </w:t>
      </w:r>
      <w:r w:rsidR="00483672">
        <w:t xml:space="preserve">and </w:t>
      </w:r>
      <w:r w:rsidRPr="00F40543">
        <w:t>missing data for the quantities of interest (revenues, sales, and number of customers).</w:t>
      </w:r>
      <w:r w:rsidR="009D3901">
        <w:t xml:space="preserve"> </w:t>
      </w:r>
      <w:r w:rsidRPr="00F40543">
        <w:t>Threshold values for the cutoff sampling have been adjusted over time to maintain low RSEs for the published estimates.</w:t>
      </w:r>
    </w:p>
    <w:p w14:paraId="4052C6F7" w14:textId="1D13F7B4" w:rsidR="00DB0C38" w:rsidRDefault="0013348B" w:rsidP="00DB0C38">
      <w:r>
        <w:t>T</w:t>
      </w:r>
      <w:r w:rsidR="00DB0C38">
        <w:t>he entities excluded from reporting on Form EIA-861</w:t>
      </w:r>
      <w:r w:rsidR="009F7242">
        <w:t>,</w:t>
      </w:r>
      <w:r w:rsidR="00DB0C38">
        <w:t xml:space="preserve"> </w:t>
      </w:r>
      <w:r w:rsidR="007C36DC">
        <w:t>w</w:t>
      </w:r>
      <w:r w:rsidR="00580C4F">
        <w:t>h</w:t>
      </w:r>
      <w:r w:rsidR="009F7242">
        <w:t>ich</w:t>
      </w:r>
      <w:r w:rsidR="00580C4F">
        <w:t xml:space="preserve"> now complete the short F</w:t>
      </w:r>
      <w:r w:rsidR="007C36DC">
        <w:t>orm</w:t>
      </w:r>
      <w:r w:rsidR="00580C4F">
        <w:t xml:space="preserve"> </w:t>
      </w:r>
      <w:r w:rsidR="00DB0C38">
        <w:t>EIA-861S</w:t>
      </w:r>
      <w:r w:rsidR="009F7242">
        <w:t>,</w:t>
      </w:r>
      <w:r w:rsidR="00DB0C38">
        <w:t xml:space="preserve"> account for approximately 1 percent of total retail sales</w:t>
      </w:r>
      <w:r w:rsidR="00580C4F">
        <w:t>.</w:t>
      </w:r>
      <w:r w:rsidR="00DB0C38">
        <w:t xml:space="preserve"> </w:t>
      </w:r>
      <w:r w:rsidR="00580C4F">
        <w:t>To</w:t>
      </w:r>
      <w:r w:rsidR="00D12197">
        <w:t xml:space="preserve"> accurately impute and predict </w:t>
      </w:r>
      <w:r w:rsidR="009F7242">
        <w:t>monthly sales and revenue</w:t>
      </w:r>
      <w:r w:rsidR="00D12197">
        <w:t xml:space="preserve"> values</w:t>
      </w:r>
      <w:r w:rsidR="009F7242">
        <w:t xml:space="preserve"> for EAI-861S respondents</w:t>
      </w:r>
      <w:r w:rsidR="00D12197">
        <w:t>, EIA uses</w:t>
      </w:r>
      <w:r w:rsidR="00DB0C38">
        <w:t xml:space="preserve"> the model-based estimation methodologies</w:t>
      </w:r>
      <w:r w:rsidR="00D12197">
        <w:t xml:space="preserve"> currently used</w:t>
      </w:r>
      <w:r w:rsidR="00DB0C38">
        <w:t xml:space="preserve"> for </w:t>
      </w:r>
      <w:r w:rsidR="009F7242">
        <w:t xml:space="preserve">the monthly </w:t>
      </w:r>
      <w:r w:rsidR="00DB0C38">
        <w:t>Form EIA-861</w:t>
      </w:r>
      <w:r w:rsidR="009F7242">
        <w:t>M</w:t>
      </w:r>
      <w:r w:rsidR="00DB0C38">
        <w:t xml:space="preserve">.  </w:t>
      </w:r>
    </w:p>
    <w:p w14:paraId="42A7B611" w14:textId="77777777" w:rsidR="00DB0C38" w:rsidRDefault="00DB0C38" w:rsidP="00DB0C38">
      <w:pPr>
        <w:spacing w:before="240"/>
      </w:pPr>
      <w:r w:rsidRPr="00F40543">
        <w:t>For a general description of cutoff sampling as applied at EIA, see “Model-Based Sampling, Inference and Imputation” at</w:t>
      </w:r>
      <w:r>
        <w:t xml:space="preserve"> </w:t>
      </w:r>
      <w:hyperlink r:id="rId25" w:history="1">
        <w:r w:rsidRPr="004A54F9">
          <w:rPr>
            <w:rStyle w:val="Hyperlink"/>
          </w:rPr>
          <w:t>https://www.eia.gov/electricity/data/methodology/eiawebme.pdf</w:t>
        </w:r>
      </w:hyperlink>
      <w:r>
        <w:t>.</w:t>
      </w:r>
    </w:p>
    <w:p w14:paraId="370076D4" w14:textId="77777777" w:rsidR="00DB0C38" w:rsidRPr="007D4306" w:rsidRDefault="00DB0C38" w:rsidP="00DB0C38">
      <w:pPr>
        <w:spacing w:before="240"/>
        <w:rPr>
          <w:b/>
          <w:i/>
          <w:u w:val="single"/>
        </w:rPr>
      </w:pPr>
      <w:r w:rsidRPr="007D4306">
        <w:rPr>
          <w:b/>
          <w:i/>
          <w:u w:val="single"/>
        </w:rPr>
        <w:t>Form EIA-923</w:t>
      </w:r>
    </w:p>
    <w:p w14:paraId="27DB75E3" w14:textId="73AC7740" w:rsidR="00DB0C38" w:rsidRPr="0059709E" w:rsidRDefault="00DB0C38" w:rsidP="00DB0C38">
      <w:pPr>
        <w:spacing w:before="240"/>
      </w:pPr>
      <w:r>
        <w:t xml:space="preserve">Form </w:t>
      </w:r>
      <w:r w:rsidRPr="00F40543">
        <w:t>EIA-923 is a monthly and annual survey of electric power plants.</w:t>
      </w:r>
      <w:r w:rsidR="009D3901">
        <w:t xml:space="preserve"> </w:t>
      </w:r>
      <w:r w:rsidRPr="00F40543">
        <w:t xml:space="preserve">The survey collects information that includes </w:t>
      </w:r>
      <w:r w:rsidRPr="00F40543">
        <w:rPr>
          <w:bCs/>
        </w:rPr>
        <w:t xml:space="preserve">electric power generation, energy source consumption, </w:t>
      </w:r>
      <w:r w:rsidR="00EC2208">
        <w:rPr>
          <w:bCs/>
        </w:rPr>
        <w:t xml:space="preserve">fossil fuel stocks at the end of the reporting period, </w:t>
      </w:r>
      <w:r w:rsidRPr="00F40543">
        <w:rPr>
          <w:bCs/>
        </w:rPr>
        <w:t>as well as the quality and cost of fossil fuel</w:t>
      </w:r>
      <w:r w:rsidR="00EC2208">
        <w:rPr>
          <w:bCs/>
        </w:rPr>
        <w:t>s</w:t>
      </w:r>
      <w:r w:rsidRPr="00F40543">
        <w:rPr>
          <w:bCs/>
        </w:rPr>
        <w:t xml:space="preserve"> recei</w:t>
      </w:r>
      <w:r w:rsidR="00EC2208">
        <w:rPr>
          <w:bCs/>
        </w:rPr>
        <w:t>ved</w:t>
      </w:r>
      <w:r w:rsidRPr="00F40543">
        <w:rPr>
          <w:bCs/>
        </w:rPr>
        <w:t>.</w:t>
      </w:r>
    </w:p>
    <w:p w14:paraId="29465B42" w14:textId="64751130" w:rsidR="00DB0C38" w:rsidRPr="0059709E" w:rsidRDefault="004922B8" w:rsidP="00DB0C38">
      <w:pPr>
        <w:spacing w:before="240"/>
      </w:pPr>
      <w:r>
        <w:t xml:space="preserve">Form </w:t>
      </w:r>
      <w:r w:rsidR="00DB0C38" w:rsidRPr="00F40543">
        <w:t>EIA</w:t>
      </w:r>
      <w:r>
        <w:t>-923</w:t>
      </w:r>
      <w:r w:rsidR="00DB0C38" w:rsidRPr="00F40543">
        <w:t xml:space="preserve"> utilizes cutoff sampling to reduce the burden on smaller capacity plants</w:t>
      </w:r>
      <w:r w:rsidR="007D0F35">
        <w:t xml:space="preserve">. </w:t>
      </w:r>
      <w:r w:rsidR="00DB0C38" w:rsidRPr="00F40543">
        <w:t xml:space="preserve">EIA collects monthly data on </w:t>
      </w:r>
      <w:r w:rsidR="00DB0C38">
        <w:t xml:space="preserve">Form </w:t>
      </w:r>
      <w:r w:rsidR="00DB0C38" w:rsidRPr="00F40543">
        <w:t>EIA-923 from respondents</w:t>
      </w:r>
      <w:r w:rsidR="00DB0C38">
        <w:t xml:space="preserve"> (i.e., </w:t>
      </w:r>
      <w:r>
        <w:t xml:space="preserve">power </w:t>
      </w:r>
      <w:r w:rsidR="00DB0C38">
        <w:t>plants)</w:t>
      </w:r>
      <w:r w:rsidR="00DB0C38" w:rsidRPr="00F40543">
        <w:t xml:space="preserve"> with a large e</w:t>
      </w:r>
      <w:r>
        <w:t xml:space="preserve">lectricity generation </w:t>
      </w:r>
      <w:r w:rsidR="00DB0C38" w:rsidRPr="00F40543">
        <w:t>capacity</w:t>
      </w:r>
      <w:r w:rsidR="007D0F35">
        <w:t>.</w:t>
      </w:r>
      <w:r w:rsidR="00DB0C38" w:rsidRPr="00F40543">
        <w:t xml:space="preserve"> </w:t>
      </w:r>
      <w:r w:rsidR="0078115E">
        <w:t>Annual t</w:t>
      </w:r>
      <w:r w:rsidR="00DB0C38" w:rsidRPr="00F40543">
        <w:t>otals</w:t>
      </w:r>
      <w:r w:rsidR="0078115E">
        <w:t xml:space="preserve"> are collected at</w:t>
      </w:r>
      <w:r>
        <w:t xml:space="preserve"> the</w:t>
      </w:r>
      <w:r w:rsidR="0078115E">
        <w:t xml:space="preserve"> </w:t>
      </w:r>
      <w:r w:rsidR="00DB0C38" w:rsidRPr="00F40543">
        <w:t>end of the reporting year from plants with small</w:t>
      </w:r>
      <w:r w:rsidR="00EB7FCC">
        <w:t>er generation</w:t>
      </w:r>
      <w:r w:rsidR="00DB0C38" w:rsidRPr="00F40543">
        <w:t xml:space="preserve"> capacit</w:t>
      </w:r>
      <w:r w:rsidR="007D0F35">
        <w:t>ies</w:t>
      </w:r>
      <w:r w:rsidR="00DB0C38" w:rsidRPr="00F40543">
        <w:t>.</w:t>
      </w:r>
      <w:r w:rsidR="00140A2E">
        <w:t xml:space="preserve"> </w:t>
      </w:r>
      <w:r w:rsidR="00DB0C38" w:rsidRPr="00F40543">
        <w:t xml:space="preserve">The monthly sample is selected from </w:t>
      </w:r>
      <w:r w:rsidR="008776E3">
        <w:t xml:space="preserve">the </w:t>
      </w:r>
      <w:r w:rsidR="00DB0C38">
        <w:t xml:space="preserve">Form </w:t>
      </w:r>
      <w:r w:rsidR="00DB0C38" w:rsidRPr="00F40543">
        <w:t>EIA-860 sampling frame of electric power plants.</w:t>
      </w:r>
      <w:r w:rsidR="009D3901">
        <w:t xml:space="preserve"> </w:t>
      </w:r>
      <w:r w:rsidR="00DB0C38" w:rsidRPr="00F40543">
        <w:t>With the combination of monthly and annual respondents</w:t>
      </w:r>
      <w:r w:rsidR="00DB0C38">
        <w:t>,</w:t>
      </w:r>
      <w:r w:rsidR="00DB0C38" w:rsidRPr="00F40543">
        <w:t xml:space="preserve"> </w:t>
      </w:r>
      <w:r w:rsidR="00DB0C38">
        <w:t xml:space="preserve">Form </w:t>
      </w:r>
      <w:r w:rsidR="00DB0C38" w:rsidRPr="00F40543">
        <w:t>EIA</w:t>
      </w:r>
      <w:r w:rsidR="00DB0C38">
        <w:t>-923</w:t>
      </w:r>
      <w:r w:rsidR="00DB0C38" w:rsidRPr="00F40543">
        <w:t xml:space="preserve"> </w:t>
      </w:r>
      <w:r w:rsidR="00EB7FCC">
        <w:t>collects data from all</w:t>
      </w:r>
      <w:r w:rsidR="00DB0C38" w:rsidRPr="00F40543">
        <w:t xml:space="preserve"> </w:t>
      </w:r>
      <w:r w:rsidR="00DB0C38">
        <w:t xml:space="preserve">operational and standby </w:t>
      </w:r>
      <w:r w:rsidR="00DB0C38" w:rsidRPr="00F40543">
        <w:t xml:space="preserve">power plants with </w:t>
      </w:r>
      <w:r w:rsidR="007D0F35">
        <w:t xml:space="preserve">a </w:t>
      </w:r>
      <w:r w:rsidR="00DB0C38" w:rsidRPr="00F40543">
        <w:t>generation capacity of at least 1MW.</w:t>
      </w:r>
    </w:p>
    <w:p w14:paraId="0B27CBFF" w14:textId="00197DF9" w:rsidR="00DB0C38" w:rsidRPr="0059709E" w:rsidRDefault="00DB0C38" w:rsidP="00DB0C38">
      <w:pPr>
        <w:spacing w:before="240"/>
      </w:pPr>
      <w:r w:rsidRPr="00F40543">
        <w:t>Since a cutoff sample is used</w:t>
      </w:r>
      <w:r w:rsidR="00EB7FCC">
        <w:t xml:space="preserve"> to collect monthly power plant operation </w:t>
      </w:r>
      <w:r w:rsidR="00221CF3">
        <w:t xml:space="preserve">survey </w:t>
      </w:r>
      <w:r w:rsidR="00EB7FCC">
        <w:t>data</w:t>
      </w:r>
      <w:r w:rsidR="00221CF3">
        <w:t xml:space="preserve"> and to construct weighted linear regression models from that data</w:t>
      </w:r>
      <w:r w:rsidRPr="00F40543">
        <w:t xml:space="preserve">, EIA </w:t>
      </w:r>
      <w:r w:rsidR="00221CF3">
        <w:t>imputes</w:t>
      </w:r>
      <w:r w:rsidR="002776E3" w:rsidRPr="00F40543">
        <w:t xml:space="preserve"> </w:t>
      </w:r>
      <w:r w:rsidR="002776E3">
        <w:t xml:space="preserve">monthly </w:t>
      </w:r>
      <w:r w:rsidR="00221CF3">
        <w:t>values</w:t>
      </w:r>
      <w:r w:rsidR="002776E3" w:rsidRPr="00F40543">
        <w:t xml:space="preserve"> </w:t>
      </w:r>
      <w:r w:rsidRPr="00F40543">
        <w:t xml:space="preserve">for the smaller </w:t>
      </w:r>
      <w:r w:rsidR="00221CF3">
        <w:t xml:space="preserve">annual </w:t>
      </w:r>
      <w:r w:rsidRPr="00F40543">
        <w:t>plants</w:t>
      </w:r>
      <w:r w:rsidR="002776E3">
        <w:t xml:space="preserve"> </w:t>
      </w:r>
      <w:r w:rsidR="00221CF3">
        <w:t>using these</w:t>
      </w:r>
      <w:r w:rsidRPr="00DF4DE4">
        <w:t xml:space="preserve"> regression models</w:t>
      </w:r>
      <w:r w:rsidR="002776E3">
        <w:t>.</w:t>
      </w:r>
      <w:r w:rsidR="009D3901">
        <w:t xml:space="preserve"> </w:t>
      </w:r>
      <w:r w:rsidRPr="00F40543">
        <w:t xml:space="preserve">EIA can </w:t>
      </w:r>
      <w:r>
        <w:t>estimate</w:t>
      </w:r>
      <w:r w:rsidRPr="00F40543">
        <w:t xml:space="preserve"> </w:t>
      </w:r>
      <w:r w:rsidR="002776E3">
        <w:t xml:space="preserve">monthly </w:t>
      </w:r>
      <w:r w:rsidRPr="00F40543">
        <w:t xml:space="preserve">values for </w:t>
      </w:r>
      <w:r w:rsidR="002776E3">
        <w:t xml:space="preserve">these </w:t>
      </w:r>
      <w:r w:rsidRPr="00F40543">
        <w:t>out-of-sample plants because the</w:t>
      </w:r>
      <w:r w:rsidR="002776E3">
        <w:t>i</w:t>
      </w:r>
      <w:r w:rsidRPr="00F40543">
        <w:t xml:space="preserve">r </w:t>
      </w:r>
      <w:r w:rsidR="002776E3">
        <w:t>latest annual</w:t>
      </w:r>
      <w:r w:rsidRPr="00F40543">
        <w:t xml:space="preserve"> </w:t>
      </w:r>
      <w:r w:rsidR="002776E3">
        <w:t xml:space="preserve">regressor </w:t>
      </w:r>
      <w:r w:rsidRPr="00F40543">
        <w:t>data</w:t>
      </w:r>
      <w:r w:rsidR="002776E3">
        <w:t xml:space="preserve"> are available to be used in the models</w:t>
      </w:r>
      <w:r w:rsidR="00221CF3">
        <w:t>.</w:t>
      </w:r>
      <w:r w:rsidR="009D3901">
        <w:t xml:space="preserve"> </w:t>
      </w:r>
      <w:r w:rsidR="00221CF3">
        <w:t>(</w:t>
      </w:r>
      <w:r>
        <w:t>See Equation (1) above for details.</w:t>
      </w:r>
      <w:r w:rsidR="00221CF3">
        <w:t>)</w:t>
      </w:r>
    </w:p>
    <w:p w14:paraId="10C9A106" w14:textId="1216D31F" w:rsidR="00DB0C38" w:rsidRPr="0059709E" w:rsidRDefault="00DB0C38" w:rsidP="00DB0C38">
      <w:pPr>
        <w:spacing w:before="240"/>
      </w:pPr>
      <w:r w:rsidRPr="00F40543">
        <w:t xml:space="preserve">Nameplate capacity was used as the measure of size in the original sample selection process </w:t>
      </w:r>
      <w:r w:rsidR="00221CF3">
        <w:t xml:space="preserve">of Form EIA-923 </w:t>
      </w:r>
      <w:r w:rsidRPr="00F40543">
        <w:t xml:space="preserve">and its high correlation with other data elements on </w:t>
      </w:r>
      <w:r w:rsidR="00221CF3">
        <w:t>the form</w:t>
      </w:r>
      <w:r w:rsidRPr="00F40543">
        <w:t xml:space="preserve"> ensured good coverage results for other reported values.</w:t>
      </w:r>
      <w:r w:rsidR="009D3901">
        <w:t xml:space="preserve"> </w:t>
      </w:r>
      <w:r w:rsidRPr="00F40543">
        <w:t xml:space="preserve">Since then, sample validation studies were conducted on </w:t>
      </w:r>
      <w:r w:rsidR="002E35B1">
        <w:t xml:space="preserve">generation, </w:t>
      </w:r>
      <w:r w:rsidRPr="00F40543">
        <w:t>fuel consumption, receipts, costs</w:t>
      </w:r>
      <w:r>
        <w:t>,</w:t>
      </w:r>
      <w:r w:rsidRPr="00F40543">
        <w:t xml:space="preserve"> and stocks</w:t>
      </w:r>
      <w:r>
        <w:t>,</w:t>
      </w:r>
      <w:r w:rsidRPr="00F40543">
        <w:t xml:space="preserve"> and the sampling methodology was </w:t>
      </w:r>
      <w:r w:rsidR="002E35B1">
        <w:t>modified</w:t>
      </w:r>
      <w:r w:rsidR="002E35B1" w:rsidRPr="00F40543">
        <w:t xml:space="preserve"> </w:t>
      </w:r>
      <w:r w:rsidRPr="00F40543">
        <w:t>accordingly.</w:t>
      </w:r>
    </w:p>
    <w:p w14:paraId="1DF31174" w14:textId="20698B2D" w:rsidR="00DB0C38" w:rsidRPr="0059709E" w:rsidRDefault="00DB0C38" w:rsidP="00DB0C38">
      <w:pPr>
        <w:spacing w:before="240"/>
      </w:pPr>
      <w:r w:rsidRPr="00F40543">
        <w:t xml:space="preserve">The sampling strata are defined by facility </w:t>
      </w:r>
      <w:r w:rsidR="002E35B1">
        <w:t>sector</w:t>
      </w:r>
      <w:r w:rsidRPr="00F40543">
        <w:t>, energy source</w:t>
      </w:r>
      <w:r w:rsidR="002E35B1">
        <w:t xml:space="preserve"> used for power generation</w:t>
      </w:r>
      <w:r w:rsidRPr="00F40543">
        <w:t>, and geographic region.</w:t>
      </w:r>
      <w:r w:rsidR="009D3901">
        <w:t xml:space="preserve"> </w:t>
      </w:r>
      <w:r w:rsidRPr="00F40543">
        <w:t>For instance, one stratum is identified as electric utilities burning coal in the South Atlantic Census Division.</w:t>
      </w:r>
      <w:r w:rsidR="009D3901">
        <w:t xml:space="preserve"> </w:t>
      </w:r>
      <w:r w:rsidRPr="00F40543">
        <w:t xml:space="preserve">There are four facility </w:t>
      </w:r>
      <w:r w:rsidR="002E35B1">
        <w:t xml:space="preserve">sector </w:t>
      </w:r>
      <w:r w:rsidRPr="00F40543">
        <w:t xml:space="preserve">types: electric utilities, independent power producers, commercial facilities, and industrial facilities; 14 energy source categories, which correspond to the energy source classifications used in the </w:t>
      </w:r>
      <w:r w:rsidRPr="00F40543">
        <w:rPr>
          <w:i/>
          <w:iCs/>
        </w:rPr>
        <w:t xml:space="preserve">Electric Power Monthly </w:t>
      </w:r>
      <w:r w:rsidRPr="00F40543">
        <w:t>(EPM); and 10 geographic groups</w:t>
      </w:r>
      <w:r w:rsidR="002E35B1">
        <w:t xml:space="preserve">; </w:t>
      </w:r>
      <w:r w:rsidR="002E35B1">
        <w:rPr>
          <w:rFonts w:ascii="Calibri" w:eastAsia="Times New Roman" w:hAnsi="Calibri" w:cs="Times New Roman"/>
        </w:rPr>
        <w:t>all together resulting in more than 250 regression models used in the sample selection process</w:t>
      </w:r>
      <w:r w:rsidRPr="00F40543">
        <w:t>.</w:t>
      </w:r>
    </w:p>
    <w:p w14:paraId="10F15B45" w14:textId="77777777" w:rsidR="00DB0C38" w:rsidRPr="005600B7" w:rsidRDefault="00DB0C38" w:rsidP="00DB0C38">
      <w:pPr>
        <w:spacing w:before="240"/>
        <w:rPr>
          <w:b/>
          <w:bCs/>
          <w:i/>
        </w:rPr>
      </w:pPr>
      <w:r w:rsidRPr="005600B7">
        <w:rPr>
          <w:b/>
          <w:bCs/>
          <w:i/>
        </w:rPr>
        <w:t>Form EIA-923 Sample Selection Criteria</w:t>
      </w:r>
    </w:p>
    <w:p w14:paraId="16472E86" w14:textId="59434560" w:rsidR="00DB0C38" w:rsidRPr="00994072" w:rsidRDefault="00DB0C38" w:rsidP="00DB0C38">
      <w:r w:rsidRPr="00994072">
        <w:t>The following five steps are used in selecting plants for the monthly sample</w:t>
      </w:r>
      <w:r w:rsidR="002E35B1" w:rsidRPr="002E35B1">
        <w:rPr>
          <w:rFonts w:ascii="Calibri" w:eastAsia="Times New Roman" w:hAnsi="Calibri" w:cs="Times New Roman"/>
        </w:rPr>
        <w:t xml:space="preserve"> </w:t>
      </w:r>
      <w:r w:rsidR="002E35B1">
        <w:rPr>
          <w:rFonts w:ascii="Calibri" w:eastAsia="Times New Roman" w:hAnsi="Calibri" w:cs="Times New Roman"/>
        </w:rPr>
        <w:t>in a particular publication category</w:t>
      </w:r>
      <w:r w:rsidRPr="00994072">
        <w:t>:</w:t>
      </w:r>
    </w:p>
    <w:p w14:paraId="43D096F5" w14:textId="58E8F757" w:rsidR="00DB0C38" w:rsidRPr="00994072" w:rsidRDefault="00DB0C38" w:rsidP="00DB0C38">
      <w:pPr>
        <w:spacing w:before="240"/>
        <w:ind w:left="720" w:hanging="360"/>
      </w:pPr>
      <w:r w:rsidRPr="00994072">
        <w:t>1.</w:t>
      </w:r>
      <w:r w:rsidRPr="00994072">
        <w:tab/>
        <w:t>Select preliminary cutoff sample</w:t>
      </w:r>
      <w:r w:rsidR="00187AAF">
        <w:t xml:space="preserve"> unit</w:t>
      </w:r>
      <w:r w:rsidRPr="00994072">
        <w:t xml:space="preserve">s based on nameplate capacity </w:t>
      </w:r>
      <w:r w:rsidR="002E35B1">
        <w:t xml:space="preserve">coverage </w:t>
      </w:r>
      <w:r w:rsidRPr="00994072">
        <w:t>values</w:t>
      </w:r>
    </w:p>
    <w:p w14:paraId="343C0B66" w14:textId="77777777" w:rsidR="00DB0C38" w:rsidRPr="00994072" w:rsidRDefault="00DB0C38" w:rsidP="00DB0C38">
      <w:pPr>
        <w:spacing w:before="240"/>
        <w:ind w:left="720" w:hanging="360"/>
      </w:pPr>
      <w:r w:rsidRPr="00994072">
        <w:t>2.</w:t>
      </w:r>
      <w:r w:rsidRPr="00994072">
        <w:tab/>
        <w:t>Add sample units, where necessary, based on generation, consumption</w:t>
      </w:r>
      <w:r>
        <w:t>,</w:t>
      </w:r>
      <w:r w:rsidRPr="00994072">
        <w:t xml:space="preserve"> and stocks</w:t>
      </w:r>
    </w:p>
    <w:p w14:paraId="7E8E0C16" w14:textId="77777777" w:rsidR="00DB0C38" w:rsidRPr="00994072" w:rsidRDefault="00DB0C38" w:rsidP="00DB0C38">
      <w:pPr>
        <w:spacing w:before="240"/>
        <w:ind w:left="720" w:hanging="360"/>
      </w:pPr>
      <w:r w:rsidRPr="00994072">
        <w:t>3.</w:t>
      </w:r>
      <w:r w:rsidRPr="00994072">
        <w:tab/>
        <w:t>Add sample units, where necessary, to provide adequate sample counts for estimation groups</w:t>
      </w:r>
    </w:p>
    <w:p w14:paraId="2A72A580" w14:textId="687C94F1" w:rsidR="00DB0C38" w:rsidRPr="00994072" w:rsidRDefault="00DB0C38" w:rsidP="00DB0C38">
      <w:pPr>
        <w:spacing w:before="240"/>
        <w:ind w:left="720" w:hanging="360"/>
      </w:pPr>
      <w:r w:rsidRPr="00994072">
        <w:t>4.</w:t>
      </w:r>
      <w:r w:rsidRPr="00994072">
        <w:tab/>
        <w:t xml:space="preserve">Add </w:t>
      </w:r>
      <w:r w:rsidR="008E6501">
        <w:t xml:space="preserve">model-based cutoff </w:t>
      </w:r>
      <w:r w:rsidRPr="00994072">
        <w:t xml:space="preserve">sample units, where necessary, to reduce RSEs of key estimates to acceptable </w:t>
      </w:r>
      <w:r w:rsidR="008E6501">
        <w:t xml:space="preserve">threshold </w:t>
      </w:r>
      <w:r w:rsidRPr="00994072">
        <w:t>levels</w:t>
      </w:r>
    </w:p>
    <w:p w14:paraId="0B43DC92" w14:textId="77777777" w:rsidR="00DB0C38" w:rsidRPr="00994072" w:rsidRDefault="00DB0C38" w:rsidP="00DB0C38">
      <w:pPr>
        <w:spacing w:before="240"/>
        <w:ind w:left="720" w:hanging="360"/>
      </w:pPr>
      <w:r w:rsidRPr="00994072">
        <w:t>5.</w:t>
      </w:r>
      <w:r w:rsidRPr="00994072">
        <w:tab/>
        <w:t>Add other facilities, based on special-case criteria</w:t>
      </w:r>
    </w:p>
    <w:p w14:paraId="67D5B121" w14:textId="6278F2EB" w:rsidR="0042381C" w:rsidRDefault="00DB0C38" w:rsidP="00DB0C38">
      <w:pPr>
        <w:spacing w:before="240"/>
      </w:pPr>
      <w:r w:rsidRPr="00994072">
        <w:t xml:space="preserve">The first three steps </w:t>
      </w:r>
      <w:r w:rsidR="004B0591">
        <w:t>are</w:t>
      </w:r>
      <w:r w:rsidRPr="00994072">
        <w:t xml:space="preserve"> designed to ensure adequate coverage of the target population by including all of the largest contributors to key data elements.</w:t>
      </w:r>
      <w:r w:rsidR="009D3901">
        <w:t xml:space="preserve"> </w:t>
      </w:r>
      <w:r w:rsidRPr="00994072">
        <w:t>The fourth step ensure</w:t>
      </w:r>
      <w:r w:rsidR="004B0591">
        <w:t>s</w:t>
      </w:r>
      <w:r w:rsidRPr="00994072">
        <w:t xml:space="preserve"> that the published estimates meet reasonable reliability standards</w:t>
      </w:r>
      <w:r w:rsidR="00437038">
        <w:t>.</w:t>
      </w:r>
      <w:r w:rsidR="008E6501">
        <w:t xml:space="preserve"> </w:t>
      </w:r>
      <w:r w:rsidR="00437038">
        <w:t>T</w:t>
      </w:r>
      <w:r w:rsidR="00B06ECF">
        <w:t>he fifth step in the sample design</w:t>
      </w:r>
      <w:r w:rsidR="00437038">
        <w:t xml:space="preserve"> adds facilities </w:t>
      </w:r>
      <w:r w:rsidR="00B06ECF">
        <w:t xml:space="preserve">based on the following special-case criteria. </w:t>
      </w:r>
      <w:r w:rsidRPr="00994072">
        <w:t>Facilities in the target population that meet any one of the sample selection criteria applied at any of the five steps are included in the final sample.</w:t>
      </w:r>
      <w:r w:rsidR="009D3901">
        <w:t xml:space="preserve"> </w:t>
      </w:r>
      <w:r w:rsidRPr="00994072">
        <w:t>Each sample</w:t>
      </w:r>
      <w:r w:rsidR="00BD2B28">
        <w:t>d</w:t>
      </w:r>
      <w:r w:rsidRPr="00994072">
        <w:t xml:space="preserve"> facility reports data each month for all combinations of prime mover and fuel source</w:t>
      </w:r>
      <w:r w:rsidR="0042381C">
        <w:t>, regardless of which of the above five steps qualified it to be included in the sample</w:t>
      </w:r>
      <w:r w:rsidRPr="00994072">
        <w:t>.</w:t>
      </w:r>
      <w:r w:rsidR="009D3901">
        <w:t xml:space="preserve"> </w:t>
      </w:r>
    </w:p>
    <w:p w14:paraId="21321D37" w14:textId="550C0EC4" w:rsidR="0042381C" w:rsidRDefault="00DB0C38" w:rsidP="00DB0C38">
      <w:pPr>
        <w:spacing w:before="240"/>
      </w:pPr>
      <w:r w:rsidRPr="00994072">
        <w:t xml:space="preserve">All nuclear and pumped storage facilities </w:t>
      </w:r>
      <w:r w:rsidR="0042381C">
        <w:t xml:space="preserve">report monthly, and hence </w:t>
      </w:r>
      <w:r w:rsidRPr="00994072">
        <w:t xml:space="preserve">are included </w:t>
      </w:r>
      <w:r w:rsidR="0042381C">
        <w:t>among</w:t>
      </w:r>
      <w:r w:rsidRPr="00994072">
        <w:t xml:space="preserve"> the monthly sample</w:t>
      </w:r>
      <w:r w:rsidR="0042381C">
        <w:t xml:space="preserve"> plants</w:t>
      </w:r>
      <w:r w:rsidRPr="00994072">
        <w:t>.</w:t>
      </w:r>
      <w:r w:rsidR="009D3901">
        <w:t xml:space="preserve"> </w:t>
      </w:r>
    </w:p>
    <w:p w14:paraId="4D89C470" w14:textId="0C6254D1" w:rsidR="00DB0C38" w:rsidRPr="00994072" w:rsidRDefault="00DB0C38" w:rsidP="00DB0C38">
      <w:pPr>
        <w:spacing w:before="240"/>
      </w:pPr>
      <w:r w:rsidRPr="00994072">
        <w:t xml:space="preserve">The remainder of this section provides further detail on the </w:t>
      </w:r>
      <w:r w:rsidR="0042381C">
        <w:t xml:space="preserve">five </w:t>
      </w:r>
      <w:r w:rsidRPr="00994072">
        <w:t>sampling steps</w:t>
      </w:r>
      <w:r w:rsidR="0042381C">
        <w:t xml:space="preserve"> listed above</w:t>
      </w:r>
      <w:r w:rsidRPr="00994072">
        <w:t>.</w:t>
      </w:r>
    </w:p>
    <w:p w14:paraId="3941D208" w14:textId="6F213170" w:rsidR="00DB0C38" w:rsidRPr="00994072" w:rsidRDefault="00DB0C38" w:rsidP="00DB0C38">
      <w:pPr>
        <w:spacing w:before="240"/>
        <w:rPr>
          <w:b/>
        </w:rPr>
      </w:pPr>
      <w:r w:rsidRPr="005600B7">
        <w:rPr>
          <w:b/>
          <w:i/>
        </w:rPr>
        <w:t xml:space="preserve">Step 1: Select </w:t>
      </w:r>
      <w:r w:rsidR="00187AAF">
        <w:rPr>
          <w:b/>
          <w:i/>
        </w:rPr>
        <w:t xml:space="preserve">Preliminary </w:t>
      </w:r>
      <w:r w:rsidRPr="005600B7">
        <w:rPr>
          <w:b/>
          <w:i/>
        </w:rPr>
        <w:t>Cutoff Sample</w:t>
      </w:r>
      <w:r w:rsidR="0042381C">
        <w:rPr>
          <w:b/>
          <w:i/>
        </w:rPr>
        <w:t xml:space="preserve"> </w:t>
      </w:r>
      <w:r w:rsidR="00187AAF">
        <w:rPr>
          <w:b/>
          <w:i/>
        </w:rPr>
        <w:t>Unit</w:t>
      </w:r>
      <w:r w:rsidRPr="005600B7">
        <w:rPr>
          <w:b/>
          <w:i/>
        </w:rPr>
        <w:t>s Based on Nameplate Capacity</w:t>
      </w:r>
      <w:r w:rsidR="00187AAF">
        <w:rPr>
          <w:b/>
          <w:i/>
        </w:rPr>
        <w:t xml:space="preserve"> Coverage</w:t>
      </w:r>
      <w:r w:rsidRPr="00994072">
        <w:rPr>
          <w:b/>
        </w:rPr>
        <w:t>.</w:t>
      </w:r>
    </w:p>
    <w:p w14:paraId="2D23527A" w14:textId="3BFAD68F" w:rsidR="00DB0C38" w:rsidRPr="00994072" w:rsidRDefault="00DB0C38" w:rsidP="00DB0C38">
      <w:r w:rsidRPr="00994072">
        <w:t xml:space="preserve">Pre-determined capacity coverage percentages are tested to ensure a certain proportion of operational Form EIA-860 capacity is covered within each </w:t>
      </w:r>
      <w:r w:rsidR="00187AAF">
        <w:t xml:space="preserve">sampling </w:t>
      </w:r>
      <w:r w:rsidRPr="00994072">
        <w:t>stratum.</w:t>
      </w:r>
      <w:r w:rsidR="009D3901">
        <w:t xml:space="preserve"> </w:t>
      </w:r>
      <w:r w:rsidRPr="00994072">
        <w:t>Stand-by generators are not included in the operational capacity totals when data are aggregated to the level of prime mover, and only the largest consumed fuel source for each generator is used in identifying the stratum.</w:t>
      </w:r>
    </w:p>
    <w:p w14:paraId="3F1FD66E" w14:textId="4A9F5689" w:rsidR="00DB0C38" w:rsidRPr="00994072" w:rsidRDefault="00DB0C38" w:rsidP="00DB0C38">
      <w:pPr>
        <w:spacing w:before="240"/>
      </w:pPr>
      <w:r w:rsidRPr="00994072">
        <w:t xml:space="preserve">Different target coverage percentages are selected for each facility classification using plants with nameplate capacity over 25 </w:t>
      </w:r>
      <w:r>
        <w:t>MW</w:t>
      </w:r>
      <w:r w:rsidRPr="00994072">
        <w:t xml:space="preserve"> and are applied to all regions and energy sources within each facility classification.</w:t>
      </w:r>
      <w:r w:rsidR="009D3901">
        <w:t xml:space="preserve"> </w:t>
      </w:r>
      <w:r w:rsidRPr="00994072">
        <w:t xml:space="preserve">Otherwise, the capacity </w:t>
      </w:r>
      <w:r w:rsidR="00187AAF">
        <w:t xml:space="preserve">coverage percentages to be </w:t>
      </w:r>
      <w:r w:rsidRPr="00994072">
        <w:t>included in the sample are, as follows:</w:t>
      </w:r>
    </w:p>
    <w:p w14:paraId="43721812" w14:textId="77777777" w:rsidR="00DB0C38" w:rsidRPr="00994072" w:rsidRDefault="00DB0C38" w:rsidP="007D4306">
      <w:pPr>
        <w:spacing w:before="240"/>
        <w:ind w:left="1080" w:hanging="360"/>
      </w:pPr>
      <w:r w:rsidRPr="00994072">
        <w:t>1.</w:t>
      </w:r>
      <w:r w:rsidRPr="00994072">
        <w:tab/>
        <w:t>Electric utilities – 70 percent</w:t>
      </w:r>
    </w:p>
    <w:p w14:paraId="0B1249C7" w14:textId="77777777" w:rsidR="00DB0C38" w:rsidRPr="00994072" w:rsidRDefault="00DB0C38" w:rsidP="007D4306">
      <w:pPr>
        <w:spacing w:before="240"/>
        <w:ind w:left="1080" w:hanging="360"/>
      </w:pPr>
      <w:r w:rsidRPr="00994072">
        <w:t>2.</w:t>
      </w:r>
      <w:r w:rsidRPr="00994072">
        <w:tab/>
        <w:t>Independent power producers – 70 percent</w:t>
      </w:r>
    </w:p>
    <w:p w14:paraId="57A50599" w14:textId="77777777" w:rsidR="00DB0C38" w:rsidRPr="00994072" w:rsidRDefault="00DB0C38" w:rsidP="007D4306">
      <w:pPr>
        <w:spacing w:before="240"/>
        <w:ind w:left="1080" w:hanging="360"/>
      </w:pPr>
      <w:r w:rsidRPr="00994072">
        <w:t>3.</w:t>
      </w:r>
      <w:r w:rsidRPr="00994072">
        <w:tab/>
        <w:t>Commercial facilities – 50 percent</w:t>
      </w:r>
    </w:p>
    <w:p w14:paraId="70D4A229" w14:textId="77777777" w:rsidR="00DB0C38" w:rsidRPr="00994072" w:rsidRDefault="00DB0C38" w:rsidP="007D4306">
      <w:pPr>
        <w:spacing w:before="240"/>
        <w:ind w:left="1080" w:hanging="360"/>
      </w:pPr>
      <w:r w:rsidRPr="00994072">
        <w:t>4.</w:t>
      </w:r>
      <w:r w:rsidRPr="00994072">
        <w:tab/>
        <w:t>Industrial facilities – 50 percent</w:t>
      </w:r>
    </w:p>
    <w:p w14:paraId="285DE818" w14:textId="77777777" w:rsidR="00DB0C38" w:rsidRPr="00994072" w:rsidRDefault="00DB0C38" w:rsidP="00DB0C38">
      <w:pPr>
        <w:spacing w:before="240"/>
        <w:rPr>
          <w:b/>
        </w:rPr>
      </w:pPr>
      <w:r w:rsidRPr="005600B7">
        <w:rPr>
          <w:b/>
          <w:i/>
        </w:rPr>
        <w:t>Step 2: Add Units Based on Generation, Consumption, and Stocks</w:t>
      </w:r>
      <w:r w:rsidRPr="00994072">
        <w:rPr>
          <w:b/>
        </w:rPr>
        <w:t>.</w:t>
      </w:r>
    </w:p>
    <w:p w14:paraId="359DBB75" w14:textId="77777777" w:rsidR="00DB0C38" w:rsidRPr="00994072" w:rsidRDefault="00DB0C38" w:rsidP="00DB0C38">
      <w:r w:rsidRPr="00994072">
        <w:t>Facilities accounting for large percentages of actual past reported gross generation, fuel consumption, or fuel stocks, are added to the sample, even if their nameplate capacities fall below the percentage cutoff for capacity coverage.</w:t>
      </w:r>
    </w:p>
    <w:p w14:paraId="7F2D5011" w14:textId="6822056E" w:rsidR="00DB0C38" w:rsidRPr="005600B7" w:rsidRDefault="00DB0C38" w:rsidP="00DB0C38">
      <w:pPr>
        <w:spacing w:before="240"/>
        <w:rPr>
          <w:b/>
          <w:i/>
        </w:rPr>
      </w:pPr>
      <w:r w:rsidRPr="005600B7">
        <w:rPr>
          <w:b/>
          <w:i/>
        </w:rPr>
        <w:t xml:space="preserve">Step 3: Add Units to Ensure Adequate Sample </w:t>
      </w:r>
      <w:r w:rsidR="007F6EDE">
        <w:rPr>
          <w:b/>
          <w:i/>
        </w:rPr>
        <w:t xml:space="preserve">Counts </w:t>
      </w:r>
      <w:r w:rsidRPr="005600B7">
        <w:rPr>
          <w:b/>
          <w:i/>
        </w:rPr>
        <w:t>in Estimation Groups.</w:t>
      </w:r>
    </w:p>
    <w:p w14:paraId="086590D8" w14:textId="72FD22EC" w:rsidR="00DB0C38" w:rsidRPr="00994072" w:rsidRDefault="00DB0C38" w:rsidP="00DB0C38">
      <w:r w:rsidRPr="00994072">
        <w:t xml:space="preserve">Instead of fitting models separately for each sampling stratum, the cases are collapsed to form </w:t>
      </w:r>
      <w:r w:rsidRPr="00932E7D">
        <w:rPr>
          <w:i/>
        </w:rPr>
        <w:t>estimation groups</w:t>
      </w:r>
      <w:r w:rsidRPr="00994072">
        <w:t xml:space="preserve"> that have data as homogenous as possible while also having the largest number of observations.</w:t>
      </w:r>
      <w:r w:rsidR="009D3901">
        <w:t xml:space="preserve"> </w:t>
      </w:r>
      <w:r w:rsidRPr="00932E7D">
        <w:rPr>
          <w:i/>
        </w:rPr>
        <w:t>Th</w:t>
      </w:r>
      <w:r w:rsidR="00A90347" w:rsidRPr="00932E7D">
        <w:rPr>
          <w:i/>
        </w:rPr>
        <w:t>e</w:t>
      </w:r>
      <w:r w:rsidR="00A90347">
        <w:t xml:space="preserve"> </w:t>
      </w:r>
      <w:r w:rsidR="00A90347">
        <w:rPr>
          <w:i/>
        </w:rPr>
        <w:t xml:space="preserve">estimation </w:t>
      </w:r>
      <w:r w:rsidR="00A90347" w:rsidRPr="00932E7D">
        <w:t>groups</w:t>
      </w:r>
      <w:r w:rsidRPr="00994072">
        <w:t xml:space="preserve"> provide better fitting models than if the models were fit separately </w:t>
      </w:r>
      <w:r w:rsidR="00A90347">
        <w:t>to</w:t>
      </w:r>
      <w:r w:rsidRPr="00994072">
        <w:t xml:space="preserve"> each sampling stratum.</w:t>
      </w:r>
      <w:r w:rsidR="009D3901">
        <w:t xml:space="preserve"> </w:t>
      </w:r>
      <w:r w:rsidRPr="00994072">
        <w:t>These groups are re-formed over time as changes in the data occur.</w:t>
      </w:r>
      <w:r w:rsidR="009D3901">
        <w:t xml:space="preserve"> </w:t>
      </w:r>
      <w:r w:rsidRPr="00994072">
        <w:t xml:space="preserve">Units below the threshold value </w:t>
      </w:r>
      <w:r w:rsidR="00A90347">
        <w:t>ar</w:t>
      </w:r>
      <w:r w:rsidRPr="00994072">
        <w:t xml:space="preserve">e added to any estimation group with fewer than 10 usable observations, until the usable count </w:t>
      </w:r>
      <w:r w:rsidR="00A90347">
        <w:t>i</w:t>
      </w:r>
      <w:r w:rsidRPr="00994072">
        <w:t>s brought up to 10.</w:t>
      </w:r>
    </w:p>
    <w:p w14:paraId="3B725AE7" w14:textId="1FAA1AF3" w:rsidR="00DB0C38" w:rsidRPr="005600B7" w:rsidRDefault="00DB0C38" w:rsidP="00DB0C38">
      <w:pPr>
        <w:spacing w:before="240"/>
        <w:rPr>
          <w:b/>
          <w:i/>
        </w:rPr>
      </w:pPr>
      <w:r w:rsidRPr="005600B7">
        <w:rPr>
          <w:b/>
          <w:i/>
        </w:rPr>
        <w:t>Step 4:</w:t>
      </w:r>
      <w:r w:rsidR="009D3901">
        <w:rPr>
          <w:b/>
          <w:i/>
        </w:rPr>
        <w:t xml:space="preserve"> </w:t>
      </w:r>
      <w:r w:rsidRPr="005600B7">
        <w:rPr>
          <w:b/>
          <w:i/>
        </w:rPr>
        <w:t>Add Sample to Meet Reliability Standards.</w:t>
      </w:r>
    </w:p>
    <w:p w14:paraId="2D161EBE" w14:textId="44A124AB" w:rsidR="00DB0C38" w:rsidRPr="00994072" w:rsidRDefault="00DB0C38" w:rsidP="00DB0C38">
      <w:pPr>
        <w:spacing w:before="240"/>
      </w:pPr>
      <w:r w:rsidRPr="00994072">
        <w:t xml:space="preserve">Weighted linear regression equations, identical to those currently employed in the Form EIA-923 imputation system, are run, and RSE </w:t>
      </w:r>
      <w:r w:rsidR="007F6EDE">
        <w:t>(</w:t>
      </w:r>
      <w:r w:rsidRPr="00994072">
        <w:t>or Coefficient of Variation) estimates are calculated for each publication group by month.</w:t>
      </w:r>
      <w:r w:rsidR="009D3901">
        <w:t xml:space="preserve"> </w:t>
      </w:r>
      <w:r w:rsidRPr="00994072">
        <w:t xml:space="preserve">An additional diagnostic measure, the </w:t>
      </w:r>
      <w:r w:rsidR="007F6EDE">
        <w:t>RSE</w:t>
      </w:r>
      <w:r w:rsidRPr="00994072">
        <w:t xml:space="preserve"> for a </w:t>
      </w:r>
      <w:r w:rsidR="007F6EDE">
        <w:t>S</w:t>
      </w:r>
      <w:r w:rsidRPr="00994072">
        <w:t xml:space="preserve">uper </w:t>
      </w:r>
      <w:r w:rsidR="007F6EDE">
        <w:t>P</w:t>
      </w:r>
      <w:r w:rsidRPr="00994072">
        <w:t>opulation (RSESP), is calculated to indicate the adequacy of the regression model fit.</w:t>
      </w:r>
      <w:r w:rsidR="009D3901">
        <w:t xml:space="preserve"> </w:t>
      </w:r>
      <w:r w:rsidR="007F6EDE">
        <w:t>RSE thresholds</w:t>
      </w:r>
      <w:r w:rsidR="007F6EDE" w:rsidRPr="00994072">
        <w:t xml:space="preserve"> </w:t>
      </w:r>
      <w:r w:rsidRPr="00994072">
        <w:t>for both measures</w:t>
      </w:r>
      <w:r w:rsidR="007F6EDE">
        <w:t xml:space="preserve">, </w:t>
      </w:r>
      <w:r w:rsidRPr="00994072">
        <w:t>RSE and RSESP</w:t>
      </w:r>
      <w:r w:rsidR="007F6EDE">
        <w:t>,</w:t>
      </w:r>
      <w:r w:rsidRPr="00994072">
        <w:t xml:space="preserve"> are set individually for </w:t>
      </w:r>
      <w:r w:rsidR="007F6EDE">
        <w:t xml:space="preserve">the estimated totals in </w:t>
      </w:r>
      <w:r w:rsidRPr="00994072">
        <w:t xml:space="preserve">each </w:t>
      </w:r>
      <w:r w:rsidR="007F6EDE">
        <w:t xml:space="preserve">stratum of </w:t>
      </w:r>
      <w:r w:rsidRPr="00994072">
        <w:t xml:space="preserve">facility </w:t>
      </w:r>
      <w:r w:rsidR="007F6EDE">
        <w:t xml:space="preserve">sector, </w:t>
      </w:r>
      <w:r w:rsidRPr="00994072">
        <w:t>energy source</w:t>
      </w:r>
      <w:r w:rsidR="007F6EDE">
        <w:t>, and geographic region</w:t>
      </w:r>
      <w:r w:rsidRPr="00994072">
        <w:t>.</w:t>
      </w:r>
    </w:p>
    <w:p w14:paraId="44A63C29" w14:textId="68270AD3" w:rsidR="00DB0C38" w:rsidRPr="00994072" w:rsidRDefault="00DB0C38" w:rsidP="00DB0C38">
      <w:pPr>
        <w:spacing w:before="240"/>
      </w:pPr>
      <w:r w:rsidRPr="00994072">
        <w:t>If one or both of the error measures fall outside of the limits, the next largest facilities, ranked by gross generation, are included until the estimated RSE/RSESP values are brought into the desired range.</w:t>
      </w:r>
      <w:r w:rsidR="009D3901">
        <w:t xml:space="preserve"> </w:t>
      </w:r>
      <w:r w:rsidRPr="00994072">
        <w:t>If only the RSESP estimate (and not the RSE estimate) is out of range, then it is difficult to lower the estimate of RSESP based on sampling, alone.</w:t>
      </w:r>
      <w:r w:rsidR="009D3901">
        <w:t xml:space="preserve"> </w:t>
      </w:r>
      <w:r w:rsidRPr="00994072">
        <w:t>In these cases, a change in modeling may be necessary.</w:t>
      </w:r>
      <w:r w:rsidR="009D3901">
        <w:t xml:space="preserve"> </w:t>
      </w:r>
      <w:r w:rsidRPr="00994072">
        <w:t>The RSE/RSESP data quality limits are outlined, as follows:</w:t>
      </w:r>
    </w:p>
    <w:p w14:paraId="385EC244" w14:textId="77777777" w:rsidR="00DB0C38" w:rsidRPr="00994072" w:rsidRDefault="00DB0C38" w:rsidP="00DB0C38">
      <w:pPr>
        <w:numPr>
          <w:ilvl w:val="0"/>
          <w:numId w:val="12"/>
        </w:numPr>
        <w:tabs>
          <w:tab w:val="left" w:pos="360"/>
        </w:tabs>
        <w:spacing w:before="240" w:after="0" w:line="240" w:lineRule="auto"/>
        <w:jc w:val="both"/>
      </w:pPr>
      <w:r w:rsidRPr="00994072">
        <w:t>Electric utilities – RSE less than 5 percent and RSESP less than 20 percent</w:t>
      </w:r>
    </w:p>
    <w:p w14:paraId="264F8E96" w14:textId="77777777" w:rsidR="00DB0C38" w:rsidRPr="00994072" w:rsidRDefault="00DB0C38" w:rsidP="00DB0C38">
      <w:pPr>
        <w:numPr>
          <w:ilvl w:val="0"/>
          <w:numId w:val="12"/>
        </w:numPr>
        <w:tabs>
          <w:tab w:val="left" w:pos="360"/>
        </w:tabs>
        <w:spacing w:before="240" w:after="0" w:line="240" w:lineRule="auto"/>
        <w:jc w:val="both"/>
      </w:pPr>
      <w:r w:rsidRPr="00994072">
        <w:t>Independent power producers – RSE less than 5 percent and RSESP less than 20 percent</w:t>
      </w:r>
    </w:p>
    <w:p w14:paraId="551DC8D6" w14:textId="77777777" w:rsidR="00DB0C38" w:rsidRPr="00994072" w:rsidRDefault="00DB0C38" w:rsidP="00DB0C38">
      <w:pPr>
        <w:numPr>
          <w:ilvl w:val="0"/>
          <w:numId w:val="12"/>
        </w:numPr>
        <w:tabs>
          <w:tab w:val="left" w:pos="360"/>
        </w:tabs>
        <w:spacing w:before="240" w:after="0" w:line="240" w:lineRule="auto"/>
        <w:jc w:val="both"/>
      </w:pPr>
      <w:r w:rsidRPr="00994072">
        <w:t>Commercial facilities – RSE less than 10 percent and RSESP less than 30 percent</w:t>
      </w:r>
    </w:p>
    <w:p w14:paraId="72AEAA5B" w14:textId="77777777" w:rsidR="00DB0C38" w:rsidRPr="00994072" w:rsidRDefault="00DB0C38" w:rsidP="00DB0C38">
      <w:pPr>
        <w:numPr>
          <w:ilvl w:val="0"/>
          <w:numId w:val="12"/>
        </w:numPr>
        <w:tabs>
          <w:tab w:val="left" w:pos="360"/>
        </w:tabs>
        <w:spacing w:before="240" w:after="0" w:line="240" w:lineRule="auto"/>
        <w:jc w:val="both"/>
      </w:pPr>
      <w:r w:rsidRPr="00994072">
        <w:t>Industrial facilities – RSE less than 10 percent and RSESP less than 30 percent</w:t>
      </w:r>
    </w:p>
    <w:p w14:paraId="31CA657D" w14:textId="77777777" w:rsidR="00DB0C38" w:rsidRPr="005600B7" w:rsidRDefault="00DB0C38" w:rsidP="00DB0C38">
      <w:pPr>
        <w:spacing w:before="240"/>
        <w:rPr>
          <w:b/>
          <w:i/>
        </w:rPr>
      </w:pPr>
      <w:r w:rsidRPr="005600B7">
        <w:rPr>
          <w:b/>
          <w:i/>
        </w:rPr>
        <w:t>Step 5: Add Special Cases.</w:t>
      </w:r>
    </w:p>
    <w:p w14:paraId="3CA42CC6" w14:textId="3CD71C84" w:rsidR="00DB0C38" w:rsidRDefault="00DB0C38" w:rsidP="00DB0C38">
      <w:r w:rsidRPr="00994072">
        <w:t>Lastly, additional facilities are added to the sample, as necessary.</w:t>
      </w:r>
      <w:r w:rsidR="009D3901">
        <w:t xml:space="preserve"> </w:t>
      </w:r>
      <w:r w:rsidRPr="00994072">
        <w:t>These include storage-only facilities (used in estimating stocks); new facilities for which the EIA has no prior-year’s annual data for use in regression imputation; and any new large facilities that the survey staff identifies for inclusion in the sample.</w:t>
      </w:r>
    </w:p>
    <w:p w14:paraId="798F5D9C" w14:textId="7DC9DC2E" w:rsidR="004C7E3D" w:rsidRPr="00F83C28" w:rsidRDefault="004C7E3D" w:rsidP="004C7E3D">
      <w:pPr>
        <w:spacing w:before="100" w:beforeAutospacing="1" w:after="100" w:afterAutospacing="1" w:line="240" w:lineRule="auto"/>
        <w:textAlignment w:val="baseline"/>
        <w:rPr>
          <w:rFonts w:ascii="Calibri" w:eastAsia="Times New Roman" w:hAnsi="Calibri" w:cs="Times New Roman"/>
          <w:b/>
          <w:bCs/>
          <w:i/>
          <w:iCs/>
        </w:rPr>
      </w:pPr>
      <w:r w:rsidRPr="003D089B">
        <w:rPr>
          <w:rFonts w:ascii="Calibri" w:eastAsia="Times New Roman" w:hAnsi="Calibri" w:cs="Times New Roman"/>
        </w:rPr>
        <w:t> </w:t>
      </w:r>
      <w:r>
        <w:rPr>
          <w:rFonts w:ascii="Calibri" w:eastAsia="Times New Roman" w:hAnsi="Calibri" w:cs="Times New Roman"/>
          <w:b/>
          <w:bCs/>
          <w:i/>
          <w:iCs/>
        </w:rPr>
        <w:t>Sample Validation and Sampling</w:t>
      </w:r>
      <w:r w:rsidRPr="00F83C28">
        <w:rPr>
          <w:rFonts w:ascii="Calibri" w:eastAsia="Times New Roman" w:hAnsi="Calibri" w:cs="Times New Roman"/>
          <w:b/>
          <w:bCs/>
          <w:i/>
          <w:iCs/>
        </w:rPr>
        <w:t xml:space="preserve"> Results</w:t>
      </w:r>
    </w:p>
    <w:p w14:paraId="0EE20CBE" w14:textId="77777777" w:rsidR="004C7E3D" w:rsidRDefault="004C7E3D" w:rsidP="004C7E3D">
      <w:pPr>
        <w:pStyle w:val="NoSpacing"/>
        <w:jc w:val="left"/>
      </w:pPr>
      <w:r w:rsidRPr="00347BCF">
        <w:t>The present proposal of implementing this new sample methodology in order to decrease the population of power plants reporting monthly</w:t>
      </w:r>
      <w:r w:rsidRPr="008368FD">
        <w:t xml:space="preserve"> is a result of EIA’s extensive research into how a lower monthly sample size will affect the ability to imput</w:t>
      </w:r>
      <w:r>
        <w:t>e</w:t>
      </w:r>
      <w:r w:rsidRPr="008368FD">
        <w:t>/predict values for power plants reporting on an annual basis. EIA tested and confirmed the validity of the described sampling and estimation strategy by using less recent but relevant regressor data. These simulations</w:t>
      </w:r>
      <w:r>
        <w:t>,</w:t>
      </w:r>
      <w:r w:rsidRPr="008368FD">
        <w:t xml:space="preserve"> however</w:t>
      </w:r>
      <w:r>
        <w:t>,</w:t>
      </w:r>
      <w:r w:rsidRPr="008368FD">
        <w:t xml:space="preserve"> presuppose that the total census frame is maintained every year on Form EIA-923 to prevent over/under respondent imputation.</w:t>
      </w:r>
    </w:p>
    <w:p w14:paraId="110F9F21" w14:textId="77777777" w:rsidR="004C7E3D" w:rsidRDefault="004C7E3D" w:rsidP="004C7E3D">
      <w:pPr>
        <w:pStyle w:val="NoSpacing"/>
      </w:pPr>
    </w:p>
    <w:p w14:paraId="0B949796" w14:textId="77777777" w:rsidR="004C7E3D" w:rsidRDefault="00DB0C38" w:rsidP="00932E7D">
      <w:pPr>
        <w:pStyle w:val="NoSpacing"/>
        <w:spacing w:before="240"/>
        <w:jc w:val="left"/>
      </w:pPr>
      <w:r w:rsidRPr="008368FD">
        <w:t xml:space="preserve">As already described above, the electric power plants currently reporting on a monthly basis </w:t>
      </w:r>
      <w:r>
        <w:t>on</w:t>
      </w:r>
      <w:r w:rsidRPr="008368FD">
        <w:t xml:space="preserve"> Form EIA-923M account for 94 percent of total electricity generation</w:t>
      </w:r>
      <w:r>
        <w:t>.</w:t>
      </w:r>
      <w:r w:rsidR="009D3901">
        <w:t xml:space="preserve"> </w:t>
      </w:r>
      <w:r>
        <w:t>I</w:t>
      </w:r>
      <w:r w:rsidRPr="008368FD">
        <w:t xml:space="preserve">t was determined that the current model-based estimation methodologies employed for the remaining population of power plants that submit data annually </w:t>
      </w:r>
      <w:r>
        <w:t>on</w:t>
      </w:r>
      <w:r w:rsidR="0070372B">
        <w:t xml:space="preserve"> </w:t>
      </w:r>
      <w:r w:rsidRPr="008368FD">
        <w:t>Form EIA-923 provide sufficiently accurate imputed/predicted values</w:t>
      </w:r>
      <w:r w:rsidRPr="00347BCF">
        <w:t>.</w:t>
      </w:r>
      <w:r w:rsidR="004A10D0" w:rsidRPr="004A10D0">
        <w:t xml:space="preserve"> </w:t>
      </w:r>
    </w:p>
    <w:p w14:paraId="015682E6" w14:textId="702D4654" w:rsidR="00DB0C38" w:rsidRPr="008368FD" w:rsidRDefault="004A10D0" w:rsidP="00932E7D">
      <w:pPr>
        <w:pStyle w:val="NoSpacing"/>
        <w:spacing w:before="240"/>
        <w:jc w:val="left"/>
      </w:pPr>
      <w:r w:rsidRPr="008368FD">
        <w:t xml:space="preserve">As already described above, the electric power plants currently reporting on a monthly basis </w:t>
      </w:r>
      <w:r>
        <w:t>on</w:t>
      </w:r>
      <w:r w:rsidRPr="008368FD">
        <w:t xml:space="preserve"> Form EIA</w:t>
      </w:r>
      <w:r w:rsidR="007F6EDE">
        <w:noBreakHyphen/>
      </w:r>
      <w:r w:rsidRPr="008368FD">
        <w:t xml:space="preserve">923M account for </w:t>
      </w:r>
      <w:r>
        <w:t>approximately 87</w:t>
      </w:r>
      <w:r w:rsidRPr="008368FD">
        <w:t xml:space="preserve"> percent of total electricity generation</w:t>
      </w:r>
      <w:r>
        <w:t>. I</w:t>
      </w:r>
      <w:r w:rsidRPr="008368FD">
        <w:t xml:space="preserve">t </w:t>
      </w:r>
      <w:r>
        <w:t>has been</w:t>
      </w:r>
      <w:r w:rsidRPr="008368FD">
        <w:t xml:space="preserve"> determined that the current model-based estimation methodologies employed for the remaining population of power plants that submit data annually </w:t>
      </w:r>
      <w:r>
        <w:t xml:space="preserve">on </w:t>
      </w:r>
      <w:r w:rsidRPr="008368FD">
        <w:t>Form EIA-923 provide sufficiently accurate imputed/predicted values</w:t>
      </w:r>
      <w:r>
        <w:t>.</w:t>
      </w:r>
      <w:r w:rsidR="00DB0C38" w:rsidRPr="00347BCF">
        <w:t xml:space="preserve"> </w:t>
      </w:r>
    </w:p>
    <w:p w14:paraId="55176B07" w14:textId="77777777" w:rsidR="00DB0C38" w:rsidRPr="008368FD" w:rsidRDefault="00DB0C38" w:rsidP="00DB0C38">
      <w:pPr>
        <w:pStyle w:val="NoSpacing"/>
      </w:pPr>
    </w:p>
    <w:p w14:paraId="302E461A" w14:textId="77777777" w:rsidR="00DB0C38" w:rsidRPr="005600B7" w:rsidRDefault="00DB0C38" w:rsidP="00DB0C38">
      <w:pPr>
        <w:spacing w:before="240"/>
        <w:rPr>
          <w:b/>
          <w:u w:val="single"/>
        </w:rPr>
      </w:pPr>
      <w:r w:rsidRPr="005600B7">
        <w:rPr>
          <w:b/>
          <w:u w:val="single"/>
        </w:rPr>
        <w:t>Form EIA-930</w:t>
      </w:r>
    </w:p>
    <w:p w14:paraId="7A442E2E" w14:textId="7D5484B0" w:rsidR="00DB0C38" w:rsidRDefault="00DB0C38" w:rsidP="00DB0C38">
      <w:r>
        <w:t xml:space="preserve">The purpose of the </w:t>
      </w:r>
      <w:r w:rsidR="0070372B">
        <w:t xml:space="preserve">Form </w:t>
      </w:r>
      <w:r>
        <w:t>EIA-930 imputation procedure is to account for missing data or anomalous data reported by respondents that would prevent the calculation of complete or reasonably approximate regional and national totals.</w:t>
      </w:r>
      <w:r w:rsidR="009D3901">
        <w:t xml:space="preserve"> </w:t>
      </w:r>
      <w:r>
        <w:t>The imputed values are only used in the calculation of regional and national aggregate values</w:t>
      </w:r>
      <w:r w:rsidR="00B808FD">
        <w:t xml:space="preserve"> whereas</w:t>
      </w:r>
      <w:r>
        <w:t xml:space="preserve"> the values for each</w:t>
      </w:r>
      <w:r w:rsidR="005E4E8E">
        <w:t xml:space="preserve"> respondent Balancing Authority</w:t>
      </w:r>
      <w:r>
        <w:t xml:space="preserve"> (BA) are published as reported.</w:t>
      </w:r>
    </w:p>
    <w:p w14:paraId="24AC99A4" w14:textId="102942A4" w:rsidR="00DB0C38" w:rsidRDefault="00DB0C38" w:rsidP="00DB0C38">
      <w:r>
        <w:t>The data processing system currently performs imputations for demand and net generation values only.</w:t>
      </w:r>
      <w:r w:rsidR="009D3901">
        <w:t xml:space="preserve"> </w:t>
      </w:r>
      <w:r>
        <w:t>Imputed values are flagged in the database as either missing or anomalous.</w:t>
      </w:r>
      <w:r w:rsidR="009D3901">
        <w:t xml:space="preserve"> </w:t>
      </w:r>
      <w:r>
        <w:t>Once corrected data are received, the corrected actual reported values are used to re-calculate regional and national totals, which are then updated.</w:t>
      </w:r>
    </w:p>
    <w:p w14:paraId="0C8EF708" w14:textId="3B6F8C05" w:rsidR="00DB0C38" w:rsidRDefault="00DB0C38" w:rsidP="00DB0C38">
      <w:r>
        <w:t xml:space="preserve">Demand values that </w:t>
      </w:r>
      <w:r w:rsidR="005C2F30">
        <w:t>are</w:t>
      </w:r>
      <w:r>
        <w:t xml:space="preserve"> imputed are identified as follows:</w:t>
      </w:r>
    </w:p>
    <w:p w14:paraId="63A7A833" w14:textId="77777777" w:rsidR="00DB0C38" w:rsidRDefault="00DB0C38" w:rsidP="007D4306">
      <w:pPr>
        <w:pStyle w:val="ListParagraph"/>
        <w:numPr>
          <w:ilvl w:val="0"/>
          <w:numId w:val="16"/>
        </w:numPr>
      </w:pPr>
      <w:r>
        <w:t>Blank/missing values</w:t>
      </w:r>
    </w:p>
    <w:p w14:paraId="31EC9282" w14:textId="77777777" w:rsidR="00DB0C38" w:rsidRDefault="00DB0C38" w:rsidP="007D4306">
      <w:pPr>
        <w:pStyle w:val="ListParagraph"/>
        <w:numPr>
          <w:ilvl w:val="0"/>
          <w:numId w:val="16"/>
        </w:numPr>
      </w:pPr>
      <w:r>
        <w:t>Zero values</w:t>
      </w:r>
    </w:p>
    <w:p w14:paraId="5BBD40DE" w14:textId="77777777" w:rsidR="00DB0C38" w:rsidRDefault="00DB0C38" w:rsidP="007D4306">
      <w:pPr>
        <w:pStyle w:val="ListParagraph"/>
        <w:numPr>
          <w:ilvl w:val="0"/>
          <w:numId w:val="16"/>
        </w:numPr>
      </w:pPr>
      <w:r>
        <w:t>Negative values</w:t>
      </w:r>
    </w:p>
    <w:p w14:paraId="066E74F8" w14:textId="77777777" w:rsidR="00DB0C38" w:rsidRDefault="00DB0C38" w:rsidP="007D4306">
      <w:pPr>
        <w:pStyle w:val="ListParagraph"/>
        <w:numPr>
          <w:ilvl w:val="0"/>
          <w:numId w:val="16"/>
        </w:numPr>
      </w:pPr>
      <w:r>
        <w:t>Values that are equal to or greater than 1.5 times a maximum value specified for each BA</w:t>
      </w:r>
    </w:p>
    <w:p w14:paraId="09061D39" w14:textId="0BB835CC" w:rsidR="00DB0C38" w:rsidRDefault="00DB0C38" w:rsidP="00DB0C38">
      <w:r>
        <w:t xml:space="preserve">Net generation values that </w:t>
      </w:r>
      <w:r w:rsidR="005C2F30">
        <w:t>are</w:t>
      </w:r>
      <w:r>
        <w:t xml:space="preserve"> imputed are identified as follows:</w:t>
      </w:r>
    </w:p>
    <w:p w14:paraId="4A9BB8DF" w14:textId="77777777" w:rsidR="00DB0C38" w:rsidRDefault="00DB0C38" w:rsidP="007D4306">
      <w:pPr>
        <w:pStyle w:val="ListParagraph"/>
        <w:numPr>
          <w:ilvl w:val="0"/>
          <w:numId w:val="16"/>
        </w:numPr>
      </w:pPr>
      <w:r>
        <w:t>Blank/missing values</w:t>
      </w:r>
    </w:p>
    <w:p w14:paraId="53102072" w14:textId="77777777" w:rsidR="00DB0C38" w:rsidRDefault="00DB0C38" w:rsidP="007D4306">
      <w:pPr>
        <w:pStyle w:val="ListParagraph"/>
        <w:numPr>
          <w:ilvl w:val="0"/>
          <w:numId w:val="16"/>
        </w:numPr>
      </w:pPr>
      <w:r>
        <w:t>Zero values, except for a small number of BAs for whom zero net generation is a valid value</w:t>
      </w:r>
    </w:p>
    <w:p w14:paraId="2CB9A2A9" w14:textId="77777777" w:rsidR="00DB0C38" w:rsidRDefault="00DB0C38" w:rsidP="007D4306">
      <w:pPr>
        <w:pStyle w:val="ListParagraph"/>
        <w:numPr>
          <w:ilvl w:val="0"/>
          <w:numId w:val="16"/>
        </w:numPr>
      </w:pPr>
      <w:r>
        <w:t>Negative values, except for a small number of “generation-only” BAs for whom a negative value between -11 and 0 is valid</w:t>
      </w:r>
    </w:p>
    <w:p w14:paraId="68A200CA" w14:textId="77777777" w:rsidR="00DB0C38" w:rsidRDefault="00DB0C38" w:rsidP="007D4306">
      <w:pPr>
        <w:pStyle w:val="ListParagraph"/>
        <w:numPr>
          <w:ilvl w:val="0"/>
          <w:numId w:val="16"/>
        </w:numPr>
      </w:pPr>
      <w:r>
        <w:t>Values that are equal to or greater than 1.5 times a maximum value specified for each BA</w:t>
      </w:r>
    </w:p>
    <w:p w14:paraId="227FF463" w14:textId="77777777" w:rsidR="00DB0C38" w:rsidRDefault="00DB0C38" w:rsidP="00DB0C38">
      <w:r>
        <w:t>The maximum values specified for each BA are based on their maximum reported historical demand and net generation values excluding likely anomalous values and, for demand, a comparison to FERC-714 monthly peak demand values if comparable.</w:t>
      </w:r>
    </w:p>
    <w:p w14:paraId="21CF4E56" w14:textId="77777777" w:rsidR="00DB0C38" w:rsidRDefault="00DB0C38" w:rsidP="00DB0C38">
      <w:r>
        <w:t>Imputation for demand values is performed as follows:</w:t>
      </w:r>
    </w:p>
    <w:p w14:paraId="28FD00F3" w14:textId="77777777" w:rsidR="00DB0C38" w:rsidRDefault="00DB0C38" w:rsidP="007D4306">
      <w:pPr>
        <w:pStyle w:val="ListParagraph"/>
        <w:numPr>
          <w:ilvl w:val="0"/>
          <w:numId w:val="14"/>
        </w:numPr>
      </w:pPr>
      <w:r>
        <w:t>Use the BA’s reported demand forecast value for the hour in question. (This step is skipped for a small number of BAs due to the non-comparability of their demand and demand forecast values.)</w:t>
      </w:r>
    </w:p>
    <w:p w14:paraId="0D1A3D9A" w14:textId="77777777" w:rsidR="00DB0C38" w:rsidRDefault="00DB0C38" w:rsidP="007D4306">
      <w:pPr>
        <w:pStyle w:val="ListParagraph"/>
        <w:numPr>
          <w:ilvl w:val="0"/>
          <w:numId w:val="14"/>
        </w:numPr>
      </w:pPr>
      <w:r>
        <w:t>If the previous step’s value is missing, use the previous hour’s demand value.</w:t>
      </w:r>
    </w:p>
    <w:p w14:paraId="42B9EFD2" w14:textId="77777777" w:rsidR="00DB0C38" w:rsidRDefault="00DB0C38" w:rsidP="007D4306">
      <w:pPr>
        <w:pStyle w:val="ListParagraph"/>
        <w:numPr>
          <w:ilvl w:val="0"/>
          <w:numId w:val="14"/>
        </w:numPr>
      </w:pPr>
      <w:r>
        <w:t>If the previous step’s value is missing or imputed, use the demand value for the same hour of the prior day.</w:t>
      </w:r>
    </w:p>
    <w:p w14:paraId="723231F0" w14:textId="77777777" w:rsidR="00DB0C38" w:rsidRDefault="00DB0C38" w:rsidP="007D4306">
      <w:pPr>
        <w:pStyle w:val="ListParagraph"/>
        <w:numPr>
          <w:ilvl w:val="0"/>
          <w:numId w:val="14"/>
        </w:numPr>
      </w:pPr>
      <w:r>
        <w:t>If the previous step’s value is missing or imputed, use the last available daily average demand for that BA.</w:t>
      </w:r>
    </w:p>
    <w:p w14:paraId="0644CC2B" w14:textId="77777777" w:rsidR="00DB0C38" w:rsidRDefault="00DB0C38" w:rsidP="00DB0C38">
      <w:r>
        <w:t>Imputation for net generation values is performed as follows:</w:t>
      </w:r>
    </w:p>
    <w:p w14:paraId="18592FCB" w14:textId="77777777" w:rsidR="00DB0C38" w:rsidRDefault="00DB0C38" w:rsidP="007D4306">
      <w:pPr>
        <w:pStyle w:val="ListParagraph"/>
        <w:numPr>
          <w:ilvl w:val="0"/>
          <w:numId w:val="15"/>
        </w:numPr>
      </w:pPr>
      <w:r>
        <w:t>Use the previous hour’s net generation value.</w:t>
      </w:r>
    </w:p>
    <w:p w14:paraId="308B2BA1" w14:textId="77777777" w:rsidR="00DB0C38" w:rsidRDefault="00DB0C38" w:rsidP="007D4306">
      <w:pPr>
        <w:pStyle w:val="ListParagraph"/>
        <w:numPr>
          <w:ilvl w:val="0"/>
          <w:numId w:val="15"/>
        </w:numPr>
      </w:pPr>
      <w:r>
        <w:t>If the previous step’s value is missing or imputed, use the net generation value for the same hour of the prior day.</w:t>
      </w:r>
    </w:p>
    <w:p w14:paraId="661591C2" w14:textId="77777777" w:rsidR="00DB0C38" w:rsidRDefault="00DB0C38" w:rsidP="007D4306">
      <w:pPr>
        <w:pStyle w:val="ListParagraph"/>
        <w:numPr>
          <w:ilvl w:val="0"/>
          <w:numId w:val="15"/>
        </w:numPr>
      </w:pPr>
      <w:r>
        <w:t>If the previous step’s value is missing or imputed, use the last available daily average net generation for that BA.</w:t>
      </w:r>
    </w:p>
    <w:p w14:paraId="6485AA3F" w14:textId="77777777" w:rsidR="00DC1B1F" w:rsidRDefault="00DC1B1F" w:rsidP="00A41763">
      <w:pPr>
        <w:rPr>
          <w:b/>
          <w:highlight w:val="yellow"/>
          <w:u w:val="single"/>
        </w:rPr>
      </w:pPr>
    </w:p>
    <w:p w14:paraId="76E12CDE" w14:textId="77777777" w:rsidR="007E53C4" w:rsidRDefault="00844524" w:rsidP="00DC1B1F">
      <w:pPr>
        <w:pStyle w:val="Heading2"/>
        <w:spacing w:line="300" w:lineRule="atLeast"/>
      </w:pPr>
      <w:bookmarkStart w:id="10" w:name="_Toc536707018"/>
      <w:r>
        <w:t>B.</w:t>
      </w:r>
      <w:r w:rsidR="00A41763" w:rsidRPr="00A41763">
        <w:t xml:space="preserve">3. </w:t>
      </w:r>
      <w:r w:rsidR="007E53C4">
        <w:t>Maximizing Response Rates</w:t>
      </w:r>
      <w:bookmarkEnd w:id="10"/>
    </w:p>
    <w:p w14:paraId="378335C3" w14:textId="1A83247B" w:rsidR="00DC1B1F" w:rsidRDefault="00DC1B1F" w:rsidP="00DC1B1F">
      <w:r>
        <w:t>The response rates for the EIA electric power and renewable surveys have historically been at or near 100 percent</w:t>
      </w:r>
      <w:r w:rsidR="001D0186">
        <w:t xml:space="preserve"> except for Form EIA-63B</w:t>
      </w:r>
      <w:r>
        <w:t>.</w:t>
      </w:r>
      <w:r w:rsidR="009D3901">
        <w:t xml:space="preserve"> </w:t>
      </w:r>
      <w:r>
        <w:t>Recent response rates are shown below in Table 1.</w:t>
      </w:r>
    </w:p>
    <w:p w14:paraId="3FB25015" w14:textId="75E55C4B" w:rsidR="00DC1B1F" w:rsidRDefault="00DC1B1F" w:rsidP="00DC1B1F">
      <w:r w:rsidRPr="0088497F">
        <w:rPr>
          <w:b/>
          <w:sz w:val="24"/>
          <w:szCs w:val="24"/>
        </w:rPr>
        <w:t>Table 1.</w:t>
      </w:r>
      <w:r w:rsidR="009D3901">
        <w:rPr>
          <w:b/>
          <w:sz w:val="24"/>
          <w:szCs w:val="24"/>
        </w:rPr>
        <w:t xml:space="preserve"> </w:t>
      </w:r>
      <w:r w:rsidRPr="0088497F">
        <w:rPr>
          <w:b/>
          <w:sz w:val="24"/>
          <w:szCs w:val="24"/>
        </w:rPr>
        <w:t>Recent Survey Response Rates</w:t>
      </w:r>
      <w:r w:rsidRPr="0088497F">
        <w:t xml:space="preserve"> </w:t>
      </w:r>
    </w:p>
    <w:tbl>
      <w:tblPr>
        <w:tblStyle w:val="TableGrid1"/>
        <w:tblW w:w="0" w:type="auto"/>
        <w:tblInd w:w="144" w:type="dxa"/>
        <w:tblLook w:val="04A0" w:firstRow="1" w:lastRow="0" w:firstColumn="1" w:lastColumn="0" w:noHBand="0" w:noVBand="1"/>
      </w:tblPr>
      <w:tblGrid>
        <w:gridCol w:w="1258"/>
        <w:gridCol w:w="1253"/>
        <w:gridCol w:w="1339"/>
        <w:gridCol w:w="1323"/>
        <w:gridCol w:w="1355"/>
        <w:gridCol w:w="1323"/>
        <w:gridCol w:w="1355"/>
      </w:tblGrid>
      <w:tr w:rsidR="00DC1B1F" w:rsidRPr="00DC1B1F" w14:paraId="0BDF1E90" w14:textId="77777777" w:rsidTr="31310C96">
        <w:trPr>
          <w:tblHeader/>
        </w:trPr>
        <w:tc>
          <w:tcPr>
            <w:tcW w:w="1258" w:type="dxa"/>
            <w:shd w:val="clear" w:color="auto" w:fill="DDD9C3"/>
          </w:tcPr>
          <w:p w14:paraId="36B71217" w14:textId="77777777" w:rsidR="00DC1B1F" w:rsidRPr="00DC1B1F" w:rsidRDefault="00DC1B1F" w:rsidP="00DC1B1F">
            <w:pPr>
              <w:tabs>
                <w:tab w:val="left" w:pos="360"/>
              </w:tabs>
              <w:spacing w:before="120" w:line="240" w:lineRule="auto"/>
              <w:jc w:val="both"/>
              <w:rPr>
                <w:rFonts w:cs="Calibri"/>
              </w:rPr>
            </w:pPr>
            <w:r w:rsidRPr="00DC1B1F">
              <w:rPr>
                <w:rFonts w:cs="Calibri"/>
              </w:rPr>
              <w:t>Frequency of Survey</w:t>
            </w:r>
          </w:p>
        </w:tc>
        <w:tc>
          <w:tcPr>
            <w:tcW w:w="1253" w:type="dxa"/>
            <w:shd w:val="clear" w:color="auto" w:fill="DDD9C3"/>
          </w:tcPr>
          <w:p w14:paraId="283DDBBE" w14:textId="77777777" w:rsidR="00DC1B1F" w:rsidRPr="00DC1B1F" w:rsidRDefault="00DC1B1F" w:rsidP="00DC1B1F">
            <w:pPr>
              <w:tabs>
                <w:tab w:val="left" w:pos="360"/>
              </w:tabs>
              <w:spacing w:before="120" w:line="240" w:lineRule="auto"/>
              <w:jc w:val="both"/>
              <w:rPr>
                <w:rFonts w:cs="Calibri"/>
              </w:rPr>
            </w:pPr>
            <w:r w:rsidRPr="00DC1B1F">
              <w:rPr>
                <w:rFonts w:cs="Calibri"/>
              </w:rPr>
              <w:t>Survey</w:t>
            </w:r>
          </w:p>
        </w:tc>
        <w:tc>
          <w:tcPr>
            <w:tcW w:w="1339" w:type="dxa"/>
            <w:shd w:val="clear" w:color="auto" w:fill="DDD9C3"/>
          </w:tcPr>
          <w:p w14:paraId="6823C443" w14:textId="77777777" w:rsidR="00DC1B1F" w:rsidRPr="00DC1B1F" w:rsidRDefault="00DC1B1F" w:rsidP="00DC1B1F">
            <w:pPr>
              <w:tabs>
                <w:tab w:val="left" w:pos="360"/>
              </w:tabs>
              <w:spacing w:before="120" w:line="240" w:lineRule="auto"/>
              <w:jc w:val="center"/>
              <w:rPr>
                <w:rFonts w:cs="Calibri"/>
              </w:rPr>
            </w:pPr>
            <w:r w:rsidRPr="00DC1B1F">
              <w:rPr>
                <w:rFonts w:cs="Calibri"/>
              </w:rPr>
              <w:t>Survey Frame</w:t>
            </w:r>
          </w:p>
        </w:tc>
        <w:tc>
          <w:tcPr>
            <w:tcW w:w="1323" w:type="dxa"/>
            <w:shd w:val="clear" w:color="auto" w:fill="DDD9C3"/>
          </w:tcPr>
          <w:p w14:paraId="3F2D400B" w14:textId="77777777" w:rsidR="00DC1B1F" w:rsidRPr="00DC1B1F" w:rsidRDefault="00DC1B1F" w:rsidP="00DC1B1F">
            <w:pPr>
              <w:tabs>
                <w:tab w:val="left" w:pos="360"/>
              </w:tabs>
              <w:spacing w:before="120" w:line="240" w:lineRule="auto"/>
              <w:jc w:val="center"/>
              <w:rPr>
                <w:rFonts w:cs="Calibri"/>
              </w:rPr>
            </w:pPr>
            <w:r w:rsidRPr="00DC1B1F">
              <w:rPr>
                <w:rFonts w:cs="Calibri"/>
              </w:rPr>
              <w:t>Number of Responses</w:t>
            </w:r>
          </w:p>
        </w:tc>
        <w:tc>
          <w:tcPr>
            <w:tcW w:w="1355" w:type="dxa"/>
            <w:shd w:val="clear" w:color="auto" w:fill="DDD9C3"/>
          </w:tcPr>
          <w:p w14:paraId="45FEA995" w14:textId="77777777" w:rsidR="00DC1B1F" w:rsidRPr="00DC1B1F" w:rsidRDefault="00DC1B1F" w:rsidP="00DC1B1F">
            <w:pPr>
              <w:tabs>
                <w:tab w:val="left" w:pos="360"/>
              </w:tabs>
              <w:spacing w:before="120" w:line="240" w:lineRule="auto"/>
              <w:jc w:val="center"/>
              <w:rPr>
                <w:rFonts w:cs="Calibri"/>
              </w:rPr>
            </w:pPr>
            <w:r w:rsidRPr="00DC1B1F">
              <w:rPr>
                <w:rFonts w:cs="Calibri"/>
              </w:rPr>
              <w:t>Response Percentage</w:t>
            </w:r>
          </w:p>
        </w:tc>
        <w:tc>
          <w:tcPr>
            <w:tcW w:w="1323" w:type="dxa"/>
            <w:shd w:val="clear" w:color="auto" w:fill="DDD9C3"/>
          </w:tcPr>
          <w:p w14:paraId="55BC8CD3" w14:textId="77777777" w:rsidR="00DC1B1F" w:rsidRPr="00DC1B1F" w:rsidRDefault="00DC1B1F" w:rsidP="00DC1B1F">
            <w:pPr>
              <w:tabs>
                <w:tab w:val="left" w:pos="360"/>
              </w:tabs>
              <w:spacing w:before="120" w:line="240" w:lineRule="auto"/>
              <w:jc w:val="center"/>
              <w:rPr>
                <w:rFonts w:cs="Calibri"/>
              </w:rPr>
            </w:pPr>
            <w:r w:rsidRPr="00DC1B1F">
              <w:rPr>
                <w:rFonts w:cs="Calibri"/>
              </w:rPr>
              <w:t>Non-Responses</w:t>
            </w:r>
          </w:p>
        </w:tc>
        <w:tc>
          <w:tcPr>
            <w:tcW w:w="1355" w:type="dxa"/>
            <w:shd w:val="clear" w:color="auto" w:fill="DDD9C3"/>
          </w:tcPr>
          <w:p w14:paraId="3D73505F" w14:textId="77777777" w:rsidR="00DC1B1F" w:rsidRPr="00DC1B1F" w:rsidRDefault="00DC1B1F" w:rsidP="00DC1B1F">
            <w:pPr>
              <w:tabs>
                <w:tab w:val="left" w:pos="360"/>
              </w:tabs>
              <w:spacing w:before="120" w:line="240" w:lineRule="auto"/>
              <w:jc w:val="center"/>
              <w:rPr>
                <w:rFonts w:cs="Calibri"/>
              </w:rPr>
            </w:pPr>
            <w:r w:rsidRPr="00DC1B1F">
              <w:rPr>
                <w:rFonts w:cs="Calibri"/>
              </w:rPr>
              <w:t>Non-Response Percentage</w:t>
            </w:r>
          </w:p>
        </w:tc>
      </w:tr>
      <w:tr w:rsidR="00DC1B1F" w:rsidRPr="00DC1B1F" w14:paraId="5AEC6D2D" w14:textId="77777777" w:rsidTr="00EB00B8">
        <w:tc>
          <w:tcPr>
            <w:tcW w:w="1258" w:type="dxa"/>
            <w:vMerge w:val="restart"/>
            <w:vAlign w:val="center"/>
          </w:tcPr>
          <w:p w14:paraId="09A429D2" w14:textId="77777777" w:rsidR="00DC1B1F" w:rsidRPr="00DC1B1F" w:rsidRDefault="00DC1B1F" w:rsidP="00DC1B1F">
            <w:pPr>
              <w:tabs>
                <w:tab w:val="left" w:pos="360"/>
              </w:tabs>
              <w:spacing w:before="120" w:line="240" w:lineRule="auto"/>
              <w:jc w:val="center"/>
              <w:rPr>
                <w:rFonts w:cs="Calibri"/>
              </w:rPr>
            </w:pPr>
            <w:r w:rsidRPr="00DC1B1F">
              <w:rPr>
                <w:rFonts w:cs="Calibri"/>
              </w:rPr>
              <w:t>Annual Surveys</w:t>
            </w:r>
          </w:p>
          <w:p w14:paraId="79E516E8" w14:textId="458F1DD5" w:rsidR="00DC1B1F" w:rsidRPr="00DC1B1F" w:rsidRDefault="00DC1B1F" w:rsidP="00DC1B1F">
            <w:pPr>
              <w:tabs>
                <w:tab w:val="left" w:pos="360"/>
              </w:tabs>
              <w:spacing w:before="120" w:line="240" w:lineRule="auto"/>
              <w:jc w:val="center"/>
              <w:rPr>
                <w:rFonts w:cs="Calibri"/>
              </w:rPr>
            </w:pPr>
            <w:r w:rsidRPr="00DC1B1F">
              <w:rPr>
                <w:rFonts w:cs="Calibri"/>
              </w:rPr>
              <w:t>Collection of 201</w:t>
            </w:r>
            <w:r w:rsidR="00524BF6">
              <w:rPr>
                <w:rFonts w:cs="Calibri"/>
              </w:rPr>
              <w:t>7</w:t>
            </w:r>
            <w:r w:rsidRPr="00DC1B1F">
              <w:rPr>
                <w:rFonts w:cs="Calibri"/>
              </w:rPr>
              <w:t xml:space="preserve"> Data*</w:t>
            </w:r>
          </w:p>
        </w:tc>
        <w:tc>
          <w:tcPr>
            <w:tcW w:w="1253" w:type="dxa"/>
          </w:tcPr>
          <w:p w14:paraId="64ACB645" w14:textId="77777777" w:rsidR="00DC1B1F" w:rsidRPr="000E63B0" w:rsidRDefault="00DC1B1F" w:rsidP="00DC1B1F">
            <w:pPr>
              <w:tabs>
                <w:tab w:val="left" w:pos="360"/>
              </w:tabs>
              <w:spacing w:before="120" w:line="240" w:lineRule="auto"/>
              <w:jc w:val="both"/>
              <w:rPr>
                <w:rFonts w:cs="Calibri"/>
              </w:rPr>
            </w:pPr>
            <w:r w:rsidRPr="000E63B0">
              <w:rPr>
                <w:rFonts w:cs="Calibri"/>
              </w:rPr>
              <w:t>EIA-63B</w:t>
            </w:r>
          </w:p>
        </w:tc>
        <w:tc>
          <w:tcPr>
            <w:tcW w:w="1339" w:type="dxa"/>
          </w:tcPr>
          <w:p w14:paraId="50D955CC" w14:textId="4653A61F" w:rsidR="00DC1B1F" w:rsidRPr="000E63B0" w:rsidRDefault="000E63B0" w:rsidP="00DC1B1F">
            <w:pPr>
              <w:tabs>
                <w:tab w:val="left" w:pos="360"/>
              </w:tabs>
              <w:spacing w:before="120" w:line="240" w:lineRule="auto"/>
              <w:jc w:val="center"/>
              <w:rPr>
                <w:rFonts w:cs="Calibri"/>
              </w:rPr>
            </w:pPr>
            <w:r w:rsidRPr="000E63B0">
              <w:rPr>
                <w:rFonts w:cs="Calibri"/>
              </w:rPr>
              <w:t>4</w:t>
            </w:r>
            <w:r w:rsidR="40B4AD10" w:rsidRPr="000E63B0">
              <w:rPr>
                <w:rFonts w:cs="Calibri"/>
              </w:rPr>
              <w:t>1</w:t>
            </w:r>
            <w:r w:rsidR="0088632A">
              <w:rPr>
                <w:rFonts w:cs="Calibri"/>
              </w:rPr>
              <w:t>****</w:t>
            </w:r>
          </w:p>
        </w:tc>
        <w:tc>
          <w:tcPr>
            <w:tcW w:w="1323" w:type="dxa"/>
          </w:tcPr>
          <w:p w14:paraId="3CBD600E" w14:textId="601905BE" w:rsidR="00DC1B1F" w:rsidRPr="000E63B0" w:rsidRDefault="000E63B0" w:rsidP="00DC1B1F">
            <w:pPr>
              <w:tabs>
                <w:tab w:val="left" w:pos="360"/>
              </w:tabs>
              <w:spacing w:before="120" w:line="240" w:lineRule="auto"/>
              <w:jc w:val="center"/>
              <w:rPr>
                <w:rFonts w:cs="Calibri"/>
              </w:rPr>
            </w:pPr>
            <w:r w:rsidRPr="000E63B0">
              <w:rPr>
                <w:rFonts w:cs="Calibri"/>
              </w:rPr>
              <w:t>34</w:t>
            </w:r>
          </w:p>
        </w:tc>
        <w:tc>
          <w:tcPr>
            <w:tcW w:w="1355" w:type="dxa"/>
          </w:tcPr>
          <w:p w14:paraId="481AD6F9" w14:textId="04196BBA" w:rsidR="00DC1B1F" w:rsidRPr="000E63B0" w:rsidRDefault="31310C96" w:rsidP="00DC1B1F">
            <w:pPr>
              <w:tabs>
                <w:tab w:val="left" w:pos="360"/>
              </w:tabs>
              <w:spacing w:before="120" w:line="240" w:lineRule="auto"/>
              <w:jc w:val="center"/>
              <w:rPr>
                <w:rFonts w:cs="Calibri"/>
              </w:rPr>
            </w:pPr>
            <w:r w:rsidRPr="000E63B0">
              <w:rPr>
                <w:rFonts w:cs="Calibri"/>
              </w:rPr>
              <w:t>83</w:t>
            </w:r>
            <w:r w:rsidR="00DC1B1F" w:rsidRPr="000E63B0">
              <w:rPr>
                <w:rFonts w:cs="Calibri"/>
              </w:rPr>
              <w:t>%</w:t>
            </w:r>
          </w:p>
        </w:tc>
        <w:tc>
          <w:tcPr>
            <w:tcW w:w="1323" w:type="dxa"/>
          </w:tcPr>
          <w:p w14:paraId="48B5D8C9" w14:textId="617DA032" w:rsidR="00DC1B1F" w:rsidRPr="000E63B0" w:rsidRDefault="40B4AD10" w:rsidP="40B4AD10">
            <w:pPr>
              <w:tabs>
                <w:tab w:val="left" w:pos="360"/>
              </w:tabs>
              <w:spacing w:before="120" w:after="200" w:line="240" w:lineRule="auto"/>
              <w:jc w:val="center"/>
              <w:rPr>
                <w:rFonts w:cs="Calibri"/>
              </w:rPr>
            </w:pPr>
            <w:r w:rsidRPr="0088632A">
              <w:rPr>
                <w:rFonts w:cs="Calibri"/>
              </w:rPr>
              <w:t>7</w:t>
            </w:r>
          </w:p>
        </w:tc>
        <w:tc>
          <w:tcPr>
            <w:tcW w:w="1355" w:type="dxa"/>
          </w:tcPr>
          <w:p w14:paraId="034A780E" w14:textId="2B77771B" w:rsidR="00DC1B1F" w:rsidRPr="000E63B0" w:rsidRDefault="31310C96" w:rsidP="00DC1B1F">
            <w:pPr>
              <w:tabs>
                <w:tab w:val="left" w:pos="360"/>
              </w:tabs>
              <w:spacing w:before="120" w:line="240" w:lineRule="auto"/>
              <w:jc w:val="center"/>
              <w:rPr>
                <w:rFonts w:cs="Calibri"/>
              </w:rPr>
            </w:pPr>
            <w:r w:rsidRPr="000E63B0">
              <w:rPr>
                <w:rFonts w:cs="Calibri"/>
              </w:rPr>
              <w:t>17</w:t>
            </w:r>
            <w:r w:rsidR="00DC1B1F" w:rsidRPr="000E63B0">
              <w:rPr>
                <w:rFonts w:cs="Calibri"/>
              </w:rPr>
              <w:t>%</w:t>
            </w:r>
          </w:p>
        </w:tc>
      </w:tr>
      <w:tr w:rsidR="00DC1B1F" w:rsidRPr="00DC1B1F" w14:paraId="6744220D" w14:textId="77777777" w:rsidTr="00EB00B8">
        <w:tc>
          <w:tcPr>
            <w:tcW w:w="1258" w:type="dxa"/>
            <w:vMerge/>
          </w:tcPr>
          <w:p w14:paraId="639B006C" w14:textId="77777777" w:rsidR="00DC1B1F" w:rsidRPr="00DC1B1F" w:rsidRDefault="00DC1B1F" w:rsidP="00DC1B1F">
            <w:pPr>
              <w:tabs>
                <w:tab w:val="left" w:pos="360"/>
              </w:tabs>
              <w:spacing w:before="120" w:line="240" w:lineRule="auto"/>
              <w:jc w:val="both"/>
              <w:rPr>
                <w:rFonts w:cs="Calibri"/>
              </w:rPr>
            </w:pPr>
          </w:p>
        </w:tc>
        <w:tc>
          <w:tcPr>
            <w:tcW w:w="1253" w:type="dxa"/>
          </w:tcPr>
          <w:p w14:paraId="4C6C0C72" w14:textId="77777777" w:rsidR="00DC1B1F" w:rsidRPr="00DC1B1F" w:rsidRDefault="00DC1B1F" w:rsidP="00DC1B1F">
            <w:pPr>
              <w:tabs>
                <w:tab w:val="left" w:pos="360"/>
              </w:tabs>
              <w:spacing w:before="120" w:line="240" w:lineRule="auto"/>
              <w:jc w:val="both"/>
              <w:rPr>
                <w:rFonts w:cs="Calibri"/>
              </w:rPr>
            </w:pPr>
            <w:r w:rsidRPr="00DC1B1F">
              <w:rPr>
                <w:rFonts w:cs="Calibri"/>
              </w:rPr>
              <w:t>EIA-860</w:t>
            </w:r>
          </w:p>
        </w:tc>
        <w:tc>
          <w:tcPr>
            <w:tcW w:w="1339" w:type="dxa"/>
          </w:tcPr>
          <w:p w14:paraId="682649C1" w14:textId="1E784202" w:rsidR="00DC1B1F" w:rsidRPr="00DC1B1F" w:rsidRDefault="004B542C" w:rsidP="00DC1B1F">
            <w:pPr>
              <w:tabs>
                <w:tab w:val="left" w:pos="360"/>
              </w:tabs>
              <w:spacing w:before="120" w:line="240" w:lineRule="auto"/>
              <w:jc w:val="center"/>
              <w:rPr>
                <w:rFonts w:cs="Calibri"/>
              </w:rPr>
            </w:pPr>
            <w:r>
              <w:rPr>
                <w:rFonts w:cs="Calibri"/>
              </w:rPr>
              <w:t>4681</w:t>
            </w:r>
          </w:p>
        </w:tc>
        <w:tc>
          <w:tcPr>
            <w:tcW w:w="1323" w:type="dxa"/>
          </w:tcPr>
          <w:p w14:paraId="1FE850E0" w14:textId="6A3371A4" w:rsidR="00DC1B1F" w:rsidRPr="00DC1B1F" w:rsidRDefault="004B542C" w:rsidP="00DC1B1F">
            <w:pPr>
              <w:tabs>
                <w:tab w:val="left" w:pos="360"/>
              </w:tabs>
              <w:spacing w:before="120" w:line="240" w:lineRule="auto"/>
              <w:jc w:val="center"/>
              <w:rPr>
                <w:rFonts w:cs="Calibri"/>
              </w:rPr>
            </w:pPr>
            <w:r>
              <w:rPr>
                <w:rFonts w:cs="Calibri"/>
              </w:rPr>
              <w:t>4680</w:t>
            </w:r>
          </w:p>
        </w:tc>
        <w:tc>
          <w:tcPr>
            <w:tcW w:w="1355" w:type="dxa"/>
          </w:tcPr>
          <w:p w14:paraId="2E735A19" w14:textId="77777777" w:rsidR="00DC1B1F" w:rsidRPr="00DC1B1F" w:rsidRDefault="00DC1B1F" w:rsidP="00DC1B1F">
            <w:pPr>
              <w:tabs>
                <w:tab w:val="left" w:pos="360"/>
              </w:tabs>
              <w:spacing w:before="120" w:line="240" w:lineRule="auto"/>
              <w:jc w:val="center"/>
              <w:rPr>
                <w:rFonts w:cs="Calibri"/>
              </w:rPr>
            </w:pPr>
            <w:r w:rsidRPr="00DC1B1F">
              <w:rPr>
                <w:rFonts w:cs="Calibri"/>
              </w:rPr>
              <w:t>99.8%</w:t>
            </w:r>
          </w:p>
        </w:tc>
        <w:tc>
          <w:tcPr>
            <w:tcW w:w="1323" w:type="dxa"/>
          </w:tcPr>
          <w:p w14:paraId="1A5437D1" w14:textId="1004E49A" w:rsidR="00DC1B1F" w:rsidRPr="00DC1B1F" w:rsidRDefault="004B542C" w:rsidP="00DC1B1F">
            <w:pPr>
              <w:tabs>
                <w:tab w:val="left" w:pos="360"/>
              </w:tabs>
              <w:spacing w:before="120" w:line="240" w:lineRule="auto"/>
              <w:jc w:val="center"/>
              <w:rPr>
                <w:rFonts w:cs="Calibri"/>
              </w:rPr>
            </w:pPr>
            <w:r>
              <w:rPr>
                <w:rFonts w:cs="Calibri"/>
              </w:rPr>
              <w:t>1</w:t>
            </w:r>
          </w:p>
        </w:tc>
        <w:tc>
          <w:tcPr>
            <w:tcW w:w="1355" w:type="dxa"/>
          </w:tcPr>
          <w:p w14:paraId="2BEE1263" w14:textId="77777777" w:rsidR="00DC1B1F" w:rsidRPr="00DC1B1F" w:rsidRDefault="00DC1B1F" w:rsidP="00DC1B1F">
            <w:pPr>
              <w:tabs>
                <w:tab w:val="left" w:pos="360"/>
              </w:tabs>
              <w:spacing w:before="120" w:line="240" w:lineRule="auto"/>
              <w:jc w:val="center"/>
              <w:rPr>
                <w:rFonts w:cs="Calibri"/>
              </w:rPr>
            </w:pPr>
            <w:r w:rsidRPr="00DC1B1F">
              <w:rPr>
                <w:rFonts w:cs="Calibri"/>
              </w:rPr>
              <w:t>0.2%</w:t>
            </w:r>
          </w:p>
        </w:tc>
      </w:tr>
      <w:tr w:rsidR="00DC1B1F" w:rsidRPr="00DC1B1F" w14:paraId="504E6124" w14:textId="77777777" w:rsidTr="00EB00B8">
        <w:tc>
          <w:tcPr>
            <w:tcW w:w="1258" w:type="dxa"/>
            <w:vMerge/>
          </w:tcPr>
          <w:p w14:paraId="3BDB2E81" w14:textId="77777777" w:rsidR="00DC1B1F" w:rsidRPr="00DC1B1F" w:rsidRDefault="00DC1B1F" w:rsidP="00DC1B1F">
            <w:pPr>
              <w:tabs>
                <w:tab w:val="left" w:pos="360"/>
              </w:tabs>
              <w:spacing w:before="120" w:line="240" w:lineRule="auto"/>
              <w:jc w:val="both"/>
              <w:rPr>
                <w:rFonts w:cs="Calibri"/>
              </w:rPr>
            </w:pPr>
          </w:p>
        </w:tc>
        <w:tc>
          <w:tcPr>
            <w:tcW w:w="1253" w:type="dxa"/>
          </w:tcPr>
          <w:p w14:paraId="6293E646" w14:textId="77777777" w:rsidR="00DC1B1F" w:rsidRPr="00DC1B1F" w:rsidRDefault="00DC1B1F" w:rsidP="00DC1B1F">
            <w:pPr>
              <w:tabs>
                <w:tab w:val="left" w:pos="360"/>
              </w:tabs>
              <w:spacing w:before="120" w:line="240" w:lineRule="auto"/>
              <w:jc w:val="both"/>
              <w:rPr>
                <w:rFonts w:cs="Calibri"/>
              </w:rPr>
            </w:pPr>
            <w:r w:rsidRPr="00DC1B1F">
              <w:rPr>
                <w:rFonts w:cs="Calibri"/>
              </w:rPr>
              <w:t>EIA-861</w:t>
            </w:r>
          </w:p>
        </w:tc>
        <w:tc>
          <w:tcPr>
            <w:tcW w:w="1339" w:type="dxa"/>
          </w:tcPr>
          <w:p w14:paraId="5EF5FC58" w14:textId="4A7CC2AB" w:rsidR="00DC1B1F" w:rsidRPr="00DC1B1F" w:rsidRDefault="00C749C5" w:rsidP="00C749C5">
            <w:pPr>
              <w:tabs>
                <w:tab w:val="left" w:pos="360"/>
              </w:tabs>
              <w:spacing w:before="120" w:line="240" w:lineRule="auto"/>
              <w:jc w:val="center"/>
              <w:rPr>
                <w:rFonts w:cs="Calibri"/>
              </w:rPr>
            </w:pPr>
            <w:r w:rsidRPr="00DC1B1F">
              <w:rPr>
                <w:rFonts w:cs="Calibri"/>
              </w:rPr>
              <w:t>2</w:t>
            </w:r>
            <w:r>
              <w:rPr>
                <w:rFonts w:cs="Calibri"/>
              </w:rPr>
              <w:t>316</w:t>
            </w:r>
          </w:p>
        </w:tc>
        <w:tc>
          <w:tcPr>
            <w:tcW w:w="1323" w:type="dxa"/>
          </w:tcPr>
          <w:p w14:paraId="1DDEB1E9" w14:textId="6AA543D1" w:rsidR="00DC1B1F" w:rsidRPr="00DC1B1F" w:rsidRDefault="00C749C5" w:rsidP="00DC1B1F">
            <w:pPr>
              <w:tabs>
                <w:tab w:val="left" w:pos="360"/>
              </w:tabs>
              <w:spacing w:before="120" w:line="240" w:lineRule="auto"/>
              <w:jc w:val="center"/>
              <w:rPr>
                <w:rFonts w:cs="Calibri"/>
              </w:rPr>
            </w:pPr>
            <w:r>
              <w:rPr>
                <w:rFonts w:cs="Calibri"/>
              </w:rPr>
              <w:t>2309</w:t>
            </w:r>
          </w:p>
        </w:tc>
        <w:tc>
          <w:tcPr>
            <w:tcW w:w="1355" w:type="dxa"/>
          </w:tcPr>
          <w:p w14:paraId="035BE761" w14:textId="1C8D88BE" w:rsidR="00DC1B1F" w:rsidRPr="00DC1B1F" w:rsidRDefault="00C749C5" w:rsidP="00DC1B1F">
            <w:pPr>
              <w:tabs>
                <w:tab w:val="left" w:pos="360"/>
              </w:tabs>
              <w:spacing w:before="120" w:line="240" w:lineRule="auto"/>
              <w:jc w:val="center"/>
              <w:rPr>
                <w:rFonts w:cs="Calibri"/>
              </w:rPr>
            </w:pPr>
            <w:r>
              <w:rPr>
                <w:rFonts w:cs="Calibri"/>
              </w:rPr>
              <w:t>99.7</w:t>
            </w:r>
            <w:r w:rsidR="00DC1B1F" w:rsidRPr="00DC1B1F">
              <w:rPr>
                <w:rFonts w:cs="Calibri"/>
              </w:rPr>
              <w:t>%</w:t>
            </w:r>
          </w:p>
        </w:tc>
        <w:tc>
          <w:tcPr>
            <w:tcW w:w="1323" w:type="dxa"/>
          </w:tcPr>
          <w:p w14:paraId="77C81C66" w14:textId="16C2AFE1" w:rsidR="00DC1B1F" w:rsidRPr="00DC1B1F" w:rsidRDefault="00C749C5" w:rsidP="00DC1B1F">
            <w:pPr>
              <w:tabs>
                <w:tab w:val="left" w:pos="360"/>
              </w:tabs>
              <w:spacing w:before="120" w:line="240" w:lineRule="auto"/>
              <w:jc w:val="center"/>
              <w:rPr>
                <w:rFonts w:cs="Calibri"/>
              </w:rPr>
            </w:pPr>
            <w:r>
              <w:rPr>
                <w:rFonts w:cs="Calibri"/>
              </w:rPr>
              <w:t>7</w:t>
            </w:r>
          </w:p>
        </w:tc>
        <w:tc>
          <w:tcPr>
            <w:tcW w:w="1355" w:type="dxa"/>
          </w:tcPr>
          <w:p w14:paraId="52F65CAE" w14:textId="7F8DF1D9" w:rsidR="00DC1B1F" w:rsidRPr="00DC1B1F" w:rsidRDefault="00C749C5" w:rsidP="00DC1B1F">
            <w:pPr>
              <w:tabs>
                <w:tab w:val="left" w:pos="360"/>
              </w:tabs>
              <w:spacing w:before="120" w:line="240" w:lineRule="auto"/>
              <w:jc w:val="center"/>
              <w:rPr>
                <w:rFonts w:cs="Calibri"/>
              </w:rPr>
            </w:pPr>
            <w:r>
              <w:rPr>
                <w:rFonts w:cs="Calibri"/>
              </w:rPr>
              <w:t>0.3</w:t>
            </w:r>
            <w:r w:rsidR="00DC1B1F" w:rsidRPr="00DC1B1F">
              <w:rPr>
                <w:rFonts w:cs="Calibri"/>
              </w:rPr>
              <w:t>%</w:t>
            </w:r>
          </w:p>
        </w:tc>
      </w:tr>
      <w:tr w:rsidR="00DC1B1F" w:rsidRPr="00DC1B1F" w14:paraId="189AAC34" w14:textId="77777777" w:rsidTr="00EB00B8">
        <w:tc>
          <w:tcPr>
            <w:tcW w:w="1258" w:type="dxa"/>
            <w:vMerge/>
          </w:tcPr>
          <w:p w14:paraId="69F18B6D" w14:textId="77777777" w:rsidR="00DC1B1F" w:rsidRPr="00DC1B1F" w:rsidRDefault="00DC1B1F" w:rsidP="00DC1B1F">
            <w:pPr>
              <w:tabs>
                <w:tab w:val="left" w:pos="360"/>
              </w:tabs>
              <w:spacing w:before="120" w:line="240" w:lineRule="auto"/>
              <w:jc w:val="both"/>
              <w:rPr>
                <w:rFonts w:cs="Calibri"/>
              </w:rPr>
            </w:pPr>
          </w:p>
        </w:tc>
        <w:tc>
          <w:tcPr>
            <w:tcW w:w="1253" w:type="dxa"/>
          </w:tcPr>
          <w:p w14:paraId="727EBD45" w14:textId="77777777" w:rsidR="00DC1B1F" w:rsidRPr="00DC1B1F" w:rsidRDefault="00DC1B1F" w:rsidP="00DC1B1F">
            <w:pPr>
              <w:tabs>
                <w:tab w:val="left" w:pos="360"/>
              </w:tabs>
              <w:spacing w:before="120" w:line="240" w:lineRule="auto"/>
              <w:jc w:val="both"/>
              <w:rPr>
                <w:rFonts w:cs="Calibri"/>
              </w:rPr>
            </w:pPr>
            <w:r w:rsidRPr="00DC1B1F">
              <w:rPr>
                <w:rFonts w:cs="Calibri"/>
              </w:rPr>
              <w:t>EIA-861S</w:t>
            </w:r>
          </w:p>
        </w:tc>
        <w:tc>
          <w:tcPr>
            <w:tcW w:w="1339" w:type="dxa"/>
          </w:tcPr>
          <w:p w14:paraId="032FF6C2" w14:textId="574C9989" w:rsidR="00DC1B1F" w:rsidRPr="00DC1B1F" w:rsidRDefault="00DC1B1F" w:rsidP="00DC1B1F">
            <w:pPr>
              <w:tabs>
                <w:tab w:val="left" w:pos="360"/>
              </w:tabs>
              <w:spacing w:before="120" w:line="240" w:lineRule="auto"/>
              <w:jc w:val="center"/>
              <w:rPr>
                <w:rFonts w:cs="Calibri"/>
              </w:rPr>
            </w:pPr>
            <w:r w:rsidRPr="00DC1B1F">
              <w:rPr>
                <w:rFonts w:cs="Calibri"/>
              </w:rPr>
              <w:t>11</w:t>
            </w:r>
            <w:r w:rsidR="00C749C5">
              <w:rPr>
                <w:rFonts w:cs="Calibri"/>
              </w:rPr>
              <w:t>05</w:t>
            </w:r>
          </w:p>
        </w:tc>
        <w:tc>
          <w:tcPr>
            <w:tcW w:w="1323" w:type="dxa"/>
          </w:tcPr>
          <w:p w14:paraId="621A1929" w14:textId="28709A70" w:rsidR="00DC1B1F" w:rsidRPr="00DC1B1F" w:rsidRDefault="00DC1B1F" w:rsidP="00DC1B1F">
            <w:pPr>
              <w:tabs>
                <w:tab w:val="left" w:pos="360"/>
              </w:tabs>
              <w:spacing w:before="120" w:line="240" w:lineRule="auto"/>
              <w:jc w:val="center"/>
              <w:rPr>
                <w:rFonts w:cs="Calibri"/>
              </w:rPr>
            </w:pPr>
            <w:r w:rsidRPr="00DC1B1F">
              <w:rPr>
                <w:rFonts w:cs="Calibri"/>
              </w:rPr>
              <w:t>1</w:t>
            </w:r>
            <w:r w:rsidR="00C749C5">
              <w:rPr>
                <w:rFonts w:cs="Calibri"/>
              </w:rPr>
              <w:t>094</w:t>
            </w:r>
          </w:p>
        </w:tc>
        <w:tc>
          <w:tcPr>
            <w:tcW w:w="1355" w:type="dxa"/>
          </w:tcPr>
          <w:p w14:paraId="1E442BF1" w14:textId="1E4BE76C" w:rsidR="00DC1B1F" w:rsidRPr="00DC1B1F" w:rsidRDefault="00DC1B1F" w:rsidP="00DC1B1F">
            <w:pPr>
              <w:tabs>
                <w:tab w:val="left" w:pos="360"/>
              </w:tabs>
              <w:spacing w:before="120" w:line="240" w:lineRule="auto"/>
              <w:jc w:val="center"/>
              <w:rPr>
                <w:rFonts w:cs="Calibri"/>
              </w:rPr>
            </w:pPr>
            <w:r w:rsidRPr="00DC1B1F">
              <w:rPr>
                <w:rFonts w:cs="Calibri"/>
              </w:rPr>
              <w:t>99%</w:t>
            </w:r>
          </w:p>
        </w:tc>
        <w:tc>
          <w:tcPr>
            <w:tcW w:w="1323" w:type="dxa"/>
          </w:tcPr>
          <w:p w14:paraId="38567233" w14:textId="0FE8C638" w:rsidR="00DC1B1F" w:rsidRPr="00DC1B1F" w:rsidRDefault="00C749C5" w:rsidP="00DC1B1F">
            <w:pPr>
              <w:tabs>
                <w:tab w:val="left" w:pos="360"/>
              </w:tabs>
              <w:spacing w:before="120" w:line="240" w:lineRule="auto"/>
              <w:jc w:val="center"/>
              <w:rPr>
                <w:rFonts w:cs="Calibri"/>
              </w:rPr>
            </w:pPr>
            <w:r>
              <w:rPr>
                <w:rFonts w:cs="Calibri"/>
              </w:rPr>
              <w:t>16</w:t>
            </w:r>
          </w:p>
        </w:tc>
        <w:tc>
          <w:tcPr>
            <w:tcW w:w="1355" w:type="dxa"/>
          </w:tcPr>
          <w:p w14:paraId="6767EA76" w14:textId="62A7EBE8" w:rsidR="00DC1B1F" w:rsidRPr="00DC1B1F" w:rsidRDefault="00C749C5" w:rsidP="00DC1B1F">
            <w:pPr>
              <w:tabs>
                <w:tab w:val="left" w:pos="360"/>
              </w:tabs>
              <w:spacing w:before="120" w:line="240" w:lineRule="auto"/>
              <w:jc w:val="center"/>
              <w:rPr>
                <w:rFonts w:cs="Calibri"/>
              </w:rPr>
            </w:pPr>
            <w:r>
              <w:rPr>
                <w:rFonts w:cs="Calibri"/>
              </w:rPr>
              <w:t>1</w:t>
            </w:r>
            <w:r w:rsidR="00DC1B1F" w:rsidRPr="00DC1B1F">
              <w:rPr>
                <w:rFonts w:cs="Calibri"/>
              </w:rPr>
              <w:t>%</w:t>
            </w:r>
          </w:p>
        </w:tc>
      </w:tr>
      <w:tr w:rsidR="00DC1B1F" w:rsidRPr="00DC1B1F" w14:paraId="7087AF57" w14:textId="77777777" w:rsidTr="00EB00B8">
        <w:tc>
          <w:tcPr>
            <w:tcW w:w="1258" w:type="dxa"/>
            <w:vMerge/>
          </w:tcPr>
          <w:p w14:paraId="00CCF99F" w14:textId="77777777" w:rsidR="00DC1B1F" w:rsidRPr="00DC1B1F" w:rsidRDefault="00DC1B1F" w:rsidP="00DC1B1F">
            <w:pPr>
              <w:tabs>
                <w:tab w:val="left" w:pos="360"/>
              </w:tabs>
              <w:spacing w:before="120" w:line="240" w:lineRule="auto"/>
              <w:jc w:val="both"/>
              <w:rPr>
                <w:rFonts w:cs="Calibri"/>
              </w:rPr>
            </w:pPr>
          </w:p>
        </w:tc>
        <w:tc>
          <w:tcPr>
            <w:tcW w:w="1253" w:type="dxa"/>
          </w:tcPr>
          <w:p w14:paraId="5290FB1D" w14:textId="77777777" w:rsidR="00DC1B1F" w:rsidRPr="00DC1B1F" w:rsidRDefault="00DC1B1F" w:rsidP="00DC1B1F">
            <w:pPr>
              <w:tabs>
                <w:tab w:val="left" w:pos="360"/>
              </w:tabs>
              <w:spacing w:before="120" w:line="240" w:lineRule="auto"/>
              <w:jc w:val="both"/>
              <w:rPr>
                <w:rFonts w:cs="Calibri"/>
              </w:rPr>
            </w:pPr>
            <w:r w:rsidRPr="00DC1B1F">
              <w:rPr>
                <w:rFonts w:cs="Calibri"/>
              </w:rPr>
              <w:t>EIA-923</w:t>
            </w:r>
          </w:p>
        </w:tc>
        <w:tc>
          <w:tcPr>
            <w:tcW w:w="1339" w:type="dxa"/>
          </w:tcPr>
          <w:p w14:paraId="1EFE63C7" w14:textId="15AB7D15" w:rsidR="00DC1B1F" w:rsidRPr="00DC1B1F" w:rsidRDefault="00524BF6" w:rsidP="00DC1B1F">
            <w:pPr>
              <w:tabs>
                <w:tab w:val="left" w:pos="360"/>
              </w:tabs>
              <w:spacing w:before="120" w:line="240" w:lineRule="auto"/>
              <w:jc w:val="center"/>
              <w:rPr>
                <w:rFonts w:cs="Calibri"/>
              </w:rPr>
            </w:pPr>
            <w:r>
              <w:rPr>
                <w:rFonts w:cs="Calibri"/>
              </w:rPr>
              <w:t>6684</w:t>
            </w:r>
          </w:p>
        </w:tc>
        <w:tc>
          <w:tcPr>
            <w:tcW w:w="1323" w:type="dxa"/>
          </w:tcPr>
          <w:p w14:paraId="204678E0" w14:textId="611B75D8" w:rsidR="00DC1B1F" w:rsidRPr="00DC1B1F" w:rsidRDefault="00524BF6" w:rsidP="00DC1B1F">
            <w:pPr>
              <w:tabs>
                <w:tab w:val="left" w:pos="360"/>
              </w:tabs>
              <w:spacing w:before="120" w:line="240" w:lineRule="auto"/>
              <w:jc w:val="center"/>
              <w:rPr>
                <w:rFonts w:cs="Calibri"/>
              </w:rPr>
            </w:pPr>
            <w:r>
              <w:rPr>
                <w:rFonts w:cs="Calibri"/>
              </w:rPr>
              <w:t>6858</w:t>
            </w:r>
          </w:p>
        </w:tc>
        <w:tc>
          <w:tcPr>
            <w:tcW w:w="1355" w:type="dxa"/>
          </w:tcPr>
          <w:p w14:paraId="4A97E9F6" w14:textId="0A06A3D3" w:rsidR="00DC1B1F" w:rsidRPr="00DC1B1F" w:rsidRDefault="00DC1B1F" w:rsidP="00DC1B1F">
            <w:pPr>
              <w:tabs>
                <w:tab w:val="left" w:pos="360"/>
              </w:tabs>
              <w:spacing w:before="120" w:line="240" w:lineRule="auto"/>
              <w:jc w:val="center"/>
              <w:rPr>
                <w:rFonts w:cs="Calibri"/>
              </w:rPr>
            </w:pPr>
            <w:r w:rsidRPr="00DC1B1F">
              <w:rPr>
                <w:rFonts w:cs="Calibri"/>
              </w:rPr>
              <w:t>99.</w:t>
            </w:r>
            <w:r w:rsidR="00C749C5">
              <w:rPr>
                <w:rFonts w:cs="Calibri"/>
              </w:rPr>
              <w:t>6</w:t>
            </w:r>
            <w:r w:rsidRPr="00DC1B1F">
              <w:rPr>
                <w:rFonts w:cs="Calibri"/>
              </w:rPr>
              <w:t>%</w:t>
            </w:r>
          </w:p>
        </w:tc>
        <w:tc>
          <w:tcPr>
            <w:tcW w:w="1323" w:type="dxa"/>
          </w:tcPr>
          <w:p w14:paraId="40F7723C" w14:textId="399570B5" w:rsidR="00DC1B1F" w:rsidRPr="00DC1B1F" w:rsidRDefault="00C749C5" w:rsidP="00DC1B1F">
            <w:pPr>
              <w:tabs>
                <w:tab w:val="left" w:pos="360"/>
              </w:tabs>
              <w:spacing w:before="120" w:line="240" w:lineRule="auto"/>
              <w:jc w:val="center"/>
              <w:rPr>
                <w:rFonts w:cs="Calibri"/>
              </w:rPr>
            </w:pPr>
            <w:r>
              <w:rPr>
                <w:rFonts w:cs="Calibri"/>
              </w:rPr>
              <w:t>26</w:t>
            </w:r>
          </w:p>
        </w:tc>
        <w:tc>
          <w:tcPr>
            <w:tcW w:w="1355" w:type="dxa"/>
          </w:tcPr>
          <w:p w14:paraId="6FE648E7" w14:textId="21211197" w:rsidR="00DC1B1F" w:rsidRPr="00DC1B1F" w:rsidRDefault="00DC1B1F" w:rsidP="00531574">
            <w:pPr>
              <w:tabs>
                <w:tab w:val="left" w:pos="360"/>
              </w:tabs>
              <w:spacing w:before="120" w:line="240" w:lineRule="auto"/>
              <w:jc w:val="center"/>
              <w:rPr>
                <w:rFonts w:cs="Calibri"/>
              </w:rPr>
            </w:pPr>
            <w:r w:rsidRPr="00DC1B1F">
              <w:rPr>
                <w:rFonts w:cs="Calibri"/>
              </w:rPr>
              <w:t>0.</w:t>
            </w:r>
            <w:r w:rsidR="00531574" w:rsidDel="00531574">
              <w:rPr>
                <w:rFonts w:cs="Calibri"/>
              </w:rPr>
              <w:t xml:space="preserve"> </w:t>
            </w:r>
            <w:r w:rsidR="00C749C5">
              <w:rPr>
                <w:rFonts w:cs="Calibri"/>
              </w:rPr>
              <w:t>4</w:t>
            </w:r>
            <w:r w:rsidRPr="00DC1B1F">
              <w:rPr>
                <w:rFonts w:cs="Calibri"/>
              </w:rPr>
              <w:t>%</w:t>
            </w:r>
          </w:p>
        </w:tc>
      </w:tr>
      <w:tr w:rsidR="000E63B0" w:rsidRPr="00DC1B1F" w14:paraId="584B30CF" w14:textId="77777777" w:rsidTr="31310C96">
        <w:tc>
          <w:tcPr>
            <w:tcW w:w="1258" w:type="dxa"/>
          </w:tcPr>
          <w:p w14:paraId="26690CA3" w14:textId="77777777" w:rsidR="000E63B0" w:rsidRPr="00DC1B1F" w:rsidRDefault="000E63B0" w:rsidP="00DC1B1F">
            <w:pPr>
              <w:tabs>
                <w:tab w:val="left" w:pos="360"/>
              </w:tabs>
              <w:spacing w:before="120" w:line="240" w:lineRule="auto"/>
              <w:jc w:val="center"/>
              <w:rPr>
                <w:rFonts w:cs="Calibri"/>
              </w:rPr>
            </w:pPr>
          </w:p>
        </w:tc>
        <w:tc>
          <w:tcPr>
            <w:tcW w:w="1253" w:type="dxa"/>
          </w:tcPr>
          <w:p w14:paraId="27167D5E" w14:textId="5CFAB2BA" w:rsidR="000E63B0" w:rsidRDefault="000E63B0" w:rsidP="00DC1B1F">
            <w:pPr>
              <w:tabs>
                <w:tab w:val="left" w:pos="360"/>
              </w:tabs>
              <w:spacing w:before="120" w:line="240" w:lineRule="auto"/>
              <w:jc w:val="both"/>
              <w:rPr>
                <w:rFonts w:cs="Calibri"/>
              </w:rPr>
            </w:pPr>
            <w:r w:rsidRPr="00DC1B1F">
              <w:rPr>
                <w:rFonts w:cs="Calibri"/>
              </w:rPr>
              <w:t>EIA-</w:t>
            </w:r>
            <w:r>
              <w:rPr>
                <w:rFonts w:cs="Calibri"/>
              </w:rPr>
              <w:t>63B</w:t>
            </w:r>
          </w:p>
        </w:tc>
        <w:tc>
          <w:tcPr>
            <w:tcW w:w="1339" w:type="dxa"/>
          </w:tcPr>
          <w:p w14:paraId="24D442D0" w14:textId="44B34980" w:rsidR="000E63B0" w:rsidRDefault="000E63B0" w:rsidP="00DC1B1F">
            <w:pPr>
              <w:tabs>
                <w:tab w:val="left" w:pos="360"/>
              </w:tabs>
              <w:spacing w:before="120" w:line="240" w:lineRule="auto"/>
              <w:jc w:val="center"/>
              <w:rPr>
                <w:rFonts w:cs="Calibri"/>
              </w:rPr>
            </w:pPr>
            <w:r>
              <w:rPr>
                <w:rFonts w:cs="Calibri"/>
              </w:rPr>
              <w:t>9</w:t>
            </w:r>
          </w:p>
        </w:tc>
        <w:tc>
          <w:tcPr>
            <w:tcW w:w="1323" w:type="dxa"/>
          </w:tcPr>
          <w:p w14:paraId="7E13D9DC" w14:textId="2D177C42" w:rsidR="000E63B0" w:rsidRDefault="000E63B0" w:rsidP="00DC1B1F">
            <w:pPr>
              <w:tabs>
                <w:tab w:val="left" w:pos="360"/>
              </w:tabs>
              <w:spacing w:before="120" w:line="240" w:lineRule="auto"/>
              <w:jc w:val="center"/>
              <w:rPr>
                <w:rFonts w:cs="Calibri"/>
              </w:rPr>
            </w:pPr>
            <w:r>
              <w:rPr>
                <w:rFonts w:cs="Calibri"/>
              </w:rPr>
              <w:t>9</w:t>
            </w:r>
          </w:p>
        </w:tc>
        <w:tc>
          <w:tcPr>
            <w:tcW w:w="1355" w:type="dxa"/>
          </w:tcPr>
          <w:p w14:paraId="5A99C4E1" w14:textId="7906B1C3" w:rsidR="000E63B0" w:rsidRDefault="000E63B0" w:rsidP="00DC1B1F">
            <w:pPr>
              <w:tabs>
                <w:tab w:val="left" w:pos="360"/>
              </w:tabs>
              <w:spacing w:before="120" w:line="240" w:lineRule="auto"/>
              <w:jc w:val="center"/>
              <w:rPr>
                <w:rFonts w:cs="Calibri"/>
              </w:rPr>
            </w:pPr>
            <w:r>
              <w:rPr>
                <w:rFonts w:cs="Calibri"/>
              </w:rPr>
              <w:t>100%</w:t>
            </w:r>
          </w:p>
        </w:tc>
        <w:tc>
          <w:tcPr>
            <w:tcW w:w="1323" w:type="dxa"/>
          </w:tcPr>
          <w:p w14:paraId="5822E499" w14:textId="10DE721D" w:rsidR="000E63B0" w:rsidRDefault="000E63B0" w:rsidP="00DC1B1F">
            <w:pPr>
              <w:tabs>
                <w:tab w:val="left" w:pos="360"/>
              </w:tabs>
              <w:spacing w:before="120" w:line="240" w:lineRule="auto"/>
              <w:jc w:val="center"/>
              <w:rPr>
                <w:rFonts w:cs="Calibri"/>
              </w:rPr>
            </w:pPr>
            <w:r>
              <w:rPr>
                <w:rFonts w:cs="Calibri"/>
              </w:rPr>
              <w:t>0</w:t>
            </w:r>
          </w:p>
        </w:tc>
        <w:tc>
          <w:tcPr>
            <w:tcW w:w="1355" w:type="dxa"/>
          </w:tcPr>
          <w:p w14:paraId="4DA89AE5" w14:textId="40CC8825" w:rsidR="000E63B0" w:rsidRDefault="000E63B0" w:rsidP="00DC1B1F">
            <w:pPr>
              <w:tabs>
                <w:tab w:val="left" w:pos="360"/>
              </w:tabs>
              <w:spacing w:before="120" w:line="240" w:lineRule="auto"/>
              <w:jc w:val="center"/>
              <w:rPr>
                <w:rFonts w:cs="Calibri"/>
              </w:rPr>
            </w:pPr>
            <w:r>
              <w:rPr>
                <w:rFonts w:cs="Calibri"/>
              </w:rPr>
              <w:t>0%</w:t>
            </w:r>
          </w:p>
        </w:tc>
      </w:tr>
      <w:tr w:rsidR="00DC1B1F" w:rsidRPr="00DC1B1F" w14:paraId="0E0B3C03" w14:textId="77777777" w:rsidTr="00EB00B8">
        <w:tc>
          <w:tcPr>
            <w:tcW w:w="1258" w:type="dxa"/>
            <w:vMerge w:val="restart"/>
          </w:tcPr>
          <w:p w14:paraId="205E8C53" w14:textId="77777777" w:rsidR="00DC1B1F" w:rsidRPr="00DC1B1F" w:rsidRDefault="00DC1B1F" w:rsidP="00DC1B1F">
            <w:pPr>
              <w:tabs>
                <w:tab w:val="left" w:pos="360"/>
              </w:tabs>
              <w:spacing w:before="120" w:line="240" w:lineRule="auto"/>
              <w:jc w:val="center"/>
              <w:rPr>
                <w:rFonts w:cs="Calibri"/>
              </w:rPr>
            </w:pPr>
            <w:r w:rsidRPr="00DC1B1F">
              <w:rPr>
                <w:rFonts w:cs="Calibri"/>
              </w:rPr>
              <w:t>Monthly Surveys</w:t>
            </w:r>
          </w:p>
          <w:p w14:paraId="663A1F65" w14:textId="484864C5" w:rsidR="00DC1B1F" w:rsidRPr="00DC1B1F" w:rsidRDefault="00DC1B1F" w:rsidP="00DC1B1F">
            <w:pPr>
              <w:tabs>
                <w:tab w:val="left" w:pos="360"/>
              </w:tabs>
              <w:spacing w:before="120" w:line="240" w:lineRule="auto"/>
              <w:jc w:val="center"/>
              <w:rPr>
                <w:rFonts w:cs="Calibri"/>
              </w:rPr>
            </w:pPr>
            <w:r w:rsidRPr="00DC1B1F">
              <w:rPr>
                <w:rFonts w:cs="Calibri"/>
              </w:rPr>
              <w:t>Collection of January 201</w:t>
            </w:r>
            <w:r w:rsidR="00524BF6">
              <w:rPr>
                <w:rFonts w:cs="Calibri"/>
              </w:rPr>
              <w:t>9</w:t>
            </w:r>
            <w:r w:rsidRPr="00DC1B1F">
              <w:rPr>
                <w:rFonts w:cs="Calibri"/>
              </w:rPr>
              <w:t xml:space="preserve"> Data in March 201</w:t>
            </w:r>
            <w:r w:rsidR="00524BF6">
              <w:rPr>
                <w:rFonts w:cs="Calibri"/>
              </w:rPr>
              <w:t>9</w:t>
            </w:r>
            <w:r w:rsidRPr="00DC1B1F">
              <w:rPr>
                <w:rFonts w:cs="Calibri"/>
              </w:rPr>
              <w:t>**</w:t>
            </w:r>
          </w:p>
        </w:tc>
        <w:tc>
          <w:tcPr>
            <w:tcW w:w="1253" w:type="dxa"/>
          </w:tcPr>
          <w:p w14:paraId="5ED35E53" w14:textId="5E532485" w:rsidR="00DC1B1F" w:rsidRPr="00DC1B1F" w:rsidRDefault="00DC1B1F" w:rsidP="00DC1B1F">
            <w:pPr>
              <w:tabs>
                <w:tab w:val="left" w:pos="360"/>
              </w:tabs>
              <w:spacing w:before="120" w:line="240" w:lineRule="auto"/>
              <w:jc w:val="both"/>
              <w:rPr>
                <w:rFonts w:cs="Calibri"/>
              </w:rPr>
            </w:pPr>
            <w:r w:rsidRPr="00DC1B1F">
              <w:rPr>
                <w:rFonts w:cs="Calibri"/>
              </w:rPr>
              <w:t>EIA-</w:t>
            </w:r>
            <w:r w:rsidRPr="00C416DB">
              <w:rPr>
                <w:rFonts w:cs="Calibri"/>
              </w:rPr>
              <w:t>8</w:t>
            </w:r>
            <w:r w:rsidR="00C416DB" w:rsidRPr="000E63B0">
              <w:rPr>
                <w:rFonts w:cs="Calibri"/>
              </w:rPr>
              <w:t>61M</w:t>
            </w:r>
          </w:p>
        </w:tc>
        <w:tc>
          <w:tcPr>
            <w:tcW w:w="1339" w:type="dxa"/>
          </w:tcPr>
          <w:p w14:paraId="6DD680EC" w14:textId="1A0B029B" w:rsidR="00DC1B1F" w:rsidRPr="00DC1B1F" w:rsidRDefault="00C416DB" w:rsidP="00DC1B1F">
            <w:pPr>
              <w:tabs>
                <w:tab w:val="left" w:pos="360"/>
              </w:tabs>
              <w:spacing w:before="120" w:line="240" w:lineRule="auto"/>
              <w:jc w:val="center"/>
              <w:rPr>
                <w:rFonts w:cs="Calibri"/>
              </w:rPr>
            </w:pPr>
            <w:r w:rsidRPr="000E63B0">
              <w:rPr>
                <w:rFonts w:cs="Calibri"/>
              </w:rPr>
              <w:t>653</w:t>
            </w:r>
          </w:p>
        </w:tc>
        <w:tc>
          <w:tcPr>
            <w:tcW w:w="1323" w:type="dxa"/>
          </w:tcPr>
          <w:p w14:paraId="591CD7B7" w14:textId="16D9A4A2" w:rsidR="00DC1B1F" w:rsidRPr="00DC1B1F" w:rsidRDefault="00C416DB" w:rsidP="00DC1B1F">
            <w:pPr>
              <w:tabs>
                <w:tab w:val="left" w:pos="360"/>
              </w:tabs>
              <w:spacing w:before="120" w:line="240" w:lineRule="auto"/>
              <w:jc w:val="center"/>
              <w:rPr>
                <w:rFonts w:cs="Calibri"/>
              </w:rPr>
            </w:pPr>
            <w:r w:rsidRPr="000E63B0">
              <w:rPr>
                <w:rFonts w:cs="Calibri"/>
              </w:rPr>
              <w:t>651</w:t>
            </w:r>
          </w:p>
        </w:tc>
        <w:tc>
          <w:tcPr>
            <w:tcW w:w="1355" w:type="dxa"/>
          </w:tcPr>
          <w:p w14:paraId="428C7C98" w14:textId="3A75A112" w:rsidR="00DC1B1F" w:rsidRPr="00DC1B1F" w:rsidRDefault="00C416DB" w:rsidP="00DC1B1F">
            <w:pPr>
              <w:tabs>
                <w:tab w:val="left" w:pos="360"/>
              </w:tabs>
              <w:spacing w:before="120" w:line="240" w:lineRule="auto"/>
              <w:jc w:val="center"/>
              <w:rPr>
                <w:rFonts w:cs="Calibri"/>
              </w:rPr>
            </w:pPr>
            <w:r w:rsidRPr="000E63B0">
              <w:rPr>
                <w:rFonts w:cs="Calibri"/>
              </w:rPr>
              <w:t>99.69</w:t>
            </w:r>
            <w:r w:rsidR="00DC1B1F" w:rsidRPr="00DC1B1F">
              <w:rPr>
                <w:rFonts w:cs="Calibri"/>
              </w:rPr>
              <w:t>%</w:t>
            </w:r>
          </w:p>
        </w:tc>
        <w:tc>
          <w:tcPr>
            <w:tcW w:w="1323" w:type="dxa"/>
          </w:tcPr>
          <w:p w14:paraId="2294A963" w14:textId="2B846B27" w:rsidR="00DC1B1F" w:rsidRPr="00DC1B1F" w:rsidRDefault="00C416DB" w:rsidP="00DC1B1F">
            <w:pPr>
              <w:tabs>
                <w:tab w:val="left" w:pos="360"/>
              </w:tabs>
              <w:spacing w:before="120" w:line="240" w:lineRule="auto"/>
              <w:jc w:val="center"/>
              <w:rPr>
                <w:rFonts w:cs="Calibri"/>
              </w:rPr>
            </w:pPr>
            <w:r w:rsidRPr="000E63B0">
              <w:rPr>
                <w:rFonts w:cs="Calibri"/>
              </w:rPr>
              <w:t>2</w:t>
            </w:r>
          </w:p>
        </w:tc>
        <w:tc>
          <w:tcPr>
            <w:tcW w:w="1355" w:type="dxa"/>
          </w:tcPr>
          <w:p w14:paraId="3C331075" w14:textId="37E4E2D1" w:rsidR="00DC1B1F" w:rsidRPr="00DC1B1F" w:rsidRDefault="00DC1B1F" w:rsidP="00DC1B1F">
            <w:pPr>
              <w:tabs>
                <w:tab w:val="left" w:pos="360"/>
              </w:tabs>
              <w:spacing w:before="120" w:line="240" w:lineRule="auto"/>
              <w:jc w:val="center"/>
              <w:rPr>
                <w:rFonts w:cs="Calibri"/>
              </w:rPr>
            </w:pPr>
            <w:r w:rsidRPr="00DC1B1F">
              <w:rPr>
                <w:rFonts w:cs="Calibri"/>
              </w:rPr>
              <w:t>0</w:t>
            </w:r>
            <w:r w:rsidR="00C416DB" w:rsidRPr="000E63B0">
              <w:rPr>
                <w:rFonts w:cs="Calibri"/>
              </w:rPr>
              <w:t>.31</w:t>
            </w:r>
            <w:r w:rsidRPr="00DC1B1F">
              <w:rPr>
                <w:rFonts w:cs="Calibri"/>
              </w:rPr>
              <w:t>%</w:t>
            </w:r>
          </w:p>
        </w:tc>
      </w:tr>
      <w:tr w:rsidR="00DC1B1F" w:rsidRPr="00DC1B1F" w14:paraId="2B98510F" w14:textId="77777777" w:rsidTr="00EB00B8">
        <w:tc>
          <w:tcPr>
            <w:tcW w:w="1258" w:type="dxa"/>
            <w:vMerge/>
          </w:tcPr>
          <w:p w14:paraId="6009FAF5" w14:textId="77777777" w:rsidR="00DC1B1F" w:rsidRPr="00DC1B1F" w:rsidRDefault="00DC1B1F" w:rsidP="00DC1B1F">
            <w:pPr>
              <w:tabs>
                <w:tab w:val="left" w:pos="360"/>
              </w:tabs>
              <w:spacing w:before="120" w:line="240" w:lineRule="auto"/>
              <w:jc w:val="both"/>
              <w:rPr>
                <w:rFonts w:cs="Calibri"/>
              </w:rPr>
            </w:pPr>
          </w:p>
        </w:tc>
        <w:tc>
          <w:tcPr>
            <w:tcW w:w="1253" w:type="dxa"/>
          </w:tcPr>
          <w:p w14:paraId="79ED67DC" w14:textId="77777777" w:rsidR="00DC1B1F" w:rsidRPr="00DC1B1F" w:rsidRDefault="00DC1B1F" w:rsidP="00DC1B1F">
            <w:pPr>
              <w:tabs>
                <w:tab w:val="left" w:pos="360"/>
              </w:tabs>
              <w:spacing w:before="120" w:line="240" w:lineRule="auto"/>
              <w:jc w:val="both"/>
              <w:rPr>
                <w:rFonts w:cs="Calibri"/>
              </w:rPr>
            </w:pPr>
            <w:r w:rsidRPr="00DC1B1F">
              <w:rPr>
                <w:rFonts w:cs="Calibri"/>
              </w:rPr>
              <w:t>EIA-860M</w:t>
            </w:r>
          </w:p>
        </w:tc>
        <w:tc>
          <w:tcPr>
            <w:tcW w:w="1339" w:type="dxa"/>
          </w:tcPr>
          <w:p w14:paraId="23B6617A" w14:textId="0CE96BBF" w:rsidR="00DC1B1F" w:rsidRPr="00DC1B1F" w:rsidRDefault="004B542C" w:rsidP="00DC1B1F">
            <w:pPr>
              <w:tabs>
                <w:tab w:val="left" w:pos="360"/>
              </w:tabs>
              <w:spacing w:before="120" w:line="240" w:lineRule="auto"/>
              <w:jc w:val="center"/>
              <w:rPr>
                <w:rFonts w:cs="Calibri"/>
              </w:rPr>
            </w:pPr>
            <w:r>
              <w:rPr>
                <w:rFonts w:cs="Calibri"/>
              </w:rPr>
              <w:t>353</w:t>
            </w:r>
          </w:p>
        </w:tc>
        <w:tc>
          <w:tcPr>
            <w:tcW w:w="1323" w:type="dxa"/>
          </w:tcPr>
          <w:p w14:paraId="26C65738" w14:textId="71D74245" w:rsidR="00DC1B1F" w:rsidRPr="00DC1B1F" w:rsidRDefault="004B542C" w:rsidP="00DC1B1F">
            <w:pPr>
              <w:tabs>
                <w:tab w:val="left" w:pos="360"/>
              </w:tabs>
              <w:spacing w:before="120" w:line="240" w:lineRule="auto"/>
              <w:jc w:val="center"/>
              <w:rPr>
                <w:rFonts w:cs="Calibri"/>
              </w:rPr>
            </w:pPr>
            <w:r>
              <w:rPr>
                <w:rFonts w:cs="Calibri"/>
              </w:rPr>
              <w:t>353</w:t>
            </w:r>
          </w:p>
        </w:tc>
        <w:tc>
          <w:tcPr>
            <w:tcW w:w="1355" w:type="dxa"/>
          </w:tcPr>
          <w:p w14:paraId="220CC747" w14:textId="3E30F764" w:rsidR="00DC1B1F" w:rsidRPr="00DC1B1F" w:rsidRDefault="004B542C" w:rsidP="00DC1B1F">
            <w:pPr>
              <w:tabs>
                <w:tab w:val="left" w:pos="360"/>
              </w:tabs>
              <w:spacing w:before="120" w:line="240" w:lineRule="auto"/>
              <w:jc w:val="center"/>
              <w:rPr>
                <w:rFonts w:cs="Calibri"/>
              </w:rPr>
            </w:pPr>
            <w:r>
              <w:rPr>
                <w:rFonts w:cs="Calibri"/>
              </w:rPr>
              <w:t>100</w:t>
            </w:r>
            <w:r w:rsidR="00DC1B1F" w:rsidRPr="00DC1B1F">
              <w:rPr>
                <w:rFonts w:cs="Calibri"/>
              </w:rPr>
              <w:t>%</w:t>
            </w:r>
          </w:p>
        </w:tc>
        <w:tc>
          <w:tcPr>
            <w:tcW w:w="1323" w:type="dxa"/>
          </w:tcPr>
          <w:p w14:paraId="5F45B0A7" w14:textId="13B040C7" w:rsidR="00DC1B1F" w:rsidRPr="00DC1B1F" w:rsidRDefault="00C416DB" w:rsidP="00DC1B1F">
            <w:pPr>
              <w:tabs>
                <w:tab w:val="left" w:pos="360"/>
              </w:tabs>
              <w:spacing w:before="120" w:line="240" w:lineRule="auto"/>
              <w:jc w:val="center"/>
              <w:rPr>
                <w:rFonts w:cs="Calibri"/>
              </w:rPr>
            </w:pPr>
            <w:r>
              <w:rPr>
                <w:rFonts w:cs="Calibri"/>
              </w:rPr>
              <w:t>0</w:t>
            </w:r>
          </w:p>
        </w:tc>
        <w:tc>
          <w:tcPr>
            <w:tcW w:w="1355" w:type="dxa"/>
          </w:tcPr>
          <w:p w14:paraId="0F96E9E9" w14:textId="47C735DD" w:rsidR="00DC1B1F" w:rsidRPr="00DC1B1F" w:rsidRDefault="00DC1B1F" w:rsidP="00DC1B1F">
            <w:pPr>
              <w:tabs>
                <w:tab w:val="left" w:pos="360"/>
              </w:tabs>
              <w:spacing w:before="120" w:line="240" w:lineRule="auto"/>
              <w:jc w:val="center"/>
              <w:rPr>
                <w:rFonts w:cs="Calibri"/>
              </w:rPr>
            </w:pPr>
            <w:r w:rsidRPr="00DC1B1F">
              <w:rPr>
                <w:rFonts w:cs="Calibri"/>
              </w:rPr>
              <w:t>0%</w:t>
            </w:r>
          </w:p>
        </w:tc>
      </w:tr>
      <w:tr w:rsidR="00DC1B1F" w:rsidRPr="00DC1B1F" w14:paraId="1BB51952" w14:textId="77777777" w:rsidTr="00EB00B8">
        <w:tc>
          <w:tcPr>
            <w:tcW w:w="1258" w:type="dxa"/>
            <w:vMerge/>
          </w:tcPr>
          <w:p w14:paraId="0D6A75E2" w14:textId="77777777" w:rsidR="00DC1B1F" w:rsidRPr="00DC1B1F" w:rsidRDefault="00DC1B1F" w:rsidP="00DC1B1F">
            <w:pPr>
              <w:tabs>
                <w:tab w:val="left" w:pos="360"/>
              </w:tabs>
              <w:spacing w:before="120" w:line="240" w:lineRule="auto"/>
              <w:jc w:val="both"/>
              <w:rPr>
                <w:rFonts w:cs="Calibri"/>
              </w:rPr>
            </w:pPr>
          </w:p>
        </w:tc>
        <w:tc>
          <w:tcPr>
            <w:tcW w:w="1253" w:type="dxa"/>
          </w:tcPr>
          <w:p w14:paraId="483912E0" w14:textId="77777777" w:rsidR="00DC1B1F" w:rsidRPr="00DC1B1F" w:rsidRDefault="00DC1B1F" w:rsidP="00DC1B1F">
            <w:pPr>
              <w:tabs>
                <w:tab w:val="left" w:pos="360"/>
              </w:tabs>
              <w:spacing w:before="120" w:line="240" w:lineRule="auto"/>
              <w:jc w:val="both"/>
              <w:rPr>
                <w:rFonts w:cs="Calibri"/>
              </w:rPr>
            </w:pPr>
            <w:r w:rsidRPr="00DC1B1F">
              <w:rPr>
                <w:rFonts w:cs="Calibri"/>
              </w:rPr>
              <w:t>EIA-923</w:t>
            </w:r>
          </w:p>
        </w:tc>
        <w:tc>
          <w:tcPr>
            <w:tcW w:w="1339" w:type="dxa"/>
          </w:tcPr>
          <w:p w14:paraId="509608EB" w14:textId="08623A31" w:rsidR="00DC1B1F" w:rsidRPr="00DC1B1F" w:rsidRDefault="00524BF6" w:rsidP="00DC1B1F">
            <w:pPr>
              <w:tabs>
                <w:tab w:val="left" w:pos="360"/>
              </w:tabs>
              <w:spacing w:before="120" w:line="240" w:lineRule="auto"/>
              <w:jc w:val="center"/>
              <w:rPr>
                <w:rFonts w:cs="Calibri"/>
              </w:rPr>
            </w:pPr>
            <w:r>
              <w:rPr>
                <w:rFonts w:cs="Calibri"/>
              </w:rPr>
              <w:t>1991</w:t>
            </w:r>
          </w:p>
        </w:tc>
        <w:tc>
          <w:tcPr>
            <w:tcW w:w="1323" w:type="dxa"/>
          </w:tcPr>
          <w:p w14:paraId="26E10EA4" w14:textId="66F9D783" w:rsidR="00DC1B1F" w:rsidRPr="00DC1B1F" w:rsidRDefault="00524BF6" w:rsidP="00DC1B1F">
            <w:pPr>
              <w:tabs>
                <w:tab w:val="left" w:pos="360"/>
              </w:tabs>
              <w:spacing w:before="120" w:line="240" w:lineRule="auto"/>
              <w:jc w:val="center"/>
              <w:rPr>
                <w:rFonts w:cs="Calibri"/>
              </w:rPr>
            </w:pPr>
            <w:r>
              <w:rPr>
                <w:rFonts w:cs="Calibri"/>
              </w:rPr>
              <w:t>1989</w:t>
            </w:r>
          </w:p>
        </w:tc>
        <w:tc>
          <w:tcPr>
            <w:tcW w:w="1355" w:type="dxa"/>
          </w:tcPr>
          <w:p w14:paraId="22FB794E" w14:textId="244170C6" w:rsidR="00DC1B1F" w:rsidRPr="00DC1B1F" w:rsidRDefault="00524BF6" w:rsidP="00DC1B1F">
            <w:pPr>
              <w:tabs>
                <w:tab w:val="left" w:pos="360"/>
              </w:tabs>
              <w:spacing w:before="120" w:line="240" w:lineRule="auto"/>
              <w:jc w:val="center"/>
              <w:rPr>
                <w:rFonts w:cs="Calibri"/>
              </w:rPr>
            </w:pPr>
            <w:r>
              <w:rPr>
                <w:rFonts w:cs="Calibri"/>
              </w:rPr>
              <w:t>99.9</w:t>
            </w:r>
            <w:r w:rsidR="00DC1B1F" w:rsidRPr="00DC1B1F">
              <w:rPr>
                <w:rFonts w:cs="Calibri"/>
              </w:rPr>
              <w:t>%</w:t>
            </w:r>
          </w:p>
        </w:tc>
        <w:tc>
          <w:tcPr>
            <w:tcW w:w="1323" w:type="dxa"/>
          </w:tcPr>
          <w:p w14:paraId="24696301" w14:textId="128A8AA9" w:rsidR="00DC1B1F" w:rsidRPr="00DC1B1F" w:rsidRDefault="00524BF6" w:rsidP="00DC1B1F">
            <w:pPr>
              <w:tabs>
                <w:tab w:val="left" w:pos="360"/>
              </w:tabs>
              <w:spacing w:before="120" w:line="240" w:lineRule="auto"/>
              <w:jc w:val="center"/>
              <w:rPr>
                <w:rFonts w:cs="Calibri"/>
              </w:rPr>
            </w:pPr>
            <w:r>
              <w:rPr>
                <w:rFonts w:cs="Calibri"/>
              </w:rPr>
              <w:t>2</w:t>
            </w:r>
          </w:p>
        </w:tc>
        <w:tc>
          <w:tcPr>
            <w:tcW w:w="1355" w:type="dxa"/>
          </w:tcPr>
          <w:p w14:paraId="7A07E3A5" w14:textId="0CAC8BF9" w:rsidR="00DC1B1F" w:rsidRPr="00DC1B1F" w:rsidRDefault="00DC1B1F" w:rsidP="00531574">
            <w:pPr>
              <w:tabs>
                <w:tab w:val="left" w:pos="360"/>
              </w:tabs>
              <w:spacing w:before="120" w:line="240" w:lineRule="auto"/>
              <w:jc w:val="center"/>
              <w:rPr>
                <w:rFonts w:cs="Calibri"/>
              </w:rPr>
            </w:pPr>
            <w:r w:rsidRPr="00DC1B1F">
              <w:rPr>
                <w:rFonts w:cs="Calibri"/>
              </w:rPr>
              <w:t>0</w:t>
            </w:r>
            <w:r w:rsidR="00524BF6">
              <w:rPr>
                <w:rFonts w:cs="Calibri"/>
              </w:rPr>
              <w:t>.</w:t>
            </w:r>
            <w:r w:rsidR="00531574" w:rsidDel="00531574">
              <w:rPr>
                <w:rFonts w:cs="Calibri"/>
              </w:rPr>
              <w:t xml:space="preserve"> </w:t>
            </w:r>
            <w:r w:rsidR="00524BF6">
              <w:rPr>
                <w:rFonts w:cs="Calibri"/>
              </w:rPr>
              <w:t>1</w:t>
            </w:r>
            <w:r w:rsidRPr="00DC1B1F">
              <w:rPr>
                <w:rFonts w:cs="Calibri"/>
              </w:rPr>
              <w:t>%</w:t>
            </w:r>
          </w:p>
        </w:tc>
      </w:tr>
      <w:tr w:rsidR="00DC1B1F" w:rsidRPr="00DC1B1F" w14:paraId="1370FA37" w14:textId="77777777" w:rsidTr="31310C96">
        <w:tc>
          <w:tcPr>
            <w:tcW w:w="1258" w:type="dxa"/>
          </w:tcPr>
          <w:p w14:paraId="0D991351" w14:textId="0E3AC40F" w:rsidR="00DC1B1F" w:rsidRPr="00DC1B1F" w:rsidRDefault="00DC1B1F" w:rsidP="00DC1B1F">
            <w:pPr>
              <w:tabs>
                <w:tab w:val="left" w:pos="360"/>
              </w:tabs>
              <w:spacing w:before="120" w:line="240" w:lineRule="auto"/>
              <w:jc w:val="center"/>
              <w:rPr>
                <w:rFonts w:cs="Calibri"/>
              </w:rPr>
            </w:pPr>
            <w:r w:rsidRPr="00DC1B1F">
              <w:rPr>
                <w:rFonts w:cs="Calibri"/>
              </w:rPr>
              <w:t xml:space="preserve">Hourly and Daily Collection of April </w:t>
            </w:r>
            <w:r w:rsidR="001A2C4C">
              <w:rPr>
                <w:rFonts w:cs="Calibri"/>
              </w:rPr>
              <w:t>1</w:t>
            </w:r>
            <w:r w:rsidRPr="00DC1B1F">
              <w:rPr>
                <w:rFonts w:cs="Calibri"/>
              </w:rPr>
              <w:t>, 201</w:t>
            </w:r>
            <w:r w:rsidR="001A2C4C">
              <w:rPr>
                <w:rFonts w:cs="Calibri"/>
              </w:rPr>
              <w:t>9</w:t>
            </w:r>
            <w:r w:rsidRPr="00DC1B1F">
              <w:rPr>
                <w:rFonts w:cs="Calibri"/>
              </w:rPr>
              <w:t>***</w:t>
            </w:r>
          </w:p>
        </w:tc>
        <w:tc>
          <w:tcPr>
            <w:tcW w:w="1253" w:type="dxa"/>
          </w:tcPr>
          <w:p w14:paraId="4486CA90" w14:textId="77777777" w:rsidR="00DC1B1F" w:rsidRPr="0014022A" w:rsidRDefault="00DC1B1F" w:rsidP="00DC1B1F">
            <w:pPr>
              <w:tabs>
                <w:tab w:val="left" w:pos="360"/>
              </w:tabs>
              <w:spacing w:before="120" w:line="240" w:lineRule="auto"/>
              <w:jc w:val="both"/>
              <w:rPr>
                <w:rFonts w:cs="Calibri"/>
              </w:rPr>
            </w:pPr>
            <w:r w:rsidRPr="0014022A">
              <w:rPr>
                <w:rFonts w:cs="Calibri"/>
              </w:rPr>
              <w:t>EIA-930</w:t>
            </w:r>
          </w:p>
        </w:tc>
        <w:tc>
          <w:tcPr>
            <w:tcW w:w="1339" w:type="dxa"/>
          </w:tcPr>
          <w:p w14:paraId="0215E2BD" w14:textId="13BED335" w:rsidR="00DC1B1F" w:rsidRPr="0014022A" w:rsidRDefault="00842F21" w:rsidP="00DC1B1F">
            <w:pPr>
              <w:tabs>
                <w:tab w:val="left" w:pos="360"/>
              </w:tabs>
              <w:spacing w:before="120" w:line="240" w:lineRule="auto"/>
              <w:jc w:val="center"/>
              <w:rPr>
                <w:rFonts w:cs="Calibri"/>
              </w:rPr>
            </w:pPr>
            <w:r w:rsidRPr="0014022A">
              <w:rPr>
                <w:rFonts w:cs="Calibri"/>
              </w:rPr>
              <w:t>6</w:t>
            </w:r>
            <w:r w:rsidR="0014022A" w:rsidRPr="0014022A">
              <w:rPr>
                <w:rFonts w:cs="Calibri"/>
              </w:rPr>
              <w:t>5</w:t>
            </w:r>
          </w:p>
        </w:tc>
        <w:tc>
          <w:tcPr>
            <w:tcW w:w="1323" w:type="dxa"/>
          </w:tcPr>
          <w:p w14:paraId="1CA819C5" w14:textId="02492A12" w:rsidR="00DC1B1F" w:rsidRPr="0014022A" w:rsidRDefault="00DC1B1F" w:rsidP="00DC1B1F">
            <w:pPr>
              <w:tabs>
                <w:tab w:val="left" w:pos="360"/>
              </w:tabs>
              <w:spacing w:before="120" w:line="240" w:lineRule="auto"/>
              <w:jc w:val="center"/>
              <w:rPr>
                <w:rFonts w:cs="Calibri"/>
              </w:rPr>
            </w:pPr>
            <w:r w:rsidRPr="0014022A">
              <w:rPr>
                <w:rFonts w:cs="Calibri"/>
              </w:rPr>
              <w:t>1</w:t>
            </w:r>
            <w:r w:rsidR="0014022A" w:rsidRPr="0014022A">
              <w:rPr>
                <w:rFonts w:cs="Calibri"/>
              </w:rPr>
              <w:t>385</w:t>
            </w:r>
          </w:p>
        </w:tc>
        <w:tc>
          <w:tcPr>
            <w:tcW w:w="1355" w:type="dxa"/>
          </w:tcPr>
          <w:p w14:paraId="77F15B61" w14:textId="46DF4FC6" w:rsidR="00DC1B1F" w:rsidRPr="0014022A" w:rsidRDefault="00DC1B1F" w:rsidP="00DC1B1F">
            <w:pPr>
              <w:tabs>
                <w:tab w:val="left" w:pos="360"/>
              </w:tabs>
              <w:spacing w:before="120" w:line="240" w:lineRule="auto"/>
              <w:jc w:val="center"/>
              <w:rPr>
                <w:rFonts w:cs="Calibri"/>
              </w:rPr>
            </w:pPr>
            <w:r w:rsidRPr="0014022A">
              <w:rPr>
                <w:rFonts w:cs="Calibri"/>
              </w:rPr>
              <w:t>9</w:t>
            </w:r>
            <w:r w:rsidR="0014022A" w:rsidRPr="0014022A">
              <w:rPr>
                <w:rFonts w:cs="Calibri"/>
              </w:rPr>
              <w:t>9</w:t>
            </w:r>
            <w:r w:rsidRPr="0014022A">
              <w:rPr>
                <w:rFonts w:cs="Calibri"/>
              </w:rPr>
              <w:t>%</w:t>
            </w:r>
          </w:p>
        </w:tc>
        <w:tc>
          <w:tcPr>
            <w:tcW w:w="1323" w:type="dxa"/>
          </w:tcPr>
          <w:p w14:paraId="014B8DA8" w14:textId="60375C5D" w:rsidR="00DC1B1F" w:rsidRPr="0014022A" w:rsidRDefault="0014022A" w:rsidP="00DC1B1F">
            <w:pPr>
              <w:tabs>
                <w:tab w:val="left" w:pos="360"/>
              </w:tabs>
              <w:spacing w:before="120" w:line="240" w:lineRule="auto"/>
              <w:jc w:val="center"/>
              <w:rPr>
                <w:rFonts w:cs="Calibri"/>
              </w:rPr>
            </w:pPr>
            <w:r w:rsidRPr="0014022A">
              <w:rPr>
                <w:rFonts w:cs="Calibri"/>
              </w:rPr>
              <w:t>16</w:t>
            </w:r>
          </w:p>
        </w:tc>
        <w:tc>
          <w:tcPr>
            <w:tcW w:w="1355" w:type="dxa"/>
          </w:tcPr>
          <w:p w14:paraId="4A860B6C" w14:textId="00043FAB" w:rsidR="00DC1B1F" w:rsidRPr="0014022A" w:rsidRDefault="0014022A" w:rsidP="00DC1B1F">
            <w:pPr>
              <w:tabs>
                <w:tab w:val="left" w:pos="360"/>
              </w:tabs>
              <w:spacing w:before="120" w:line="240" w:lineRule="auto"/>
              <w:jc w:val="center"/>
              <w:rPr>
                <w:rFonts w:cs="Calibri"/>
              </w:rPr>
            </w:pPr>
            <w:r w:rsidRPr="0014022A">
              <w:rPr>
                <w:rFonts w:cs="Calibri"/>
              </w:rPr>
              <w:t>1</w:t>
            </w:r>
            <w:r w:rsidR="00DC1B1F" w:rsidRPr="0014022A">
              <w:rPr>
                <w:rFonts w:cs="Calibri"/>
              </w:rPr>
              <w:t>%</w:t>
            </w:r>
          </w:p>
        </w:tc>
      </w:tr>
      <w:tr w:rsidR="00DC1B1F" w:rsidRPr="00DC1B1F" w14:paraId="428C313C" w14:textId="77777777" w:rsidTr="00EB00B8">
        <w:tc>
          <w:tcPr>
            <w:tcW w:w="9206" w:type="dxa"/>
            <w:gridSpan w:val="7"/>
          </w:tcPr>
          <w:p w14:paraId="703BD5F6" w14:textId="12C21E32" w:rsidR="00DC1B1F" w:rsidRPr="00DC1B1F" w:rsidRDefault="00DC1B1F" w:rsidP="00E37F16">
            <w:pPr>
              <w:tabs>
                <w:tab w:val="left" w:pos="360"/>
              </w:tabs>
              <w:spacing w:before="120" w:line="240" w:lineRule="auto"/>
              <w:jc w:val="both"/>
              <w:rPr>
                <w:rFonts w:cs="Calibri"/>
                <w:sz w:val="18"/>
                <w:szCs w:val="18"/>
              </w:rPr>
            </w:pPr>
            <w:r w:rsidRPr="00DC1B1F">
              <w:rPr>
                <w:rFonts w:cs="Calibri"/>
                <w:sz w:val="18"/>
                <w:szCs w:val="18"/>
              </w:rPr>
              <w:t>*The most current, complete annual surveys collection was for 201</w:t>
            </w:r>
            <w:r w:rsidR="00524BF6">
              <w:rPr>
                <w:rFonts w:cs="Calibri"/>
                <w:sz w:val="18"/>
                <w:szCs w:val="18"/>
              </w:rPr>
              <w:t>7</w:t>
            </w:r>
            <w:r w:rsidRPr="00DC1B1F">
              <w:rPr>
                <w:rFonts w:cs="Calibri"/>
                <w:sz w:val="18"/>
                <w:szCs w:val="18"/>
              </w:rPr>
              <w:t xml:space="preserve"> data, completed and published in January 201</w:t>
            </w:r>
            <w:r w:rsidR="00524BF6">
              <w:rPr>
                <w:rFonts w:cs="Calibri"/>
                <w:sz w:val="18"/>
                <w:szCs w:val="18"/>
              </w:rPr>
              <w:t>9</w:t>
            </w:r>
            <w:r w:rsidRPr="00DC1B1F">
              <w:rPr>
                <w:rFonts w:cs="Calibri"/>
                <w:sz w:val="18"/>
                <w:szCs w:val="18"/>
              </w:rPr>
              <w:t>. The annual surveys collection of 201</w:t>
            </w:r>
            <w:r w:rsidR="00524BF6">
              <w:rPr>
                <w:rFonts w:cs="Calibri"/>
                <w:sz w:val="18"/>
                <w:szCs w:val="18"/>
              </w:rPr>
              <w:t>8</w:t>
            </w:r>
            <w:r w:rsidRPr="00DC1B1F">
              <w:rPr>
                <w:rFonts w:cs="Calibri"/>
                <w:sz w:val="18"/>
                <w:szCs w:val="18"/>
              </w:rPr>
              <w:t xml:space="preserve"> data is currently being processed and prepared for final publication in late 201</w:t>
            </w:r>
            <w:r w:rsidR="00524BF6">
              <w:rPr>
                <w:rFonts w:cs="Calibri"/>
                <w:sz w:val="18"/>
                <w:szCs w:val="18"/>
              </w:rPr>
              <w:t>9</w:t>
            </w:r>
            <w:r w:rsidRPr="00DC1B1F">
              <w:rPr>
                <w:rFonts w:cs="Calibri"/>
                <w:sz w:val="18"/>
                <w:szCs w:val="18"/>
              </w:rPr>
              <w:t>.</w:t>
            </w:r>
            <w:r w:rsidRPr="00DC1B1F" w:rsidDel="006F2329">
              <w:rPr>
                <w:rFonts w:cs="Calibri"/>
                <w:sz w:val="18"/>
                <w:szCs w:val="18"/>
              </w:rPr>
              <w:t xml:space="preserve"> </w:t>
            </w:r>
            <w:r w:rsidRPr="00DC1B1F">
              <w:rPr>
                <w:rFonts w:cs="Calibri"/>
                <w:sz w:val="18"/>
                <w:szCs w:val="18"/>
              </w:rPr>
              <w:br/>
              <w:t>**The latest monthly data collection was for January 201</w:t>
            </w:r>
            <w:r w:rsidR="00524BF6">
              <w:rPr>
                <w:rFonts w:cs="Calibri"/>
                <w:sz w:val="18"/>
                <w:szCs w:val="18"/>
              </w:rPr>
              <w:t>9</w:t>
            </w:r>
            <w:r w:rsidRPr="00DC1B1F">
              <w:rPr>
                <w:rFonts w:cs="Calibri"/>
                <w:sz w:val="18"/>
                <w:szCs w:val="18"/>
              </w:rPr>
              <w:t xml:space="preserve"> data.</w:t>
            </w:r>
            <w:r w:rsidR="009D3901">
              <w:rPr>
                <w:rFonts w:cs="Calibri"/>
                <w:sz w:val="18"/>
                <w:szCs w:val="18"/>
              </w:rPr>
              <w:t xml:space="preserve"> </w:t>
            </w:r>
            <w:r w:rsidRPr="00DC1B1F">
              <w:rPr>
                <w:rFonts w:cs="Calibri"/>
                <w:sz w:val="18"/>
                <w:szCs w:val="18"/>
              </w:rPr>
              <w:t>The data, which are considered preliminary, were published in late March 2016. ***This day was chosen as a representative day.</w:t>
            </w:r>
            <w:r w:rsidR="009D3901">
              <w:rPr>
                <w:rFonts w:cs="Calibri"/>
                <w:sz w:val="18"/>
                <w:szCs w:val="18"/>
              </w:rPr>
              <w:t xml:space="preserve"> </w:t>
            </w:r>
            <w:r w:rsidRPr="00DC1B1F">
              <w:rPr>
                <w:rFonts w:cs="Calibri"/>
                <w:sz w:val="18"/>
                <w:szCs w:val="18"/>
              </w:rPr>
              <w:t>Hourly data are posted within one hour and daily data are posted the next day.</w:t>
            </w:r>
            <w:r w:rsidR="0088632A">
              <w:rPr>
                <w:rFonts w:cs="Calibri"/>
                <w:sz w:val="18"/>
                <w:szCs w:val="18"/>
              </w:rPr>
              <w:t xml:space="preserve">****The low response rate on Form EIA-63B may be due to </w:t>
            </w:r>
            <w:r w:rsidR="00E37F16">
              <w:rPr>
                <w:rFonts w:cs="Calibri"/>
                <w:sz w:val="18"/>
                <w:szCs w:val="18"/>
              </w:rPr>
              <w:t xml:space="preserve">unknown </w:t>
            </w:r>
            <w:r w:rsidR="0088632A">
              <w:rPr>
                <w:rFonts w:cs="Calibri"/>
                <w:sz w:val="18"/>
                <w:szCs w:val="18"/>
              </w:rPr>
              <w:t>acquisitions and shut-down</w:t>
            </w:r>
            <w:r w:rsidR="00E37F16">
              <w:rPr>
                <w:rFonts w:cs="Calibri"/>
                <w:sz w:val="18"/>
                <w:szCs w:val="18"/>
              </w:rPr>
              <w:t>s of eligible companies.  This frame had an approximately 33% reduction in size since 2015, and it is possible that several companies who did not respond to any communications no longer exist.</w:t>
            </w:r>
          </w:p>
        </w:tc>
      </w:tr>
    </w:tbl>
    <w:p w14:paraId="7C1EB6D6" w14:textId="7833B576" w:rsidR="00DC1B1F" w:rsidRDefault="00DC1B1F" w:rsidP="00DC1B1F">
      <w:pPr>
        <w:spacing w:before="240"/>
      </w:pPr>
      <w:r>
        <w:t>To maximize response rates, EIA survey forms and instructions are designed and written for clarity and conciseness.</w:t>
      </w:r>
      <w:r w:rsidR="009D3901">
        <w:t xml:space="preserve"> </w:t>
      </w:r>
      <w:r>
        <w:t>Data that are not expected to change from year-to-year or month-to-month are pre</w:t>
      </w:r>
      <w:r w:rsidR="00B14C19">
        <w:noBreakHyphen/>
      </w:r>
      <w:r>
        <w:t>populated on the forms.</w:t>
      </w:r>
      <w:r w:rsidR="009D3901">
        <w:t xml:space="preserve"> </w:t>
      </w:r>
      <w:r>
        <w:t>Notifications are emailed early to maximize the time that respondents have to complete the surveys.</w:t>
      </w:r>
    </w:p>
    <w:p w14:paraId="41592A40" w14:textId="3899C9DE" w:rsidR="00DC1B1F" w:rsidRDefault="00DC1B1F" w:rsidP="00DC1B1F">
      <w:r>
        <w:t>As noted in Part A, EIA’s Internet data collection system makes forms available on-line as soon as respondents obtain a secure ID and password.</w:t>
      </w:r>
      <w:r w:rsidR="009D3901">
        <w:t xml:space="preserve"> </w:t>
      </w:r>
      <w:r>
        <w:t>Given the high Internet use rate among respondents to these surveys (approximately 95 percent), most online respondents will log on in the next data collection period and access their required forms.</w:t>
      </w:r>
      <w:r w:rsidR="009D3901">
        <w:t xml:space="preserve"> </w:t>
      </w:r>
      <w:r>
        <w:t>Form due dates are the same each period so that respondents can schedule their completion activities.</w:t>
      </w:r>
    </w:p>
    <w:p w14:paraId="14B6B27E" w14:textId="18A33428" w:rsidR="00DC1B1F" w:rsidRDefault="00DC1B1F" w:rsidP="00DC1B1F">
      <w:r>
        <w:t>Any non-respondents are contacted by email, telephone, and letter to request data submission, until an insignificant or zero non-response rate is obtained.</w:t>
      </w:r>
      <w:r w:rsidR="009D3901">
        <w:t xml:space="preserve"> </w:t>
      </w:r>
      <w:r>
        <w:t>Follow-up email messages citing sanctions for failing to file the required form(s) are sent to all non-respondents.</w:t>
      </w:r>
      <w:r w:rsidR="009D3901">
        <w:t xml:space="preserve"> </w:t>
      </w:r>
      <w:r>
        <w:t>If the follow-up email messages do not result in a response, additional correspondence requesting immediate submission is sent to the supervisor of the primary contact and, if necessary, to higher-level management officials at the nonresponding entity.</w:t>
      </w:r>
      <w:r w:rsidR="009D3901">
        <w:t xml:space="preserve"> </w:t>
      </w:r>
    </w:p>
    <w:p w14:paraId="3FEA4C10" w14:textId="4814AA16" w:rsidR="00DC1B1F" w:rsidRDefault="00DC1B1F" w:rsidP="00DC1B1F">
      <w:r>
        <w:t xml:space="preserve">Respondents who file via the Internet system </w:t>
      </w:r>
      <w:r w:rsidR="00596F3B">
        <w:t>have</w:t>
      </w:r>
      <w:r>
        <w:t xml:space="preserve"> the opportunity to either correct or explain unusual data during their submission.</w:t>
      </w:r>
      <w:r w:rsidR="009D3901">
        <w:t xml:space="preserve"> </w:t>
      </w:r>
      <w:r>
        <w:t>These explanations are reviewed by EIA staff.</w:t>
      </w:r>
      <w:r w:rsidR="009D3901">
        <w:t xml:space="preserve"> </w:t>
      </w:r>
      <w:r>
        <w:t>Respondents are contacted if further clarification is needed.</w:t>
      </w:r>
      <w:r w:rsidR="009D3901">
        <w:t xml:space="preserve"> </w:t>
      </w:r>
      <w:r>
        <w:t>For those respondents that do not file via the Internet, but rather on a hard copy of the form, email messages are sent and/or telephone calls are made to confirm corrections or clarifications of any data suspected to be in error.</w:t>
      </w:r>
    </w:p>
    <w:p w14:paraId="1A74D5CF" w14:textId="1AFA8C2A" w:rsidR="00DC1B1F" w:rsidRDefault="00DC1B1F" w:rsidP="00DC1B1F">
      <w:r>
        <w:t>Changes in plant ownership and/or contacts have contributed in the past to non-response.</w:t>
      </w:r>
      <w:r w:rsidR="009D3901">
        <w:t xml:space="preserve"> </w:t>
      </w:r>
      <w:r>
        <w:t>To address this issue, EIA developed an improved centralized frame system for the electric power surveys.</w:t>
      </w:r>
      <w:r w:rsidR="009D3901">
        <w:t xml:space="preserve"> </w:t>
      </w:r>
      <w:r>
        <w:t>This system affords all survey staff almost immediate knowledge of changes in entity ownership and/or contacts.</w:t>
      </w:r>
      <w:r w:rsidR="009D3901">
        <w:t xml:space="preserve"> </w:t>
      </w:r>
      <w:r>
        <w:t>This frame system is integrated with the EIA’s Internet Data Collection system so that access can quickly be given to new owners and/or contacts.</w:t>
      </w:r>
    </w:p>
    <w:p w14:paraId="0F3B316E" w14:textId="77777777" w:rsidR="005B6198" w:rsidRDefault="005B6198" w:rsidP="00DC1B1F"/>
    <w:p w14:paraId="6CE40A85" w14:textId="77777777" w:rsidR="007E53C4" w:rsidRDefault="00844524" w:rsidP="007E53C4">
      <w:pPr>
        <w:pStyle w:val="Heading2"/>
      </w:pPr>
      <w:bookmarkStart w:id="11" w:name="_Toc536707019"/>
      <w:r>
        <w:t>B.</w:t>
      </w:r>
      <w:r w:rsidR="00A41763" w:rsidRPr="00A41763">
        <w:t xml:space="preserve">4. </w:t>
      </w:r>
      <w:r w:rsidR="007E53C4">
        <w:t>Test Procedures and Form Consultations</w:t>
      </w:r>
      <w:bookmarkEnd w:id="11"/>
    </w:p>
    <w:p w14:paraId="03748E0D" w14:textId="4452C5EE" w:rsidR="00DC1B1F" w:rsidRPr="00394044" w:rsidRDefault="00DC1B1F" w:rsidP="00DC1B1F">
      <w:r w:rsidRPr="00394044">
        <w:t xml:space="preserve">The survey designs </w:t>
      </w:r>
      <w:r>
        <w:t>are</w:t>
      </w:r>
      <w:r w:rsidRPr="00394044">
        <w:t xml:space="preserve"> reviewed by EIA cognitive specialists and modified as necessary to improve clarity and reduce burden.</w:t>
      </w:r>
      <w:r w:rsidR="009D3901">
        <w:t xml:space="preserve"> </w:t>
      </w:r>
    </w:p>
    <w:p w14:paraId="297A3468" w14:textId="638504DE" w:rsidR="00DC1B1F" w:rsidRPr="00586CEB" w:rsidRDefault="00DC1B1F" w:rsidP="00DC1B1F">
      <w:r w:rsidRPr="00394044">
        <w:t>For additional information on forms review, please see Part A, section A.8., “Summary of Consultations Outside of the Agency.”</w:t>
      </w:r>
      <w:r w:rsidR="009D3901">
        <w:t xml:space="preserve"> </w:t>
      </w:r>
      <w:r>
        <w:t>For a summary of the comments received and EIA’s responses, see the Public Comment File submitted with this OMB package.</w:t>
      </w:r>
    </w:p>
    <w:p w14:paraId="50394FA6" w14:textId="77777777" w:rsidR="007E53C4" w:rsidRPr="00A41763" w:rsidRDefault="007E53C4" w:rsidP="00A41763"/>
    <w:p w14:paraId="41B1734A" w14:textId="77777777" w:rsidR="007E53C4" w:rsidRDefault="00844524" w:rsidP="007E53C4">
      <w:pPr>
        <w:pStyle w:val="Heading2"/>
      </w:pPr>
      <w:bookmarkStart w:id="12" w:name="_Toc536707020"/>
      <w:r>
        <w:t>B.</w:t>
      </w:r>
      <w:r w:rsidR="00A41763" w:rsidRPr="00A41763">
        <w:t xml:space="preserve">5. </w:t>
      </w:r>
      <w:r w:rsidR="007E53C4">
        <w:t>Statistical Consultations</w:t>
      </w:r>
      <w:bookmarkEnd w:id="12"/>
    </w:p>
    <w:p w14:paraId="4FA0AB82" w14:textId="43B0CDD6" w:rsidR="00DC1B1F" w:rsidRPr="00532339" w:rsidRDefault="00DC1B1F" w:rsidP="00DC1B1F">
      <w:r>
        <w:t>For additional information concerning this proposed informati</w:t>
      </w:r>
      <w:r w:rsidRPr="00532339">
        <w:t xml:space="preserve">on collection, please </w:t>
      </w:r>
      <w:r w:rsidRPr="001805F8">
        <w:t xml:space="preserve">contact </w:t>
      </w:r>
      <w:r w:rsidR="001805F8" w:rsidRPr="00932E7D">
        <w:t xml:space="preserve">Sara Hoff </w:t>
      </w:r>
      <w:r w:rsidRPr="00932E7D">
        <w:t>at 202-</w:t>
      </w:r>
      <w:r w:rsidRPr="00593EC8">
        <w:t>586-</w:t>
      </w:r>
      <w:r w:rsidR="00593EC8" w:rsidRPr="00593EC8">
        <w:t>1242</w:t>
      </w:r>
      <w:r w:rsidRPr="00593EC8">
        <w:t xml:space="preserve">, or at </w:t>
      </w:r>
      <w:r w:rsidR="00593EC8" w:rsidRPr="00593EC8">
        <w:t>electricity2020</w:t>
      </w:r>
      <w:r w:rsidRPr="00593EC8">
        <w:t>@eia.gov.</w:t>
      </w:r>
    </w:p>
    <w:p w14:paraId="61E07AF5" w14:textId="77777777" w:rsidR="00DC1B1F" w:rsidRPr="00DC1B1F" w:rsidRDefault="00DC1B1F" w:rsidP="00DC1B1F"/>
    <w:sectPr w:rsidR="00DC1B1F" w:rsidRPr="00DC1B1F" w:rsidSect="0088632A">
      <w:headerReference w:type="even" r:id="rId26"/>
      <w:headerReference w:type="default" r:id="rId27"/>
      <w:footerReference w:type="even" r:id="rId28"/>
      <w:headerReference w:type="first" r:id="rId29"/>
      <w:footerReference w:type="first" r:id="rId3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3BDF3" w14:textId="77777777" w:rsidR="000A3507" w:rsidRDefault="000A3507" w:rsidP="00536CE1">
      <w:pPr>
        <w:spacing w:after="0" w:line="240" w:lineRule="auto"/>
      </w:pPr>
      <w:r>
        <w:separator/>
      </w:r>
    </w:p>
  </w:endnote>
  <w:endnote w:type="continuationSeparator" w:id="0">
    <w:p w14:paraId="19C2BD8C" w14:textId="77777777" w:rsidR="000A3507" w:rsidRDefault="000A3507" w:rsidP="00536CE1">
      <w:pPr>
        <w:spacing w:after="0" w:line="240" w:lineRule="auto"/>
      </w:pPr>
      <w:r>
        <w:continuationSeparator/>
      </w:r>
    </w:p>
  </w:endnote>
  <w:endnote w:type="continuationNotice" w:id="1">
    <w:p w14:paraId="7896700A" w14:textId="77777777" w:rsidR="000A3507" w:rsidRDefault="000A3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11590" w14:textId="77777777" w:rsidR="008C0A9C" w:rsidRDefault="008C0A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B677E" w14:textId="0C493A68" w:rsidR="000A3507" w:rsidRPr="001F3A8F" w:rsidRDefault="000A3507" w:rsidP="00616E46">
    <w:pPr>
      <w:pStyle w:val="Footer"/>
      <w:tabs>
        <w:tab w:val="clear" w:pos="9720"/>
        <w:tab w:val="left" w:pos="8655"/>
      </w:tabs>
    </w:pPr>
    <w:r w:rsidRPr="00CB180D">
      <w:t>U.S. Energy Information Administration</w:t>
    </w:r>
    <w:r>
      <w:t xml:space="preserve">   </w:t>
    </w:r>
    <w:r w:rsidRPr="00CB180D">
      <w:t>|</w:t>
    </w:r>
    <w:r>
      <w:t xml:space="preserve">   </w:t>
    </w:r>
    <w:sdt>
      <w:sdtPr>
        <w:alias w:val="Title"/>
        <w:tag w:val=""/>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5F212E">
          <w:t>Supporting Statement for Electric Power and Renewable Surveys</w:t>
        </w:r>
      </w:sdtContent>
    </w:sdt>
    <w:r>
      <w:t xml:space="preserve"> </w:t>
    </w:r>
    <w:r>
      <w:tab/>
      <w:t xml:space="preserve"> </w:t>
    </w:r>
    <w:r>
      <w:fldChar w:fldCharType="begin"/>
    </w:r>
    <w:r>
      <w:instrText xml:space="preserve"> PAGE   \* MERGEFORMAT </w:instrText>
    </w:r>
    <w:r>
      <w:fldChar w:fldCharType="separate"/>
    </w:r>
    <w:r w:rsidR="008C0A9C">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FA640" w14:textId="77777777" w:rsidR="008C0A9C" w:rsidRDefault="008C0A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80B9" w14:textId="505F7D98" w:rsidR="000A3507" w:rsidRDefault="00EE4326" w:rsidP="00760677">
    <w:pPr>
      <w:pStyle w:val="Footer"/>
    </w:pPr>
    <w:sdt>
      <w:sdtPr>
        <w:id w:val="37707256"/>
        <w:docPartObj>
          <w:docPartGallery w:val="Page Numbers (Bottom of Page)"/>
          <w:docPartUnique/>
        </w:docPartObj>
      </w:sdtPr>
      <w:sdtEndPr/>
      <w:sdtContent>
        <w:r w:rsidR="000A3507" w:rsidRPr="00CB180D">
          <w:t>U.S. Energy Information Administration</w:t>
        </w:r>
        <w:r w:rsidR="000A3507">
          <w:t xml:space="preserve">   </w:t>
        </w:r>
        <w:r w:rsidR="000A3507" w:rsidRPr="00CB180D">
          <w:t>|</w:t>
        </w:r>
        <w:r w:rsidR="000A3507">
          <w:t xml:space="preserve">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0A3507">
              <w:t>Improving the Quality and Scope of EIA Data</w:t>
            </w:r>
          </w:sdtContent>
        </w:sdt>
        <w:r w:rsidR="000A3507" w:rsidRPr="00CB180D">
          <w:tab/>
        </w:r>
      </w:sdtContent>
    </w:sdt>
    <w:r w:rsidR="000A3507" w:rsidRPr="00760677">
      <w:t xml:space="preserve"> </w:t>
    </w:r>
    <w:r w:rsidR="000A3507">
      <w:fldChar w:fldCharType="begin"/>
    </w:r>
    <w:r w:rsidR="000A3507">
      <w:instrText xml:space="preserve"> PAGE   \* MERGEFORMAT </w:instrText>
    </w:r>
    <w:r w:rsidR="000A3507">
      <w:fldChar w:fldCharType="separate"/>
    </w:r>
    <w:r w:rsidR="000A3507">
      <w:rPr>
        <w:noProof/>
      </w:rPr>
      <w:t>i</w:t>
    </w:r>
    <w:r w:rsidR="000A3507">
      <w:rPr>
        <w:noProof/>
      </w:rPr>
      <w:fldChar w:fldCharType="end"/>
    </w:r>
  </w:p>
  <w:p w14:paraId="5455E33E" w14:textId="77777777" w:rsidR="000A3507" w:rsidRDefault="000A350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184B1" w14:textId="25DAC289" w:rsidR="000A3507" w:rsidRDefault="00EE4326" w:rsidP="00760677">
    <w:pPr>
      <w:pStyle w:val="Footer"/>
    </w:pPr>
    <w:sdt>
      <w:sdtPr>
        <w:id w:val="1300337987"/>
        <w:docPartObj>
          <w:docPartGallery w:val="Page Numbers (Bottom of Page)"/>
          <w:docPartUnique/>
        </w:docPartObj>
      </w:sdtPr>
      <w:sdtEndPr/>
      <w:sdtContent>
        <w:r w:rsidR="000A3507" w:rsidRPr="00CB180D">
          <w:t>U.S. Energy Information Administration</w:t>
        </w:r>
        <w:r w:rsidR="000A3507">
          <w:t xml:space="preserve">   </w:t>
        </w:r>
        <w:r w:rsidR="000A3507" w:rsidRPr="00CB180D">
          <w:t>|</w:t>
        </w:r>
        <w:r w:rsidR="000A3507">
          <w:t xml:space="preserve">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0A3507">
              <w:t>Improving the Quality and Scope of EIA Data</w:t>
            </w:r>
          </w:sdtContent>
        </w:sdt>
        <w:r w:rsidR="000A3507" w:rsidRPr="00CB180D">
          <w:tab/>
        </w:r>
      </w:sdtContent>
    </w:sdt>
    <w:r w:rsidR="000A3507" w:rsidRPr="00760677">
      <w:t xml:space="preserve"> </w:t>
    </w:r>
    <w:r w:rsidR="000A3507">
      <w:fldChar w:fldCharType="begin"/>
    </w:r>
    <w:r w:rsidR="000A3507">
      <w:instrText xml:space="preserve"> PAGE   \* MERGEFORMAT </w:instrText>
    </w:r>
    <w:r w:rsidR="000A3507">
      <w:fldChar w:fldCharType="separate"/>
    </w:r>
    <w:r w:rsidR="000A3507">
      <w:rPr>
        <w:noProof/>
      </w:rPr>
      <w:t>ii</w:t>
    </w:r>
    <w:r w:rsidR="000A3507">
      <w:rPr>
        <w:noProof/>
      </w:rPr>
      <w:fldChar w:fldCharType="end"/>
    </w:r>
  </w:p>
  <w:p w14:paraId="477C4202" w14:textId="77777777" w:rsidR="000A3507" w:rsidRDefault="000A3507"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557895"/>
      <w:docPartObj>
        <w:docPartGallery w:val="Page Numbers (Bottom of Page)"/>
        <w:docPartUnique/>
      </w:docPartObj>
    </w:sdtPr>
    <w:sdtEndPr/>
    <w:sdtContent>
      <w:p w14:paraId="14F7AE2B" w14:textId="093D0E3D" w:rsidR="000A3507" w:rsidRDefault="000A3507"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w:t>
        </w:r>
        <w:r>
          <w:t xml:space="preserve">   </w:t>
        </w:r>
        <w:r w:rsidRPr="00CB180D">
          <w:t>|</w:t>
        </w:r>
        <w:r>
          <w:t xml:space="preserve">   </w:t>
        </w:r>
        <w:r w:rsidRPr="00CB180D">
          <w:t>Improving the Quality and Scope of EIA Data</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2365F" w14:textId="5E1F3A6C" w:rsidR="000A3507" w:rsidRDefault="00EE4326" w:rsidP="00760677">
    <w:pPr>
      <w:pStyle w:val="Footer"/>
    </w:pPr>
    <w:sdt>
      <w:sdtPr>
        <w:id w:val="1705557553"/>
        <w:docPartObj>
          <w:docPartGallery w:val="Page Numbers (Bottom of Page)"/>
          <w:docPartUnique/>
        </w:docPartObj>
      </w:sdtPr>
      <w:sdtEndPr/>
      <w:sdtContent>
        <w:r w:rsidR="000A3507" w:rsidRPr="00CB180D">
          <w:t>U.S. Energy Information Administration</w:t>
        </w:r>
        <w:r w:rsidR="000A3507">
          <w:t xml:space="preserve">   </w:t>
        </w:r>
        <w:r w:rsidR="000A3507" w:rsidRPr="00CB180D">
          <w:t>|</w:t>
        </w:r>
        <w:r w:rsidR="000A3507">
          <w:t xml:space="preserve">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0A3507">
              <w:t>Improving the Quality and Scope of EIA Data</w:t>
            </w:r>
          </w:sdtContent>
        </w:sdt>
        <w:r w:rsidR="000A3507" w:rsidRPr="00CB180D">
          <w:tab/>
        </w:r>
      </w:sdtContent>
    </w:sdt>
    <w:r w:rsidR="000A3507" w:rsidRPr="00760677">
      <w:t xml:space="preserve"> </w:t>
    </w:r>
    <w:r w:rsidR="000A3507">
      <w:fldChar w:fldCharType="begin"/>
    </w:r>
    <w:r w:rsidR="000A3507">
      <w:instrText xml:space="preserve"> PAGE   \* MERGEFORMAT </w:instrText>
    </w:r>
    <w:r w:rsidR="000A3507">
      <w:fldChar w:fldCharType="separate"/>
    </w:r>
    <w:r w:rsidR="000A3507">
      <w:rPr>
        <w:noProof/>
      </w:rPr>
      <w:t>1</w:t>
    </w:r>
    <w:r w:rsidR="000A3507">
      <w:rPr>
        <w:noProof/>
      </w:rPr>
      <w:fldChar w:fldCharType="end"/>
    </w:r>
  </w:p>
  <w:p w14:paraId="5D6CAD62" w14:textId="77777777" w:rsidR="000A3507" w:rsidRDefault="000A3507"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B9DD7" w14:textId="77777777" w:rsidR="000A3507" w:rsidRDefault="000A3507" w:rsidP="00536CE1">
      <w:pPr>
        <w:spacing w:after="0" w:line="240" w:lineRule="auto"/>
      </w:pPr>
      <w:r>
        <w:separator/>
      </w:r>
    </w:p>
  </w:footnote>
  <w:footnote w:type="continuationSeparator" w:id="0">
    <w:p w14:paraId="7C9A6766" w14:textId="77777777" w:rsidR="000A3507" w:rsidRDefault="000A3507" w:rsidP="00536CE1">
      <w:pPr>
        <w:spacing w:after="0" w:line="240" w:lineRule="auto"/>
      </w:pPr>
      <w:r>
        <w:continuationSeparator/>
      </w:r>
    </w:p>
  </w:footnote>
  <w:footnote w:type="continuationNotice" w:id="1">
    <w:p w14:paraId="501AC085" w14:textId="77777777" w:rsidR="000A3507" w:rsidRDefault="000A3507">
      <w:pPr>
        <w:spacing w:after="0" w:line="240" w:lineRule="auto"/>
      </w:pPr>
    </w:p>
  </w:footnote>
  <w:footnote w:id="2">
    <w:p w14:paraId="627584DB" w14:textId="77777777" w:rsidR="000A3507" w:rsidRDefault="000A3507" w:rsidP="00406457">
      <w:pPr>
        <w:pStyle w:val="FootnoteText"/>
      </w:pPr>
      <w:r>
        <w:rPr>
          <w:rStyle w:val="FootnoteReference"/>
        </w:rPr>
        <w:footnoteRef/>
      </w:r>
      <w:r>
        <w:t xml:space="preserve"> Plants report fuel cost and quality data only if they meet the following criteria: </w:t>
      </w:r>
      <w:r w:rsidRPr="00E9034B">
        <w:t>200 MW or greater nameplate capacity for plants fueled by natural gas, petroleum coke, distillate fuel oil, and residual fuel oil</w:t>
      </w:r>
      <w:r>
        <w:t>, and/</w:t>
      </w:r>
      <w:r w:rsidRPr="00E9034B">
        <w:t xml:space="preserve">or have coal-fueled capacity of 50 </w:t>
      </w:r>
      <w:r>
        <w:t>MW</w:t>
      </w:r>
      <w:r w:rsidRPr="00E9034B">
        <w:t xml:space="preserve"> or greater.</w:t>
      </w:r>
    </w:p>
  </w:footnote>
  <w:footnote w:id="3">
    <w:p w14:paraId="5176B606" w14:textId="4B9FD528" w:rsidR="000A3507" w:rsidRDefault="000A3507" w:rsidP="00406457">
      <w:pPr>
        <w:pStyle w:val="FootnoteText"/>
      </w:pPr>
      <w:r>
        <w:rPr>
          <w:rStyle w:val="FootnoteReference"/>
        </w:rPr>
        <w:footnoteRef/>
      </w:r>
      <w:r>
        <w:t xml:space="preserve"> Plants file data on environmental control system performance if the plant has a minimum of 10 MW of nameplate capacity using combustible fuels.</w:t>
      </w:r>
    </w:p>
  </w:footnote>
  <w:footnote w:id="4">
    <w:p w14:paraId="61D0ECF0" w14:textId="77777777" w:rsidR="000A3507" w:rsidRDefault="000A3507" w:rsidP="00DB0C38">
      <w:pPr>
        <w:pStyle w:val="FootnoteText"/>
      </w:pPr>
      <w:r>
        <w:rPr>
          <w:rStyle w:val="FootnoteReference"/>
        </w:rPr>
        <w:footnoteRef/>
      </w:r>
      <w:r>
        <w:t xml:space="preserve"> </w:t>
      </w:r>
      <w:r w:rsidRPr="00180B40">
        <w:t>If imputation is necessary due to nonresponse of either census group, the most recent census monthly data would be used to impute for the missing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F8CC5" w14:textId="77777777" w:rsidR="008C0A9C" w:rsidRDefault="008C0A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109CF" w14:textId="77777777" w:rsidR="000A3507" w:rsidRDefault="000A3507" w:rsidP="00725453">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ED8AF" w14:textId="77777777" w:rsidR="008C0A9C" w:rsidRDefault="008C0A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D1798" w14:textId="77777777" w:rsidR="000A3507" w:rsidRPr="00373208" w:rsidRDefault="000A3507" w:rsidP="00041909">
    <w:pPr>
      <w:pStyle w:val="Header"/>
    </w:pPr>
    <w:r>
      <w:t>September 2011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3E4F1" w14:textId="4A8C00C8" w:rsidR="000A3507" w:rsidRPr="00F8298C" w:rsidRDefault="008C0A9C" w:rsidP="00041909">
    <w:pPr>
      <w:pStyle w:val="Header"/>
    </w:pPr>
    <w:r>
      <w:t>January 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E82BA" w14:textId="77777777" w:rsidR="000A3507" w:rsidRDefault="000A3507"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2164062"/>
    <w:multiLevelType w:val="hybridMultilevel"/>
    <w:tmpl w:val="5A3E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35591F"/>
    <w:multiLevelType w:val="hybridMultilevel"/>
    <w:tmpl w:val="7FCE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9">
    <w:nsid w:val="0CC0523D"/>
    <w:multiLevelType w:val="hybridMultilevel"/>
    <w:tmpl w:val="7E68F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C117DBA"/>
    <w:multiLevelType w:val="hybridMultilevel"/>
    <w:tmpl w:val="432694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4F3701"/>
    <w:multiLevelType w:val="hybridMultilevel"/>
    <w:tmpl w:val="770A2CBA"/>
    <w:lvl w:ilvl="0" w:tplc="287A1DF6">
      <w:start w:val="1"/>
      <w:numFmt w:val="decimal"/>
      <w:pStyle w:val="ListParagraph"/>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34D3B92"/>
    <w:multiLevelType w:val="hybridMultilevel"/>
    <w:tmpl w:val="3612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002744"/>
    <w:multiLevelType w:val="hybridMultilevel"/>
    <w:tmpl w:val="368C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127922"/>
    <w:multiLevelType w:val="hybridMultilevel"/>
    <w:tmpl w:val="99AA73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492CE0"/>
    <w:multiLevelType w:val="hybridMultilevel"/>
    <w:tmpl w:val="99AA73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863061"/>
    <w:multiLevelType w:val="multilevel"/>
    <w:tmpl w:val="B22AA680"/>
    <w:lvl w:ilvl="0">
      <w:start w:val="1"/>
      <w:numFmt w:val="none"/>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7">
    <w:nsid w:val="7D271E21"/>
    <w:multiLevelType w:val="hybridMultilevel"/>
    <w:tmpl w:val="1666C4AE"/>
    <w:lvl w:ilvl="0" w:tplc="D550E3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2"/>
  </w:num>
  <w:num w:numId="6">
    <w:abstractNumId w:val="1"/>
  </w:num>
  <w:num w:numId="7">
    <w:abstractNumId w:val="0"/>
  </w:num>
  <w:num w:numId="8">
    <w:abstractNumId w:val="16"/>
  </w:num>
  <w:num w:numId="9">
    <w:abstractNumId w:val="17"/>
  </w:num>
  <w:num w:numId="10">
    <w:abstractNumId w:val="9"/>
  </w:num>
  <w:num w:numId="11">
    <w:abstractNumId w:val="13"/>
  </w:num>
  <w:num w:numId="12">
    <w:abstractNumId w:val="10"/>
  </w:num>
  <w:num w:numId="13">
    <w:abstractNumId w:val="12"/>
  </w:num>
  <w:num w:numId="14">
    <w:abstractNumId w:val="14"/>
  </w:num>
  <w:num w:numId="15">
    <w:abstractNumId w:val="15"/>
  </w:num>
  <w:num w:numId="16">
    <w:abstractNumId w:val="6"/>
  </w:num>
  <w:num w:numId="17">
    <w:abstractNumId w:val="11"/>
  </w:num>
  <w:num w:numId="1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10593"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364C"/>
    <w:rsid w:val="00004135"/>
    <w:rsid w:val="000041A1"/>
    <w:rsid w:val="000053BB"/>
    <w:rsid w:val="00011B3F"/>
    <w:rsid w:val="00013373"/>
    <w:rsid w:val="000142E5"/>
    <w:rsid w:val="00015DA7"/>
    <w:rsid w:val="00015DFE"/>
    <w:rsid w:val="00022C8D"/>
    <w:rsid w:val="000248CE"/>
    <w:rsid w:val="00024E1E"/>
    <w:rsid w:val="00034A4B"/>
    <w:rsid w:val="00041909"/>
    <w:rsid w:val="000456B2"/>
    <w:rsid w:val="00046593"/>
    <w:rsid w:val="00047C08"/>
    <w:rsid w:val="0005401F"/>
    <w:rsid w:val="00054C84"/>
    <w:rsid w:val="00055769"/>
    <w:rsid w:val="00055826"/>
    <w:rsid w:val="00056602"/>
    <w:rsid w:val="00056EC3"/>
    <w:rsid w:val="00062CFE"/>
    <w:rsid w:val="0007129A"/>
    <w:rsid w:val="00082878"/>
    <w:rsid w:val="000831C4"/>
    <w:rsid w:val="000844CA"/>
    <w:rsid w:val="00094E45"/>
    <w:rsid w:val="000A3507"/>
    <w:rsid w:val="000B3FBE"/>
    <w:rsid w:val="000C28E1"/>
    <w:rsid w:val="000C5311"/>
    <w:rsid w:val="000D661F"/>
    <w:rsid w:val="000E4B3C"/>
    <w:rsid w:val="000E63B0"/>
    <w:rsid w:val="000F040A"/>
    <w:rsid w:val="00102DF3"/>
    <w:rsid w:val="001034E8"/>
    <w:rsid w:val="00104B31"/>
    <w:rsid w:val="00112A69"/>
    <w:rsid w:val="0011541D"/>
    <w:rsid w:val="00115CBB"/>
    <w:rsid w:val="00132F4A"/>
    <w:rsid w:val="0013348B"/>
    <w:rsid w:val="0014022A"/>
    <w:rsid w:val="00140A2E"/>
    <w:rsid w:val="0014467A"/>
    <w:rsid w:val="00154192"/>
    <w:rsid w:val="00160BC8"/>
    <w:rsid w:val="00165D43"/>
    <w:rsid w:val="00167425"/>
    <w:rsid w:val="0017337F"/>
    <w:rsid w:val="00176B7F"/>
    <w:rsid w:val="00177437"/>
    <w:rsid w:val="001805F8"/>
    <w:rsid w:val="001807A3"/>
    <w:rsid w:val="00187AAF"/>
    <w:rsid w:val="001947D5"/>
    <w:rsid w:val="001A2C4C"/>
    <w:rsid w:val="001A6E1E"/>
    <w:rsid w:val="001B0E69"/>
    <w:rsid w:val="001B6585"/>
    <w:rsid w:val="001D0186"/>
    <w:rsid w:val="001D03A8"/>
    <w:rsid w:val="001E59E5"/>
    <w:rsid w:val="001F3A8F"/>
    <w:rsid w:val="002008B4"/>
    <w:rsid w:val="00201F24"/>
    <w:rsid w:val="002033EB"/>
    <w:rsid w:val="002127CE"/>
    <w:rsid w:val="00215842"/>
    <w:rsid w:val="002207DF"/>
    <w:rsid w:val="002211AA"/>
    <w:rsid w:val="00221AC2"/>
    <w:rsid w:val="00221CF3"/>
    <w:rsid w:val="00222835"/>
    <w:rsid w:val="00227E4B"/>
    <w:rsid w:val="0023015A"/>
    <w:rsid w:val="0023708A"/>
    <w:rsid w:val="0024433F"/>
    <w:rsid w:val="00245557"/>
    <w:rsid w:val="0025022D"/>
    <w:rsid w:val="002530BB"/>
    <w:rsid w:val="002556F3"/>
    <w:rsid w:val="00260EDF"/>
    <w:rsid w:val="00264148"/>
    <w:rsid w:val="00274179"/>
    <w:rsid w:val="002776E3"/>
    <w:rsid w:val="00295EB5"/>
    <w:rsid w:val="002B0FD2"/>
    <w:rsid w:val="002C202D"/>
    <w:rsid w:val="002C378C"/>
    <w:rsid w:val="002D0034"/>
    <w:rsid w:val="002E35B1"/>
    <w:rsid w:val="002E3FD5"/>
    <w:rsid w:val="002E7A38"/>
    <w:rsid w:val="002F65BB"/>
    <w:rsid w:val="003060F0"/>
    <w:rsid w:val="00306516"/>
    <w:rsid w:val="00312BFB"/>
    <w:rsid w:val="003431F4"/>
    <w:rsid w:val="003469CB"/>
    <w:rsid w:val="00347BCF"/>
    <w:rsid w:val="00350C8B"/>
    <w:rsid w:val="003511F0"/>
    <w:rsid w:val="00355BF5"/>
    <w:rsid w:val="00363331"/>
    <w:rsid w:val="00366A1F"/>
    <w:rsid w:val="00371E14"/>
    <w:rsid w:val="00373208"/>
    <w:rsid w:val="00374A54"/>
    <w:rsid w:val="00383DB3"/>
    <w:rsid w:val="003854B2"/>
    <w:rsid w:val="00385AE6"/>
    <w:rsid w:val="00387091"/>
    <w:rsid w:val="00387C8D"/>
    <w:rsid w:val="00392DD0"/>
    <w:rsid w:val="00396BCB"/>
    <w:rsid w:val="00397825"/>
    <w:rsid w:val="003A1073"/>
    <w:rsid w:val="003A10F3"/>
    <w:rsid w:val="003A3906"/>
    <w:rsid w:val="003A5CEB"/>
    <w:rsid w:val="003B03A4"/>
    <w:rsid w:val="003C03EA"/>
    <w:rsid w:val="003C690C"/>
    <w:rsid w:val="003D1F05"/>
    <w:rsid w:val="003E36ED"/>
    <w:rsid w:val="003E40FA"/>
    <w:rsid w:val="003F24ED"/>
    <w:rsid w:val="003F529E"/>
    <w:rsid w:val="00403974"/>
    <w:rsid w:val="00406457"/>
    <w:rsid w:val="004163AC"/>
    <w:rsid w:val="0042094E"/>
    <w:rsid w:val="0042381C"/>
    <w:rsid w:val="00426481"/>
    <w:rsid w:val="0042655B"/>
    <w:rsid w:val="00432966"/>
    <w:rsid w:val="00437038"/>
    <w:rsid w:val="0044068C"/>
    <w:rsid w:val="0045608E"/>
    <w:rsid w:val="0045662F"/>
    <w:rsid w:val="00464CE0"/>
    <w:rsid w:val="004668DB"/>
    <w:rsid w:val="00466959"/>
    <w:rsid w:val="00474162"/>
    <w:rsid w:val="0047784B"/>
    <w:rsid w:val="00483672"/>
    <w:rsid w:val="00490197"/>
    <w:rsid w:val="004922B8"/>
    <w:rsid w:val="004946F0"/>
    <w:rsid w:val="00497C2A"/>
    <w:rsid w:val="004A0354"/>
    <w:rsid w:val="004A10D0"/>
    <w:rsid w:val="004B0591"/>
    <w:rsid w:val="004B1075"/>
    <w:rsid w:val="004B2CC8"/>
    <w:rsid w:val="004B3937"/>
    <w:rsid w:val="004B542C"/>
    <w:rsid w:val="004C277B"/>
    <w:rsid w:val="004C4394"/>
    <w:rsid w:val="004C7E3D"/>
    <w:rsid w:val="004D05FB"/>
    <w:rsid w:val="004D29C7"/>
    <w:rsid w:val="004E07B8"/>
    <w:rsid w:val="004E74B9"/>
    <w:rsid w:val="004F5587"/>
    <w:rsid w:val="00504119"/>
    <w:rsid w:val="005065CF"/>
    <w:rsid w:val="00506BB4"/>
    <w:rsid w:val="0050705F"/>
    <w:rsid w:val="005170D3"/>
    <w:rsid w:val="005217D9"/>
    <w:rsid w:val="00523E6B"/>
    <w:rsid w:val="0052493A"/>
    <w:rsid w:val="00524BF6"/>
    <w:rsid w:val="00531574"/>
    <w:rsid w:val="00535CAF"/>
    <w:rsid w:val="00536054"/>
    <w:rsid w:val="0053654B"/>
    <w:rsid w:val="00536CE1"/>
    <w:rsid w:val="0054180D"/>
    <w:rsid w:val="00547B53"/>
    <w:rsid w:val="005600B7"/>
    <w:rsid w:val="00571D8F"/>
    <w:rsid w:val="00572FCC"/>
    <w:rsid w:val="0057367D"/>
    <w:rsid w:val="00580C4F"/>
    <w:rsid w:val="00585BE3"/>
    <w:rsid w:val="00591BFD"/>
    <w:rsid w:val="0059212D"/>
    <w:rsid w:val="00593EC8"/>
    <w:rsid w:val="00596290"/>
    <w:rsid w:val="00596546"/>
    <w:rsid w:val="00596F3B"/>
    <w:rsid w:val="005B2B58"/>
    <w:rsid w:val="005B6198"/>
    <w:rsid w:val="005C00FA"/>
    <w:rsid w:val="005C179C"/>
    <w:rsid w:val="005C2D89"/>
    <w:rsid w:val="005C2F30"/>
    <w:rsid w:val="005C485B"/>
    <w:rsid w:val="005D1787"/>
    <w:rsid w:val="005D2B99"/>
    <w:rsid w:val="005D39D7"/>
    <w:rsid w:val="005D5956"/>
    <w:rsid w:val="005D6F63"/>
    <w:rsid w:val="005E4E8E"/>
    <w:rsid w:val="005F212E"/>
    <w:rsid w:val="005F4848"/>
    <w:rsid w:val="00601613"/>
    <w:rsid w:val="00612461"/>
    <w:rsid w:val="00616022"/>
    <w:rsid w:val="00616E46"/>
    <w:rsid w:val="0062008C"/>
    <w:rsid w:val="00620797"/>
    <w:rsid w:val="00626494"/>
    <w:rsid w:val="0064052F"/>
    <w:rsid w:val="00641561"/>
    <w:rsid w:val="00641DE2"/>
    <w:rsid w:val="00643384"/>
    <w:rsid w:val="00644855"/>
    <w:rsid w:val="0065406F"/>
    <w:rsid w:val="00657251"/>
    <w:rsid w:val="00660253"/>
    <w:rsid w:val="00660766"/>
    <w:rsid w:val="00663EC4"/>
    <w:rsid w:val="0066704C"/>
    <w:rsid w:val="0067142F"/>
    <w:rsid w:val="00671F82"/>
    <w:rsid w:val="00677C5F"/>
    <w:rsid w:val="006866CF"/>
    <w:rsid w:val="006A0BC7"/>
    <w:rsid w:val="006B675E"/>
    <w:rsid w:val="006C0062"/>
    <w:rsid w:val="006C097E"/>
    <w:rsid w:val="006C2DC3"/>
    <w:rsid w:val="006D0439"/>
    <w:rsid w:val="006D42EC"/>
    <w:rsid w:val="006E7EFC"/>
    <w:rsid w:val="006F64E8"/>
    <w:rsid w:val="0070372B"/>
    <w:rsid w:val="00711414"/>
    <w:rsid w:val="00725453"/>
    <w:rsid w:val="007263DB"/>
    <w:rsid w:val="00730DA0"/>
    <w:rsid w:val="00737591"/>
    <w:rsid w:val="00743866"/>
    <w:rsid w:val="007438F2"/>
    <w:rsid w:val="00755C3D"/>
    <w:rsid w:val="007576EF"/>
    <w:rsid w:val="00760677"/>
    <w:rsid w:val="00761C12"/>
    <w:rsid w:val="007658BA"/>
    <w:rsid w:val="0077410C"/>
    <w:rsid w:val="00776CF4"/>
    <w:rsid w:val="0078115E"/>
    <w:rsid w:val="00784F89"/>
    <w:rsid w:val="00786336"/>
    <w:rsid w:val="007A0E7F"/>
    <w:rsid w:val="007A1D2B"/>
    <w:rsid w:val="007A4378"/>
    <w:rsid w:val="007A7DC3"/>
    <w:rsid w:val="007B6324"/>
    <w:rsid w:val="007C36DC"/>
    <w:rsid w:val="007C5CE9"/>
    <w:rsid w:val="007C73C5"/>
    <w:rsid w:val="007D0F35"/>
    <w:rsid w:val="007D257F"/>
    <w:rsid w:val="007D39CC"/>
    <w:rsid w:val="007D4306"/>
    <w:rsid w:val="007D6AAF"/>
    <w:rsid w:val="007E53C4"/>
    <w:rsid w:val="007E5A11"/>
    <w:rsid w:val="007E73E6"/>
    <w:rsid w:val="007F17B8"/>
    <w:rsid w:val="007F1954"/>
    <w:rsid w:val="007F21D7"/>
    <w:rsid w:val="007F6EDE"/>
    <w:rsid w:val="00804143"/>
    <w:rsid w:val="00804D2D"/>
    <w:rsid w:val="008057F8"/>
    <w:rsid w:val="008103F6"/>
    <w:rsid w:val="00812699"/>
    <w:rsid w:val="008213F9"/>
    <w:rsid w:val="008307E1"/>
    <w:rsid w:val="00836D62"/>
    <w:rsid w:val="00842F21"/>
    <w:rsid w:val="00844524"/>
    <w:rsid w:val="00845290"/>
    <w:rsid w:val="008457C0"/>
    <w:rsid w:val="00851DD3"/>
    <w:rsid w:val="0085626E"/>
    <w:rsid w:val="00867160"/>
    <w:rsid w:val="0087205B"/>
    <w:rsid w:val="00874FB8"/>
    <w:rsid w:val="008776E3"/>
    <w:rsid w:val="0088497F"/>
    <w:rsid w:val="0088516C"/>
    <w:rsid w:val="0088632A"/>
    <w:rsid w:val="00890D90"/>
    <w:rsid w:val="00895669"/>
    <w:rsid w:val="00897946"/>
    <w:rsid w:val="008A1465"/>
    <w:rsid w:val="008A3276"/>
    <w:rsid w:val="008A3447"/>
    <w:rsid w:val="008A3EB0"/>
    <w:rsid w:val="008A51CC"/>
    <w:rsid w:val="008C0A9C"/>
    <w:rsid w:val="008C734C"/>
    <w:rsid w:val="008E38E8"/>
    <w:rsid w:val="008E4BF2"/>
    <w:rsid w:val="008E4E4B"/>
    <w:rsid w:val="008E6211"/>
    <w:rsid w:val="008E6501"/>
    <w:rsid w:val="008F4CBD"/>
    <w:rsid w:val="009017AD"/>
    <w:rsid w:val="00901BED"/>
    <w:rsid w:val="00905735"/>
    <w:rsid w:val="0090690D"/>
    <w:rsid w:val="00910B24"/>
    <w:rsid w:val="009120F6"/>
    <w:rsid w:val="009131B9"/>
    <w:rsid w:val="0092620C"/>
    <w:rsid w:val="00932E7D"/>
    <w:rsid w:val="00935805"/>
    <w:rsid w:val="009368F3"/>
    <w:rsid w:val="00945BFD"/>
    <w:rsid w:val="00947C42"/>
    <w:rsid w:val="00950489"/>
    <w:rsid w:val="00955FFB"/>
    <w:rsid w:val="00957DE9"/>
    <w:rsid w:val="00965A44"/>
    <w:rsid w:val="00967422"/>
    <w:rsid w:val="00967D7C"/>
    <w:rsid w:val="00974335"/>
    <w:rsid w:val="00974538"/>
    <w:rsid w:val="009757AD"/>
    <w:rsid w:val="00980B6A"/>
    <w:rsid w:val="009818F9"/>
    <w:rsid w:val="0098618F"/>
    <w:rsid w:val="00986BFE"/>
    <w:rsid w:val="00987C32"/>
    <w:rsid w:val="00991646"/>
    <w:rsid w:val="0099448B"/>
    <w:rsid w:val="00997347"/>
    <w:rsid w:val="009A1A33"/>
    <w:rsid w:val="009B1448"/>
    <w:rsid w:val="009B19CE"/>
    <w:rsid w:val="009C202F"/>
    <w:rsid w:val="009C77F7"/>
    <w:rsid w:val="009D0DD3"/>
    <w:rsid w:val="009D3901"/>
    <w:rsid w:val="009E5ABC"/>
    <w:rsid w:val="009E5B9C"/>
    <w:rsid w:val="009E7390"/>
    <w:rsid w:val="009F4ED1"/>
    <w:rsid w:val="009F7242"/>
    <w:rsid w:val="00A00D71"/>
    <w:rsid w:val="00A00EDF"/>
    <w:rsid w:val="00A26A17"/>
    <w:rsid w:val="00A30169"/>
    <w:rsid w:val="00A312A3"/>
    <w:rsid w:val="00A33D9F"/>
    <w:rsid w:val="00A37229"/>
    <w:rsid w:val="00A41763"/>
    <w:rsid w:val="00A418C9"/>
    <w:rsid w:val="00A42BBE"/>
    <w:rsid w:val="00A56314"/>
    <w:rsid w:val="00A64E66"/>
    <w:rsid w:val="00A74C9B"/>
    <w:rsid w:val="00A759FC"/>
    <w:rsid w:val="00A85956"/>
    <w:rsid w:val="00A90347"/>
    <w:rsid w:val="00A90578"/>
    <w:rsid w:val="00A93478"/>
    <w:rsid w:val="00A97041"/>
    <w:rsid w:val="00A97FE7"/>
    <w:rsid w:val="00AA46CA"/>
    <w:rsid w:val="00AA7EFA"/>
    <w:rsid w:val="00AB436E"/>
    <w:rsid w:val="00AB61B3"/>
    <w:rsid w:val="00AC29DF"/>
    <w:rsid w:val="00AC323A"/>
    <w:rsid w:val="00AD29CD"/>
    <w:rsid w:val="00AD6357"/>
    <w:rsid w:val="00AD669C"/>
    <w:rsid w:val="00AD7F81"/>
    <w:rsid w:val="00AE4CA9"/>
    <w:rsid w:val="00AF367D"/>
    <w:rsid w:val="00AF45FD"/>
    <w:rsid w:val="00B06ECF"/>
    <w:rsid w:val="00B14C19"/>
    <w:rsid w:val="00B32D1B"/>
    <w:rsid w:val="00B35E2A"/>
    <w:rsid w:val="00B37B35"/>
    <w:rsid w:val="00B4162D"/>
    <w:rsid w:val="00B4263D"/>
    <w:rsid w:val="00B44F4A"/>
    <w:rsid w:val="00B56602"/>
    <w:rsid w:val="00B56F49"/>
    <w:rsid w:val="00B7442A"/>
    <w:rsid w:val="00B808FD"/>
    <w:rsid w:val="00B871B5"/>
    <w:rsid w:val="00B90BF4"/>
    <w:rsid w:val="00B911B8"/>
    <w:rsid w:val="00B95C9B"/>
    <w:rsid w:val="00B97002"/>
    <w:rsid w:val="00BB2F70"/>
    <w:rsid w:val="00BB6CF4"/>
    <w:rsid w:val="00BC14C3"/>
    <w:rsid w:val="00BC1ABE"/>
    <w:rsid w:val="00BD0B0F"/>
    <w:rsid w:val="00BD2B28"/>
    <w:rsid w:val="00BD2F20"/>
    <w:rsid w:val="00BD4F62"/>
    <w:rsid w:val="00BE373C"/>
    <w:rsid w:val="00BE4AFD"/>
    <w:rsid w:val="00C00590"/>
    <w:rsid w:val="00C04647"/>
    <w:rsid w:val="00C04FF6"/>
    <w:rsid w:val="00C058CF"/>
    <w:rsid w:val="00C12551"/>
    <w:rsid w:val="00C1348A"/>
    <w:rsid w:val="00C211CD"/>
    <w:rsid w:val="00C25328"/>
    <w:rsid w:val="00C31323"/>
    <w:rsid w:val="00C350CC"/>
    <w:rsid w:val="00C3744D"/>
    <w:rsid w:val="00C416DB"/>
    <w:rsid w:val="00C437CC"/>
    <w:rsid w:val="00C43A84"/>
    <w:rsid w:val="00C64137"/>
    <w:rsid w:val="00C64AC7"/>
    <w:rsid w:val="00C658E4"/>
    <w:rsid w:val="00C7266E"/>
    <w:rsid w:val="00C749C5"/>
    <w:rsid w:val="00C76C66"/>
    <w:rsid w:val="00C82DF9"/>
    <w:rsid w:val="00C87150"/>
    <w:rsid w:val="00C87190"/>
    <w:rsid w:val="00CA0B2F"/>
    <w:rsid w:val="00CA1564"/>
    <w:rsid w:val="00CA7C8A"/>
    <w:rsid w:val="00CB44E8"/>
    <w:rsid w:val="00CB7978"/>
    <w:rsid w:val="00CC1D12"/>
    <w:rsid w:val="00CC466D"/>
    <w:rsid w:val="00CC59FB"/>
    <w:rsid w:val="00CE42E9"/>
    <w:rsid w:val="00D001E4"/>
    <w:rsid w:val="00D00AA8"/>
    <w:rsid w:val="00D02778"/>
    <w:rsid w:val="00D030E0"/>
    <w:rsid w:val="00D05524"/>
    <w:rsid w:val="00D104FE"/>
    <w:rsid w:val="00D12197"/>
    <w:rsid w:val="00D13E84"/>
    <w:rsid w:val="00D1523C"/>
    <w:rsid w:val="00D22F2E"/>
    <w:rsid w:val="00D300F4"/>
    <w:rsid w:val="00D31C1D"/>
    <w:rsid w:val="00D3344B"/>
    <w:rsid w:val="00D334B7"/>
    <w:rsid w:val="00D40175"/>
    <w:rsid w:val="00D4771B"/>
    <w:rsid w:val="00D55243"/>
    <w:rsid w:val="00D60AE2"/>
    <w:rsid w:val="00D62F90"/>
    <w:rsid w:val="00D63E74"/>
    <w:rsid w:val="00D715C4"/>
    <w:rsid w:val="00D928FD"/>
    <w:rsid w:val="00DA4EFD"/>
    <w:rsid w:val="00DB0C38"/>
    <w:rsid w:val="00DB23E1"/>
    <w:rsid w:val="00DB5813"/>
    <w:rsid w:val="00DC1B1F"/>
    <w:rsid w:val="00DC79E3"/>
    <w:rsid w:val="00DD2CC3"/>
    <w:rsid w:val="00DD51E1"/>
    <w:rsid w:val="00DD6736"/>
    <w:rsid w:val="00DD7D0B"/>
    <w:rsid w:val="00DE0B4A"/>
    <w:rsid w:val="00DE21A6"/>
    <w:rsid w:val="00DE2D54"/>
    <w:rsid w:val="00DF6143"/>
    <w:rsid w:val="00E02BB0"/>
    <w:rsid w:val="00E03CE6"/>
    <w:rsid w:val="00E13716"/>
    <w:rsid w:val="00E13DB2"/>
    <w:rsid w:val="00E266FF"/>
    <w:rsid w:val="00E27661"/>
    <w:rsid w:val="00E374A3"/>
    <w:rsid w:val="00E37F16"/>
    <w:rsid w:val="00E44C86"/>
    <w:rsid w:val="00E47DB3"/>
    <w:rsid w:val="00E509A9"/>
    <w:rsid w:val="00E518C9"/>
    <w:rsid w:val="00E51F8B"/>
    <w:rsid w:val="00E5242A"/>
    <w:rsid w:val="00E53398"/>
    <w:rsid w:val="00E53E45"/>
    <w:rsid w:val="00E66AE2"/>
    <w:rsid w:val="00E74DA4"/>
    <w:rsid w:val="00E81B89"/>
    <w:rsid w:val="00E90C88"/>
    <w:rsid w:val="00E91432"/>
    <w:rsid w:val="00E91B5A"/>
    <w:rsid w:val="00EA0D0C"/>
    <w:rsid w:val="00EA473E"/>
    <w:rsid w:val="00EB00B8"/>
    <w:rsid w:val="00EB445B"/>
    <w:rsid w:val="00EB731F"/>
    <w:rsid w:val="00EB7FCC"/>
    <w:rsid w:val="00EC2208"/>
    <w:rsid w:val="00EC54E7"/>
    <w:rsid w:val="00ED0D76"/>
    <w:rsid w:val="00ED6E45"/>
    <w:rsid w:val="00EE2CAF"/>
    <w:rsid w:val="00EE4326"/>
    <w:rsid w:val="00EE43E4"/>
    <w:rsid w:val="00EE4BD3"/>
    <w:rsid w:val="00EF2B0E"/>
    <w:rsid w:val="00F001EA"/>
    <w:rsid w:val="00F02DCA"/>
    <w:rsid w:val="00F056C3"/>
    <w:rsid w:val="00F1479B"/>
    <w:rsid w:val="00F16B90"/>
    <w:rsid w:val="00F20B6B"/>
    <w:rsid w:val="00F34F19"/>
    <w:rsid w:val="00F44A21"/>
    <w:rsid w:val="00F46871"/>
    <w:rsid w:val="00F54EEA"/>
    <w:rsid w:val="00F575F0"/>
    <w:rsid w:val="00F64138"/>
    <w:rsid w:val="00F6664C"/>
    <w:rsid w:val="00F761F3"/>
    <w:rsid w:val="00F80AF1"/>
    <w:rsid w:val="00F8298C"/>
    <w:rsid w:val="00F90245"/>
    <w:rsid w:val="00F920D9"/>
    <w:rsid w:val="00F93430"/>
    <w:rsid w:val="00F938C8"/>
    <w:rsid w:val="00F94781"/>
    <w:rsid w:val="00FA5388"/>
    <w:rsid w:val="00FB08E3"/>
    <w:rsid w:val="00FB6BF3"/>
    <w:rsid w:val="00FB7F92"/>
    <w:rsid w:val="00FC6C5C"/>
    <w:rsid w:val="00FD1667"/>
    <w:rsid w:val="00FD397B"/>
    <w:rsid w:val="00FD4B01"/>
    <w:rsid w:val="00FD52F2"/>
    <w:rsid w:val="00FD7CDC"/>
    <w:rsid w:val="00FE1ABF"/>
    <w:rsid w:val="00FE58E0"/>
    <w:rsid w:val="00FE74D0"/>
    <w:rsid w:val="00FF3750"/>
    <w:rsid w:val="1CC21E08"/>
    <w:rsid w:val="31310C96"/>
    <w:rsid w:val="40B4AD10"/>
    <w:rsid w:val="48221154"/>
    <w:rsid w:val="4B1C567C"/>
    <w:rsid w:val="4CF129FB"/>
    <w:rsid w:val="6A65F0D1"/>
    <w:rsid w:val="7E32F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fill="f" fillcolor="white" stroke="f">
      <v:fill color="white" on="f"/>
      <v:stroke on="f"/>
    </o:shapedefaults>
    <o:shapelayout v:ext="edit">
      <o:idmap v:ext="edit" data="1"/>
    </o:shapelayout>
  </w:shapeDefaults>
  <w:decimalSymbol w:val="."/>
  <w:listSeparator w:val=","/>
  <w14:docId w14:val="3C15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header" w:locked="0" w:qFormat="1"/>
    <w:lsdException w:name="footer" w:locked="0" w:qFormat="1"/>
    <w:lsdException w:name="caption" w:locked="0" w:uiPriority="3" w:qFormat="1"/>
    <w:lsdException w:name="table of figures" w:locked="0"/>
    <w:lsdException w:name="footnote reference" w:locked="0" w:uiPriority="0"/>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5600B7"/>
    <w:pPr>
      <w:numPr>
        <w:ilvl w:val="2"/>
      </w:numPr>
      <w:tabs>
        <w:tab w:val="left" w:pos="360"/>
      </w:tabs>
      <w:spacing w:before="100" w:beforeAutospacing="1" w:line="300" w:lineRule="atLeast"/>
      <w:ind w:left="720" w:hanging="720"/>
      <w:outlineLvl w:val="2"/>
    </w:pPr>
    <w:rPr>
      <w:bCs/>
      <w:color w:val="000000" w:themeColor="text1"/>
      <w:sz w:val="24"/>
    </w:rPr>
  </w:style>
  <w:style w:type="paragraph" w:styleId="Heading4">
    <w:name w:val="heading 4"/>
    <w:basedOn w:val="Heading3"/>
    <w:next w:val="Normal"/>
    <w:link w:val="Heading4Char"/>
    <w:autoRedefine/>
    <w:uiPriority w:val="1"/>
    <w:qFormat/>
    <w:rsid w:val="00112A69"/>
    <w:pPr>
      <w:numPr>
        <w:ilvl w:val="3"/>
      </w:numPr>
      <w:ind w:left="720" w:hanging="720"/>
      <w:outlineLvl w:val="3"/>
    </w:pPr>
    <w:rPr>
      <w:bCs w:val="0"/>
      <w:iCs/>
    </w:rPr>
  </w:style>
  <w:style w:type="paragraph" w:styleId="Heading5">
    <w:name w:val="heading 5"/>
    <w:basedOn w:val="Heading4"/>
    <w:next w:val="Normal"/>
    <w:link w:val="Heading5Char"/>
    <w:uiPriority w:val="9"/>
    <w:semiHidden/>
    <w:locked/>
    <w:rsid w:val="00112A69"/>
    <w:pPr>
      <w:numPr>
        <w:ilvl w:val="4"/>
      </w:numPr>
      <w:ind w:left="720" w:hanging="720"/>
      <w:outlineLvl w:val="4"/>
    </w:pPr>
    <w:rPr>
      <w:sz w:val="20"/>
    </w:rPr>
  </w:style>
  <w:style w:type="paragraph" w:styleId="Heading6">
    <w:name w:val="heading 6"/>
    <w:basedOn w:val="Heading5"/>
    <w:next w:val="Normal"/>
    <w:link w:val="Heading6Char"/>
    <w:autoRedefine/>
    <w:uiPriority w:val="9"/>
    <w:semiHidden/>
    <w:locked/>
    <w:rsid w:val="00112A69"/>
    <w:pPr>
      <w:numPr>
        <w:ilvl w:val="5"/>
      </w:numPr>
      <w:ind w:left="720" w:hanging="720"/>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5600B7"/>
    <w:rPr>
      <w:rFonts w:eastAsiaTheme="majorEastAsia" w:cstheme="majorBidi"/>
      <w:b/>
      <w:bCs/>
      <w:color w:val="000000" w:themeColor="text1"/>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490197"/>
    <w:pPr>
      <w:numPr>
        <w:numId w:val="17"/>
      </w:numPr>
      <w:contextualSpacing/>
    </w:pPr>
  </w:style>
  <w:style w:type="paragraph" w:styleId="TOCHeading">
    <w:name w:val="TOC Heading"/>
    <w:basedOn w:val="Heading1"/>
    <w:next w:val="Normal"/>
    <w:autoRedefine/>
    <w:uiPriority w:val="39"/>
    <w:qFormat/>
    <w:rsid w:val="005B2B58"/>
    <w:p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DB0C38"/>
    <w:rPr>
      <w:sz w:val="16"/>
      <w:szCs w:val="16"/>
    </w:rPr>
  </w:style>
  <w:style w:type="paragraph" w:styleId="CommentText">
    <w:name w:val="annotation text"/>
    <w:basedOn w:val="Normal"/>
    <w:link w:val="CommentTextChar"/>
    <w:uiPriority w:val="99"/>
    <w:unhideWhenUsed/>
    <w:locked/>
    <w:rsid w:val="00DB0C38"/>
    <w:pPr>
      <w:tabs>
        <w:tab w:val="left" w:pos="360"/>
      </w:tabs>
      <w:spacing w:before="120" w:after="0" w:line="240" w:lineRule="auto"/>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B0C38"/>
    <w:rPr>
      <w:rFonts w:ascii="Calibri" w:eastAsia="Calibri" w:hAnsi="Calibri" w:cs="Times New Roman"/>
      <w:sz w:val="20"/>
      <w:szCs w:val="20"/>
    </w:rPr>
  </w:style>
  <w:style w:type="table" w:customStyle="1" w:styleId="TableGrid1">
    <w:name w:val="Table Grid1"/>
    <w:basedOn w:val="TableNormal"/>
    <w:next w:val="TableGrid"/>
    <w:uiPriority w:val="59"/>
    <w:rsid w:val="00DC1B1F"/>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locked/>
    <w:rsid w:val="0088497F"/>
    <w:pPr>
      <w:tabs>
        <w:tab w:val="clear" w:pos="360"/>
      </w:tabs>
      <w:spacing w:before="0"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8497F"/>
    <w:rPr>
      <w:rFonts w:ascii="Calibri" w:eastAsia="Calibri" w:hAnsi="Calibri" w:cs="Times New Roman"/>
      <w:b/>
      <w:bCs/>
      <w:sz w:val="20"/>
      <w:szCs w:val="20"/>
    </w:rPr>
  </w:style>
  <w:style w:type="paragraph" w:styleId="Revision">
    <w:name w:val="Revision"/>
    <w:hidden/>
    <w:uiPriority w:val="99"/>
    <w:semiHidden/>
    <w:rsid w:val="00FE1ABF"/>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header" w:locked="0" w:qFormat="1"/>
    <w:lsdException w:name="footer" w:locked="0" w:qFormat="1"/>
    <w:lsdException w:name="caption" w:locked="0" w:uiPriority="3" w:qFormat="1"/>
    <w:lsdException w:name="table of figures" w:locked="0"/>
    <w:lsdException w:name="footnote reference" w:locked="0" w:uiPriority="0"/>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5600B7"/>
    <w:pPr>
      <w:numPr>
        <w:ilvl w:val="2"/>
      </w:numPr>
      <w:tabs>
        <w:tab w:val="left" w:pos="360"/>
      </w:tabs>
      <w:spacing w:before="100" w:beforeAutospacing="1" w:line="300" w:lineRule="atLeast"/>
      <w:ind w:left="720" w:hanging="720"/>
      <w:outlineLvl w:val="2"/>
    </w:pPr>
    <w:rPr>
      <w:bCs/>
      <w:color w:val="000000" w:themeColor="text1"/>
      <w:sz w:val="24"/>
    </w:rPr>
  </w:style>
  <w:style w:type="paragraph" w:styleId="Heading4">
    <w:name w:val="heading 4"/>
    <w:basedOn w:val="Heading3"/>
    <w:next w:val="Normal"/>
    <w:link w:val="Heading4Char"/>
    <w:autoRedefine/>
    <w:uiPriority w:val="1"/>
    <w:qFormat/>
    <w:rsid w:val="00112A69"/>
    <w:pPr>
      <w:numPr>
        <w:ilvl w:val="3"/>
      </w:numPr>
      <w:ind w:left="720" w:hanging="720"/>
      <w:outlineLvl w:val="3"/>
    </w:pPr>
    <w:rPr>
      <w:bCs w:val="0"/>
      <w:iCs/>
    </w:rPr>
  </w:style>
  <w:style w:type="paragraph" w:styleId="Heading5">
    <w:name w:val="heading 5"/>
    <w:basedOn w:val="Heading4"/>
    <w:next w:val="Normal"/>
    <w:link w:val="Heading5Char"/>
    <w:uiPriority w:val="9"/>
    <w:semiHidden/>
    <w:locked/>
    <w:rsid w:val="00112A69"/>
    <w:pPr>
      <w:numPr>
        <w:ilvl w:val="4"/>
      </w:numPr>
      <w:ind w:left="720" w:hanging="720"/>
      <w:outlineLvl w:val="4"/>
    </w:pPr>
    <w:rPr>
      <w:sz w:val="20"/>
    </w:rPr>
  </w:style>
  <w:style w:type="paragraph" w:styleId="Heading6">
    <w:name w:val="heading 6"/>
    <w:basedOn w:val="Heading5"/>
    <w:next w:val="Normal"/>
    <w:link w:val="Heading6Char"/>
    <w:autoRedefine/>
    <w:uiPriority w:val="9"/>
    <w:semiHidden/>
    <w:locked/>
    <w:rsid w:val="00112A69"/>
    <w:pPr>
      <w:numPr>
        <w:ilvl w:val="5"/>
      </w:numPr>
      <w:ind w:left="720" w:hanging="720"/>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5600B7"/>
    <w:rPr>
      <w:rFonts w:eastAsiaTheme="majorEastAsia" w:cstheme="majorBidi"/>
      <w:b/>
      <w:bCs/>
      <w:color w:val="000000" w:themeColor="text1"/>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490197"/>
    <w:pPr>
      <w:numPr>
        <w:numId w:val="17"/>
      </w:numPr>
      <w:contextualSpacing/>
    </w:pPr>
  </w:style>
  <w:style w:type="paragraph" w:styleId="TOCHeading">
    <w:name w:val="TOC Heading"/>
    <w:basedOn w:val="Heading1"/>
    <w:next w:val="Normal"/>
    <w:autoRedefine/>
    <w:uiPriority w:val="39"/>
    <w:qFormat/>
    <w:rsid w:val="005B2B58"/>
    <w:p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DB0C38"/>
    <w:rPr>
      <w:sz w:val="16"/>
      <w:szCs w:val="16"/>
    </w:rPr>
  </w:style>
  <w:style w:type="paragraph" w:styleId="CommentText">
    <w:name w:val="annotation text"/>
    <w:basedOn w:val="Normal"/>
    <w:link w:val="CommentTextChar"/>
    <w:uiPriority w:val="99"/>
    <w:unhideWhenUsed/>
    <w:locked/>
    <w:rsid w:val="00DB0C38"/>
    <w:pPr>
      <w:tabs>
        <w:tab w:val="left" w:pos="360"/>
      </w:tabs>
      <w:spacing w:before="120" w:after="0" w:line="240" w:lineRule="auto"/>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B0C38"/>
    <w:rPr>
      <w:rFonts w:ascii="Calibri" w:eastAsia="Calibri" w:hAnsi="Calibri" w:cs="Times New Roman"/>
      <w:sz w:val="20"/>
      <w:szCs w:val="20"/>
    </w:rPr>
  </w:style>
  <w:style w:type="table" w:customStyle="1" w:styleId="TableGrid1">
    <w:name w:val="Table Grid1"/>
    <w:basedOn w:val="TableNormal"/>
    <w:next w:val="TableGrid"/>
    <w:uiPriority w:val="59"/>
    <w:rsid w:val="00DC1B1F"/>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locked/>
    <w:rsid w:val="0088497F"/>
    <w:pPr>
      <w:tabs>
        <w:tab w:val="clear" w:pos="360"/>
      </w:tabs>
      <w:spacing w:before="0"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8497F"/>
    <w:rPr>
      <w:rFonts w:ascii="Calibri" w:eastAsia="Calibri" w:hAnsi="Calibri" w:cs="Times New Roman"/>
      <w:b/>
      <w:bCs/>
      <w:sz w:val="20"/>
      <w:szCs w:val="20"/>
    </w:rPr>
  </w:style>
  <w:style w:type="paragraph" w:styleId="Revision">
    <w:name w:val="Revision"/>
    <w:hidden/>
    <w:uiPriority w:val="99"/>
    <w:semiHidden/>
    <w:rsid w:val="00FE1AB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3611572">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www.eia.gov/electricity/data/methodology/eiawebm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oleObject" Target="embeddings/oleObject1.bin"/><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wmf"/><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0F6815"/>
    <w:rsid w:val="003E4D2D"/>
    <w:rsid w:val="00622E41"/>
    <w:rsid w:val="00871798"/>
    <w:rsid w:val="008C2430"/>
    <w:rsid w:val="0097548D"/>
    <w:rsid w:val="009E75B6"/>
    <w:rsid w:val="00B158E2"/>
    <w:rsid w:val="00B77A9F"/>
    <w:rsid w:val="00D42561"/>
    <w:rsid w:val="00E6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5D7383-7C87-47B7-9100-009432652579}">
  <ds:schemaRefs>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1cbf84b-8154-4c34-a5c2-b3e09542287f"/>
    <ds:schemaRef ds:uri="fe387294-2a31-40de-b73a-855586cea4d4"/>
    <ds:schemaRef ds:uri="http://www.w3.org/XML/1998/namespace"/>
  </ds:schemaRefs>
</ds:datastoreItem>
</file>

<file path=customXml/itemProps3.xml><?xml version="1.0" encoding="utf-8"?>
<ds:datastoreItem xmlns:ds="http://schemas.openxmlformats.org/officeDocument/2006/customXml" ds:itemID="{88016ECC-B537-452C-AD62-B0C9F8B87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B2780-EF7D-4CB7-8754-F889154B3C29}">
  <ds:schemaRefs>
    <ds:schemaRef ds:uri="http://schemas.microsoft.com/sharepoint/v3/contenttype/forms"/>
  </ds:schemaRefs>
</ds:datastoreItem>
</file>

<file path=customXml/itemProps5.xml><?xml version="1.0" encoding="utf-8"?>
<ds:datastoreItem xmlns:ds="http://schemas.openxmlformats.org/officeDocument/2006/customXml" ds:itemID="{AEE1147E-C162-44F6-B506-C9BC9541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5256</Words>
  <Characters>29961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Supporting Statement for Electric Power and Renewable Surveys </vt:lpstr>
    </vt:vector>
  </TitlesOfParts>
  <Company/>
  <LinksUpToDate>false</LinksUpToDate>
  <CharactersWithSpaces>35147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Electric Power and Renewable Surveys</dc:title>
  <dc:subject>Improving the Quality and Scope of EIA Data</dc:subject>
  <dc:creator>Stroud, Lawrence</dc:creator>
  <cp:keywords/>
  <dc:description/>
  <cp:lastModifiedBy>SYSTEM</cp:lastModifiedBy>
  <cp:revision>2</cp:revision>
  <cp:lastPrinted>2019-03-08T19:09:00Z</cp:lastPrinted>
  <dcterms:created xsi:type="dcterms:W3CDTF">2020-01-02T20:01:00Z</dcterms:created>
  <dcterms:modified xsi:type="dcterms:W3CDTF">2020-01-02T20:01:00Z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y fmtid="{D5CDD505-2E9C-101B-9397-08002B2CF9AE}" pid="3" name="AuthorIds_UIVersion_5632">
    <vt:lpwstr>13</vt:lpwstr>
  </property>
  <property fmtid="{D5CDD505-2E9C-101B-9397-08002B2CF9AE}" pid="4" name="AuthorIds_UIVersion_20992">
    <vt:lpwstr>13</vt:lpwstr>
  </property>
  <property fmtid="{D5CDD505-2E9C-101B-9397-08002B2CF9AE}" pid="5" name="AuthorIds_UIVersion_29184">
    <vt:lpwstr>20</vt:lpwstr>
  </property>
</Properties>
</file>